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22026_090944.xml.htm"/>
      <w:bookmarkStart w:id="1" w:name="ksform409222026_0909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 Crespo Blas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STRUCTURE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GATEWAY BLVD., 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Structure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GPCR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3"/>
        <w:gridCol w:w="772"/>
        <w:gridCol w:w="600"/>
        <w:gridCol w:w="347"/>
        <w:gridCol w:w="969"/>
        <w:gridCol w:w="449"/>
        <w:gridCol w:w="795"/>
        <w:gridCol w:w="1154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270,252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258,228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666"/>
        <w:gridCol w:w="606"/>
        <w:gridCol w:w="906"/>
        <w:gridCol w:w="801"/>
        <w:gridCol w:w="861"/>
        <w:gridCol w:w="801"/>
        <w:gridCol w:w="816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12,024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12,024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36.1459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Ordinary Shares of the Issuer may be represented by American Depositary Shares ("ADSs"). Each ADS represents three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income tax obligations associated with the vesting of a restricted share unit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price per share in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12,024 Ordinary Shares were converted into 4,008 American Depositary Shares as reported in Table II.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Each American Depositary Share is convertible at any time, at the holder's election, into three Ordinary Shares of the Issuer. The American Depositary Shares have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American Depositary Shares were sold pursuant to a Rule 10b5-1 trading plan entered into on March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Jun Yoon,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37144" TargetMode="External"/><Relationship Id="rId5" Type="http://schemas.openxmlformats.org/officeDocument/2006/relationships/hyperlink" Target="http://www.sec.gov/cgi-bin/browse-edgar?action=getcompany&amp;CIK=00018888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728</Words>
  <Characters>3965</Characters>
  <CharactersWithSpaces>4588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