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85.jpeg" ContentType="image/jpeg"/>
  <Override PartName="/word/media/image84.jpeg" ContentType="image/jpeg"/>
  <Override PartName="/word/media/image83.jpeg" ContentType="image/jpeg"/>
  <Override PartName="/word/media/image82.jpeg" ContentType="image/jpeg"/>
  <Override PartName="/word/media/image69.jpeg" ContentType="image/jpeg"/>
  <Override PartName="/word/media/image81.jpeg" ContentType="image/jpeg"/>
  <Override PartName="/word/media/image68.jpeg" ContentType="image/jpeg"/>
  <Override PartName="/word/media/image80.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86.jpeg" ContentType="image/jpeg"/>
  <Override PartName="/word/media/image50.jpeg" ContentType="image/jpeg"/>
  <Override PartName="/word/media/image62.jpeg" ContentType="image/jpeg"/>
  <Override PartName="/word/media/image49.jpeg" ContentType="image/jpeg"/>
  <Override PartName="/word/media/image61.jpeg" ContentType="image/jpeg"/>
  <Override PartName="/word/media/image48.jpeg" ContentType="image/jpeg"/>
  <Override PartName="/word/media/image60.jpeg" ContentType="image/jpeg"/>
  <Override PartName="/word/media/image47.jpeg" ContentType="image/jpeg"/>
  <Override PartName="/word/media/image72.jpeg" ContentType="image/jpeg"/>
  <Override PartName="/word/media/image59.jpeg" ContentType="image/jpeg"/>
  <Override PartName="/word/media/image16.jpeg" ContentType="image/jpeg"/>
  <Override PartName="/word/media/image46.jpeg" ContentType="image/jpeg"/>
  <Override PartName="/word/media/image71.jpeg" ContentType="image/jpeg"/>
  <Override PartName="/word/media/image58.jpeg" ContentType="image/jpeg"/>
  <Override PartName="/word/media/image15.jpeg" ContentType="image/jpeg"/>
  <Override PartName="/word/media/image45.jpeg" ContentType="image/jpeg"/>
  <Override PartName="/word/media/image70.jpeg" ContentType="image/jpeg"/>
  <Override PartName="/word/media/image57.jpeg" ContentType="image/jpeg"/>
  <Override PartName="/word/media/image14.jpeg" ContentType="image/jpeg"/>
  <Override PartName="/word/media/image44.jpeg" ContentType="image/jpeg"/>
  <Override PartName="/word/media/image56.jpeg" ContentType="image/jpeg"/>
  <Override PartName="/word/media/image13.jpeg" ContentType="image/jpeg"/>
  <Override PartName="/word/media/image43.jpeg" ContentType="image/jpeg"/>
  <Override PartName="/word/media/image55.jpeg" ContentType="image/jpeg"/>
  <Override PartName="/word/media/image12.jpeg" ContentType="image/jpeg"/>
  <Override PartName="/word/media/image42.jpeg" ContentType="image/jpeg"/>
  <Override PartName="/word/media/image54.jpeg" ContentType="image/jpeg"/>
  <Override PartName="/word/media/image11.jpeg" ContentType="image/jpeg"/>
  <Override PartName="/word/media/image22.jpeg" ContentType="image/jpeg"/>
  <Override PartName="/word/media/image6.jpeg" ContentType="image/jpeg"/>
  <Override PartName="/word/media/image79.jpeg" ContentType="image/jpeg"/>
  <Override PartName="/word/media/image36.jpeg" ContentType="image/jpeg"/>
  <Override PartName="/word/media/image4.jpeg" ContentType="image/jpeg"/>
  <Override PartName="/word/media/image20.jpeg" ContentType="image/jpeg"/>
  <Override PartName="/word/media/image53.jpeg" ContentType="image/jpeg"/>
  <Override PartName="/word/media/image10.jpeg" ContentType="image/jpeg"/>
  <Override PartName="/word/media/image21.jpeg" ContentType="image/jpeg"/>
  <Override PartName="/word/media/image37.jpeg" ContentType="image/jpeg"/>
  <Override PartName="/word/media/image5.jpeg" ContentType="image/jpeg"/>
  <Override PartName="/word/media/image78.jpeg" ContentType="image/jpeg"/>
  <Override PartName="/word/media/image35.jpeg" ContentType="image/jpeg"/>
  <Override PartName="/word/media/image3.jpeg" ContentType="image/jpeg"/>
  <Override PartName="/word/media/image7.jpeg" ContentType="image/jpeg"/>
  <Override PartName="/word/media/image23.jpeg" ContentType="image/jpeg"/>
  <Override PartName="/word/media/image8.jpeg" ContentType="image/jpeg"/>
  <Override PartName="/word/media/image24.jpeg" ContentType="image/jpeg"/>
  <Override PartName="/word/media/image9.jpeg" ContentType="image/jpeg"/>
  <Override PartName="/word/media/image25.jpeg" ContentType="image/jpeg"/>
  <Override PartName="/word/media/image26.jpeg" ContentType="image/jpeg"/>
  <Override PartName="/word/media/image40.jpeg" ContentType="image/jpeg"/>
  <Override PartName="/word/media/image27.jpeg" ContentType="image/jpeg"/>
  <Override PartName="/word/media/image41.jpeg" ContentType="image/jpeg"/>
  <Override PartName="/word/media/image28.jpeg" ContentType="image/jpeg"/>
  <Override PartName="/word/media/image29.jpeg" ContentType="image/jpeg"/>
  <Override PartName="/word/media/image73.jpeg" ContentType="image/jpeg"/>
  <Override PartName="/word/media/image17.jpeg" ContentType="image/jpeg"/>
  <Override PartName="/word/media/image30.jpeg" ContentType="image/jpeg"/>
  <Override PartName="/word/media/image74.jpeg" ContentType="image/jpeg"/>
  <Override PartName="/word/media/image18.jpeg" ContentType="image/jpeg"/>
  <Override PartName="/word/media/image31.jpeg" ContentType="image/jpeg"/>
  <Override PartName="/word/media/image75.jpeg" ContentType="image/jpeg"/>
  <Override PartName="/word/media/image19.jpeg" ContentType="image/jpeg"/>
  <Override PartName="/word/media/image32.jpeg" ContentType="image/jpeg"/>
  <Override PartName="/word/media/image76.jpeg" ContentType="image/jpeg"/>
  <Override PartName="/word/media/image1.jpeg" ContentType="image/jpeg"/>
  <Override PartName="/word/media/image33.jpeg" ContentType="image/jpeg"/>
  <Override PartName="/word/media/image77.jpeg" ContentType="image/jpeg"/>
  <Override PartName="/word/media/image2.jpeg" ContentType="image/jpeg"/>
  <Override PartName="/word/media/image34.jpeg" ContentType="image/jpeg"/>
  <Override PartName="/word/media/image87.jpeg" ContentType="image/jpeg"/>
  <Override PartName="/word/media/image51.jpeg" ContentType="image/jpeg"/>
  <Override PartName="/word/media/image38.jpeg" ContentType="image/jpeg"/>
  <Override PartName="/word/media/image88.jpeg" ContentType="image/jpeg"/>
  <Override PartName="/word/media/image52.jpeg" ContentType="image/jpeg"/>
  <Override PartName="/word/media/image3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gpcr-20221231x10k.htm"/>
        <w:bookmarkStart w:id="1" w:name="ksgpcr20221231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spacing w:before="0" w:after="0"/>
        <w:ind w:left="0" w:right="0" w:hanging="0"/>
        <w:jc w:val="center"/>
        <w:rPr/>
      </w:pPr>
      <w:r>
        <w:rPr/>
        <w:t>​</w:t>
      </w:r>
    </w:p>
    <w:p>
      <w:pPr>
        <w:pStyle w:val="TextBody"/>
        <w:spacing w:before="0" w:after="0"/>
        <w:ind w:left="0" w:right="0" w:hanging="0"/>
        <w:jc w:val="center"/>
        <w:rPr/>
      </w:pPr>
      <w:r>
        <w:rPr/>
        <w:t>​</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UNITED STATES</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SECURITIES AND EXCHANGE COMMISSION</w:t>
      </w:r>
    </w:p>
    <w:p>
      <w:pPr>
        <w:pStyle w:val="TextBody"/>
        <w:spacing w:before="0" w:after="0"/>
        <w:ind w:left="0" w:right="0" w:hanging="0"/>
        <w:jc w:val="center"/>
        <w:rPr>
          <w:rFonts w:ascii="Arial;Helvetica;sans-serif" w:hAnsi="Arial;Helvetica;sans-serif"/>
          <w:b/>
          <w:sz w:val="18"/>
        </w:rPr>
      </w:pPr>
      <w:r>
        <w:rPr>
          <w:rFonts w:ascii="Arial;Helvetica;sans-serif" w:hAnsi="Arial;Helvetica;sans-serif"/>
          <w:b/>
          <w:sz w:val="18"/>
        </w:rPr>
        <w:t>WASHINGTON, D.C. 20549</w:t>
      </w:r>
    </w:p>
    <w:p>
      <w:pPr>
        <w:pStyle w:val="TextBody"/>
        <w:spacing w:before="0" w:after="0"/>
        <w:ind w:left="0" w:right="0" w:hanging="0"/>
        <w:jc w:val="center"/>
        <w:rPr/>
      </w:pPr>
      <w:r>
        <w:rPr/>
        <w:t>​</w:t>
      </w:r>
    </w:p>
    <w:p>
      <w:pPr>
        <w:pStyle w:val="TextBody"/>
        <w:spacing w:before="0" w:after="0"/>
        <w:ind w:left="0" w:right="0" w:hanging="0"/>
        <w:jc w:val="center"/>
        <w:rPr>
          <w:rFonts w:ascii="Arial;Helvetica;sans-serif" w:hAnsi="Arial;Helvetica;sans-serif"/>
          <w:b/>
          <w:sz w:val="22"/>
        </w:rPr>
      </w:pPr>
      <w:r>
        <w:rPr>
          <w:rFonts w:ascii="Arial;Helvetica;sans-serif" w:hAnsi="Arial;Helvetica;sans-serif"/>
          <w:b/>
          <w:sz w:val="22"/>
        </w:rPr>
        <w:t>FORM 10-K</w:t>
      </w:r>
    </w:p>
    <w:p>
      <w:pPr>
        <w:pStyle w:val="TextBody"/>
        <w:spacing w:before="0" w:after="0"/>
        <w:ind w:left="0" w:right="0" w:hanging="0"/>
        <w:jc w:val="center"/>
        <w:rPr/>
      </w:pPr>
      <w:r>
        <w:rPr/>
        <w:t>​</w:t>
      </w:r>
    </w:p>
    <w:tbl>
      <w:tblPr>
        <w:tblW w:w="8425" w:type="dxa"/>
        <w:jc w:val="left"/>
        <w:tblInd w:w="0" w:type="dxa"/>
        <w:tblCellMar>
          <w:top w:w="0" w:type="dxa"/>
          <w:left w:w="0" w:type="dxa"/>
          <w:bottom w:w="0" w:type="dxa"/>
          <w:right w:w="0" w:type="dxa"/>
        </w:tblCellMar>
      </w:tblPr>
      <w:tblGrid>
        <w:gridCol w:w="230"/>
        <w:gridCol w:w="8195"/>
      </w:tblGrid>
      <w:tr>
        <w:trPr/>
        <w:tc>
          <w:tcPr>
            <w:tcW w:w="230" w:type="dxa"/>
            <w:tcBorders/>
            <w:shd w:fill="auto" w:val="clear"/>
            <w:vAlign w:val="center"/>
          </w:tcPr>
          <w:p>
            <w:pPr>
              <w:pStyle w:val="TableContents"/>
              <w:spacing w:before="0" w:after="0"/>
              <w:rPr/>
            </w:pPr>
            <w:r>
              <w:rPr/>
              <w:t>☒</w:t>
            </w:r>
          </w:p>
        </w:tc>
        <w:tc>
          <w:tcPr>
            <w:tcW w:w="8195" w:type="dxa"/>
            <w:tcBorders/>
            <w:shd w:fill="auto" w:val="clear"/>
            <w:vAlign w:val="center"/>
          </w:tcPr>
          <w:p>
            <w:pPr>
              <w:pStyle w:val="TableContents"/>
              <w:spacing w:before="0" w:after="0"/>
              <w:rPr>
                <w:rFonts w:ascii="Arial;Helvetica;sans-serif" w:hAnsi="Arial;Helvetica;sans-serif"/>
                <w:b/>
                <w:sz w:val="16"/>
              </w:rPr>
            </w:pPr>
            <w:r>
              <w:rPr>
                <w:rFonts w:ascii="Arial;Helvetica;sans-serif" w:hAnsi="Arial;Helvetica;sans-serif"/>
                <w:b/>
                <w:sz w:val="16"/>
              </w:rPr>
              <w:t>ANNUAL REPORT PURSUANT TO SECTION 13 OR 15(d) OF THE SECURITIES EXCHANGE ACT OF 1934</w:t>
            </w:r>
          </w:p>
        </w:tc>
      </w:tr>
    </w:tbl>
    <w:p>
      <w:pPr>
        <w:pStyle w:val="TextBody"/>
        <w:spacing w:before="0" w:after="0"/>
        <w:ind w:left="0" w:right="0" w:hanging="0"/>
        <w:jc w:val="center"/>
        <w:rPr/>
      </w:pPr>
      <w:r>
        <w:rPr/>
        <w:t>​</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For the fiscal year ended December 31, 2022</w:t>
      </w:r>
    </w:p>
    <w:p>
      <w:pPr>
        <w:pStyle w:val="TextBody"/>
        <w:spacing w:before="0" w:after="0"/>
        <w:ind w:left="0" w:right="0" w:hanging="0"/>
        <w:jc w:val="center"/>
        <w:rPr/>
      </w:pPr>
      <w:r>
        <w:rPr/>
        <w:t>​</w:t>
      </w:r>
    </w:p>
    <w:p>
      <w:pPr>
        <w:pStyle w:val="TextBody"/>
        <w:spacing w:before="0" w:after="0"/>
        <w:ind w:left="0" w:right="0" w:hanging="0"/>
        <w:jc w:val="center"/>
        <w:rPr>
          <w:rFonts w:ascii="Arial;Helvetica;sans-serif" w:hAnsi="Arial;Helvetica;sans-serif"/>
          <w:b/>
          <w:sz w:val="14"/>
        </w:rPr>
      </w:pPr>
      <w:r>
        <w:rPr>
          <w:rFonts w:ascii="Arial;Helvetica;sans-serif" w:hAnsi="Arial;Helvetica;sans-serif"/>
          <w:b/>
          <w:sz w:val="14"/>
        </w:rPr>
        <w:t>OR</w:t>
      </w:r>
    </w:p>
    <w:p>
      <w:pPr>
        <w:pStyle w:val="TextBody"/>
        <w:spacing w:before="0" w:after="0"/>
        <w:ind w:left="0" w:right="0" w:hanging="0"/>
        <w:jc w:val="center"/>
        <w:rPr/>
      </w:pPr>
      <w:r>
        <w:rPr/>
        <w:t>​</w:t>
      </w:r>
    </w:p>
    <w:tbl>
      <w:tblPr>
        <w:tblW w:w="8740" w:type="dxa"/>
        <w:jc w:val="left"/>
        <w:tblInd w:w="0" w:type="dxa"/>
        <w:tblCellMar>
          <w:top w:w="0" w:type="dxa"/>
          <w:left w:w="0" w:type="dxa"/>
          <w:bottom w:w="0" w:type="dxa"/>
          <w:right w:w="0" w:type="dxa"/>
        </w:tblCellMar>
      </w:tblPr>
      <w:tblGrid>
        <w:gridCol w:w="230"/>
        <w:gridCol w:w="8510"/>
      </w:tblGrid>
      <w:tr>
        <w:trPr/>
        <w:tc>
          <w:tcPr>
            <w:tcW w:w="230" w:type="dxa"/>
            <w:tcBorders/>
            <w:shd w:fill="auto" w:val="clear"/>
            <w:vAlign w:val="center"/>
          </w:tcPr>
          <w:p>
            <w:pPr>
              <w:pStyle w:val="TableContents"/>
              <w:spacing w:before="0" w:after="0"/>
              <w:rPr/>
            </w:pPr>
            <w:r>
              <w:rPr/>
              <w:t>☐</w:t>
            </w:r>
          </w:p>
        </w:tc>
        <w:tc>
          <w:tcPr>
            <w:tcW w:w="8510" w:type="dxa"/>
            <w:tcBorders/>
            <w:shd w:fill="auto" w:val="clear"/>
            <w:vAlign w:val="center"/>
          </w:tcPr>
          <w:p>
            <w:pPr>
              <w:pStyle w:val="TableContents"/>
              <w:spacing w:before="0" w:after="0"/>
              <w:rPr>
                <w:rFonts w:ascii="Arial;Helvetica;sans-serif" w:hAnsi="Arial;Helvetica;sans-serif"/>
                <w:b/>
                <w:sz w:val="16"/>
              </w:rPr>
            </w:pPr>
            <w:r>
              <w:rPr>
                <w:rFonts w:ascii="Arial;Helvetica;sans-serif" w:hAnsi="Arial;Helvetica;sans-serif"/>
                <w:b/>
                <w:sz w:val="16"/>
              </w:rPr>
              <w:t>TRANSITION REPORT PURSUANT TO SECTION 13 OR 15(d) OF THE SECURITIES EXCHANGE ACT OF 1934</w:t>
            </w:r>
          </w:p>
        </w:tc>
      </w:tr>
    </w:tbl>
    <w:p>
      <w:pPr>
        <w:pStyle w:val="TextBody"/>
        <w:spacing w:before="0" w:after="0"/>
        <w:ind w:left="0" w:right="0" w:hanging="0"/>
        <w:jc w:val="center"/>
        <w:rPr>
          <w:rFonts w:ascii="Arial;Helvetica;sans-serif" w:hAnsi="Arial;Helvetica;sans-serif"/>
          <w:b/>
          <w:sz w:val="14"/>
        </w:rPr>
      </w:pPr>
      <w:r>
        <w:rPr>
          <w:rFonts w:ascii="Arial;Helvetica;sans-serif" w:hAnsi="Arial;Helvetica;sans-serif"/>
          <w:b/>
          <w:sz w:val="14"/>
        </w:rPr>
        <w:t>For The Transition Period FromTo</w:t>
      </w:r>
    </w:p>
    <w:p>
      <w:pPr>
        <w:pStyle w:val="TextBody"/>
        <w:spacing w:before="0" w:after="0"/>
        <w:ind w:left="0" w:right="0" w:hanging="0"/>
        <w:jc w:val="center"/>
        <w:rPr/>
      </w:pPr>
      <w:r>
        <w:rPr/>
        <w:t>​</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Commission file number: 001-41608</w:t>
      </w:r>
    </w:p>
    <w:p>
      <w:pPr>
        <w:pStyle w:val="TextBody"/>
        <w:spacing w:before="0" w:after="0"/>
        <w:ind w:left="0" w:right="0" w:hanging="0"/>
        <w:jc w:val="center"/>
        <w:rPr/>
      </w:pPr>
      <w:r>
        <w:rPr/>
        <w:t>​</w:t>
      </w:r>
    </w:p>
    <w:p>
      <w:pPr>
        <w:pStyle w:val="TextBody"/>
        <w:spacing w:before="0" w:after="0"/>
        <w:ind w:left="0" w:right="0" w:hanging="0"/>
        <w:jc w:val="center"/>
        <w:rPr>
          <w:rFonts w:ascii="Arial;Helvetica;sans-serif" w:hAnsi="Arial;Helvetica;sans-serif"/>
          <w:b/>
          <w:sz w:val="22"/>
        </w:rPr>
      </w:pPr>
      <w:r>
        <w:rPr>
          <w:rFonts w:ascii="Arial;Helvetica;sans-serif" w:hAnsi="Arial;Helvetica;sans-serif"/>
          <w:b/>
          <w:sz w:val="22"/>
        </w:rPr>
        <w:t>Structure Therapeutics Inc.</w:t>
      </w:r>
    </w:p>
    <w:p>
      <w:pPr>
        <w:pStyle w:val="TextBody"/>
        <w:spacing w:before="0" w:after="0"/>
        <w:ind w:left="0" w:right="0" w:hanging="0"/>
        <w:jc w:val="center"/>
        <w:rPr>
          <w:rFonts w:ascii="Arial;Helvetica;sans-serif" w:hAnsi="Arial;Helvetica;sans-serif"/>
          <w:sz w:val="14"/>
        </w:rPr>
      </w:pPr>
      <w:r>
        <w:rPr>
          <w:rFonts w:ascii="Arial;Helvetica;sans-serif" w:hAnsi="Arial;Helvetica;sans-serif"/>
          <w:sz w:val="14"/>
        </w:rPr>
        <w:t>(Exact name of registrant as specified in its charter)</w:t>
      </w:r>
    </w:p>
    <w:p>
      <w:pPr>
        <w:pStyle w:val="TextBody"/>
        <w:spacing w:before="0" w:after="0"/>
        <w:ind w:left="0" w:right="0" w:hanging="0"/>
        <w:rPr/>
      </w:pPr>
      <w:r>
        <w:rPr/>
        <w:t>​</w:t>
      </w:r>
    </w:p>
    <w:tbl>
      <w:tblPr>
        <w:tblW w:w="6478" w:type="dxa"/>
        <w:jc w:val="left"/>
        <w:tblInd w:w="0" w:type="dxa"/>
        <w:tblCellMar>
          <w:top w:w="0" w:type="dxa"/>
          <w:left w:w="0" w:type="dxa"/>
          <w:bottom w:w="0" w:type="dxa"/>
          <w:right w:w="0" w:type="dxa"/>
        </w:tblCellMar>
      </w:tblPr>
      <w:tblGrid>
        <w:gridCol w:w="3841"/>
        <w:gridCol w:w="326"/>
        <w:gridCol w:w="2311"/>
      </w:tblGrid>
      <w:tr>
        <w:trPr/>
        <w:tc>
          <w:tcPr>
            <w:tcW w:w="3841" w:type="dxa"/>
            <w:tcBorders/>
            <w:shd w:fill="auto" w:val="clear"/>
            <w:vAlign w:val="center"/>
          </w:tcPr>
          <w:p>
            <w:pPr>
              <w:pStyle w:val="TableContents"/>
              <w:spacing w:before="0" w:after="0"/>
              <w:ind w:left="0" w:right="0" w:hanging="0"/>
              <w:jc w:val="center"/>
              <w:rPr>
                <w:rFonts w:ascii="Arial;Helvetica;sans-serif" w:hAnsi="Arial;Helvetica;sans-serif"/>
                <w:b/>
                <w:sz w:val="14"/>
              </w:rPr>
            </w:pPr>
            <w:r>
              <w:rPr>
                <w:rFonts w:ascii="Arial;Helvetica;sans-serif" w:hAnsi="Arial;Helvetica;sans-serif"/>
                <w:b/>
                <w:sz w:val="14"/>
              </w:rPr>
              <w:t>Cayman Islands</w:t>
            </w:r>
          </w:p>
        </w:tc>
        <w:tc>
          <w:tcPr>
            <w:tcW w:w="326" w:type="dxa"/>
            <w:tcBorders/>
            <w:shd w:fill="auto" w:val="clear"/>
            <w:vAlign w:val="center"/>
          </w:tcPr>
          <w:p>
            <w:pPr>
              <w:pStyle w:val="TableContents"/>
              <w:spacing w:before="0" w:after="0"/>
              <w:ind w:left="0" w:right="0" w:hanging="0"/>
              <w:rPr/>
            </w:pPr>
            <w:r>
              <w:rPr/>
              <w:t>    </w:t>
            </w:r>
          </w:p>
        </w:tc>
        <w:tc>
          <w:tcPr>
            <w:tcW w:w="2311" w:type="dxa"/>
            <w:tcBorders/>
            <w:shd w:fill="auto" w:val="clear"/>
            <w:vAlign w:val="center"/>
          </w:tcPr>
          <w:p>
            <w:pPr>
              <w:pStyle w:val="TableContents"/>
              <w:spacing w:before="0" w:after="0"/>
              <w:ind w:left="0" w:right="0" w:hanging="0"/>
              <w:jc w:val="center"/>
              <w:rPr>
                <w:rFonts w:ascii="Arial;Helvetica;sans-serif" w:hAnsi="Arial;Helvetica;sans-serif"/>
                <w:b/>
                <w:sz w:val="14"/>
              </w:rPr>
            </w:pPr>
            <w:r>
              <w:rPr>
                <w:rFonts w:ascii="Arial;Helvetica;sans-serif" w:hAnsi="Arial;Helvetica;sans-serif"/>
                <w:b/>
                <w:sz w:val="14"/>
              </w:rPr>
              <w:t>98-1480821</w:t>
            </w:r>
          </w:p>
        </w:tc>
      </w:tr>
      <w:tr>
        <w:trPr/>
        <w:tc>
          <w:tcPr>
            <w:tcW w:w="3841" w:type="dxa"/>
            <w:tcBorders/>
            <w:shd w:fill="auto" w:val="clear"/>
            <w:vAlign w:val="center"/>
          </w:tcPr>
          <w:p>
            <w:pPr>
              <w:pStyle w:val="TableContents"/>
              <w:spacing w:before="0" w:after="0"/>
              <w:ind w:left="0" w:right="0" w:hanging="0"/>
              <w:jc w:val="center"/>
              <w:rPr>
                <w:rFonts w:ascii="Arial;Helvetica;sans-serif" w:hAnsi="Arial;Helvetica;sans-serif"/>
                <w:sz w:val="14"/>
              </w:rPr>
            </w:pPr>
            <w:r>
              <w:rPr>
                <w:rFonts w:ascii="Arial;Helvetica;sans-serif" w:hAnsi="Arial;Helvetica;sans-serif"/>
                <w:sz w:val="14"/>
              </w:rPr>
              <w:t>(State of Other Jurisdiction of incorporation or Organization)</w:t>
            </w:r>
          </w:p>
        </w:tc>
        <w:tc>
          <w:tcPr>
            <w:tcW w:w="326"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jc w:val="center"/>
              <w:rPr>
                <w:rFonts w:ascii="Arial;Helvetica;sans-serif" w:hAnsi="Arial;Helvetica;sans-serif"/>
                <w:sz w:val="14"/>
              </w:rPr>
            </w:pPr>
            <w:r>
              <w:rPr>
                <w:rFonts w:ascii="Arial;Helvetica;sans-serif" w:hAnsi="Arial;Helvetica;sans-serif"/>
                <w:sz w:val="14"/>
              </w:rPr>
              <w:t>(I.R.S. Employer Identification No.)</w:t>
            </w:r>
          </w:p>
        </w:tc>
      </w:tr>
      <w:tr>
        <w:trPr/>
        <w:tc>
          <w:tcPr>
            <w:tcW w:w="3841" w:type="dxa"/>
            <w:tcBorders/>
            <w:shd w:fill="auto" w:val="clear"/>
            <w:vAlign w:val="center"/>
          </w:tcPr>
          <w:p>
            <w:pPr>
              <w:pStyle w:val="TableContents"/>
              <w:spacing w:before="0" w:after="0"/>
              <w:ind w:left="0" w:right="0" w:hanging="0"/>
              <w:jc w:val="center"/>
              <w:rPr>
                <w:rFonts w:ascii="Arial;Helvetica;sans-serif" w:hAnsi="Arial;Helvetica;sans-serif"/>
                <w:b/>
                <w:sz w:val="14"/>
              </w:rPr>
            </w:pPr>
            <w:r>
              <w:rPr>
                <w:rFonts w:ascii="Arial;Helvetica;sans-serif" w:hAnsi="Arial;Helvetica;sans-serif"/>
                <w:b/>
                <w:sz w:val="14"/>
              </w:rPr>
              <w:t xml:space="preserve">611 Gateway Blvd., Suite 223 </w:t>
            </w:r>
          </w:p>
          <w:p>
            <w:pPr>
              <w:pStyle w:val="TableContents"/>
              <w:spacing w:before="0" w:after="0"/>
              <w:ind w:left="0" w:right="0" w:hanging="0"/>
              <w:jc w:val="center"/>
              <w:rPr>
                <w:rFonts w:ascii="Arial;Helvetica;sans-serif" w:hAnsi="Arial;Helvetica;sans-serif"/>
                <w:b/>
                <w:sz w:val="14"/>
              </w:rPr>
            </w:pPr>
            <w:r>
              <w:rPr>
                <w:rFonts w:ascii="Arial;Helvetica;sans-serif" w:hAnsi="Arial;Helvetica;sans-serif"/>
                <w:b/>
                <w:sz w:val="14"/>
              </w:rPr>
              <w:t>South San Francisco, California</w:t>
            </w:r>
          </w:p>
        </w:tc>
        <w:tc>
          <w:tcPr>
            <w:tcW w:w="326"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jc w:val="center"/>
              <w:rPr>
                <w:rFonts w:ascii="Arial;Helvetica;sans-serif" w:hAnsi="Arial;Helvetica;sans-serif"/>
                <w:b/>
                <w:sz w:val="14"/>
              </w:rPr>
            </w:pPr>
            <w:r>
              <w:rPr>
                <w:rFonts w:ascii="Arial;Helvetica;sans-serif" w:hAnsi="Arial;Helvetica;sans-serif"/>
                <w:b/>
                <w:sz w:val="14"/>
              </w:rPr>
              <w:t>94080</w:t>
            </w:r>
          </w:p>
        </w:tc>
      </w:tr>
      <w:tr>
        <w:trPr/>
        <w:tc>
          <w:tcPr>
            <w:tcW w:w="3841" w:type="dxa"/>
            <w:tcBorders/>
            <w:shd w:fill="auto" w:val="clear"/>
            <w:vAlign w:val="center"/>
          </w:tcPr>
          <w:p>
            <w:pPr>
              <w:pStyle w:val="TableContents"/>
              <w:spacing w:before="0" w:after="0"/>
              <w:ind w:left="0" w:right="0" w:hanging="0"/>
              <w:jc w:val="center"/>
              <w:rPr>
                <w:rFonts w:ascii="Arial;Helvetica;sans-serif" w:hAnsi="Arial;Helvetica;sans-serif"/>
                <w:sz w:val="14"/>
              </w:rPr>
            </w:pPr>
            <w:r>
              <w:rPr>
                <w:rFonts w:ascii="Arial;Helvetica;sans-serif" w:hAnsi="Arial;Helvetica;sans-serif"/>
                <w:sz w:val="14"/>
              </w:rPr>
              <w:t>(Address of principal executive offices)</w:t>
            </w:r>
          </w:p>
        </w:tc>
        <w:tc>
          <w:tcPr>
            <w:tcW w:w="326" w:type="dxa"/>
            <w:tcBorders/>
            <w:shd w:fill="auto" w:val="clear"/>
            <w:vAlign w:val="center"/>
          </w:tcPr>
          <w:p>
            <w:pPr>
              <w:pStyle w:val="TableContents"/>
              <w:spacing w:before="0" w:after="0"/>
              <w:ind w:left="0" w:right="0" w:hanging="0"/>
              <w:rPr/>
            </w:pPr>
            <w:r>
              <w:rPr/>
              <w:t>​</w:t>
            </w:r>
          </w:p>
        </w:tc>
        <w:tc>
          <w:tcPr>
            <w:tcW w:w="2311" w:type="dxa"/>
            <w:tcBorders/>
            <w:shd w:fill="auto" w:val="clear"/>
            <w:vAlign w:val="center"/>
          </w:tcPr>
          <w:p>
            <w:pPr>
              <w:pStyle w:val="TableContents"/>
              <w:spacing w:before="0" w:after="0"/>
              <w:ind w:left="0" w:right="0" w:hanging="0"/>
              <w:jc w:val="center"/>
              <w:rPr>
                <w:rFonts w:ascii="Arial;Helvetica;sans-serif" w:hAnsi="Arial;Helvetica;sans-serif"/>
                <w:sz w:val="14"/>
              </w:rPr>
            </w:pPr>
            <w:r>
              <w:rPr>
                <w:rFonts w:ascii="Arial;Helvetica;sans-serif" w:hAnsi="Arial;Helvetica;sans-serif"/>
                <w:sz w:val="14"/>
              </w:rPr>
              <w:t>(Zip code)</w:t>
            </w:r>
          </w:p>
        </w:tc>
      </w:tr>
    </w:tbl>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b/>
          <w:sz w:val="16"/>
        </w:rPr>
      </w:pPr>
      <w:r>
        <w:rPr>
          <w:rFonts w:ascii="Arial;Helvetica;sans-serif" w:hAnsi="Arial;Helvetica;sans-serif"/>
          <w:b/>
          <w:sz w:val="16"/>
        </w:rPr>
        <w:t>Registrant's telephone number, including area code: (628) 229-9277</w:t>
      </w:r>
    </w:p>
    <w:p>
      <w:pPr>
        <w:pStyle w:val="TextBody"/>
        <w:spacing w:before="0" w:after="0"/>
        <w:ind w:left="0" w:right="0" w:hanging="0"/>
        <w:jc w:val="center"/>
        <w:rPr/>
      </w:pPr>
      <w:r>
        <w:rPr/>
        <w:t>​</w:t>
      </w:r>
    </w:p>
    <w:p>
      <w:pPr>
        <w:pStyle w:val="TextBody"/>
        <w:spacing w:before="0" w:after="0"/>
        <w:ind w:left="0" w:right="0" w:hanging="0"/>
        <w:rPr>
          <w:rFonts w:ascii="Arial;Helvetica;sans-serif" w:hAnsi="Arial;Helvetica;sans-serif"/>
          <w:b/>
          <w:sz w:val="16"/>
        </w:rPr>
      </w:pPr>
      <w:r>
        <w:rPr>
          <w:rFonts w:ascii="Arial;Helvetica;sans-serif" w:hAnsi="Arial;Helvetica;sans-serif"/>
          <w:b/>
          <w:sz w:val="16"/>
        </w:rPr>
        <w:t>Securities registered pursuant to Section 12(b) of the Act: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6274"/>
        <w:gridCol w:w="326"/>
        <w:gridCol w:w="1681"/>
        <w:gridCol w:w="326"/>
        <w:gridCol w:w="1598"/>
      </w:tblGrid>
      <w:tr>
        <w:trPr/>
        <w:tc>
          <w:tcPr>
            <w:tcW w:w="627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681" w:type="dxa"/>
            <w:tcBorders/>
            <w:shd w:fill="auto" w:val="clear"/>
            <w:vAlign w:val="center"/>
          </w:tcPr>
          <w:p>
            <w:pPr>
              <w:pStyle w:val="TableContents"/>
              <w:spacing w:before="0" w:after="0"/>
              <w:ind w:left="0" w:right="0" w:hanging="0"/>
              <w:jc w:val="center"/>
              <w:rPr>
                <w:rFonts w:ascii="Arial;Helvetica;sans-serif" w:hAnsi="Arial;Helvetica;sans-serif"/>
                <w:b/>
                <w:sz w:val="14"/>
              </w:rPr>
            </w:pPr>
            <w:r>
              <w:rPr>
                <w:rFonts w:ascii="Arial;Helvetica;sans-serif" w:hAnsi="Arial;Helvetica;sans-serif"/>
                <w:b/>
                <w:sz w:val="14"/>
              </w:rPr>
              <w:t>Name Of Each Exchange</w:t>
            </w:r>
          </w:p>
        </w:tc>
        <w:tc>
          <w:tcPr>
            <w:tcW w:w="326" w:type="dxa"/>
            <w:tcBorders/>
            <w:shd w:fill="auto" w:val="clear"/>
            <w:vAlign w:val="center"/>
          </w:tcPr>
          <w:p>
            <w:pPr>
              <w:pStyle w:val="TableContents"/>
              <w:spacing w:before="0" w:after="0"/>
              <w:ind w:left="0" w:right="0" w:hanging="0"/>
              <w:rPr/>
            </w:pPr>
            <w:r>
              <w:rPr/>
              <w:t>    </w:t>
            </w:r>
          </w:p>
        </w:tc>
        <w:tc>
          <w:tcPr>
            <w:tcW w:w="1598" w:type="dxa"/>
            <w:tcBorders/>
            <w:shd w:fill="auto" w:val="clear"/>
            <w:vAlign w:val="center"/>
          </w:tcPr>
          <w:p>
            <w:pPr>
              <w:pStyle w:val="TableContents"/>
              <w:spacing w:before="0" w:after="0"/>
              <w:ind w:left="0" w:right="0" w:hanging="0"/>
              <w:rPr/>
            </w:pPr>
            <w:r>
              <w:rPr/>
              <w:t>​</w:t>
            </w:r>
          </w:p>
        </w:tc>
      </w:tr>
      <w:tr>
        <w:trPr/>
        <w:tc>
          <w:tcPr>
            <w:tcW w:w="627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4"/>
              </w:rPr>
            </w:pPr>
            <w:r>
              <w:rPr>
                <w:rFonts w:ascii="Arial;Helvetica;sans-serif" w:hAnsi="Arial;Helvetica;sans-serif"/>
                <w:b/>
                <w:sz w:val="14"/>
              </w:rPr>
              <w:t>Title of Each Class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6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4"/>
              </w:rPr>
            </w:pPr>
            <w:r>
              <w:rPr>
                <w:rFonts w:ascii="Arial;Helvetica;sans-serif" w:hAnsi="Arial;Helvetica;sans-serif"/>
                <w:b/>
                <w:sz w:val="14"/>
              </w:rPr>
              <w:t>Trading Symbol(s)</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159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4"/>
              </w:rPr>
            </w:pPr>
            <w:r>
              <w:rPr>
                <w:rFonts w:ascii="Arial;Helvetica;sans-serif" w:hAnsi="Arial;Helvetica;sans-serif"/>
                <w:b/>
                <w:sz w:val="14"/>
              </w:rPr>
              <w:t>On Which Registered</w:t>
            </w:r>
          </w:p>
        </w:tc>
      </w:tr>
      <w:tr>
        <w:trPr/>
        <w:tc>
          <w:tcPr>
            <w:tcW w:w="6274"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b/>
                <w:sz w:val="14"/>
              </w:rPr>
            </w:pPr>
            <w:r>
              <w:rPr>
                <w:rFonts w:ascii="Arial;Helvetica;sans-serif" w:hAnsi="Arial;Helvetica;sans-serif"/>
                <w:b/>
                <w:sz w:val="14"/>
              </w:rPr>
              <w:t>American Depositary Shares (ADSs), each representing three ordinary shares, par value $0.0001 per ordinary share</w:t>
            </w:r>
          </w:p>
          <w:p>
            <w:pPr>
              <w:pStyle w:val="TableContents"/>
              <w:spacing w:before="0" w:after="0"/>
              <w:ind w:left="0" w:right="0" w:hanging="0"/>
              <w:jc w:val="center"/>
              <w:rPr>
                <w:rFonts w:ascii="Arial;Helvetica;sans-serif" w:hAnsi="Arial;Helvetica;sans-serif"/>
                <w:b/>
                <w:sz w:val="14"/>
              </w:rPr>
            </w:pPr>
            <w:r>
              <w:rPr>
                <w:rFonts w:ascii="Arial;Helvetica;sans-serif" w:hAnsi="Arial;Helvetica;sans-serif"/>
                <w:b/>
                <w:sz w:val="14"/>
              </w:rPr>
              <w:t>Ordinary shares, par value $0.0001 per share*</w:t>
            </w:r>
          </w:p>
        </w:tc>
        <w:tc>
          <w:tcPr>
            <w:tcW w:w="326" w:type="dxa"/>
            <w:tcBorders/>
            <w:shd w:fill="auto" w:val="clear"/>
            <w:vAlign w:val="center"/>
          </w:tcPr>
          <w:p>
            <w:pPr>
              <w:pStyle w:val="TableContents"/>
              <w:spacing w:before="0" w:after="0"/>
              <w:ind w:left="0" w:right="0" w:hanging="0"/>
              <w:jc w:val="center"/>
              <w:rPr/>
            </w:pPr>
            <w:r>
              <w:rPr/>
              <w:t>​</w:t>
            </w:r>
          </w:p>
        </w:tc>
        <w:tc>
          <w:tcPr>
            <w:tcW w:w="168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b/>
                <w:sz w:val="14"/>
              </w:rPr>
            </w:pPr>
            <w:r>
              <w:rPr>
                <w:rFonts w:ascii="Arial;Helvetica;sans-serif" w:hAnsi="Arial;Helvetica;sans-serif"/>
                <w:b/>
                <w:sz w:val="14"/>
              </w:rPr>
              <w:t>GPCR</w:t>
            </w:r>
          </w:p>
        </w:tc>
        <w:tc>
          <w:tcPr>
            <w:tcW w:w="326" w:type="dxa"/>
            <w:tcBorders/>
            <w:shd w:fill="auto" w:val="clear"/>
            <w:vAlign w:val="center"/>
          </w:tcPr>
          <w:p>
            <w:pPr>
              <w:pStyle w:val="TableContents"/>
              <w:spacing w:before="0" w:after="0"/>
              <w:ind w:left="0" w:right="0" w:hanging="0"/>
              <w:jc w:val="center"/>
              <w:rPr/>
            </w:pPr>
            <w:r>
              <w:rPr/>
              <w:t>​</w:t>
            </w:r>
          </w:p>
        </w:tc>
        <w:tc>
          <w:tcPr>
            <w:tcW w:w="1598"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Arial;Helvetica;sans-serif" w:hAnsi="Arial;Helvetica;sans-serif"/>
                <w:b/>
                <w:sz w:val="14"/>
              </w:rPr>
            </w:pPr>
            <w:r>
              <w:rPr>
                <w:rFonts w:ascii="Arial;Helvetica;sans-serif" w:hAnsi="Arial;Helvetica;sans-serif"/>
                <w:b/>
                <w:sz w:val="14"/>
              </w:rPr>
              <w:t>Nasdaq Global Market</w:t>
            </w:r>
          </w:p>
          <w:p>
            <w:pPr>
              <w:pStyle w:val="TableContents"/>
              <w:spacing w:before="0" w:after="0"/>
              <w:ind w:left="0" w:right="0" w:hanging="0"/>
              <w:jc w:val="center"/>
              <w:rPr/>
            </w:pPr>
            <w:r>
              <w:rPr/>
              <w:t>​</w:t>
            </w:r>
          </w:p>
          <w:p>
            <w:pPr>
              <w:pStyle w:val="TableContents"/>
              <w:spacing w:before="0" w:after="0"/>
              <w:ind w:left="0" w:right="0" w:hanging="0"/>
              <w:jc w:val="center"/>
              <w:rPr/>
            </w:pPr>
            <w:r>
              <w:rPr/>
              <w:t>​</w:t>
            </w:r>
          </w:p>
          <w:p>
            <w:pPr>
              <w:pStyle w:val="TableContents"/>
              <w:spacing w:before="0" w:after="0"/>
              <w:ind w:left="0" w:right="0" w:hanging="0"/>
              <w:jc w:val="center"/>
              <w:rPr>
                <w:rFonts w:ascii="Arial;Helvetica;sans-serif" w:hAnsi="Arial;Helvetica;sans-serif"/>
                <w:b/>
                <w:sz w:val="14"/>
              </w:rPr>
            </w:pPr>
            <w:r>
              <w:rPr>
                <w:rFonts w:ascii="Arial;Helvetica;sans-serif" w:hAnsi="Arial;Helvetica;sans-serif"/>
                <w:b/>
                <w:sz w:val="14"/>
              </w:rPr>
              <w:t>Nasdaq Global Market*</w:t>
            </w:r>
          </w:p>
        </w:tc>
      </w:tr>
    </w:tbl>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14"/>
        </w:rPr>
      </w:pPr>
      <w:r>
        <w:rPr>
          <w:rFonts w:ascii="Arial;Helvetica;sans-serif" w:hAnsi="Arial;Helvetica;sans-serif"/>
          <w:sz w:val="14"/>
        </w:rPr>
        <w:t>* Not for trading, but only in connection with the registration of the American Depositary Shares</w:t>
      </w:r>
    </w:p>
    <w:p>
      <w:pPr>
        <w:pStyle w:val="TextBody"/>
        <w:spacing w:before="0" w:after="0"/>
        <w:ind w:left="0" w:right="0" w:hanging="0"/>
        <w:rPr>
          <w:rFonts w:ascii="Arial;Helvetica;sans-serif" w:hAnsi="Arial;Helvetica;sans-serif"/>
          <w:sz w:val="14"/>
        </w:rPr>
      </w:pPr>
      <w:r>
        <w:rPr>
          <w:rFonts w:ascii="Arial;Helvetica;sans-serif" w:hAnsi="Arial;Helvetica;sans-serif"/>
          <w:sz w:val="14"/>
        </w:rPr>
        <w:t>Securities registered pursuant to Section 12(g) of the Act: None</w:t>
      </w:r>
    </w:p>
    <w:p>
      <w:pPr>
        <w:pStyle w:val="TextBody"/>
        <w:spacing w:before="0" w:after="0"/>
        <w:ind w:left="0" w:right="0" w:hanging="0"/>
        <w:jc w:val="center"/>
        <w:rPr/>
      </w:pPr>
      <w:r>
        <w:rPr/>
        <w:t>​</w:t>
      </w:r>
    </w:p>
    <w:p>
      <w:pPr>
        <w:pStyle w:val="TextBody"/>
        <w:spacing w:before="0" w:after="0"/>
        <w:ind w:left="0" w:right="0" w:hanging="0"/>
        <w:rPr>
          <w:rFonts w:ascii="Arial;Helvetica;sans-serif" w:hAnsi="Arial;Helvetica;sans-serif"/>
          <w:sz w:val="14"/>
        </w:rPr>
      </w:pPr>
      <w:r>
        <w:rPr>
          <w:rFonts w:ascii="Arial;Helvetica;sans-serif" w:hAnsi="Arial;Helvetica;sans-serif"/>
          <w:sz w:val="14"/>
        </w:rPr>
        <w:t>Indicate by check mark if the registrant is a well-known seasoned issuer, as defined in Rule 405 of the Securities Act.</w:t>
      </w:r>
    </w:p>
    <w:p>
      <w:pPr>
        <w:pStyle w:val="TextBody"/>
        <w:spacing w:before="0" w:after="0"/>
        <w:ind w:left="0" w:right="0" w:firstLine="288"/>
        <w:rPr>
          <w:rFonts w:ascii="Arial;Helvetica;sans-serif" w:hAnsi="Arial;Helvetica;sans-serif"/>
          <w:sz w:val="14"/>
        </w:rPr>
      </w:pPr>
      <w:r>
        <w:rPr>
          <w:rFonts w:ascii="Arial;Helvetica;sans-serif" w:hAnsi="Arial;Helvetica;sans-serif"/>
          <w:sz w:val="14"/>
        </w:rPr>
        <w:t>Yes ☐ No ☒</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14"/>
        </w:rPr>
      </w:pPr>
      <w:r>
        <w:rPr>
          <w:rFonts w:ascii="Arial;Helvetica;sans-serif" w:hAnsi="Arial;Helvetica;sans-serif"/>
          <w:sz w:val="14"/>
        </w:rPr>
        <w:t>Indicate by check mark if the registrant is not required to file reports pursuant to Section 13 or Section 15(d) of the Act.</w:t>
      </w:r>
    </w:p>
    <w:p>
      <w:pPr>
        <w:pStyle w:val="TextBody"/>
        <w:spacing w:before="0" w:after="0"/>
        <w:ind w:left="0" w:right="0" w:firstLine="288"/>
        <w:rPr>
          <w:rFonts w:ascii="Arial;Helvetica;sans-serif" w:hAnsi="Arial;Helvetica;sans-serif"/>
          <w:sz w:val="14"/>
        </w:rPr>
      </w:pPr>
      <w:r>
        <w:rPr>
          <w:rFonts w:ascii="Arial;Helvetica;sans-serif" w:hAnsi="Arial;Helvetica;sans-serif"/>
          <w:sz w:val="14"/>
        </w:rPr>
        <w:t>Yes ☐ No ☒</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14"/>
        </w:rPr>
      </w:pPr>
      <w:r>
        <w:rPr>
          <w:rFonts w:ascii="Arial;Helvetica;sans-serif" w:hAnsi="Arial;Helvetica;sans-serif"/>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14"/>
        </w:rPr>
      </w:pPr>
      <w:r>
        <w:rPr>
          <w:rFonts w:ascii="Arial;Helvetica;sans-serif" w:hAnsi="Arial;Helvetica;sans-serif"/>
          <w:sz w:val="14"/>
        </w:rPr>
        <w:t>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 No ☐</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14"/>
        </w:rPr>
      </w:pPr>
      <w:r>
        <w:rPr>
          <w:rFonts w:ascii="Arial;Helvetica;sans-serif" w:hAnsi="Arial;Helvetica;sans-serif"/>
          <w:sz w:val="14"/>
        </w:rPr>
        <w:t>Indicate by check mark if disclosure of delinquent filers pursuant to Item 405 of Regulation S-K (§ 232.405 of this chapter) is not contained herein, and will not be contained, to the best of registrant's knowledge, in definitive proxy or information statements incorporated by reference in Part III of this Form 10-K or any amendment to this Form 10-K. ☐</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14"/>
        </w:rPr>
      </w:pPr>
      <w:r>
        <w:rPr>
          <w:rFonts w:ascii="Arial;Helvetica;sans-serif" w:hAnsi="Arial;Helvetica;san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pPr>
      <w:r>
        <w:rPr/>
        <w:t>​</w:t>
      </w:r>
    </w:p>
    <w:tbl>
      <w:tblPr>
        <w:tblW w:w="9634" w:type="dxa"/>
        <w:jc w:val="left"/>
        <w:tblInd w:w="0" w:type="dxa"/>
        <w:tblCellMar>
          <w:top w:w="0" w:type="dxa"/>
          <w:left w:w="0" w:type="dxa"/>
          <w:bottom w:w="0" w:type="dxa"/>
          <w:right w:w="0" w:type="dxa"/>
        </w:tblCellMar>
      </w:tblPr>
      <w:tblGrid>
        <w:gridCol w:w="1666"/>
        <w:gridCol w:w="326"/>
        <w:gridCol w:w="1276"/>
        <w:gridCol w:w="326"/>
        <w:gridCol w:w="1546"/>
        <w:gridCol w:w="326"/>
        <w:gridCol w:w="1906"/>
        <w:gridCol w:w="326"/>
        <w:gridCol w:w="1936"/>
      </w:tblGrid>
      <w:tr>
        <w:trPr/>
        <w:tc>
          <w:tcPr>
            <w:tcW w:w="16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057910" cy="29210"/>
                      <wp:effectExtent l="0" t="0" r="0" b="0"/>
                      <wp:wrapNone/>
                      <wp:docPr id="1" name="Frame1"/>
                      <a:graphic xmlns:a="http://schemas.openxmlformats.org/drawingml/2006/main">
                        <a:graphicData uri="http://schemas.microsoft.com/office/word/2010/wordprocessingShape">
                          <wps:wsp>
                            <wps:cNvSpPr txBox="1"/>
                            <wps:spPr>
                              <a:xfrm>
                                <a:off x="0" y="0"/>
                                <a:ext cx="10579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29210"/>
                      <wp:effectExtent l="0" t="0" r="0" b="0"/>
                      <wp:wrapNone/>
                      <wp:docPr id="2" name="Frame2"/>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2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810260" cy="29210"/>
                      <wp:effectExtent l="0" t="0" r="0" b="0"/>
                      <wp:wrapNone/>
                      <wp:docPr id="3" name="Frame3"/>
                      <a:graphic xmlns:a="http://schemas.openxmlformats.org/drawingml/2006/main">
                        <a:graphicData uri="http://schemas.microsoft.com/office/word/2010/wordprocessingShape">
                          <wps:wsp>
                            <wps:cNvSpPr txBox="1"/>
                            <wps:spPr>
                              <a:xfrm>
                                <a:off x="0" y="0"/>
                                <a:ext cx="8102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29210"/>
                      <wp:effectExtent l="0" t="0" r="0" b="0"/>
                      <wp:wrapNone/>
                      <wp:docPr id="4" name="Frame4"/>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981710" cy="29210"/>
                      <wp:effectExtent l="0" t="0" r="0" b="0"/>
                      <wp:wrapNone/>
                      <wp:docPr id="5" name="Frame5"/>
                      <a:graphic xmlns:a="http://schemas.openxmlformats.org/drawingml/2006/main">
                        <a:graphicData uri="http://schemas.microsoft.com/office/word/2010/wordprocessingShape">
                          <wps:wsp>
                            <wps:cNvSpPr txBox="1"/>
                            <wps:spPr>
                              <a:xfrm>
                                <a:off x="0" y="0"/>
                                <a:ext cx="9817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29210"/>
                      <wp:effectExtent l="0" t="0" r="0" b="0"/>
                      <wp:wrapNone/>
                      <wp:docPr id="6" name="Frame6"/>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9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210310" cy="29210"/>
                      <wp:effectExtent l="0" t="0" r="0" b="0"/>
                      <wp:wrapNone/>
                      <wp:docPr id="7" name="Frame7"/>
                      <a:graphic xmlns:a="http://schemas.openxmlformats.org/drawingml/2006/main">
                        <a:graphicData uri="http://schemas.microsoft.com/office/word/2010/wordprocessingShape">
                          <wps:wsp>
                            <wps:cNvSpPr txBox="1"/>
                            <wps:spPr>
                              <a:xfrm>
                                <a:off x="0" y="0"/>
                                <a:ext cx="12103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29210"/>
                      <wp:effectExtent l="0" t="0" r="0" b="0"/>
                      <wp:wrapNone/>
                      <wp:docPr id="8" name="Frame8"/>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9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29360" cy="29210"/>
                      <wp:effectExtent l="0" t="0" r="0" b="0"/>
                      <wp:wrapNone/>
                      <wp:docPr id="9" name="Frame9"/>
                      <a:graphic xmlns:a="http://schemas.openxmlformats.org/drawingml/2006/main">
                        <a:graphicData uri="http://schemas.microsoft.com/office/word/2010/wordprocessingShape">
                          <wps:wsp>
                            <wps:cNvSpPr txBox="1"/>
                            <wps:spPr>
                              <a:xfrm>
                                <a:off x="0" y="0"/>
                                <a:ext cx="12293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666" w:type="dxa"/>
            <w:tcBorders/>
            <w:shd w:fill="auto" w:val="clear"/>
            <w:vAlign w:val="center"/>
          </w:tcPr>
          <w:p>
            <w:pPr>
              <w:pStyle w:val="TableContents"/>
              <w:pBdr/>
              <w:spacing w:before="0" w:after="0"/>
              <w:ind w:left="0" w:right="0" w:hanging="0"/>
              <w:rPr>
                <w:rFonts w:ascii="Arial;Helvetica;sans-serif" w:hAnsi="Arial;Helvetica;sans-serif"/>
                <w:sz w:val="14"/>
              </w:rPr>
            </w:pPr>
            <w:r>
              <w:rPr>
                <w:rFonts w:ascii="Arial;Helvetica;sans-serif" w:hAnsi="Arial;Helvetica;sans-serif"/>
                <w:sz w:val="14"/>
              </w:rPr>
              <w:t>Large accelerated filer ☐</w:t>
            </w:r>
          </w:p>
        </w:tc>
        <w:tc>
          <w:tcPr>
            <w:tcW w:w="326" w:type="dxa"/>
            <w:tcBorders/>
            <w:shd w:fill="auto" w:val="clear"/>
            <w:vAlign w:val="center"/>
          </w:tcPr>
          <w:p>
            <w:pPr>
              <w:pStyle w:val="TableContents"/>
              <w:spacing w:before="0" w:after="0"/>
              <w:ind w:left="0" w:right="0" w:hanging="0"/>
              <w:rPr/>
            </w:pPr>
            <w:r>
              <w:rPr/>
              <w:t>    </w:t>
            </w:r>
          </w:p>
        </w:tc>
        <w:tc>
          <w:tcPr>
            <w:tcW w:w="1276" w:type="dxa"/>
            <w:tcBorders/>
            <w:shd w:fill="auto" w:val="clear"/>
            <w:vAlign w:val="center"/>
          </w:tcPr>
          <w:p>
            <w:pPr>
              <w:pStyle w:val="TableContents"/>
              <w:spacing w:before="0" w:after="0"/>
              <w:ind w:left="0" w:right="0" w:hanging="0"/>
              <w:rPr>
                <w:rFonts w:ascii="Arial;Helvetica;sans-serif" w:hAnsi="Arial;Helvetica;sans-serif"/>
                <w:sz w:val="14"/>
              </w:rPr>
            </w:pPr>
            <w:r>
              <w:rPr>
                <w:rFonts w:ascii="Arial;Helvetica;sans-serif" w:hAnsi="Arial;Helvetica;sans-serif"/>
                <w:sz w:val="14"/>
              </w:rPr>
              <w:t>Accelerated filer ☐</w:t>
            </w:r>
          </w:p>
        </w:tc>
        <w:tc>
          <w:tcPr>
            <w:tcW w:w="326" w:type="dxa"/>
            <w:tcBorders/>
            <w:shd w:fill="auto" w:val="clear"/>
            <w:vAlign w:val="center"/>
          </w:tcPr>
          <w:p>
            <w:pPr>
              <w:pStyle w:val="TableContents"/>
              <w:spacing w:before="0" w:after="0"/>
              <w:ind w:left="0" w:right="0" w:hanging="0"/>
              <w:rPr/>
            </w:pPr>
            <w:r>
              <w:rPr/>
              <w:t>    </w:t>
            </w:r>
          </w:p>
        </w:tc>
        <w:tc>
          <w:tcPr>
            <w:tcW w:w="1546" w:type="dxa"/>
            <w:tcBorders/>
            <w:shd w:fill="auto" w:val="clear"/>
            <w:vAlign w:val="center"/>
          </w:tcPr>
          <w:p>
            <w:pPr>
              <w:pStyle w:val="TableContents"/>
              <w:spacing w:before="0" w:after="0"/>
              <w:ind w:left="0" w:right="0" w:hanging="0"/>
              <w:rPr>
                <w:rFonts w:ascii="Arial;Helvetica;sans-serif" w:hAnsi="Arial;Helvetica;sans-serif"/>
                <w:sz w:val="14"/>
              </w:rPr>
            </w:pPr>
            <w:r>
              <w:rPr>
                <w:rFonts w:ascii="Arial;Helvetica;sans-serif" w:hAnsi="Arial;Helvetica;sans-serif"/>
                <w:sz w:val="14"/>
              </w:rPr>
              <w:t>Non-accelerated filer ☒</w:t>
            </w:r>
          </w:p>
        </w:tc>
        <w:tc>
          <w:tcPr>
            <w:tcW w:w="326" w:type="dxa"/>
            <w:tcBorders/>
            <w:shd w:fill="auto" w:val="clear"/>
            <w:vAlign w:val="center"/>
          </w:tcPr>
          <w:p>
            <w:pPr>
              <w:pStyle w:val="TableContents"/>
              <w:spacing w:before="0" w:after="0"/>
              <w:ind w:left="0" w:right="0" w:hanging="0"/>
              <w:rPr/>
            </w:pPr>
            <w:r>
              <w:rPr/>
              <w:t>    </w:t>
            </w:r>
          </w:p>
        </w:tc>
        <w:tc>
          <w:tcPr>
            <w:tcW w:w="1906" w:type="dxa"/>
            <w:tcBorders/>
            <w:shd w:fill="auto" w:val="clear"/>
            <w:vAlign w:val="center"/>
          </w:tcPr>
          <w:p>
            <w:pPr>
              <w:pStyle w:val="TableContents"/>
              <w:spacing w:before="0" w:after="0"/>
              <w:ind w:left="0" w:right="0" w:hanging="0"/>
              <w:rPr>
                <w:rFonts w:ascii="Arial;Helvetica;sans-serif" w:hAnsi="Arial;Helvetica;sans-serif"/>
                <w:sz w:val="14"/>
              </w:rPr>
            </w:pPr>
            <w:r>
              <w:rPr>
                <w:rFonts w:ascii="Arial;Helvetica;sans-serif" w:hAnsi="Arial;Helvetica;sans-serif"/>
                <w:sz w:val="14"/>
              </w:rPr>
              <w:t>Smaller reporting company ☒</w:t>
            </w:r>
          </w:p>
        </w:tc>
        <w:tc>
          <w:tcPr>
            <w:tcW w:w="326" w:type="dxa"/>
            <w:tcBorders/>
            <w:shd w:fill="auto" w:val="clear"/>
            <w:vAlign w:val="center"/>
          </w:tcPr>
          <w:p>
            <w:pPr>
              <w:pStyle w:val="TableContents"/>
              <w:spacing w:before="0" w:after="0"/>
              <w:ind w:left="0" w:right="0" w:hanging="0"/>
              <w:rPr/>
            </w:pPr>
            <w:r>
              <w:rPr/>
              <w:t>    </w:t>
            </w:r>
          </w:p>
        </w:tc>
        <w:tc>
          <w:tcPr>
            <w:tcW w:w="1936" w:type="dxa"/>
            <w:tcBorders/>
            <w:shd w:fill="auto" w:val="clear"/>
            <w:vAlign w:val="center"/>
          </w:tcPr>
          <w:p>
            <w:pPr>
              <w:pStyle w:val="TableContents"/>
              <w:spacing w:before="0" w:after="0"/>
              <w:ind w:left="0" w:right="0" w:hanging="0"/>
              <w:rPr>
                <w:rFonts w:ascii="Arial;Helvetica;sans-serif" w:hAnsi="Arial;Helvetica;sans-serif"/>
                <w:sz w:val="14"/>
              </w:rPr>
            </w:pPr>
            <w:r>
              <w:rPr>
                <w:rFonts w:ascii="Arial;Helvetica;sans-serif" w:hAnsi="Arial;Helvetica;sans-serif"/>
                <w:sz w:val="14"/>
              </w:rPr>
              <w:t>Emerging growth company ☒</w:t>
            </w:r>
          </w:p>
        </w:tc>
      </w:tr>
    </w:tbl>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14"/>
        </w:rPr>
      </w:pPr>
      <w:r>
        <w:rPr>
          <w:rFonts w:ascii="Arial;Helvetica;sans-serif" w:hAnsi="Arial;Helvetica;san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14"/>
        </w:rPr>
      </w:pPr>
      <w:r>
        <w:rPr>
          <w:rFonts w:ascii="Arial;Helvetica;sans-serif" w:hAnsi="Arial;Helvetica;sans-serif"/>
          <w:sz w:val="14"/>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14"/>
        </w:rPr>
      </w:pPr>
      <w:r>
        <w:rPr>
          <w:rFonts w:ascii="Arial;Helvetica;sans-serif" w:hAnsi="Arial;Helvetica;sans-serif"/>
          <w:sz w:val="14"/>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14"/>
        </w:rPr>
      </w:pPr>
      <w:r>
        <w:rPr>
          <w:rFonts w:ascii="Arial;Helvetica;sans-serif" w:hAnsi="Arial;Helvetica;sans-serif"/>
          <w:sz w:val="14"/>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sz w:val="14"/>
        </w:rPr>
      </w:pPr>
      <w:r>
        <w:rPr>
          <w:rFonts w:ascii="Arial;Helvetica;sans-serif" w:hAnsi="Arial;Helvetica;sans-serif"/>
          <w:sz w:val="14"/>
        </w:rPr>
        <w:t>Indicate by check mark whether the registrant is a shell company (as defined in Rule 12b-2 of the Exchange Act). Yes ☐ No ☒</w:t>
      </w:r>
    </w:p>
    <w:p>
      <w:pPr>
        <w:pStyle w:val="TextBody"/>
        <w:spacing w:before="0" w:after="0"/>
        <w:ind w:left="0" w:right="0" w:hanging="0"/>
        <w:rPr/>
      </w:pPr>
      <w:r>
        <w:rPr/>
        <w:t>​</w:t>
      </w:r>
    </w:p>
    <w:p>
      <w:pPr>
        <w:pStyle w:val="TextBody"/>
        <w:spacing w:before="0" w:after="0"/>
        <w:ind w:left="0" w:right="0" w:firstLine="288"/>
        <w:rPr>
          <w:rFonts w:ascii="Arial;Helvetica;sans-serif" w:hAnsi="Arial;Helvetica;sans-serif"/>
          <w:sz w:val="14"/>
        </w:rPr>
      </w:pPr>
      <w:r>
        <w:rPr>
          <w:rFonts w:ascii="Arial;Helvetica;sans-serif" w:hAnsi="Arial;Helvetica;sans-serif"/>
          <w:sz w:val="14"/>
        </w:rPr>
        <w:t>The registrant was not a public company as of the last business day of its most recently completed second fiscal quarter and, therefore, cannot calculate the aggregate market value of its voting equity held by non-affiliates as of such date.</w:t>
      </w:r>
    </w:p>
    <w:p>
      <w:pPr>
        <w:pStyle w:val="TextBody"/>
        <w:spacing w:before="0" w:after="0"/>
        <w:ind w:left="0" w:right="0" w:firstLine="288"/>
        <w:rPr/>
      </w:pPr>
      <w:r>
        <w:rPr/>
        <w:t>​</w:t>
      </w:r>
    </w:p>
    <w:p>
      <w:pPr>
        <w:pStyle w:val="TextBody"/>
        <w:spacing w:before="0" w:after="0"/>
        <w:ind w:left="0" w:right="0" w:firstLine="288"/>
        <w:rPr>
          <w:rFonts w:ascii="Arial;Helvetica;sans-serif" w:hAnsi="Arial;Helvetica;sans-serif"/>
          <w:sz w:val="14"/>
        </w:rPr>
      </w:pPr>
      <w:r>
        <w:rPr>
          <w:rFonts w:ascii="Arial;Helvetica;sans-serif" w:hAnsi="Arial;Helvetica;sans-serif"/>
          <w:sz w:val="14"/>
        </w:rPr>
        <w:t>The number of outstanding ordinary shares of the registrant, par value $0.0001 per share, as of March 15, 2023 was 114,729,529, of which 12,351,000 ordinary shares were held in the form of ADSs.</w:t>
      </w:r>
    </w:p>
    <w:p>
      <w:pPr>
        <w:pStyle w:val="TextBody"/>
        <w:spacing w:before="0" w:after="0"/>
        <w:ind w:left="0" w:right="0" w:hanging="0"/>
        <w:rPr/>
      </w:pPr>
      <w:r>
        <w:rPr/>
        <w:t>​</w:t>
      </w:r>
    </w:p>
    <w:p>
      <w:pPr>
        <w:pStyle w:val="TextBody"/>
        <w:pBdr>
          <w:top w:val="single" w:sz="2" w:space="1" w:color="000000"/>
          <w:bottom w:val="single" w:sz="24" w:space="1" w:color="000000"/>
        </w:pBdr>
        <w:spacing w:before="0" w:after="0"/>
        <w:ind w:left="0" w:right="0" w:firstLine="288"/>
        <w:rPr/>
      </w:pPr>
      <w:r>
        <w:rPr/>
        <w:t>​</w:t>
      </w:r>
    </w:p>
    <w:p>
      <w:pPr>
        <w:pStyle w:val="TextBody"/>
        <w:spacing w:before="0" w:after="240"/>
        <w:ind w:left="0" w:right="0" w:hanging="0"/>
        <w:rPr/>
      </w:pPr>
      <w:r>
        <w:rPr/>
        <w:t>​</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pPr>
      <w:r>
        <w:rPr/>
        <w:t>​</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TABLE OF CONTENTS</w:t>
      </w:r>
      <w:bookmarkStart w:id="2" w:name="TOC"/>
      <w:bookmarkEnd w:id="2"/>
    </w:p>
    <w:tbl>
      <w:tblPr>
        <w:tblW w:w="10205" w:type="dxa"/>
        <w:jc w:val="left"/>
        <w:tblInd w:w="0" w:type="dxa"/>
        <w:tblCellMar>
          <w:top w:w="0" w:type="dxa"/>
          <w:left w:w="0" w:type="dxa"/>
          <w:bottom w:w="0" w:type="dxa"/>
          <w:right w:w="0" w:type="dxa"/>
        </w:tblCellMar>
      </w:tblPr>
      <w:tblGrid>
        <w:gridCol w:w="824"/>
        <w:gridCol w:w="8779"/>
        <w:gridCol w:w="602"/>
      </w:tblGrid>
      <w:tr>
        <w:trPr/>
        <w:tc>
          <w:tcPr>
            <w:tcW w:w="824" w:type="dxa"/>
            <w:tcBorders/>
            <w:shd w:fill="auto" w:val="clear"/>
            <w:vAlign w:val="center"/>
          </w:tcPr>
          <w:p>
            <w:pPr>
              <w:pStyle w:val="TableContents"/>
              <w:spacing w:before="0" w:after="0"/>
              <w:ind w:left="0" w:right="0" w:hanging="0"/>
              <w:rPr/>
            </w:pPr>
            <w:r>
              <w:rPr/>
              <w:t>​</w:t>
            </w:r>
          </w:p>
        </w:tc>
        <w:tc>
          <w:tcPr>
            <w:tcW w:w="8779" w:type="dxa"/>
            <w:tcBorders/>
            <w:shd w:fill="auto" w:val="clear"/>
            <w:vAlign w:val="center"/>
          </w:tcPr>
          <w:p>
            <w:pPr>
              <w:pStyle w:val="TableContents"/>
              <w:spacing w:before="0" w:after="0"/>
              <w:ind w:left="0" w:right="0" w:hanging="0"/>
              <w:rPr/>
            </w:pPr>
            <w:r>
              <w:rPr/>
              <w:t>​</w:t>
            </w:r>
          </w:p>
        </w:tc>
        <w:tc>
          <w:tcPr>
            <w:tcW w:w="602" w:type="dxa"/>
            <w:tcBorders/>
            <w:shd w:fill="auto" w:val="clear"/>
            <w:vAlign w:val="center"/>
          </w:tcPr>
          <w:p>
            <w:pPr>
              <w:pStyle w:val="TableContents"/>
              <w:spacing w:before="0" w:after="0"/>
              <w:ind w:left="0" w:right="0" w:hanging="0"/>
              <w:rPr/>
            </w:pPr>
            <w:r>
              <w:rPr/>
              <w:t>​</w:t>
            </w:r>
          </w:p>
        </w:tc>
      </w:tr>
      <w:tr>
        <w:trPr/>
        <w:tc>
          <w:tcPr>
            <w:tcW w:w="824" w:type="dxa"/>
            <w:tcBorders/>
            <w:shd w:fill="auto" w:val="clear"/>
            <w:vAlign w:val="center"/>
          </w:tcPr>
          <w:p>
            <w:pPr>
              <w:pStyle w:val="TableContents"/>
              <w:spacing w:before="0" w:after="0"/>
              <w:ind w:left="0" w:right="0" w:hanging="0"/>
              <w:rPr/>
            </w:pPr>
            <w:r>
              <w:rPr/>
              <w:t>​</w:t>
            </w:r>
          </w:p>
        </w:tc>
        <w:tc>
          <w:tcPr>
            <w:tcW w:w="8779" w:type="dxa"/>
            <w:tcBorders/>
            <w:shd w:fill="auto" w:val="clear"/>
            <w:vAlign w:val="center"/>
          </w:tcPr>
          <w:p>
            <w:pPr>
              <w:pStyle w:val="TableContents"/>
              <w:spacing w:before="0" w:after="0"/>
              <w:ind w:left="0" w:right="0" w:hanging="0"/>
              <w:jc w:val="center"/>
              <w:rPr/>
            </w:pPr>
            <w:r>
              <w:rPr/>
              <w:t>​</w:t>
            </w:r>
          </w:p>
        </w:tc>
        <w:tc>
          <w:tcPr>
            <w:tcW w:w="60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Page</w:t>
            </w:r>
          </w:p>
        </w:tc>
      </w:tr>
      <w:tr>
        <w:trPr/>
        <w:tc>
          <w:tcPr>
            <w:tcW w:w="824" w:type="dxa"/>
            <w:tcBorders/>
            <w:shd w:fill="auto" w:val="clear"/>
            <w:vAlign w:val="center"/>
          </w:tcPr>
          <w:p>
            <w:pPr>
              <w:pStyle w:val="TableContents"/>
              <w:spacing w:before="0" w:after="0"/>
              <w:ind w:left="0" w:right="0" w:hanging="0"/>
              <w:rPr/>
            </w:pPr>
            <w:r>
              <w:rPr/>
              <w:t>​</w:t>
            </w:r>
          </w:p>
        </w:tc>
        <w:tc>
          <w:tcPr>
            <w:tcW w:w="8779" w:type="dxa"/>
            <w:tcBorders/>
            <w:shd w:fill="auto" w:val="clear"/>
            <w:vAlign w:val="center"/>
          </w:tcPr>
          <w:p>
            <w:pPr>
              <w:pStyle w:val="TableContents"/>
              <w:spacing w:before="0" w:after="0"/>
              <w:ind w:left="0" w:right="0" w:hanging="0"/>
              <w:jc w:val="center"/>
              <w:rPr>
                <w:rFonts w:ascii="Arial;Helvetica;sans-serif" w:hAnsi="Arial;Helvetica;sans-serif"/>
                <w:b/>
                <w:sz w:val="20"/>
              </w:rPr>
            </w:pPr>
            <w:r>
              <w:rPr>
                <w:rFonts w:ascii="Arial;Helvetica;sans-serif" w:hAnsi="Arial;Helvetica;sans-serif"/>
                <w:b/>
                <w:sz w:val="20"/>
              </w:rPr>
              <w:t>Part I</w:t>
            </w:r>
          </w:p>
        </w:tc>
        <w:tc>
          <w:tcPr>
            <w:tcW w:w="602"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1.</w:t>
            </w:r>
          </w:p>
        </w:tc>
        <w:tc>
          <w:tcPr>
            <w:tcW w:w="8779" w:type="dxa"/>
            <w:tcBorders/>
            <w:shd w:fill="auto" w:val="clear"/>
            <w:vAlign w:val="center"/>
          </w:tcPr>
          <w:p>
            <w:pPr>
              <w:pStyle w:val="TableContents"/>
              <w:spacing w:before="0" w:after="0"/>
              <w:ind w:left="0" w:right="0" w:hanging="0"/>
              <w:rPr/>
            </w:pPr>
            <w:hyperlink w:anchor="Item1_Business">
              <w:r>
                <w:rPr>
                  <w:rStyle w:val="InternetLink"/>
                  <w:rFonts w:ascii="Arial;Helvetica;sans-serif" w:hAnsi="Arial;Helvetica;sans-serif"/>
                  <w:b w:val="false"/>
                  <w:i w:val="false"/>
                  <w:caps w:val="false"/>
                  <w:smallCaps w:val="false"/>
                  <w:color w:val="0000FF"/>
                  <w:sz w:val="20"/>
                  <w:u w:val="single"/>
                </w:rPr>
                <w:t>Business</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6</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1A.</w:t>
            </w:r>
          </w:p>
        </w:tc>
        <w:tc>
          <w:tcPr>
            <w:tcW w:w="8779" w:type="dxa"/>
            <w:tcBorders/>
            <w:shd w:fill="auto" w:val="clear"/>
            <w:vAlign w:val="center"/>
          </w:tcPr>
          <w:p>
            <w:pPr>
              <w:pStyle w:val="TableContents"/>
              <w:spacing w:before="0" w:after="0"/>
              <w:ind w:left="0" w:right="0" w:hanging="0"/>
              <w:rPr/>
            </w:pPr>
            <w:hyperlink w:anchor="Item1A_Risk_Factors">
              <w:r>
                <w:rPr>
                  <w:rStyle w:val="InternetLink"/>
                  <w:rFonts w:ascii="Arial;Helvetica;sans-serif" w:hAnsi="Arial;Helvetica;sans-serif"/>
                  <w:b w:val="false"/>
                  <w:i w:val="false"/>
                  <w:caps w:val="false"/>
                  <w:smallCaps w:val="false"/>
                  <w:color w:val="0000FF"/>
                  <w:sz w:val="20"/>
                  <w:u w:val="single"/>
                </w:rPr>
                <w:t>Risk Factors</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68</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1B.</w:t>
            </w:r>
          </w:p>
        </w:tc>
        <w:tc>
          <w:tcPr>
            <w:tcW w:w="8779" w:type="dxa"/>
            <w:tcBorders/>
            <w:shd w:fill="auto" w:val="clear"/>
            <w:vAlign w:val="center"/>
          </w:tcPr>
          <w:p>
            <w:pPr>
              <w:pStyle w:val="TableContents"/>
              <w:spacing w:before="0" w:after="0"/>
              <w:ind w:left="0" w:right="0" w:hanging="0"/>
              <w:rPr/>
            </w:pPr>
            <w:hyperlink w:anchor="Item1B_Unresolved_Staff_Comments">
              <w:r>
                <w:rPr>
                  <w:rStyle w:val="InternetLink"/>
                  <w:rFonts w:ascii="Arial;Helvetica;sans-serif" w:hAnsi="Arial;Helvetica;sans-serif"/>
                  <w:b w:val="false"/>
                  <w:i w:val="false"/>
                  <w:caps w:val="false"/>
                  <w:smallCaps w:val="false"/>
                  <w:color w:val="0000FF"/>
                  <w:sz w:val="20"/>
                  <w:u w:val="single"/>
                </w:rPr>
                <w:t>Unresolved Staff Comments</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149</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2.</w:t>
            </w:r>
          </w:p>
        </w:tc>
        <w:tc>
          <w:tcPr>
            <w:tcW w:w="8779" w:type="dxa"/>
            <w:tcBorders/>
            <w:shd w:fill="auto" w:val="clear"/>
            <w:vAlign w:val="center"/>
          </w:tcPr>
          <w:p>
            <w:pPr>
              <w:pStyle w:val="TableContents"/>
              <w:spacing w:before="0" w:after="0"/>
              <w:ind w:left="0" w:right="0" w:hanging="0"/>
              <w:rPr/>
            </w:pPr>
            <w:hyperlink w:anchor="Item2_Properties">
              <w:r>
                <w:rPr>
                  <w:rStyle w:val="InternetLink"/>
                  <w:rFonts w:ascii="Arial;Helvetica;sans-serif" w:hAnsi="Arial;Helvetica;sans-serif"/>
                  <w:b w:val="false"/>
                  <w:i w:val="false"/>
                  <w:caps w:val="false"/>
                  <w:smallCaps w:val="false"/>
                  <w:color w:val="0000FF"/>
                  <w:sz w:val="20"/>
                  <w:u w:val="single"/>
                </w:rPr>
                <w:t>Properties</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149</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3.</w:t>
            </w:r>
          </w:p>
        </w:tc>
        <w:tc>
          <w:tcPr>
            <w:tcW w:w="8779" w:type="dxa"/>
            <w:tcBorders/>
            <w:shd w:fill="auto" w:val="clear"/>
            <w:vAlign w:val="center"/>
          </w:tcPr>
          <w:p>
            <w:pPr>
              <w:pStyle w:val="TableContents"/>
              <w:spacing w:before="0" w:after="0"/>
              <w:ind w:left="0" w:right="0" w:hanging="0"/>
              <w:rPr/>
            </w:pPr>
            <w:hyperlink w:anchor="Item3_Legal_Proceedings">
              <w:r>
                <w:rPr>
                  <w:rStyle w:val="InternetLink"/>
                  <w:rFonts w:ascii="Arial;Helvetica;sans-serif" w:hAnsi="Arial;Helvetica;sans-serif"/>
                  <w:b w:val="false"/>
                  <w:i w:val="false"/>
                  <w:caps w:val="false"/>
                  <w:smallCaps w:val="false"/>
                  <w:color w:val="0000FF"/>
                  <w:sz w:val="20"/>
                  <w:u w:val="single"/>
                </w:rPr>
                <w:t>Legal Proceedings</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149</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4.</w:t>
            </w:r>
          </w:p>
        </w:tc>
        <w:tc>
          <w:tcPr>
            <w:tcW w:w="8779" w:type="dxa"/>
            <w:tcBorders/>
            <w:shd w:fill="auto" w:val="clear"/>
            <w:vAlign w:val="center"/>
          </w:tcPr>
          <w:p>
            <w:pPr>
              <w:pStyle w:val="TableContents"/>
              <w:spacing w:before="0" w:after="0"/>
              <w:ind w:left="0" w:right="0" w:hanging="0"/>
              <w:rPr/>
            </w:pPr>
            <w:hyperlink w:anchor="Item4_Mine_Safety_Disclosures">
              <w:r>
                <w:rPr>
                  <w:rStyle w:val="InternetLink"/>
                  <w:rFonts w:ascii="Arial;Helvetica;sans-serif" w:hAnsi="Arial;Helvetica;sans-serif"/>
                  <w:b w:val="false"/>
                  <w:i w:val="false"/>
                  <w:caps w:val="false"/>
                  <w:smallCaps w:val="false"/>
                  <w:color w:val="0000FF"/>
                  <w:sz w:val="20"/>
                  <w:u w:val="single"/>
                </w:rPr>
                <w:t>Mine Safety Disclosures</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149</w:t>
            </w:r>
          </w:p>
        </w:tc>
      </w:tr>
      <w:tr>
        <w:trPr/>
        <w:tc>
          <w:tcPr>
            <w:tcW w:w="824" w:type="dxa"/>
            <w:tcBorders/>
            <w:shd w:fill="auto" w:val="clear"/>
            <w:vAlign w:val="center"/>
          </w:tcPr>
          <w:p>
            <w:pPr>
              <w:pStyle w:val="TableContents"/>
              <w:spacing w:before="0" w:after="0"/>
              <w:ind w:left="0" w:right="0" w:hanging="0"/>
              <w:rPr/>
            </w:pPr>
            <w:r>
              <w:rPr/>
              <w:t>​</w:t>
            </w:r>
          </w:p>
        </w:tc>
        <w:tc>
          <w:tcPr>
            <w:tcW w:w="8779" w:type="dxa"/>
            <w:tcBorders/>
            <w:shd w:fill="auto" w:val="clear"/>
            <w:vAlign w:val="center"/>
          </w:tcPr>
          <w:p>
            <w:pPr>
              <w:pStyle w:val="TableContents"/>
              <w:spacing w:before="0" w:after="0"/>
              <w:ind w:left="0" w:right="0" w:hanging="0"/>
              <w:jc w:val="center"/>
              <w:rPr>
                <w:rFonts w:ascii="Arial;Helvetica;sans-serif" w:hAnsi="Arial;Helvetica;sans-serif"/>
                <w:b/>
                <w:sz w:val="20"/>
              </w:rPr>
            </w:pPr>
            <w:r>
              <w:rPr>
                <w:rFonts w:ascii="Arial;Helvetica;sans-serif" w:hAnsi="Arial;Helvetica;sans-serif"/>
                <w:b/>
                <w:sz w:val="20"/>
              </w:rPr>
              <w:t>Part II</w:t>
            </w:r>
          </w:p>
        </w:tc>
        <w:tc>
          <w:tcPr>
            <w:tcW w:w="602" w:type="dxa"/>
            <w:tcBorders/>
            <w:shd w:fill="auto" w:val="clear"/>
            <w:vAlign w:val="center"/>
          </w:tcPr>
          <w:p>
            <w:pPr>
              <w:pStyle w:val="TableContents"/>
              <w:spacing w:before="0" w:after="0"/>
              <w:ind w:left="0" w:right="0" w:hanging="0"/>
              <w:jc w:val="center"/>
              <w:rPr/>
            </w:pPr>
            <w:r>
              <w:rPr/>
              <w:t>​</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5.</w:t>
            </w:r>
          </w:p>
        </w:tc>
        <w:tc>
          <w:tcPr>
            <w:tcW w:w="8779" w:type="dxa"/>
            <w:tcBorders/>
            <w:shd w:fill="auto" w:val="clear"/>
            <w:vAlign w:val="center"/>
          </w:tcPr>
          <w:p>
            <w:pPr>
              <w:pStyle w:val="TableContents"/>
              <w:spacing w:before="0" w:after="0"/>
              <w:ind w:left="0" w:right="0" w:hanging="0"/>
              <w:rPr/>
            </w:pPr>
            <w:hyperlink w:anchor="Item5_Market_for_Registrant">
              <w:r>
                <w:rPr>
                  <w:rStyle w:val="InternetLink"/>
                  <w:rFonts w:ascii="Arial;Helvetica;sans-serif" w:hAnsi="Arial;Helvetica;sans-serif"/>
                  <w:b w:val="false"/>
                  <w:i w:val="false"/>
                  <w:caps w:val="false"/>
                  <w:smallCaps w:val="false"/>
                  <w:color w:val="0000FF"/>
                  <w:sz w:val="20"/>
                  <w:u w:val="single"/>
                </w:rPr>
                <w:t>Market for Registrant’s Common Equity, Related Stockholder Matters and Issuer Purchases of Equity Securities</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149</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6.</w:t>
            </w:r>
          </w:p>
        </w:tc>
        <w:tc>
          <w:tcPr>
            <w:tcW w:w="8779" w:type="dxa"/>
            <w:tcBorders/>
            <w:shd w:fill="auto" w:val="clear"/>
            <w:vAlign w:val="center"/>
          </w:tcPr>
          <w:p>
            <w:pPr>
              <w:pStyle w:val="TableContents"/>
              <w:spacing w:before="0" w:after="0"/>
              <w:ind w:left="0" w:right="0" w:hanging="0"/>
              <w:rPr/>
            </w:pPr>
            <w:hyperlink w:anchor="Item6_Reserved">
              <w:r>
                <w:rPr>
                  <w:rStyle w:val="InternetLink"/>
                  <w:rFonts w:ascii="Arial;Helvetica;sans-serif" w:hAnsi="Arial;Helvetica;sans-serif"/>
                  <w:b w:val="false"/>
                  <w:i w:val="false"/>
                  <w:caps w:val="false"/>
                  <w:smallCaps w:val="false"/>
                  <w:color w:val="0000FF"/>
                  <w:sz w:val="20"/>
                  <w:u w:val="single"/>
                </w:rPr>
                <w:t>[Reserved]</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158</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7.</w:t>
            </w:r>
          </w:p>
        </w:tc>
        <w:tc>
          <w:tcPr>
            <w:tcW w:w="8779" w:type="dxa"/>
            <w:tcBorders/>
            <w:shd w:fill="auto" w:val="clear"/>
            <w:vAlign w:val="center"/>
          </w:tcPr>
          <w:p>
            <w:pPr>
              <w:pStyle w:val="TableContents"/>
              <w:spacing w:before="0" w:after="0"/>
              <w:ind w:left="0" w:right="0" w:hanging="0"/>
              <w:rPr/>
            </w:pPr>
            <w:hyperlink w:anchor="Item7_MDA">
              <w:r>
                <w:rPr>
                  <w:rStyle w:val="InternetLink"/>
                  <w:rFonts w:ascii="Arial;Helvetica;sans-serif" w:hAnsi="Arial;Helvetica;sans-serif"/>
                  <w:b w:val="false"/>
                  <w:i w:val="false"/>
                  <w:caps w:val="false"/>
                  <w:smallCaps w:val="false"/>
                  <w:color w:val="0000FF"/>
                  <w:sz w:val="20"/>
                  <w:u w:val="single"/>
                </w:rPr>
                <w:t>Management’s Discussion and Analysis of Financial Condition and Results of Operations</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159</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7A.</w:t>
            </w:r>
          </w:p>
        </w:tc>
        <w:tc>
          <w:tcPr>
            <w:tcW w:w="8779" w:type="dxa"/>
            <w:tcBorders/>
            <w:shd w:fill="auto" w:val="clear"/>
            <w:vAlign w:val="center"/>
          </w:tcPr>
          <w:p>
            <w:pPr>
              <w:pStyle w:val="TableContents"/>
              <w:spacing w:before="0" w:after="0"/>
              <w:ind w:left="0" w:right="0" w:hanging="0"/>
              <w:rPr/>
            </w:pPr>
            <w:hyperlink w:anchor="Item7A_Quantitative_and_Qualitative">
              <w:r>
                <w:rPr>
                  <w:rStyle w:val="InternetLink"/>
                  <w:rFonts w:ascii="Arial;Helvetica;sans-serif" w:hAnsi="Arial;Helvetica;sans-serif"/>
                  <w:b w:val="false"/>
                  <w:i w:val="false"/>
                  <w:caps w:val="false"/>
                  <w:smallCaps w:val="false"/>
                  <w:color w:val="0000FF"/>
                  <w:sz w:val="20"/>
                  <w:u w:val="single"/>
                </w:rPr>
                <w:t>Quantitative and Qualitative Disclosures About Market Risk</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172</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8.</w:t>
            </w:r>
          </w:p>
        </w:tc>
        <w:tc>
          <w:tcPr>
            <w:tcW w:w="8779" w:type="dxa"/>
            <w:tcBorders/>
            <w:shd w:fill="auto" w:val="clear"/>
            <w:vAlign w:val="center"/>
          </w:tcPr>
          <w:p>
            <w:pPr>
              <w:pStyle w:val="TableContents"/>
              <w:spacing w:before="0" w:after="0"/>
              <w:ind w:left="0" w:right="0" w:hanging="0"/>
              <w:rPr/>
            </w:pPr>
            <w:hyperlink w:anchor="Item8_Financial_Statements">
              <w:r>
                <w:rPr>
                  <w:rStyle w:val="InternetLink"/>
                  <w:rFonts w:ascii="Arial;Helvetica;sans-serif" w:hAnsi="Arial;Helvetica;sans-serif"/>
                  <w:b w:val="false"/>
                  <w:i w:val="false"/>
                  <w:caps w:val="false"/>
                  <w:smallCaps w:val="false"/>
                  <w:color w:val="0000FF"/>
                  <w:sz w:val="20"/>
                  <w:u w:val="single"/>
                </w:rPr>
                <w:t>Financial Statements and Supplementary Data</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174</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9.</w:t>
            </w:r>
          </w:p>
        </w:tc>
        <w:tc>
          <w:tcPr>
            <w:tcW w:w="8779" w:type="dxa"/>
            <w:tcBorders/>
            <w:shd w:fill="auto" w:val="clear"/>
            <w:vAlign w:val="center"/>
          </w:tcPr>
          <w:p>
            <w:pPr>
              <w:pStyle w:val="TableContents"/>
              <w:spacing w:before="0" w:after="0"/>
              <w:ind w:left="0" w:right="0" w:hanging="0"/>
              <w:rPr/>
            </w:pPr>
            <w:hyperlink w:anchor="Item9_Changes_in_and_Disagreements">
              <w:r>
                <w:rPr>
                  <w:rStyle w:val="InternetLink"/>
                  <w:rFonts w:ascii="Arial;Helvetica;sans-serif" w:hAnsi="Arial;Helvetica;sans-serif"/>
                  <w:b w:val="false"/>
                  <w:i w:val="false"/>
                  <w:caps w:val="false"/>
                  <w:smallCaps w:val="false"/>
                  <w:color w:val="0000FF"/>
                  <w:sz w:val="20"/>
                  <w:u w:val="single"/>
                </w:rPr>
                <w:t>Changes in and Disagreements With Accountants on Accounting and Financial Disclosure</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206</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9A.</w:t>
            </w:r>
          </w:p>
        </w:tc>
        <w:tc>
          <w:tcPr>
            <w:tcW w:w="8779" w:type="dxa"/>
            <w:tcBorders/>
            <w:shd w:fill="auto" w:val="clear"/>
            <w:vAlign w:val="center"/>
          </w:tcPr>
          <w:p>
            <w:pPr>
              <w:pStyle w:val="TableContents"/>
              <w:spacing w:before="0" w:after="0"/>
              <w:ind w:left="0" w:right="0" w:hanging="0"/>
              <w:rPr/>
            </w:pPr>
            <w:hyperlink w:anchor="Item9A_Controls_and_Procedures">
              <w:r>
                <w:rPr>
                  <w:rStyle w:val="InternetLink"/>
                  <w:rFonts w:ascii="Arial;Helvetica;sans-serif" w:hAnsi="Arial;Helvetica;sans-serif"/>
                  <w:b w:val="false"/>
                  <w:i w:val="false"/>
                  <w:caps w:val="false"/>
                  <w:smallCaps w:val="false"/>
                  <w:color w:val="0000FF"/>
                  <w:sz w:val="20"/>
                  <w:u w:val="single"/>
                </w:rPr>
                <w:t>Controls and Procedures</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206</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9B.</w:t>
            </w:r>
          </w:p>
        </w:tc>
        <w:tc>
          <w:tcPr>
            <w:tcW w:w="8779" w:type="dxa"/>
            <w:tcBorders/>
            <w:shd w:fill="auto" w:val="clear"/>
            <w:vAlign w:val="center"/>
          </w:tcPr>
          <w:p>
            <w:pPr>
              <w:pStyle w:val="TableContents"/>
              <w:spacing w:before="0" w:after="0"/>
              <w:ind w:left="0" w:right="0" w:hanging="0"/>
              <w:rPr/>
            </w:pPr>
            <w:hyperlink w:anchor="Item9B_Other_Information">
              <w:r>
                <w:rPr>
                  <w:rStyle w:val="InternetLink"/>
                  <w:rFonts w:ascii="Arial;Helvetica;sans-serif" w:hAnsi="Arial;Helvetica;sans-serif"/>
                  <w:b w:val="false"/>
                  <w:i w:val="false"/>
                  <w:caps w:val="false"/>
                  <w:smallCaps w:val="false"/>
                  <w:color w:val="0000FF"/>
                  <w:sz w:val="20"/>
                  <w:u w:val="single"/>
                </w:rPr>
                <w:t>Other Information</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208</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9C.</w:t>
            </w:r>
          </w:p>
        </w:tc>
        <w:tc>
          <w:tcPr>
            <w:tcW w:w="8779" w:type="dxa"/>
            <w:tcBorders/>
            <w:shd w:fill="auto" w:val="clear"/>
            <w:vAlign w:val="center"/>
          </w:tcPr>
          <w:p>
            <w:pPr>
              <w:pStyle w:val="TableContents"/>
              <w:spacing w:before="0" w:after="0"/>
              <w:ind w:left="0" w:right="0" w:hanging="0"/>
              <w:rPr/>
            </w:pPr>
            <w:hyperlink w:anchor="Item9C_Disclosure_Regarding_Foreign">
              <w:r>
                <w:rPr>
                  <w:rStyle w:val="InternetLink"/>
                  <w:rFonts w:ascii="Arial;Helvetica;sans-serif" w:hAnsi="Arial;Helvetica;sans-serif"/>
                  <w:b w:val="false"/>
                  <w:i w:val="false"/>
                  <w:caps w:val="false"/>
                  <w:smallCaps w:val="false"/>
                  <w:color w:val="0000FF"/>
                  <w:sz w:val="20"/>
                  <w:u w:val="single"/>
                </w:rPr>
                <w:t>Disclosure Regarding Foreign Jurisdictions that Prevent Inspections</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208</w:t>
            </w:r>
          </w:p>
        </w:tc>
      </w:tr>
      <w:tr>
        <w:trPr/>
        <w:tc>
          <w:tcPr>
            <w:tcW w:w="824" w:type="dxa"/>
            <w:tcBorders/>
            <w:shd w:fill="auto" w:val="clear"/>
            <w:vAlign w:val="center"/>
          </w:tcPr>
          <w:p>
            <w:pPr>
              <w:pStyle w:val="TableContents"/>
              <w:spacing w:before="0" w:after="0"/>
              <w:ind w:left="0" w:right="0" w:hanging="0"/>
              <w:rPr/>
            </w:pPr>
            <w:r>
              <w:rPr/>
              <w:t>​</w:t>
            </w:r>
          </w:p>
        </w:tc>
        <w:tc>
          <w:tcPr>
            <w:tcW w:w="8779" w:type="dxa"/>
            <w:tcBorders/>
            <w:shd w:fill="auto" w:val="clear"/>
            <w:vAlign w:val="center"/>
          </w:tcPr>
          <w:p>
            <w:pPr>
              <w:pStyle w:val="TableContents"/>
              <w:spacing w:before="0" w:after="0"/>
              <w:ind w:left="0" w:right="0" w:hanging="0"/>
              <w:jc w:val="center"/>
              <w:rPr>
                <w:rFonts w:ascii="Arial;Helvetica;sans-serif" w:hAnsi="Arial;Helvetica;sans-serif"/>
                <w:b/>
                <w:sz w:val="20"/>
              </w:rPr>
            </w:pPr>
            <w:r>
              <w:rPr>
                <w:rFonts w:ascii="Arial;Helvetica;sans-serif" w:hAnsi="Arial;Helvetica;sans-serif"/>
                <w:b/>
                <w:sz w:val="20"/>
              </w:rPr>
              <w:t>Part III</w:t>
            </w:r>
          </w:p>
        </w:tc>
        <w:tc>
          <w:tcPr>
            <w:tcW w:w="602" w:type="dxa"/>
            <w:tcBorders/>
            <w:shd w:fill="auto" w:val="clear"/>
            <w:vAlign w:val="center"/>
          </w:tcPr>
          <w:p>
            <w:pPr>
              <w:pStyle w:val="TableContents"/>
              <w:spacing w:before="0" w:after="0"/>
              <w:ind w:left="0" w:right="0" w:hanging="0"/>
              <w:jc w:val="center"/>
              <w:rPr/>
            </w:pPr>
            <w:r>
              <w:rPr/>
              <w:t>​</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10.</w:t>
            </w:r>
          </w:p>
        </w:tc>
        <w:tc>
          <w:tcPr>
            <w:tcW w:w="8779" w:type="dxa"/>
            <w:tcBorders/>
            <w:shd w:fill="auto" w:val="clear"/>
            <w:vAlign w:val="center"/>
          </w:tcPr>
          <w:p>
            <w:pPr>
              <w:pStyle w:val="TableContents"/>
              <w:spacing w:before="0" w:after="0"/>
              <w:ind w:left="0" w:right="0" w:hanging="0"/>
              <w:rPr/>
            </w:pPr>
            <w:hyperlink w:anchor="Item10_Directors_Executive_Officers">
              <w:r>
                <w:rPr>
                  <w:rStyle w:val="InternetLink"/>
                  <w:rFonts w:ascii="Arial;Helvetica;sans-serif" w:hAnsi="Arial;Helvetica;sans-serif"/>
                  <w:b w:val="false"/>
                  <w:i w:val="false"/>
                  <w:caps w:val="false"/>
                  <w:smallCaps w:val="false"/>
                  <w:color w:val="0000FF"/>
                  <w:sz w:val="20"/>
                  <w:u w:val="single"/>
                </w:rPr>
                <w:t>Directors, Executive Officers and Corporate Governance</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208</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11.</w:t>
            </w:r>
          </w:p>
        </w:tc>
        <w:tc>
          <w:tcPr>
            <w:tcW w:w="8779" w:type="dxa"/>
            <w:tcBorders/>
            <w:shd w:fill="auto" w:val="clear"/>
            <w:vAlign w:val="center"/>
          </w:tcPr>
          <w:p>
            <w:pPr>
              <w:pStyle w:val="TableContents"/>
              <w:spacing w:before="0" w:after="0"/>
              <w:ind w:left="0" w:right="0" w:hanging="0"/>
              <w:rPr/>
            </w:pPr>
            <w:hyperlink w:anchor="Item11_Executive_Compensation">
              <w:r>
                <w:rPr>
                  <w:rStyle w:val="InternetLink"/>
                  <w:rFonts w:ascii="Arial;Helvetica;sans-serif" w:hAnsi="Arial;Helvetica;sans-serif"/>
                  <w:b w:val="false"/>
                  <w:i w:val="false"/>
                  <w:caps w:val="false"/>
                  <w:smallCaps w:val="false"/>
                  <w:color w:val="0000FF"/>
                  <w:sz w:val="20"/>
                  <w:u w:val="single"/>
                </w:rPr>
                <w:t>Executive Compensation</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215</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12.</w:t>
            </w:r>
          </w:p>
        </w:tc>
        <w:tc>
          <w:tcPr>
            <w:tcW w:w="8779" w:type="dxa"/>
            <w:tcBorders/>
            <w:shd w:fill="auto" w:val="clear"/>
            <w:vAlign w:val="center"/>
          </w:tcPr>
          <w:p>
            <w:pPr>
              <w:pStyle w:val="TableContents"/>
              <w:spacing w:before="0" w:after="0"/>
              <w:ind w:left="0" w:right="0" w:hanging="0"/>
              <w:rPr/>
            </w:pPr>
            <w:hyperlink w:anchor="Item12_Security_Ownership_of_Certain">
              <w:r>
                <w:rPr>
                  <w:rStyle w:val="InternetLink"/>
                  <w:rFonts w:ascii="Arial;Helvetica;sans-serif" w:hAnsi="Arial;Helvetica;sans-serif"/>
                  <w:b w:val="false"/>
                  <w:i w:val="false"/>
                  <w:caps w:val="false"/>
                  <w:smallCaps w:val="false"/>
                  <w:color w:val="0000FF"/>
                  <w:sz w:val="20"/>
                  <w:u w:val="single"/>
                </w:rPr>
                <w:t>Security Ownership of Certain Beneficial Owners and Management and Related Stockholder Matters</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223</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13.</w:t>
            </w:r>
          </w:p>
        </w:tc>
        <w:tc>
          <w:tcPr>
            <w:tcW w:w="8779" w:type="dxa"/>
            <w:tcBorders/>
            <w:shd w:fill="auto" w:val="clear"/>
            <w:vAlign w:val="center"/>
          </w:tcPr>
          <w:p>
            <w:pPr>
              <w:pStyle w:val="TableContents"/>
              <w:spacing w:before="0" w:after="0"/>
              <w:ind w:left="0" w:right="0" w:hanging="0"/>
              <w:rPr/>
            </w:pPr>
            <w:hyperlink w:anchor="Item13_Certain_Relationships">
              <w:r>
                <w:rPr>
                  <w:rStyle w:val="InternetLink"/>
                  <w:rFonts w:ascii="Arial;Helvetica;sans-serif" w:hAnsi="Arial;Helvetica;sans-serif"/>
                  <w:b w:val="false"/>
                  <w:i w:val="false"/>
                  <w:caps w:val="false"/>
                  <w:smallCaps w:val="false"/>
                  <w:color w:val="0000FF"/>
                  <w:sz w:val="20"/>
                  <w:u w:val="single"/>
                </w:rPr>
                <w:t>Certain Relationships and Related Transactions, and Director Independence</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226</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14.</w:t>
            </w:r>
          </w:p>
        </w:tc>
        <w:tc>
          <w:tcPr>
            <w:tcW w:w="8779" w:type="dxa"/>
            <w:tcBorders/>
            <w:shd w:fill="auto" w:val="clear"/>
            <w:vAlign w:val="center"/>
          </w:tcPr>
          <w:p>
            <w:pPr>
              <w:pStyle w:val="TableContents"/>
              <w:spacing w:before="0" w:after="0"/>
              <w:ind w:left="0" w:right="0" w:hanging="0"/>
              <w:rPr/>
            </w:pPr>
            <w:hyperlink w:anchor="Item14_Principal_Accounting_Fees">
              <w:r>
                <w:rPr>
                  <w:rStyle w:val="InternetLink"/>
                  <w:rFonts w:ascii="Arial;Helvetica;sans-serif" w:hAnsi="Arial;Helvetica;sans-serif"/>
                  <w:b w:val="false"/>
                  <w:i w:val="false"/>
                  <w:caps w:val="false"/>
                  <w:smallCaps w:val="false"/>
                  <w:color w:val="0000FF"/>
                  <w:sz w:val="20"/>
                  <w:u w:val="single"/>
                </w:rPr>
                <w:t>Principal Accounting Fees and Services</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231</w:t>
            </w:r>
          </w:p>
        </w:tc>
      </w:tr>
      <w:tr>
        <w:trPr/>
        <w:tc>
          <w:tcPr>
            <w:tcW w:w="824" w:type="dxa"/>
            <w:tcBorders/>
            <w:shd w:fill="auto" w:val="clear"/>
            <w:vAlign w:val="center"/>
          </w:tcPr>
          <w:p>
            <w:pPr>
              <w:pStyle w:val="TableContents"/>
              <w:spacing w:before="0" w:after="0"/>
              <w:ind w:left="0" w:right="0" w:hanging="0"/>
              <w:rPr/>
            </w:pPr>
            <w:r>
              <w:rPr/>
              <w:t>​</w:t>
            </w:r>
          </w:p>
        </w:tc>
        <w:tc>
          <w:tcPr>
            <w:tcW w:w="8779" w:type="dxa"/>
            <w:tcBorders/>
            <w:shd w:fill="auto" w:val="clear"/>
            <w:vAlign w:val="center"/>
          </w:tcPr>
          <w:p>
            <w:pPr>
              <w:pStyle w:val="TableContents"/>
              <w:spacing w:before="0" w:after="0"/>
              <w:ind w:left="0" w:right="0" w:hanging="0"/>
              <w:jc w:val="center"/>
              <w:rPr>
                <w:rFonts w:ascii="Arial;Helvetica;sans-serif" w:hAnsi="Arial;Helvetica;sans-serif"/>
                <w:b/>
                <w:sz w:val="20"/>
              </w:rPr>
            </w:pPr>
            <w:r>
              <w:rPr>
                <w:rFonts w:ascii="Arial;Helvetica;sans-serif" w:hAnsi="Arial;Helvetica;sans-serif"/>
                <w:b/>
                <w:sz w:val="20"/>
              </w:rPr>
              <w:t>Part IV</w:t>
            </w:r>
          </w:p>
        </w:tc>
        <w:tc>
          <w:tcPr>
            <w:tcW w:w="602" w:type="dxa"/>
            <w:tcBorders/>
            <w:shd w:fill="auto" w:val="clear"/>
            <w:vAlign w:val="center"/>
          </w:tcPr>
          <w:p>
            <w:pPr>
              <w:pStyle w:val="TableContents"/>
              <w:spacing w:before="0" w:after="0"/>
              <w:ind w:left="0" w:right="0" w:hanging="0"/>
              <w:jc w:val="center"/>
              <w:rPr/>
            </w:pPr>
            <w:r>
              <w:rPr/>
              <w:t>​</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15.</w:t>
            </w:r>
          </w:p>
        </w:tc>
        <w:tc>
          <w:tcPr>
            <w:tcW w:w="8779" w:type="dxa"/>
            <w:tcBorders/>
            <w:shd w:fill="auto" w:val="clear"/>
            <w:vAlign w:val="center"/>
          </w:tcPr>
          <w:p>
            <w:pPr>
              <w:pStyle w:val="TableContents"/>
              <w:spacing w:before="0" w:after="0"/>
              <w:ind w:left="0" w:right="0" w:hanging="0"/>
              <w:rPr/>
            </w:pPr>
            <w:hyperlink w:anchor="Item15_Exhibits">
              <w:r>
                <w:rPr>
                  <w:rStyle w:val="InternetLink"/>
                  <w:rFonts w:ascii="Arial;Helvetica;sans-serif" w:hAnsi="Arial;Helvetica;sans-serif"/>
                  <w:b w:val="false"/>
                  <w:i w:val="false"/>
                  <w:caps w:val="false"/>
                  <w:smallCaps w:val="false"/>
                  <w:color w:val="0000FF"/>
                  <w:sz w:val="20"/>
                  <w:u w:val="single"/>
                </w:rPr>
                <w:t>Exhibits, Financial Statement Schedules</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231</w:t>
            </w:r>
          </w:p>
        </w:tc>
      </w:tr>
      <w:tr>
        <w:trPr/>
        <w:tc>
          <w:tcPr>
            <w:tcW w:w="82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Item 16.</w:t>
            </w:r>
          </w:p>
        </w:tc>
        <w:tc>
          <w:tcPr>
            <w:tcW w:w="8779" w:type="dxa"/>
            <w:tcBorders/>
            <w:shd w:fill="auto" w:val="clear"/>
            <w:vAlign w:val="center"/>
          </w:tcPr>
          <w:p>
            <w:pPr>
              <w:pStyle w:val="TableContents"/>
              <w:spacing w:before="0" w:after="0"/>
              <w:ind w:left="0" w:right="0" w:hanging="0"/>
              <w:rPr/>
            </w:pPr>
            <w:hyperlink w:anchor="Item16_Form_10K_Summary">
              <w:r>
                <w:rPr>
                  <w:rStyle w:val="InternetLink"/>
                  <w:rFonts w:ascii="Arial;Helvetica;sans-serif" w:hAnsi="Arial;Helvetica;sans-serif"/>
                  <w:b w:val="false"/>
                  <w:i w:val="false"/>
                  <w:caps w:val="false"/>
                  <w:smallCaps w:val="false"/>
                  <w:color w:val="0000FF"/>
                  <w:sz w:val="20"/>
                  <w:u w:val="single"/>
                </w:rPr>
                <w:t>Form 10–K Summary</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236</w:t>
            </w:r>
          </w:p>
        </w:tc>
      </w:tr>
      <w:tr>
        <w:trPr/>
        <w:tc>
          <w:tcPr>
            <w:tcW w:w="824" w:type="dxa"/>
            <w:tcBorders/>
            <w:shd w:fill="auto" w:val="clear"/>
            <w:vAlign w:val="center"/>
          </w:tcPr>
          <w:p>
            <w:pPr>
              <w:pStyle w:val="TableContents"/>
              <w:spacing w:before="0" w:after="0"/>
              <w:ind w:left="0" w:right="0" w:hanging="0"/>
              <w:rPr/>
            </w:pPr>
            <w:r>
              <w:rPr/>
              <w:t>​</w:t>
            </w:r>
          </w:p>
        </w:tc>
        <w:tc>
          <w:tcPr>
            <w:tcW w:w="8779" w:type="dxa"/>
            <w:tcBorders/>
            <w:shd w:fill="auto" w:val="clear"/>
            <w:vAlign w:val="center"/>
          </w:tcPr>
          <w:p>
            <w:pPr>
              <w:pStyle w:val="TableContents"/>
              <w:spacing w:before="0" w:after="0"/>
              <w:ind w:left="0" w:right="0" w:hanging="0"/>
              <w:rPr/>
            </w:pPr>
            <w:hyperlink w:anchor="Signatures">
              <w:r>
                <w:rPr>
                  <w:rStyle w:val="InternetLink"/>
                  <w:rFonts w:ascii="Arial;Helvetica;sans-serif" w:hAnsi="Arial;Helvetica;sans-serif"/>
                  <w:b w:val="false"/>
                  <w:i w:val="false"/>
                  <w:caps w:val="false"/>
                  <w:smallCaps w:val="false"/>
                  <w:color w:val="0000FF"/>
                  <w:sz w:val="20"/>
                  <w:u w:val="single"/>
                </w:rPr>
                <w:t>Signatures</w:t>
              </w:r>
            </w:hyperlink>
          </w:p>
        </w:tc>
        <w:tc>
          <w:tcPr>
            <w:tcW w:w="602" w:type="dxa"/>
            <w:tcBorders/>
            <w:shd w:fill="auto" w:val="clear"/>
            <w:vAlign w:val="center"/>
          </w:tcPr>
          <w:p>
            <w:pPr>
              <w:pStyle w:val="TableContents"/>
              <w:spacing w:before="0" w:after="0"/>
              <w:ind w:left="0" w:right="0" w:hanging="0"/>
              <w:jc w:val="center"/>
              <w:rPr>
                <w:rFonts w:ascii="Arial;Helvetica;sans-serif" w:hAnsi="Arial;Helvetica;sans-serif"/>
                <w:sz w:val="20"/>
              </w:rPr>
            </w:pPr>
            <w:r>
              <w:rPr>
                <w:rFonts w:ascii="Arial;Helvetica;sans-serif" w:hAnsi="Arial;Helvetica;sans-serif"/>
                <w:sz w:val="20"/>
              </w:rPr>
              <w:t>236</w:t>
            </w:r>
          </w:p>
        </w:tc>
      </w:tr>
    </w:tbl>
    <w:p>
      <w:pPr>
        <w:pStyle w:val="TextBody"/>
        <w:spacing w:before="0" w:after="240"/>
        <w:ind w:left="0" w:right="0" w:hanging="0"/>
        <w:rPr/>
      </w:pPr>
      <w:r>
        <w:rPr/>
        <w:t>​</w:t>
      </w:r>
    </w:p>
    <w:p>
      <w:pPr>
        <w:pStyle w:val="TextBody"/>
        <w:spacing w:before="0" w:after="0"/>
        <w:ind w:left="0" w:right="0" w:hanging="0"/>
        <w:rPr/>
      </w:pPr>
      <w:r>
        <w:rPr/>
        <w:t>​</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CAUTIONARY NOTE REGARDING FORWARD-LOOKING STATEMENTS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This Annual Report on Form 10-K (“Annual Report”), contains forward-looking statements. All statements other than statements of historical facts contained in this Annual Report are forward-looking statements. In some cases, you can identify forward-looking statements by terms such as “may,” "can," “will,” “would,”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facts contained in this Annual Report, including without limitation statements regarding:</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progress and results of preclinical studies and clinical trials for our product candidates, including our product development plans and strategies;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scope and likelihood of regulatory filings and approvals, including final regulatory approval of our product candidates;</w:t>
            </w:r>
          </w:p>
        </w:tc>
      </w:tr>
    </w:tbl>
    <w:tbl>
      <w:tblPr>
        <w:tblW w:w="8508" w:type="dxa"/>
        <w:jc w:val="left"/>
        <w:tblInd w:w="0" w:type="dxa"/>
        <w:tblCellMar>
          <w:top w:w="0" w:type="dxa"/>
          <w:left w:w="0" w:type="dxa"/>
          <w:bottom w:w="0" w:type="dxa"/>
          <w:right w:w="0" w:type="dxa"/>
        </w:tblCellMar>
      </w:tblPr>
      <w:tblGrid>
        <w:gridCol w:w="23"/>
        <w:gridCol w:w="170"/>
        <w:gridCol w:w="83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31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potential benefits and market opportunity for our product candidates and discovery platform;</w:t>
            </w:r>
          </w:p>
        </w:tc>
      </w:tr>
    </w:tbl>
    <w:tbl>
      <w:tblPr>
        <w:tblW w:w="6003" w:type="dxa"/>
        <w:jc w:val="left"/>
        <w:tblInd w:w="0" w:type="dxa"/>
        <w:tblCellMar>
          <w:top w:w="0" w:type="dxa"/>
          <w:left w:w="0" w:type="dxa"/>
          <w:bottom w:w="0" w:type="dxa"/>
          <w:right w:w="0" w:type="dxa"/>
        </w:tblCellMar>
      </w:tblPr>
      <w:tblGrid>
        <w:gridCol w:w="23"/>
        <w:gridCol w:w="170"/>
        <w:gridCol w:w="58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81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expectations regarding the size, scope and design of clinical trials;</w:t>
            </w:r>
          </w:p>
        </w:tc>
      </w:tr>
    </w:tbl>
    <w:tbl>
      <w:tblPr>
        <w:tblW w:w="9963" w:type="dxa"/>
        <w:jc w:val="left"/>
        <w:tblInd w:w="0" w:type="dxa"/>
        <w:tblCellMar>
          <w:top w:w="0" w:type="dxa"/>
          <w:left w:w="0" w:type="dxa"/>
          <w:bottom w:w="0" w:type="dxa"/>
          <w:right w:w="0" w:type="dxa"/>
        </w:tblCellMar>
      </w:tblPr>
      <w:tblGrid>
        <w:gridCol w:w="23"/>
        <w:gridCol w:w="170"/>
        <w:gridCol w:w="97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77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plans and strategy with respect to our drug discovery efforts and potential benefits of our discovery platform;</w:t>
            </w:r>
          </w:p>
        </w:tc>
      </w:tr>
    </w:tbl>
    <w:tbl>
      <w:tblPr>
        <w:tblW w:w="6693" w:type="dxa"/>
        <w:jc w:val="left"/>
        <w:tblInd w:w="0" w:type="dxa"/>
        <w:tblCellMar>
          <w:top w:w="0" w:type="dxa"/>
          <w:left w:w="0" w:type="dxa"/>
          <w:bottom w:w="0" w:type="dxa"/>
          <w:right w:w="0" w:type="dxa"/>
        </w:tblCellMar>
      </w:tblPr>
      <w:tblGrid>
        <w:gridCol w:w="23"/>
        <w:gridCol w:w="170"/>
        <w:gridCol w:w="650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50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manufacturing, commercialization, and marketing plans and strategies;</w:t>
            </w:r>
          </w:p>
        </w:tc>
      </w:tr>
    </w:tbl>
    <w:tbl>
      <w:tblPr>
        <w:tblW w:w="7863" w:type="dxa"/>
        <w:jc w:val="left"/>
        <w:tblInd w:w="0" w:type="dxa"/>
        <w:tblCellMar>
          <w:top w:w="0" w:type="dxa"/>
          <w:left w:w="0" w:type="dxa"/>
          <w:bottom w:w="0" w:type="dxa"/>
          <w:right w:w="0" w:type="dxa"/>
        </w:tblCellMar>
      </w:tblPr>
      <w:tblGrid>
        <w:gridCol w:w="23"/>
        <w:gridCol w:w="170"/>
        <w:gridCol w:w="76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67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plans to hire additional personnel and our ability to attract and retain such personnel;</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estimates of the number of patients who suffer from the diseases we are targeting and potential growth in our target markets;</w:t>
            </w:r>
          </w:p>
        </w:tc>
      </w:tr>
    </w:tbl>
    <w:tbl>
      <w:tblPr>
        <w:tblW w:w="6708" w:type="dxa"/>
        <w:jc w:val="left"/>
        <w:tblInd w:w="0" w:type="dxa"/>
        <w:tblCellMar>
          <w:top w:w="0" w:type="dxa"/>
          <w:left w:w="0" w:type="dxa"/>
          <w:bottom w:w="0" w:type="dxa"/>
          <w:right w:w="0" w:type="dxa"/>
        </w:tblCellMar>
      </w:tblPr>
      <w:tblGrid>
        <w:gridCol w:w="23"/>
        <w:gridCol w:w="170"/>
        <w:gridCol w:w="65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51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expectations regarding the approval and use of our product candidates;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competitive position and the development and impact of competing therapies that are or may become available;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expectations regarding future events under collaboration and licensing agreements, including potential future payments, as well as our plans and strategies for entering into further collaboration and licensing agreements;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intellectual property position, including the scope of protection we are able to establish and maintain for intellectual property rights covering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tc>
      </w:tr>
    </w:tbl>
    <w:tbl>
      <w:tblPr>
        <w:tblW w:w="8868" w:type="dxa"/>
        <w:jc w:val="left"/>
        <w:tblInd w:w="0" w:type="dxa"/>
        <w:tblCellMar>
          <w:top w:w="0" w:type="dxa"/>
          <w:left w:w="0" w:type="dxa"/>
          <w:bottom w:w="0" w:type="dxa"/>
          <w:right w:w="0" w:type="dxa"/>
        </w:tblCellMar>
      </w:tblPr>
      <w:tblGrid>
        <w:gridCol w:w="23"/>
        <w:gridCol w:w="170"/>
        <w:gridCol w:w="86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67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rate and degree of market acceptance and clinical utility of product candidates we may develop;</w:t>
            </w:r>
          </w:p>
        </w:tc>
      </w:tr>
    </w:tbl>
    <w:tbl>
      <w:tblPr>
        <w:tblW w:w="9423" w:type="dxa"/>
        <w:jc w:val="left"/>
        <w:tblInd w:w="0" w:type="dxa"/>
        <w:tblCellMar>
          <w:top w:w="0" w:type="dxa"/>
          <w:left w:w="0" w:type="dxa"/>
          <w:bottom w:w="0" w:type="dxa"/>
          <w:right w:w="0" w:type="dxa"/>
        </w:tblCellMar>
      </w:tblPr>
      <w:tblGrid>
        <w:gridCol w:w="23"/>
        <w:gridCol w:w="170"/>
        <w:gridCol w:w="92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23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estimates regarding expenses, future revenue, capital requirements and needs for additional financing;</w:t>
            </w:r>
          </w:p>
        </w:tc>
      </w:tr>
    </w:tbl>
    <w:tbl>
      <w:tblPr>
        <w:tblW w:w="3018" w:type="dxa"/>
        <w:jc w:val="left"/>
        <w:tblInd w:w="0" w:type="dxa"/>
        <w:tblCellMar>
          <w:top w:w="0" w:type="dxa"/>
          <w:left w:w="0" w:type="dxa"/>
          <w:bottom w:w="0" w:type="dxa"/>
          <w:right w:w="0" w:type="dxa"/>
        </w:tblCellMar>
      </w:tblPr>
      <w:tblGrid>
        <w:gridCol w:w="23"/>
        <w:gridCol w:w="170"/>
        <w:gridCol w:w="282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82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future financial performance;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period over which we estimate our existing cash, cash equivalents and short-term investments will be sufficient to fund our future operating expenses and capital expenditure requirements;</w:t>
            </w:r>
          </w:p>
        </w:tc>
      </w:tr>
    </w:tbl>
    <w:tbl>
      <w:tblPr>
        <w:tblW w:w="3618" w:type="dxa"/>
        <w:jc w:val="left"/>
        <w:tblInd w:w="0" w:type="dxa"/>
        <w:tblCellMar>
          <w:top w:w="0" w:type="dxa"/>
          <w:left w:w="0" w:type="dxa"/>
          <w:bottom w:w="0" w:type="dxa"/>
          <w:right w:w="0" w:type="dxa"/>
        </w:tblCellMar>
      </w:tblPr>
      <w:tblGrid>
        <w:gridCol w:w="23"/>
        <w:gridCol w:w="170"/>
        <w:gridCol w:w="342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42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laws and regulations; and</w:t>
            </w:r>
          </w:p>
        </w:tc>
      </w:tr>
    </w:tbl>
    <w:tbl>
      <w:tblPr>
        <w:tblW w:w="7293" w:type="dxa"/>
        <w:jc w:val="left"/>
        <w:tblInd w:w="0" w:type="dxa"/>
        <w:tblCellMar>
          <w:top w:w="0" w:type="dxa"/>
          <w:left w:w="0" w:type="dxa"/>
          <w:bottom w:w="0" w:type="dxa"/>
          <w:right w:w="0" w:type="dxa"/>
        </w:tblCellMar>
      </w:tblPr>
      <w:tblGrid>
        <w:gridCol w:w="23"/>
        <w:gridCol w:w="170"/>
        <w:gridCol w:w="710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10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ongoing impact of the COVID-19 pandemic and other macroeconomic factors.</w:t>
            </w:r>
          </w:p>
        </w:tc>
      </w:tr>
    </w:tbl>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 forward-looking statements in this Annual Report are only predictions and are based largely on our current expectations and projections about future events and trends that we believe may affect our financial condition, results of operations, business strategy, short-term and long-term business operations and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objectives, and financial needs. These forward-looking statements speak only as of the date of this Annual Report and are subject to a number of known and unknown risks, uncertainties, and assumptions, including those described under Part I. Item 1A. “Risk Factors” and Part II. Item 7. “Management’s Discussion and Analysis of Financial Condition and Results of Operations” and elsewhere in this Annual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may not occur and actual results could differ materially and adversely from those anticipated or implied in the forward-looking statements.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The forward-looking statements made in this Annual report relate only to events or information as of the date on which the statements are made in this Annual Report. Except as required by applicable law, we do not plan to publicly update or revise any forward-looking statements contained herein, whether as a result of any new information, future events, changed circumstances or otherwise. We intend the forward-looking statements contained in this Annual Report to be covered by the safe harbor provisions for forward-looking statements contained in Section 27A of the Securities Act of 1933, as amended (the “Securities Act”), and Section 21E of the Securities Exchange Act of 1934, as amended (the “Exchange Act”).</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SUMMARY RISK FACTORS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Our business is subject to numerous risks and uncertainties, including those described in Part I. Item 1A. “Risk Factors” in this Annual Report. You should carefully consider these risks and uncertainties when investing in our American Depositary Shares (“ADSs”). The principal risks and uncertainties affecting our business include the following: </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 limited operating history and have incurred significant operating losses since our inception and expect to incur significant losses for the foreseeable future.</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will require substantial additional capital to finance our operations, which may not be available on acceptable terms, or at all. Failure to obtain this necessary capital when needed may force us to delay, limit or terminate certain of our product development programs, commercialization efforts or other operations.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approach to the discovery of product candidates based on our technology platform is unproven, and we do not know whether we will be able to develop any products of commercial value.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are early in our development efforts and only have two product candidates, GSBR-1290 and ANPA-0073, in early clinical development. All of our other development programs are in the preclinical or discovery stage. If we are unable to advance our product candidates in clinical development, obtain regulatory approval and ultimately commercialize our product candidates, or experience significant delays in doing so, our business will be materially harmed.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Clinical and preclinical drug development involves a lengthy and expensive process with uncertain timelines and outcomes. The results of prior clinical trials and preclinical studies are not necessarily predictive of future results, and may not be favorable, or receive regulatory approval on a timely basis, if at all. </w:t>
            </w:r>
          </w:p>
        </w:tc>
      </w:tr>
    </w:tbl>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Any difficulties or delays in the commencement or completion, or termination or suspension, of our planned clinical trials could result in increased costs to us, delay or limit our ability to generate revenue and adversely affect our commercial prospects.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any of which would limit the commercial potential of such product candidate.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As an organization, we have never conducted later-stage clinical trials or submitted a New Drug Application (“NDA”), and may be unable to do so for any of our product candidates.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marketing approval processes of the U.S. Food and Drug Administration (“FDA”) and applicable foreign authorities are lengthy, time consuming, expensive and inherently unpredictable, and if we are ultimately unable to obtain marketing approval for our product candidates, our business will be substantially harmed.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have conducted, or plan to conduct, our initial clinical studies for GSBR-1290, ANPA-0073, LTSE-2578, and our other product candidates outside of the United States. However, the FDA and other foreign equivalents may not accept data from such trials, in which case our development plans will be delayed, which could materially harm our business.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rely on third parties for the manufacture of our product candidates for preclinical and clinical development and expect to continue to do so for the foreseeable future. This reliance on third parties increases the risk that we will not have sufficient quantities of our product candidates or products or such quantities at an acceptable cost, which could delay, prevent or impair our development or commercialization efforts.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intend to rely on third parties to conduct, supervise and monitor our discovery research, preclinical studies and clinical trials. If those third parties do not satisfactorily carry out their contractual duties or fail to meet expected deadlines, our development programs may be delayed or subject to increased costs, each of which may have an adverse effect on our business and prospects.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have entered into, and may in the future enter into, collaboration agreements and strategic alliances to maximize the potential of our structure-based drug discovery platform and product candidates, and we may not realize the anticipated benefits of such collaborations or alliances. We expect to continue to form collaborations in the future with respect to our product candidates, but may be unable to do so or to realize the potential benefits of such transactions, which may cause us to alter or delay our development and commercialization plans.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existing discovery collaboration with Schrödinger, Inc. (“Schrödinger”) is important to our business. If we are unable to maintain this collaboration, or if this collaboration is not successful, our business could be adversely affected.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face substantial competition, which may result in others discovering, developing or commercializing products before or more successfully than us.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currently have no marketing and sales organization and have no experience as a company in commercializing products, and we may invest significant resources to develop these capabilities. If </w:t>
            </w:r>
          </w:p>
        </w:tc>
      </w:tr>
    </w:tbl>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23"/>
        <w:gridCol w:w="10159"/>
      </w:tblGrid>
      <w:tr>
        <w:trPr/>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159"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are unable to establish marketing and sales capabilities or enter into agreements with third parties to market and sell our products, we may not be able to generate product revenue.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business and the business or operations of third parties with whom we conduct business has been and could continue to be adversely affected by the effects of health epidemics, including the COVID-19 pandemic, in regions where we or third parties on which we rely have business operations.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conduct certain research and development operations through our Australian wholly-owned subsidiaries. If we lose our ability to operate in Australia, or if any of our subsidiaries are unable to receive the research and development tax credit allowed by Australian regulations, our business and results of operations could suffer.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the political and economic policies of the Chinese government or in relations between China and the United States may affect our business, financial condition, results of operations and the market price of our ADSs.</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If we are unable to obtain and maintain sufficient intellectual property protection for our platform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rely on one or more in-licenses from third parties. If we lose these rights, our business may be materially adversely affected, and if disputes arise with one or more licensors, we may be subjected to future litigation as well as the potential loss of or limitations on our ability to develop and commercialize products and technologies covered by these license agreements.</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PART I</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Item 1. Business.</w:t>
      </w:r>
      <w:bookmarkStart w:id="3" w:name="Item1_Business"/>
      <w:bookmarkEnd w:id="3"/>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Overview</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a clinical stage global biopharmaceutical company aiming to develop and deliver novel oral therapeutics to treat a wide range of chronic diseases with unmet medical needs. Our differentiated technology platform leverages structure-based drug discovery and computational chemistry expertise and enables us to develop oral small molecule therapeutics for the treatment of various diseases including those impacting the metabolic, cardiovascular, and pulmonary systems. In February 2023, we completed our Initial Public Offering (“IPO”) for net proceeds of $166.7 million, after deducting the underwriting discounts and commissions and estimated offering expenses payable by us.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Our initial focus is on G-protein-coupled receptors (“GPCRs”) as a therapeutic target class. GPCRs regulate numerous diverse physiological and pathological processes, and approximately one in every three marketed medicines targets GPCR-associated pathways. By leveraging our world-class GPCR know-how, we aim to design differentiated small molecule therapies to overcome the limitations of biologics and peptide therapies targeting this family of receptors. We are developing GSBR-1290, our oral small molecule product candidate targeting the validated glucagon-like-peptide-1 receptor (“GLP-1R”) for the treatment of type-2 diabetes mellitus (“T2DM”) and obesity. We completed our Phase 1 single ascending dose (“SAD”) study of GSBR-1290 in September 2022. GSBR-1290 was generally well tolerated and demonstrated dose-dependent pharmacokinetics (“PK”) and pharmacological (“PD”) activity. We submitted an Investigational New Drug application (“IND”) to the United States Food and Drug Administration (“FDA”) to support initiation of a Phase 1b study in T2DM and obesity and received FDA allowance in September 2022. We initiated the Phase 1b multiple ascending dose (“MAD”) study in January 2023 and completed dosing in healthy overweight subjects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March 2023. We plan to submit a protocol amendment to the FDA to transition to a Phase 2a proof-of-concept study in T2DM and obesity with the expected initiation in the second half of 2023. We expect to report topline data for the Phase 1b study and Phase 2a study in the second half of 2023. Beyond GSBR-1290, we are developing next generation GLP-1R candidates, including dual GLP-1R/GIPR agonists, each designed with customized properties to achieve additional benefit. In September 2022, we completed a Phase 1 SAD and MAD study evaluating ANPA-0073, our small molecule product candidate targeting the apelin receptor (“APJR”) in which it was generally well tolerated in healthy human volunteers. ANPA-0073 is in development for the treatment of patients with idiopathic pulmonary fibrosis (“IPF”) and pulmonary arterial hypertension (“PAH”). We expect to conduct additional preclinical studies to be followed by a Phase 1 formulation bridging PK study in Australia. Moreover, we are advancing a differentiated lysophosphatidic acid 1 receptor (“LPA1R”) antagonist for the treatment of IPF. We selected a development candidate in January 2023 and expect to initiate a first-in-human study in 2024.</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 number of GPCR properties contribute to its importance as a drug target class, including interaction with a diverse set of signaling molecules, involvement in a vast array of physiological and pathological processes, and cell surface expression that enables extracellular drug binding. As such, GPCRs have emerged as the largest family of targets for approved drugs, have provided significant benefit to patients and have achieved blockbuster sales in a number of therapeutic indications, including diabetes (Victoza), bipolar disorders (Abilify, Seroquel), asthma (Singulair), hypertension (Diovan, Lopressor), and cardiovascular disease (Plavix). Despite this success, there remain a number of challenges to continued innovation in this target class, including (i) low expression levels on cell surfaces, (ii) the complexity of the multi-subunit peptide GPCR receptor, (iii) difficulties in obtaining relevant crystal structures as a basis for drug design, and (iv) non-specific signaling through multiple intracellular signaling pathways, a concept known as non-biased signaling, which can limit activity and increase side effects. We have developed a platform designed to address these key challenges, enabling us to discover small molecule drugs to effectively target GPCRs. Further, our platform has been designed to develop novel drugs against other targets where traditional drug discovery methods have not been adequate.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next generation structure-based drug discovery platform is based on techniques that our founders have evolved for over 25 years, which enables us to generate small molecule product candidates designed to overcome the historical limitations of GPCR drug development. As shown below, we believe our insights and capability to visualize the three-dimensional protein structures of the target and the ligands combined with the computational chemistry capabilities of our co-founder and strategic partner, Schrödinger, give us significant competitive advantages in highly efficient and rational drug design. We design our novel compounds by combining our knowledge of GPCR structures together with advanced physics-based computational methods, which we believe allows us to predict the binding affinity of molecules to the target site with a high degree of accuracy.</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Advantages of GPCR oral small molecule therapeutic</w:t>
      </w:r>
    </w:p>
    <w:p>
      <w:pPr>
        <w:pStyle w:val="TextBody"/>
        <w:spacing w:before="0" w:after="240"/>
        <w:ind w:left="0" w:right="0" w:hanging="0"/>
        <w:jc w:val="center"/>
        <w:rPr/>
      </w:pPr>
      <w:r>
        <w:rPr/>
        <w:drawing>
          <wp:inline distT="0" distB="0" distL="0" distR="0">
            <wp:extent cx="3157855" cy="171894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3157855" cy="1718945"/>
                    </a:xfrm>
                    <a:prstGeom prst="rect">
                      <a:avLst/>
                    </a:prstGeom>
                  </pic:spPr>
                </pic:pic>
              </a:graphicData>
            </a:graphic>
          </wp:inline>
        </w:drawing>
      </w:r>
    </w:p>
    <w:tbl>
      <w:tblPr>
        <w:tblW w:w="8574" w:type="dxa"/>
        <w:jc w:val="center"/>
        <w:tblInd w:w="0" w:type="dxa"/>
        <w:tblCellMar>
          <w:top w:w="0" w:type="dxa"/>
          <w:left w:w="0" w:type="dxa"/>
          <w:bottom w:w="0" w:type="dxa"/>
          <w:right w:w="0" w:type="dxa"/>
        </w:tblCellMar>
      </w:tblPr>
      <w:tblGrid>
        <w:gridCol w:w="4306"/>
        <w:gridCol w:w="326"/>
        <w:gridCol w:w="3751"/>
        <w:gridCol w:w="191"/>
      </w:tblGrid>
      <w:tr>
        <w:trPr/>
        <w:tc>
          <w:tcPr>
            <w:tcW w:w="4306" w:type="dxa"/>
            <w:tcBorders/>
            <w:shd w:fill="auto" w:val="clear"/>
            <w:vAlign w:val="center"/>
          </w:tcPr>
          <w:p>
            <w:pPr>
              <w:pStyle w:val="TableContents"/>
              <w:spacing w:before="0" w:after="0"/>
              <w:ind w:left="0" w:right="0" w:hanging="0"/>
              <w:jc w:val="center"/>
              <w:rPr>
                <w:rFonts w:ascii="Arial;Helvetica;sans-serif" w:hAnsi="Arial;Helvetica;sans-serif"/>
                <w:b/>
                <w:sz w:val="20"/>
              </w:rPr>
            </w:pPr>
            <w:r>
              <w:rPr>
                <w:rFonts w:ascii="Arial;Helvetica;sans-serif" w:hAnsi="Arial;Helvetica;sans-serif"/>
                <w:b/>
                <w:sz w:val="20"/>
              </w:rPr>
              <w:t>CHALLENGES</w:t>
            </w:r>
          </w:p>
        </w:tc>
        <w:tc>
          <w:tcPr>
            <w:tcW w:w="326" w:type="dxa"/>
            <w:tcBorders/>
            <w:shd w:fill="auto" w:val="clear"/>
            <w:vAlign w:val="center"/>
          </w:tcPr>
          <w:p>
            <w:pPr>
              <w:pStyle w:val="TableContents"/>
              <w:spacing w:before="0" w:after="0"/>
              <w:ind w:left="0" w:right="0" w:hanging="0"/>
              <w:rPr/>
            </w:pPr>
            <w:r>
              <w:rPr/>
              <w:t>    </w:t>
            </w:r>
          </w:p>
        </w:tc>
        <w:tc>
          <w:tcPr>
            <w:tcW w:w="3751" w:type="dxa"/>
            <w:tcBorders/>
            <w:shd w:fill="auto" w:val="clear"/>
            <w:vAlign w:val="center"/>
          </w:tcPr>
          <w:p>
            <w:pPr>
              <w:pStyle w:val="TableContents"/>
              <w:spacing w:before="0" w:after="0"/>
              <w:ind w:left="0" w:right="0" w:hanging="0"/>
              <w:jc w:val="center"/>
              <w:rPr>
                <w:rFonts w:ascii="Arial;Helvetica;sans-serif" w:hAnsi="Arial;Helvetica;sans-serif"/>
                <w:b/>
                <w:sz w:val="20"/>
              </w:rPr>
            </w:pPr>
            <w:r>
              <w:rPr>
                <w:rFonts w:ascii="Arial;Helvetica;sans-serif" w:hAnsi="Arial;Helvetica;sans-serif"/>
                <w:b/>
                <w:sz w:val="20"/>
              </w:rPr>
              <w:t>OPPORTUNITIES</w:t>
            </w:r>
          </w:p>
        </w:tc>
        <w:tc>
          <w:tcPr>
            <w:tcW w:w="191" w:type="dxa"/>
            <w:tcBorders/>
            <w:shd w:fill="auto" w:val="clear"/>
            <w:vAlign w:val="center"/>
          </w:tcPr>
          <w:p>
            <w:pPr>
              <w:pStyle w:val="TableContents"/>
              <w:spacing w:before="0" w:after="0"/>
              <w:ind w:left="0" w:right="0" w:hanging="0"/>
              <w:rPr/>
            </w:pPr>
            <w:r>
              <w:rPr/>
              <w:t> </w:t>
            </w:r>
          </w:p>
        </w:tc>
      </w:tr>
      <w:tr>
        <w:trPr/>
        <w:tc>
          <w:tcPr>
            <w:tcW w:w="4306" w:type="dxa"/>
            <w:tcBorders/>
            <w:shd w:fill="auto" w:val="clear"/>
            <w:vAlign w:val="center"/>
          </w:tcPr>
          <w:p>
            <w:pPr>
              <w:pStyle w:val="TableContents"/>
              <w:spacing w:before="0" w:after="0"/>
              <w:rPr/>
            </w:pPr>
            <w:r>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Limited cellular and tissue permeability</w:t>
            </w:r>
          </w:p>
        </w:tc>
        <w:tc>
          <w:tcPr>
            <w:tcW w:w="326" w:type="dxa"/>
            <w:tcBorders/>
            <w:shd w:fill="auto" w:val="clear"/>
            <w:vAlign w:val="center"/>
          </w:tcPr>
          <w:p>
            <w:pPr>
              <w:pStyle w:val="TableContents"/>
              <w:spacing w:before="0" w:after="0"/>
              <w:ind w:left="0" w:right="0" w:hanging="0"/>
              <w:rPr/>
            </w:pPr>
            <w:r>
              <w:rPr/>
              <w:t>​</w:t>
            </w:r>
          </w:p>
        </w:tc>
        <w:tc>
          <w:tcPr>
            <w:tcW w:w="3751" w:type="dxa"/>
            <w:tcBorders/>
            <w:shd w:fill="auto" w:val="clear"/>
            <w:vAlign w:val="center"/>
          </w:tcPr>
          <w:p>
            <w:pPr>
              <w:pStyle w:val="TableContents"/>
              <w:spacing w:before="0" w:after="0"/>
              <w:rPr/>
            </w:pPr>
            <w:r>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Customizable pharmaceutic properties</w:t>
            </w:r>
          </w:p>
        </w:tc>
        <w:tc>
          <w:tcPr>
            <w:tcW w:w="191" w:type="dxa"/>
            <w:tcBorders/>
            <w:shd w:fill="auto" w:val="clear"/>
            <w:vAlign w:val="center"/>
          </w:tcPr>
          <w:p>
            <w:pPr>
              <w:pStyle w:val="TableContents"/>
              <w:spacing w:before="0" w:after="0"/>
              <w:ind w:left="0" w:right="0" w:hanging="0"/>
              <w:rPr/>
            </w:pPr>
            <w:r>
              <w:rPr/>
              <w:t>​</w:t>
            </w:r>
          </w:p>
        </w:tc>
      </w:tr>
      <w:tr>
        <w:trPr/>
        <w:tc>
          <w:tcPr>
            <w:tcW w:w="4306" w:type="dxa"/>
            <w:tcBorders/>
            <w:shd w:fill="auto" w:val="clear"/>
            <w:vAlign w:val="center"/>
          </w:tcPr>
          <w:p>
            <w:pPr>
              <w:pStyle w:val="TableContents"/>
              <w:spacing w:before="0" w:after="0"/>
              <w:rPr/>
            </w:pPr>
            <w:r>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Generally not orally available</w:t>
            </w:r>
          </w:p>
        </w:tc>
        <w:tc>
          <w:tcPr>
            <w:tcW w:w="326" w:type="dxa"/>
            <w:tcBorders/>
            <w:shd w:fill="auto" w:val="clear"/>
            <w:vAlign w:val="center"/>
          </w:tcPr>
          <w:p>
            <w:pPr>
              <w:pStyle w:val="TableContents"/>
              <w:spacing w:before="0" w:after="0"/>
              <w:ind w:left="0" w:right="0" w:hanging="0"/>
              <w:rPr/>
            </w:pPr>
            <w:r>
              <w:rPr/>
              <w:t>​</w:t>
            </w:r>
          </w:p>
        </w:tc>
        <w:tc>
          <w:tcPr>
            <w:tcW w:w="3751" w:type="dxa"/>
            <w:tcBorders/>
            <w:shd w:fill="auto" w:val="clear"/>
            <w:vAlign w:val="center"/>
          </w:tcPr>
          <w:p>
            <w:pPr>
              <w:pStyle w:val="TableContents"/>
              <w:spacing w:before="0" w:after="0"/>
              <w:rPr/>
            </w:pPr>
            <w:r>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Orally available, better patient compliance</w:t>
            </w:r>
          </w:p>
        </w:tc>
        <w:tc>
          <w:tcPr>
            <w:tcW w:w="191" w:type="dxa"/>
            <w:tcBorders/>
            <w:shd w:fill="auto" w:val="clear"/>
            <w:vAlign w:val="center"/>
          </w:tcPr>
          <w:p>
            <w:pPr>
              <w:pStyle w:val="TableContents"/>
              <w:spacing w:before="0" w:after="0"/>
              <w:ind w:left="0" w:right="0" w:hanging="0"/>
              <w:rPr/>
            </w:pPr>
            <w:r>
              <w:rPr/>
              <w:t>​</w:t>
            </w:r>
          </w:p>
        </w:tc>
      </w:tr>
      <w:tr>
        <w:trPr/>
        <w:tc>
          <w:tcPr>
            <w:tcW w:w="4306" w:type="dxa"/>
            <w:tcBorders/>
            <w:shd w:fill="auto" w:val="clear"/>
            <w:vAlign w:val="center"/>
          </w:tcPr>
          <w:p>
            <w:pPr>
              <w:pStyle w:val="TableContents"/>
              <w:spacing w:before="0" w:after="0"/>
              <w:rPr/>
            </w:pPr>
            <w:r>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Limited stability, cold supply chain requirements</w:t>
            </w:r>
          </w:p>
        </w:tc>
        <w:tc>
          <w:tcPr>
            <w:tcW w:w="326" w:type="dxa"/>
            <w:tcBorders/>
            <w:shd w:fill="auto" w:val="clear"/>
            <w:vAlign w:val="center"/>
          </w:tcPr>
          <w:p>
            <w:pPr>
              <w:pStyle w:val="TableContents"/>
              <w:spacing w:before="0" w:after="0"/>
              <w:ind w:left="0" w:right="0" w:hanging="0"/>
              <w:rPr/>
            </w:pPr>
            <w:r>
              <w:rPr/>
              <w:t>​</w:t>
            </w:r>
          </w:p>
        </w:tc>
        <w:tc>
          <w:tcPr>
            <w:tcW w:w="3751" w:type="dxa"/>
            <w:tcBorders/>
            <w:shd w:fill="auto" w:val="clear"/>
            <w:vAlign w:val="center"/>
          </w:tcPr>
          <w:p>
            <w:pPr>
              <w:pStyle w:val="TableContents"/>
              <w:spacing w:before="0" w:after="0"/>
              <w:rPr/>
            </w:pPr>
            <w:r>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cold-chain requirements</w:t>
            </w:r>
          </w:p>
        </w:tc>
        <w:tc>
          <w:tcPr>
            <w:tcW w:w="191" w:type="dxa"/>
            <w:tcBorders/>
            <w:shd w:fill="auto" w:val="clear"/>
            <w:vAlign w:val="center"/>
          </w:tcPr>
          <w:p>
            <w:pPr>
              <w:pStyle w:val="TableContents"/>
              <w:spacing w:before="0" w:after="0"/>
              <w:ind w:left="0" w:right="0" w:hanging="0"/>
              <w:rPr/>
            </w:pPr>
            <w:r>
              <w:rPr/>
              <w:t>​</w:t>
            </w:r>
          </w:p>
        </w:tc>
      </w:tr>
      <w:tr>
        <w:trPr/>
        <w:tc>
          <w:tcPr>
            <w:tcW w:w="4306" w:type="dxa"/>
            <w:tcBorders/>
            <w:shd w:fill="auto" w:val="clear"/>
            <w:vAlign w:val="center"/>
          </w:tcPr>
          <w:p>
            <w:pPr>
              <w:pStyle w:val="TableContents"/>
              <w:spacing w:before="0" w:after="0"/>
              <w:rPr/>
            </w:pPr>
            <w:r>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Higher costs</w:t>
            </w:r>
          </w:p>
        </w:tc>
        <w:tc>
          <w:tcPr>
            <w:tcW w:w="326" w:type="dxa"/>
            <w:tcBorders/>
            <w:shd w:fill="auto" w:val="clear"/>
            <w:vAlign w:val="center"/>
          </w:tcPr>
          <w:p>
            <w:pPr>
              <w:pStyle w:val="TableContents"/>
              <w:spacing w:before="0" w:after="0"/>
              <w:ind w:left="0" w:right="0" w:hanging="0"/>
              <w:rPr/>
            </w:pPr>
            <w:r>
              <w:rPr/>
              <w:t>​</w:t>
            </w:r>
          </w:p>
        </w:tc>
        <w:tc>
          <w:tcPr>
            <w:tcW w:w="3751" w:type="dxa"/>
            <w:tcBorders/>
            <w:shd w:fill="auto" w:val="clear"/>
            <w:vAlign w:val="center"/>
          </w:tcPr>
          <w:p>
            <w:pPr>
              <w:pStyle w:val="TableContents"/>
              <w:spacing w:before="0" w:after="0"/>
              <w:rPr/>
            </w:pPr>
            <w:r>
              <w:rPr/>
              <w:t>●</w:t>
            </w:r>
          </w:p>
          <w:p>
            <w:pPr>
              <w:pStyle w:val="TableContents"/>
              <w:spacing w:before="0" w:after="0"/>
              <w:ind w:left="0" w:right="0" w:hanging="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Lower costs</w:t>
            </w:r>
          </w:p>
        </w:tc>
        <w:tc>
          <w:tcPr>
            <w:tcW w:w="19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believe the strengths of our platform position us to develop oral small molecule drugs that can deliver biologic-like activity and specificity. Oral small molecules can address many of the key limitations of biologic and peptide drugs, thereby significantly improving patient access. We believe this is particularly important for the most prevalent chronic diseases including those involving the metabolic, cardiovascular, and pulmonary systems.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lead product candidate, GSBR-1290, is an oral and biased small molecule agonist of GLP-1R, a validated GPCR drug target for T2DM and obesity. There are currently five marketed peptide molecules that target GLP-1R; collectively, these peptide therapies generated worldwide sales of $13.2 billion in 2020. However, there are currently no approved oral small molecule therapies targeting GLP-1R. In non-human primate (“NHP”), studies, GSBR-1290 demonstrated glucose-dependent insulin secretion and suppressed food intake, resulting in weight reduction. Given these findings and other compelling preclinical data, we completed a Phase 1 study in healthy volunteers for GSBR-1290 in September 2022. GSBR-1290 was generally well tolerated and demonstrated dose-dependent PK and PD related activity. We submitted an IND to the FDA to support initiation of a Phase 1b study in T2DM and obesity and received FDA allowance in September 2022. We initiated the Phase 1b MAD study in January 2023 and completed dosing in healthy overweight subjects in March 2023. We plan to submit a protocol amendment to the FDA to transition to a Phase 2a proof-of-concept study in T2DM and obesity with the expected initiation in the second half of 2023. We expect to report topline data for the Phase 1b study and Phase 2a study in the second half of 2023. Beyond GSBR-1290, we are developing next generation GLP-1R candidates, including dual GLP-1R/GIPR agonists, each designed with customized properties to achieve additional benefit.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also developing oral small molecule therapeutics targeting other GPCRs for the treatment of pulmonary and cardiovascular diseases. Specifically, we are advancing ANPA-0073, our biased agonist, targeting APJR, a GPCR that has been implicated in IPF and PAH. In September 2022, we completed a Phase 1 SAD and MAD study evaluating ANPA-0073 in healthy human volunteers, in which it was generally well tolerated. Additionally, we are developing an antagonist that targets LPA1R, a GPCR implicated in responses to tissue injury and pro-fibrotic processes. We have demonstrated substantial anti-fibrotic activity of our LPA1R antagonists in mouse models of fibrotic lung disease and we selected a development candidate (LTSE-2578) in January 2023 and expect to initiate a first-in-human study in 2024.</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At Basecamp Bio Inc. (“Basecamp Bio”), our wholly owned subsidiary dedicated to fueling our pipeline and pursuing drug discovery partnerships, we leverage the power of cryo-electron microscopy (“cryo-EM”) machine learning and X-ray crystallography, as the basis for our molecular designs. We employ state-of-the-</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art small molecule hit identification, including DNA encoded library technology and affinity mass spectrometry selections for membrane proteins.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Our Strategy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mission is to discover and develop broadly accessible oral therapeutics to treat a wide range of chronic diseases with unmet medical need through advancements in structure-based drug discovery and computational chemistry. The key pillars of our business strategy to achieve this mission include:</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i/>
                <w:sz w:val="20"/>
              </w:rPr>
              <w:t>Invest in and leverage our next generation structure-based drug discovery platform to drive innovations in GPCR targeted therapies and beyond.</w:t>
            </w:r>
            <w:r>
              <w:rPr>
                <w:caps w:val="false"/>
                <w:smallCaps w:val="false"/>
              </w:rPr>
              <w:t> </w:t>
            </w:r>
            <w:r>
              <w:rPr>
                <w:rFonts w:ascii="Arial;Helvetica;sans-serif" w:hAnsi="Arial;Helvetica;sans-serif"/>
                <w:b w:val="false"/>
                <w:i w:val="false"/>
                <w:caps w:val="false"/>
                <w:smallCaps w:val="false"/>
                <w:sz w:val="20"/>
              </w:rPr>
              <w:t>Our platform has the potential to transform the treatment paradigm for a wide range of chronic diseases with unmet medical need. We are continually growing our position as a leader in structure-based drug discovery and development by incorporating platform innovations that have the potential to expand the therapeutic opportunity of this field. We are integrating advancements in computational chemistry, molecular imaging technologies, structural biology techniques, and machine learning while continuing to deepen our understanding of GPCR signaling pathways and pharmacology. We intend to expand into other key emerging areas where we can leverage our platform to develop orally-available molecules against targets that historically have been limited to peptides or biologics.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i/>
                <w:sz w:val="20"/>
              </w:rPr>
              <w:t>Advance our GLP-1R franchise of metabolic focused assets, establishing a foundation for additional opportunities.</w:t>
            </w:r>
            <w:r>
              <w:rPr>
                <w:caps w:val="false"/>
                <w:smallCaps w:val="false"/>
              </w:rPr>
              <w:t> </w:t>
            </w:r>
            <w:r>
              <w:rPr>
                <w:rFonts w:ascii="Arial;Helvetica;sans-serif" w:hAnsi="Arial;Helvetica;sans-serif"/>
                <w:b w:val="false"/>
                <w:i w:val="false"/>
                <w:caps w:val="false"/>
                <w:smallCaps w:val="false"/>
                <w:sz w:val="20"/>
              </w:rPr>
              <w:t>Our franchise approach involves developing next generation GLP-1R agonists, including dual GLP-1R/GIPR agonists, each designed with customized properties to achieve maximum benefit. Based on compelling data generated from our preclinical studies, we believe that our lead GLP-1R candidate, GSBR-1290, has the potential to be a differentiated treatment for T2DM and obesity, and we completed a Phase 1 SAD study in September 2022. We initiated the Phase 1b MAD study in January 2023 and completed dosing in healthy overweight subjects in March 2023. We plan to submit a protocol amendment to the FDA to transition to a Phase 2a proof-of-concept study in T2DM and obesity with the expected initiation in the second half of 2023. In addition, our next generation GLP-1R program is focused on the development of orally-available small molecules with GLP-1R and glucose-dependent insulinotropic polypeptide receptor (“GIPR”) activity.</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i/>
                <w:sz w:val="20"/>
              </w:rPr>
              <w:t>Pursue additional opportunities in chronic diseases.</w:t>
            </w:r>
            <w:r>
              <w:rPr>
                <w:caps w:val="false"/>
                <w:smallCaps w:val="false"/>
              </w:rPr>
              <w:t> </w:t>
            </w:r>
            <w:r>
              <w:rPr>
                <w:rFonts w:ascii="Arial;Helvetica;sans-serif" w:hAnsi="Arial;Helvetica;sans-serif"/>
                <w:b w:val="false"/>
                <w:i w:val="false"/>
                <w:caps w:val="false"/>
                <w:smallCaps w:val="false"/>
                <w:sz w:val="20"/>
              </w:rPr>
              <w:t>Chronic diseases pose a major burden to patients and healthcare systems worldwide and there is an urgent need for effective and more accessible treatment options. For our APJR agonist product candidate, ANPA-0073, we completed a Phase 1 SAD and MAD study in healthy human volunteers in September 2022. ANPA-0073 is in development for the treatment of patients with IPF and PAH. We expect to conduct additional preclinical studies to be followed by a Phase 1 formulation bridging PK study in Australia. In addition, we are evaluating LPA1R antagonism in IPF, and selected a development candidate (LTSE-2578) in January 2023 and expect to initiate a first-in-human study in 2024. We plan to continue to harness insights on GPCR targets, particularly among metabolic, endocrine, pulmonary, and cardiovascular indications, and leverage our platform to fuel our pipeline through our discovery engine at Basecamp Bio.</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i/>
                <w:sz w:val="20"/>
              </w:rPr>
              <w:t>Maximize the potential of our platform and portfolio through strategic partnerships.</w:t>
            </w:r>
            <w:r>
              <w:rPr>
                <w:caps w:val="false"/>
                <w:smallCaps w:val="false"/>
              </w:rPr>
              <w:t> </w:t>
            </w:r>
            <w:r>
              <w:rPr>
                <w:rFonts w:ascii="Arial;Helvetica;sans-serif" w:hAnsi="Arial;Helvetica;sans-serif"/>
                <w:b w:val="false"/>
                <w:i w:val="false"/>
                <w:caps w:val="false"/>
                <w:smallCaps w:val="false"/>
                <w:sz w:val="20"/>
              </w:rPr>
              <w:t>We have an established value- and capability-enhancing collaboration with Schrödinger, our co-founder and strategic partner. We intend to continue to explore additional collaborations with third parties to further strengthen our platform capabilities and enable expansion of our portfolio. We plan to leverage our platform for external opportunities where partners bring additional disease biology understanding, drug development and commercial expertise, regional insights, or other complementary capabilities.</w:t>
            </w:r>
          </w:p>
        </w:tc>
      </w:tr>
    </w:tbl>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Our Pipeline and Programs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We pursue opportunities to target GPCRs in human diseases on the basis of validated biology, safety, development feasibility and market potential. We are building a pipeline of wholly-owned oral small molecule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drugs targeting chronic diseases with unmet medical need and commercial potential. Our initial focus is in areas of metabolic, cardiovascular and pulmonary diseases.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following table summarizes key information on our current product candidates:</w:t>
      </w:r>
    </w:p>
    <w:p>
      <w:pPr>
        <w:pStyle w:val="TextBody"/>
        <w:spacing w:before="0" w:after="240"/>
        <w:ind w:left="0" w:right="0" w:hanging="0"/>
        <w:jc w:val="center"/>
        <w:rPr/>
      </w:pPr>
      <w:r>
        <w:rPr/>
        <w:drawing>
          <wp:inline distT="0" distB="0" distL="0" distR="0">
            <wp:extent cx="5791200" cy="194310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5791200" cy="1943100"/>
                    </a:xfrm>
                    <a:prstGeom prst="rect">
                      <a:avLst/>
                    </a:prstGeom>
                  </pic:spPr>
                </pic:pic>
              </a:graphicData>
            </a:graphic>
          </wp:inline>
        </w:drawing>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Metabolic</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initially advancing our GLP-1R franchise as a treatment for T2DM and obesity, conditions affecting approximately 537 million and 764 million people worldwide, respectively. We believe our GLP-1R programs have demonstrated qualities that offer the potential to differentiate them versus current approved and in development programs.</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i/>
                <w:sz w:val="20"/>
              </w:rPr>
              <w:t>GSBR-1290.</w:t>
            </w:r>
            <w:r>
              <w:rPr>
                <w:caps w:val="false"/>
                <w:smallCaps w:val="false"/>
              </w:rPr>
              <w:t> </w:t>
            </w:r>
            <w:r>
              <w:rPr>
                <w:rFonts w:ascii="Arial;Helvetica;sans-serif" w:hAnsi="Arial;Helvetica;sans-serif"/>
                <w:b w:val="false"/>
                <w:i w:val="false"/>
                <w:caps w:val="false"/>
                <w:smallCaps w:val="false"/>
                <w:sz w:val="20"/>
              </w:rPr>
              <w:t>GSBR-1290 is a biased GLP-1R agonist which has demonstrated dose-dependent activation of the G-protein pathway. GSBR-1290 has also demonstrated glucose-dependent insulin secretion and suppressed food intake with similar activity to an approved injectable peptide GLP-1R agonist in preclinical models. The product candidate is designed to be orally administered, without restrictions on diet or concomitant therapy. We submitted an IND in the United States for our dose escalation Phase 1b study in T2DM and obesity. In September 2022, we received FDA allowance to proceed with the Phase 1b MAD study, which we initiated in January 2023, and completed dosing in March 2023. We plan to submit a protocol amendment to the FDA to transition to a Phase 2a proof-of-concept study in T2DM and obesity with the expected initiation in the second half of 2023. We expect to report topline data for the Phase 1b study and Phase 2a study in the second half of 2023. We will initially focus development of GSBR-1290 on T2DM with a secondary focus on obesity.</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i/>
                <w:sz w:val="20"/>
              </w:rPr>
              <w:t>Next generation.</w:t>
            </w:r>
            <w:r>
              <w:rPr>
                <w:caps w:val="false"/>
                <w:smallCaps w:val="false"/>
              </w:rPr>
              <w:t> </w:t>
            </w:r>
            <w:r>
              <w:rPr>
                <w:rFonts w:ascii="Arial;Helvetica;sans-serif" w:hAnsi="Arial;Helvetica;sans-serif"/>
                <w:b w:val="false"/>
                <w:i w:val="false"/>
                <w:caps w:val="false"/>
                <w:smallCaps w:val="false"/>
                <w:sz w:val="20"/>
              </w:rPr>
              <w:t>Our next generation small molecule program is focused on GLP-1R/GIPR modulation with the potential for enhanced metabolic control.</w:t>
            </w:r>
          </w:p>
        </w:tc>
      </w:tr>
    </w:tbl>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Pulmonary and Cardiovascular</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APJR agonist program is being evaluated for IPF and PAH. In another program, we are evaluating LTSE-2578 for IPF.</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APJR product candidate, ANPA-0073, is a G-protein biased APJR agonist for which we completed a Phase 1 SAD and MAD study, in which it was generally well tolerated as a single dose from 2mg to 600 mg, and at doses from 75 mg to 500 mg once daily dosing for seven days, with no serious adverse events (“SAEs”) reported.</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GPCRs as a Therapeutic Target Family</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GPCRs form the largest human membrane protein family, consisting of approximately 800 identified members as illustrated below. GPCRs are involved in several vital physiological functions, such as immune system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regulation and inflammation, autonomic nervous system transmission, behavioral and mood regulation, sensory transmission, and maintenance of homeostasis, making them important targets for numerous therapeutics. To date, there are approximately 475 drugs on the market acting at over 100 unique GPCRs. Additionally, more than 220 GPCRs have not yet been explored as clinical targets, hence representing broad untapped therapeutic potential for addressing global healthcare needs.</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Phylogenetic tree of GPCR targets</w:t>
      </w:r>
    </w:p>
    <w:p>
      <w:pPr>
        <w:pStyle w:val="TextBody"/>
        <w:spacing w:before="0" w:after="240"/>
        <w:ind w:left="0" w:right="0" w:hanging="0"/>
        <w:jc w:val="center"/>
        <w:rPr/>
      </w:pPr>
      <w:r>
        <w:rPr/>
        <w:drawing>
          <wp:inline distT="0" distB="0" distL="0" distR="0">
            <wp:extent cx="3474720" cy="348996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3474720" cy="3489960"/>
                    </a:xfrm>
                    <a:prstGeom prst="rect">
                      <a:avLst/>
                    </a:prstGeom>
                  </pic:spPr>
                </pic:pic>
              </a:graphicData>
            </a:graphic>
          </wp:inline>
        </w:drawing>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GPCR targeting drugs have successfully delivered significant patient benefit resulting in large market opportunities in many therapeutic areas. Examples include liraglutide (Victoza for T2DM), aripiprazole (Abilify for schizophrenia, bipolar disorder and depression), montelukast (Singulair for asthma), valsartan (Diovan for hypertension), metoprolol (Lopressor for hypertension, angina, and myocardial infarction), and clopidogrel (Plavix for myocardial infarction and stroke). GPCR related drugs are the largest drug class accounting for approximately 27% of global pharmaceutical sales with estimated aggregate sales of $890 billion between 2011 and 2015.</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GPCRs are proteins that span the entire width of cell membranes. Their primary function is to recognize extracellular substances, primarily ligands, and transmit signals across the cell membrane to the inside of the cell.</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Schematic of a GPCR</w:t>
      </w:r>
    </w:p>
    <w:p>
      <w:pPr>
        <w:pStyle w:val="TextBody"/>
        <w:spacing w:before="0" w:after="240"/>
        <w:ind w:left="0" w:right="0" w:hanging="0"/>
        <w:jc w:val="center"/>
        <w:rPr/>
      </w:pPr>
      <w:r>
        <w:rPr/>
        <w:drawing>
          <wp:inline distT="0" distB="0" distL="0" distR="0">
            <wp:extent cx="2316480" cy="299720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2316480" cy="2997200"/>
                    </a:xfrm>
                    <a:prstGeom prst="rect">
                      <a:avLst/>
                    </a:prstGeom>
                  </pic:spPr>
                </pic:pic>
              </a:graphicData>
            </a:graphic>
          </wp:inline>
        </w:drawing>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shown above, the binding of extracellular ligands to GPCRs elicits conformational changes that impact the intracellular side of the receptor, resulting in the formation of a GPCR complex with signal transducers, particularly G-proteins. These signal transducers go on to interact with second messengers, ultimately either stimulating or inhibiting certain cellular processes.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GPCRs signal not only through G-proteins, but also through β-arrestins and other non-G-protein transducers. β-arrestins play an essential role in many physiological and pathological processes, and are involved in the desensitization, internalization, sequestration, and trafficking of GPCRs. Certain GPCR ligands are capable of simultaneously activating both G-protein and non-G-protein mediated signaling pathways, which can lead to a variety of physiologic as well as pathologic effects.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Challenges of GPCR Therapeutic Discovery and Development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Despite tremendous advancements in structure-based drug design and development, GPCR drug discovery and development remains challenging.</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i w:val="false"/>
                <w:caps w:val="false"/>
                <w:smallCaps w:val="false"/>
                <w:sz w:val="20"/>
              </w:rPr>
              <w:t>Similarity between the binding sites of GPCRs and related receptors can cause off-target toxicities:</w:t>
            </w:r>
            <w:r>
              <w:rPr>
                <w:caps w:val="false"/>
                <w:smallCaps w:val="false"/>
              </w:rPr>
              <w:t> </w:t>
            </w:r>
            <w:r>
              <w:rPr>
                <w:rFonts w:ascii="Arial;Helvetica;sans-serif" w:hAnsi="Arial;Helvetica;sans-serif"/>
                <w:b w:val="false"/>
                <w:i w:val="false"/>
                <w:caps w:val="false"/>
                <w:smallCaps w:val="false"/>
                <w:sz w:val="20"/>
              </w:rPr>
              <w:t>All GPCRs have the same overall three-dimensional architecture but the specific endogenous binding site is unique due to the placement of amino acid side chains shaping the binding site. For instance, the early sphingosine-1-phosphate 1 receptor (“S1P1R”) agonist Gilenya led to the development of a new class of therapy for the treatment of multiple sclerosis, but had exhibited bradycardia as a side effect due in part to sphingosine-1-phosphate 3 receptor (“S1P3R”) activity, a very closely related S1P1 receptor subtype. The next generation S1P1R agonist Zeposia was designed using structural information by Receptos, Inc. to remove the S1P3 and other activities and therefore did not have the same side effect profile as Gilenya.</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i w:val="false"/>
                <w:caps w:val="false"/>
                <w:smallCaps w:val="false"/>
                <w:sz w:val="20"/>
              </w:rPr>
              <w:t>GPCRs are involved in diverse downstream signaling pathways which can result in side effects:</w:t>
            </w:r>
            <w:r>
              <w:rPr>
                <w:caps w:val="false"/>
                <w:smallCaps w:val="false"/>
              </w:rPr>
              <w:t> </w:t>
            </w:r>
            <w:r>
              <w:rPr>
                <w:rFonts w:ascii="Arial;Helvetica;sans-serif" w:hAnsi="Arial;Helvetica;sans-serif"/>
                <w:b w:val="false"/>
                <w:i w:val="false"/>
                <w:caps w:val="false"/>
                <w:smallCaps w:val="false"/>
                <w:sz w:val="20"/>
              </w:rPr>
              <w:t>GPCRs interact with a range of molecules, including G-protein and non-G-protein transducers including β-arrestin. Signaling pathway selectivity results from agonist-induced specific receptor conformation and when targeting GPCRs involved in multiple signaling pathways, both therapeutic benefits and side effect issues may arise.</w:t>
            </w:r>
          </w:p>
        </w:tc>
      </w:tr>
    </w:tbl>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i w:val="false"/>
                <w:caps w:val="false"/>
                <w:smallCaps w:val="false"/>
                <w:sz w:val="20"/>
              </w:rPr>
              <w:t>Expression levels of GPCRs are low and create significant hurdles to structural and PD characterization:</w:t>
            </w:r>
            <w:r>
              <w:rPr>
                <w:caps w:val="false"/>
                <w:smallCaps w:val="false"/>
              </w:rPr>
              <w:t xml:space="preserve">  </w:t>
            </w:r>
            <w:r>
              <w:rPr>
                <w:rFonts w:ascii="Arial;Helvetica;sans-serif" w:hAnsi="Arial;Helvetica;sans-serif"/>
                <w:b w:val="false"/>
                <w:i w:val="false"/>
                <w:caps w:val="false"/>
                <w:smallCaps w:val="false"/>
                <w:sz w:val="20"/>
              </w:rPr>
              <w:t>Recombinant protein expression of GPCRs remains extremely challenging. Expression levels of GPCRs are low and improvement of expression level continues to be mainly empirical and resource-consuming. GPCRs are complex membrane proteins that require a stable membrane environment throughout the purification process to avoid destabilization and aggregation.</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i w:val="false"/>
                <w:caps w:val="false"/>
                <w:smallCaps w:val="false"/>
                <w:sz w:val="20"/>
              </w:rPr>
              <w:t>GPCR structural visualization is complex making GPCR structure-based drug discovery challenging:</w:t>
            </w:r>
            <w:r>
              <w:rPr>
                <w:caps w:val="false"/>
                <w:smallCaps w:val="false"/>
              </w:rPr>
              <w:t> </w:t>
            </w:r>
            <w:r>
              <w:rPr>
                <w:rFonts w:ascii="Arial;Helvetica;sans-serif" w:hAnsi="Arial;Helvetica;sans-serif"/>
                <w:b w:val="false"/>
                <w:i w:val="false"/>
                <w:caps w:val="false"/>
                <w:smallCaps w:val="false"/>
                <w:sz w:val="20"/>
              </w:rPr>
              <w:t>Structure-based drug design requires rapid iterations of GPCR structures in complex with specific new ligands to determine their effects on conformation. This is well established through robust crystallography platforms for soluble drug targets. Cryo-EM has helped accelerate the membrane protein field, but the methods still require substantial expertise and execution.</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Drug discovery approaches targeting GPCRs have evolved from traditional approaches including high throughput screening to rational design for enhanced activity, tailor-made signaling response, and improved selectivity, which leads to improved safety and tolerability profiles.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Our Platform and Approach</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platform is based on techniques that our founders have been evolving for over 25 years, which have enabled them to deliver multiple marketed medicines. Our approach enables us to generate small molecule product candidates that are designed to overcome the historical limitations of GPCR drug development.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insights and capabilities enable us to visualize the three-dimensional protein structures of the target and the ligands. We believe this visualization combined with the computational chemistry capabilities of Schrödinger gives us significant competitive advantages in highly efficient and rational drug design. We design our novel compounds by combining our knowledge of GPCR structures together with advanced physics-based computational methods, which we believe allows us to predict the binding affinity of molecules to the target site with a high degree of accuracy.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shown below, our technology platform allows us to determine feasibility, optimize the design of, and efficiently generate families of potent and highly selective small molecule candidates.</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Structure Therapeutics integrated technology platform from target to IND</w:t>
      </w:r>
    </w:p>
    <w:p>
      <w:pPr>
        <w:pStyle w:val="TextBody"/>
        <w:spacing w:before="0" w:after="240"/>
        <w:ind w:left="0" w:right="0" w:hanging="0"/>
        <w:jc w:val="center"/>
        <w:rPr/>
      </w:pPr>
      <w:r>
        <w:rPr/>
        <w:drawing>
          <wp:inline distT="0" distB="0" distL="0" distR="0">
            <wp:extent cx="5559425" cy="292608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5559425" cy="2926080"/>
                    </a:xfrm>
                    <a:prstGeom prst="rect">
                      <a:avLst/>
                    </a:prstGeom>
                  </pic:spPr>
                </pic:pic>
              </a:graphicData>
            </a:graphic>
          </wp:inline>
        </w:drawing>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Oral small molecules have the potential to address the key limitations of biologic and peptide drugs, such as high cost and patient inconvenience, thereby significantly improving patient access. We believe this is particularly important for the most prevalent chronic diseases including those involving the endocrine, cardiovascular, and pulmonary systems. We believe the strengths of our technology platform will enable us to develop oral small molecule drugs that can deliver biologic-like activity and specificity.</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Strategic GPCR Target Prioritization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start with target prioritization by focusing on validated GPCR targets that do not have attractive small molecule solutions. We then prioritize by assessing the feasibility of a small molecule solution for these targets and market opportunities of their respective target indication.</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Expertise in GPCR Structure-Based Drug Discovery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GPCRs are difficult to characterize structurally because they are composed of seven transmembrane domains, have low expression, and are unstable outside of the cell membrane environment. While structure-based approaches have been utilized for decades in soluble protein drug discovery, recent breakthrough advancements in computational chemistry, artificial intelligence, machine learning and electron microscopy are redefining the field of GPCR structure-based drug discovery.</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Visualization of GPCR Structure and binding site interactions</w:t>
      </w:r>
    </w:p>
    <w:p>
      <w:pPr>
        <w:pStyle w:val="TextBody"/>
        <w:spacing w:before="0" w:after="240"/>
        <w:ind w:left="0" w:right="0" w:hanging="0"/>
        <w:jc w:val="center"/>
        <w:rPr/>
      </w:pPr>
      <w:r>
        <w:rPr/>
        <w:drawing>
          <wp:inline distT="0" distB="0" distL="0" distR="0">
            <wp:extent cx="4053840" cy="2987040"/>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7"/>
                    <a:stretch>
                      <a:fillRect/>
                    </a:stretch>
                  </pic:blipFill>
                  <pic:spPr bwMode="auto">
                    <a:xfrm>
                      <a:off x="0" y="0"/>
                      <a:ext cx="4053840" cy="2987040"/>
                    </a:xfrm>
                    <a:prstGeom prst="rect">
                      <a:avLst/>
                    </a:prstGeom>
                  </pic:spPr>
                </pic:pic>
              </a:graphicData>
            </a:graphic>
          </wp:inline>
        </w:drawing>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shown above, our structure-based technology platform combines direct visualization of protein receptor binding interactions with advanced simulation of molecular motion and signal transduction. Site 1 is considered to be the orthosteric or primary binding site for receptor activation. Site 2 is on the surface of the receptor, often referred to as the allosteric site and may potentially regulate receptor activation signaling. By visualizing and analyzing how different ligands bind to a particular target and specific sites and affect their conformational dynamics, we believe we are able to efficiently convert biologics and peptides into more accessible, patient-accommodating oral small molecules. In addition, we can enhance the pharmaceutic properties of our small molecules with the aim to elicit the desired function while maintaining superior pharmaceutical properties.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Non-biased vs biased GPCR agonists</w:t>
      </w:r>
    </w:p>
    <w:p>
      <w:pPr>
        <w:pStyle w:val="TextBody"/>
        <w:spacing w:before="0" w:after="240"/>
        <w:ind w:left="0" w:right="0" w:hanging="0"/>
        <w:jc w:val="center"/>
        <w:rPr/>
      </w:pPr>
      <w:r>
        <w:rPr/>
        <w:drawing>
          <wp:inline distT="0" distB="0" distL="0" distR="0">
            <wp:extent cx="4632960" cy="195072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8"/>
                    <a:stretch>
                      <a:fillRect/>
                    </a:stretch>
                  </pic:blipFill>
                  <pic:spPr bwMode="auto">
                    <a:xfrm>
                      <a:off x="0" y="0"/>
                      <a:ext cx="4632960" cy="1950720"/>
                    </a:xfrm>
                    <a:prstGeom prst="rect">
                      <a:avLst/>
                    </a:prstGeom>
                  </pic:spPr>
                </pic:pic>
              </a:graphicData>
            </a:graphic>
          </wp:inline>
        </w:drawing>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Additionally, GPCR signaling can follow several pathways and molecules can be designed such that their pharmacology is selected to create “biased signaling” as illustrated above. GPCRs are known to signal not only through G-proteins, but also through β-arrestins, intracellular proteins that “arrest” the signal and stop the receptor from becoming over-stimulated through a receptor internalization mechanism. Using the three-dimensional structures of GPCRs and selection methods, we can potentially design highly selective “biased” molecules that preferentially activate G-protein and not β-arrestin pathways, which could lead to enhanced clinical activity as well as an improved safety profile due to lower dosage requirements.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GPCR Experience</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Robust and Integrated Medicinal Chemistry to Generate and Optimize Hits on GPCR Targets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have extensive medicinal chemistry know-how on the discovery and development of novel molecules that target GPCRs. When coupled with our deep understanding of GPCR biology, we have the potential to design appropriate chemotypes for each GPCR function as illustrated below.</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Family members with determined structures are</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highlighted within the tree, and their binding pockets with the ligand</w:t>
      </w:r>
    </w:p>
    <w:p>
      <w:pPr>
        <w:pStyle w:val="TextBody"/>
        <w:spacing w:before="0" w:after="240"/>
        <w:ind w:left="0" w:right="0" w:hanging="0"/>
        <w:jc w:val="center"/>
        <w:rPr/>
      </w:pPr>
      <w:r>
        <w:rPr/>
        <w:drawing>
          <wp:inline distT="0" distB="0" distL="0" distR="0">
            <wp:extent cx="5223510" cy="290322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5223510" cy="2903220"/>
                    </a:xfrm>
                    <a:prstGeom prst="rect">
                      <a:avLst/>
                    </a:prstGeom>
                  </pic:spPr>
                </pic:pic>
              </a:graphicData>
            </a:graphic>
          </wp:inline>
        </w:drawing>
      </w:r>
    </w:p>
    <w:p>
      <w:pPr>
        <w:pStyle w:val="TextBody"/>
        <w:spacing w:before="0" w:after="240"/>
        <w:ind w:left="0" w:right="0" w:hanging="0"/>
        <w:jc w:val="center"/>
        <w:rPr>
          <w:rFonts w:ascii="Arial;Helvetica;sans-serif" w:hAnsi="Arial;Helvetica;sans-serif"/>
          <w:i/>
          <w:sz w:val="20"/>
        </w:rPr>
      </w:pPr>
      <w:r>
        <w:rPr>
          <w:rFonts w:ascii="Arial;Helvetica;sans-serif" w:hAnsi="Arial;Helvetica;sans-serif"/>
          <w:i/>
          <w:sz w:val="20"/>
        </w:rPr>
        <w:t>Four character code at end of each image is Protein Data Bank ID.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Further optimization of compounds powered by our excellence in medicinal chemistry lead us to identify potent and selective oral small molecule product candidates.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Partnership with Schrödinger Leveraging its Cutting-Edge Computational Chemistry Capability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We have a collaboration with Schrödinger on the iteration and optimization of GPCR lead compounds using various next-generation physics-based computational technologies. Schrödinger is a scientific leader in chemical simulation, accurate physics-based methods, which includes among many technologies, Free Energy Perturbation (“FEP”) and in silico drug discovery. Its computational platforms integrate predictive physics-based methods with machine learning to evaluate billions of compounds </w:t>
      </w:r>
      <w:r>
        <w:rPr>
          <w:rFonts w:ascii="Arial;Helvetica;sans-serif" w:hAnsi="Arial;Helvetica;sans-serif"/>
          <w:i/>
          <w:sz w:val="20"/>
        </w:rPr>
        <w:t>in silico</w:t>
      </w:r>
      <w:r>
        <w:rPr>
          <w:rFonts w:ascii="Arial;Helvetica;sans-serif" w:hAnsi="Arial;Helvetica;sans-serif"/>
          <w:sz w:val="20"/>
        </w:rPr>
        <w:t xml:space="preserve">, achieving experimental accuracy on properties such as binding affinity and solubility. Through this iterative process, we can accelerate evaluation and optimization of molecules </w:t>
      </w:r>
      <w:r>
        <w:rPr>
          <w:rFonts w:ascii="Arial;Helvetica;sans-serif" w:hAnsi="Arial;Helvetica;sans-serif"/>
          <w:i/>
          <w:sz w:val="20"/>
        </w:rPr>
        <w:t>in silico</w:t>
      </w:r>
      <w:r>
        <w:rPr>
          <w:rFonts w:ascii="Arial;Helvetica;sans-serif" w:hAnsi="Arial;Helvetica;sans-serif"/>
          <w:sz w:val="20"/>
        </w:rPr>
        <w:t xml:space="preserve"> ahead of synthesis and assay, and then further optimize them through additional cycles of computation analysis.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Structure Therapeutics integrated platform</w:t>
      </w:r>
    </w:p>
    <w:p>
      <w:pPr>
        <w:pStyle w:val="TextBody"/>
        <w:spacing w:before="0" w:after="240"/>
        <w:ind w:left="0" w:right="0" w:hanging="0"/>
        <w:jc w:val="center"/>
        <w:rPr/>
      </w:pPr>
      <w:r>
        <w:rPr/>
        <w:drawing>
          <wp:inline distT="0" distB="0" distL="0" distR="0">
            <wp:extent cx="4972050" cy="320040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4972050" cy="3200400"/>
                    </a:xfrm>
                    <a:prstGeom prst="rect">
                      <a:avLst/>
                    </a:prstGeom>
                  </pic:spPr>
                </pic:pic>
              </a:graphicData>
            </a:graphic>
          </wp:inline>
        </w:drawing>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shown above, our collaboration with Schrödinger in our computational and chemistry module enables us to accelerate our lead optimization drug discovery process and reduce development costs. In our partnership with Schrödinger on GPCR drug discovery, we retain the full product rights on the compounds under development.</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Safety Assays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have proactively used cell and animal-based safety assays to better screen out unwanted side effects, such as liver, cardiovascular and central nervous system toxicity at the initial stages of lead optimization, and we have designed molecules to help minimize safety risks at every step. Our in-depth understanding of GPCR signaling pathway provide us insights to design biased molecules when necessary to mitigate any unwanted liabilities while maintaining the desired activities.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Other Proprietary In-House Development Tools for Drug Synthesis and Screening</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Basecamp Bio focuses specifically on technology development and early discovery and continues to innovate new methods, particularly in hit discovery.</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Basecamp Bio early discovery</w:t>
      </w:r>
    </w:p>
    <w:p>
      <w:pPr>
        <w:pStyle w:val="TextBody"/>
        <w:spacing w:before="0" w:after="240"/>
        <w:ind w:left="0" w:right="0" w:hanging="0"/>
        <w:jc w:val="center"/>
        <w:rPr/>
      </w:pPr>
      <w:r>
        <w:rPr/>
        <w:drawing>
          <wp:inline distT="0" distB="0" distL="0" distR="0">
            <wp:extent cx="5212080" cy="3268980"/>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1"/>
                    <a:stretch>
                      <a:fillRect/>
                    </a:stretch>
                  </pic:blipFill>
                  <pic:spPr bwMode="auto">
                    <a:xfrm>
                      <a:off x="0" y="0"/>
                      <a:ext cx="5212080" cy="3268980"/>
                    </a:xfrm>
                    <a:prstGeom prst="rect">
                      <a:avLst/>
                    </a:prstGeom>
                  </pic:spPr>
                </pic:pic>
              </a:graphicData>
            </a:graphic>
          </wp:inline>
        </w:drawing>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to our robust iterative structure-based drug discovery platform shown above, Basecamp Bio is optimizing proprietary in-house drug discovery tools including DNA-Encoded Library technology and Affinity Mass Spectrometry technology to enable the synthesis and screening of vast numbers of small molecule product candidates at a scale that is not possible to achieve by traditional methods.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Our Lead GPCR Programs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By leveraging our unique platform capabilities, we are building a pipeline of oral small molecule product candidates designed to have patient impact and broad commercial opportunity in therapeutic areas traditionally dominated by biologics and peptide medicines. We are initially focusing on chronic metabolic, cardiovascular, and pulmonary diseases with unmet medical need.</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Our GLP-1R Focused Franchise for Metabolic Disorders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To unlock the full potential of our drug discovery platform across a broad range of metabolic indications, we intend to build out our franchise approach for GLP-1R. Our franchise approach involves developing next generation GLP-1R candidates, with each exhibiting customized properties to achieve additional benefit. Our lead GLP-1R product candidate, GSBR-1290, has the potential to be a differentiated treatment for T2DM and obesity based on preclinical data.</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GSBR-1290 is an oral and biased agonist of the GLP-1R, a validated GPCR drug target involved in a variety of metabolic conditions. We completed a Phase 1 SAD study for GSBR-1290 in healthy volunteers in September 2022. We initiated the Phase 1b MAD study in January 2023 and completed dosing in healthy overweight subjects in March 2023. We plan to submit a protocol amendment to the FDA to transition to a Phase 2a proof-of-concept study in T2DM and obesity with the expected initiation in the second half of 2023. Based on our preclinical data, we believe that GSBR-1290 and our next-generation product candidates have the potential to have highly differentiated profiles versus currently approved therapies and those in development.</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Diabetes Disease Background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Diabetes mellitus (“DM”) is an endocrine related disorder of glucose regulation with subsequent hyperglycemia, or high blood sugar, which develops following pancreatic β-cell destruction or dysfunction resulting in severe loss of insulin production, also known as type 1 diabetes, or β-cell dysfunction and loss of insulin sensitivity, also known as T2DM. T2DM is more common in adults and accounts for around 90% of all diabetes cases. In T2DM, the loss of insulin sensitivity is often preceded by being overweight or obese, and manifests along with hypertension and dyslipidemia. Regardless of etiology, once hyperglycemia develops, patients with diabetes share a common disease course characterized by atherosclerotic diseases such as coronary heart disease, stroke, peripheral vascular disease and/or, microvascular diseases such as nephropathy, retinopathy, and neuropathy. Additionally, hyperglycemia is associated with metabolic dysfunction, chronic inflammation, and an increase in infections.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According to the 2021 International Diabetes Federation Diabetes Atlas, more than one in ten adults are now living with diabetes globally. The estimated prevalence of diabetes in adults aged 20 to 79 years has more than tripled since 2000, from an estimated 151 million (4.6% of the global population in this age group at the time) to 537 million (10.5%) today. If trends continue, the number will jump to a staggering 783 million (12.2%) by 2045. The number of adults with diabetes in the United States reached 32.2 million in 2021, while China has the largest numbers of adults with diabetes at 140.9 million. In 2021, approximately 6.7 million adults aged 20 to 79 are estimated to have died as a result of diabetes or its complications. According to American Diabetes Association (“ADA”), the total estimated cost of diagnosed diabetes in the United States increased to $327 billion in 2017, which included $237 billion in direct medical costs and $90 billion in reduced productivity.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newly diagnosed T2DM patients, treatment is focused on improving modifiable risk factors such as obesity, low physical activity and high caloric diet through patient education that includes instruction on maintaining a healthy lifestyle including nutritional counseling, avoiding excessive calories and rapidly absorbed carbohydrates, and physical exercise. Patients who are unable to achieve glycemic control through weight loss and/or lifestyle modifications should be started on single or combination glucose-lowering medications to lower their glycemic burden and reduce the risk of cardiovascular and other complications.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Obesity Disease Background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Obesity, defined as a body mass index (“BMI”) of </w:t>
      </w:r>
      <w:r>
        <w:rPr>
          <w:rFonts w:ascii="Arial;Helvetica;sans-serif" w:hAnsi="Arial;Helvetica;sans-serif"/>
          <w:sz w:val="20"/>
          <w:u w:val="single"/>
        </w:rPr>
        <w:t>&gt;</w:t>
      </w:r>
      <w:r>
        <w:rPr>
          <w:rFonts w:ascii="Arial;Helvetica;sans-serif" w:hAnsi="Arial;Helvetica;sans-serif"/>
          <w:sz w:val="20"/>
        </w:rPr>
        <w:t xml:space="preserve"> 30 kg/m</w:t>
      </w:r>
      <w:r>
        <w:rPr>
          <w:rFonts w:ascii="Arial;Helvetica;sans-serif" w:hAnsi="Arial;Helvetica;sans-serif"/>
          <w:sz w:val="15"/>
        </w:rPr>
        <w:t>2</w:t>
      </w:r>
      <w:r>
        <w:rPr>
          <w:rFonts w:ascii="Arial;Helvetica;sans-serif" w:hAnsi="Arial;Helvetica;sans-serif"/>
          <w:sz w:val="20"/>
        </w:rPr>
        <w:t>, is a major independent risk factor for T2DM. Approximately 90% of T2DM patients are considered either overweight with a BMI between 25.0 kg/m</w:t>
      </w:r>
      <w:r>
        <w:rPr>
          <w:rFonts w:ascii="Arial;Helvetica;sans-serif" w:hAnsi="Arial;Helvetica;sans-serif"/>
          <w:sz w:val="15"/>
        </w:rPr>
        <w:t>2</w:t>
      </w:r>
      <w:r>
        <w:rPr>
          <w:rFonts w:ascii="Arial;Helvetica;sans-serif" w:hAnsi="Arial;Helvetica;sans-serif"/>
          <w:sz w:val="20"/>
        </w:rPr>
        <w:t xml:space="preserve"> and 29.9 kg/m</w:t>
      </w:r>
      <w:r>
        <w:rPr>
          <w:rFonts w:ascii="Arial;Helvetica;sans-serif" w:hAnsi="Arial;Helvetica;sans-serif"/>
          <w:sz w:val="15"/>
        </w:rPr>
        <w:t>2</w:t>
      </w:r>
      <w:r>
        <w:rPr>
          <w:rFonts w:ascii="Arial;Helvetica;sans-serif" w:hAnsi="Arial;Helvetica;sans-serif"/>
          <w:sz w:val="20"/>
        </w:rPr>
        <w:t>, or obese with a BMI of 30 kg/m</w:t>
      </w:r>
      <w:r>
        <w:rPr>
          <w:rFonts w:ascii="Arial;Helvetica;sans-serif" w:hAnsi="Arial;Helvetica;sans-serif"/>
          <w:sz w:val="15"/>
        </w:rPr>
        <w:t>2</w:t>
      </w:r>
      <w:r>
        <w:rPr>
          <w:rFonts w:ascii="Arial;Helvetica;sans-serif" w:hAnsi="Arial;Helvetica;sans-serif"/>
          <w:sz w:val="20"/>
        </w:rPr>
        <w:t xml:space="preserve"> or greater. Worldwide obesity has nearly tripled between 1975 and 2016. As of 2020, 1.9 billion (39%) adults were overweight, including over 764 million (15%) adults who were obese. In men, being slightly overweight increased diabetes risk seven-fold and in women, being slightly overweight increased diabetes risk twelve-fold. Being obese increased the risk to 60-fold.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Obesity affects nearly one third of all adults in the United States and is associated with a range of comorbidities, such as T2DM, cardiovascular disease, obstructive sleep apnea, and cancer. Importantly, even modest weight reduction, on the order of five to ten percent, can significantly reduce comorbidities and improve health-related outcomes and has been recently recommended by the major scientific societies (European Association of the Study of Diabetes (“EASD”) and ADA). Obesity therefore represents an immense commercial opportunity with very few approved therapies on the market. The GLP-1R agonist semaglutide, approved for use in T2DM, has also been approved for weight management for which it is marketed under the brand name Wegovy, which is estimated to reach peak sales of $6.7 billion in 2026.</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Relationship Between T2DM and Obesity</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T2DM and obesity are not independent conditions, as the majority of patients with T2DM are obese. Observed increases in the prevalence of T2DM are related to the increasing prevalence of obesity and multiple mechanisms have been proposed through which they may be linked pathophysiologically. Upper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body and visceral fat are associated with T2DM, metabolic syndrome and cardiovascular disease. Obesity is a major contributor to poor metabolic control in patients with T2DM.</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Increasingly, weight reduction is seen as an important goal of therapy for patients with T2DM. Weight loss in the first year of treatment of T2DM has been associated with an increase in life expectancy. According to the ADA Standards of Medical Care in Diabetes—2022, management of obesity is an important factor in the treatment of diabetes since even a small degree of weight loss can improve control of blood sugar levels, resulting in a decreased need for glucose-lowering medications. Given this information, a therapy that can both lower blood glucose and help with weight management in T2DM could have near-term benefits in glycemic control and longer-term benefits in increased insulin sensitivity and reduction of cardiovascular risk.</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Current Treatments for T2DM</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First-line treatment for patients with T2DM involves lifestyle modifications and metformin. If glycemic control remains inadequate, an additional oral glucose lowering medication should be added. Options include sodium-glucose transport protein 2 inhibitors, dipeptidyl peptidase-4 inhibitors, and GLP-1R agonists. Current treatment algorithms suggest that GLP-1R agonists should be preferentially used after metformin failure in patients who are at high risk for, or who have established, atherosclerotic cardiovascular disease. Several scientific societies, including the EASD and ADA, recommend GLP-1R agonists as first line therapy in patients with established atherosclerotic cardiovascular disease or in those at high risk of developing disease. According to Global Data, Eli Lilly and Company (“Eli Lilly”), Novo Nordisk, Merck and Sanofi S.A. (“Sanofi”), have captured significant market share in the approximately $46.6 billion market for glucose-lowering agents in 2021, which is projected to grow to $60.5 billion by 2027 as depicted below.</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Historical and projected global type-2 diabetes drug sales by class</w:t>
      </w:r>
    </w:p>
    <w:p>
      <w:pPr>
        <w:pStyle w:val="TextBody"/>
        <w:spacing w:before="0" w:after="240"/>
        <w:ind w:left="0" w:right="0" w:hanging="0"/>
        <w:jc w:val="center"/>
        <w:rPr/>
      </w:pPr>
      <w:r>
        <w:rPr/>
        <w:drawing>
          <wp:inline distT="0" distB="0" distL="0" distR="0">
            <wp:extent cx="4632960" cy="2316480"/>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2"/>
                    <a:stretch>
                      <a:fillRect/>
                    </a:stretch>
                  </pic:blipFill>
                  <pic:spPr bwMode="auto">
                    <a:xfrm>
                      <a:off x="0" y="0"/>
                      <a:ext cx="4632960" cy="2316480"/>
                    </a:xfrm>
                    <a:prstGeom prst="rect">
                      <a:avLst/>
                    </a:prstGeom>
                  </pic:spPr>
                </pic:pic>
              </a:graphicData>
            </a:graphic>
          </wp:inline>
        </w:drawing>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Overview of GLP-1R Signaling Pathway and Target Biology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GLP-1 is an incretin peptide secreted in the intestinal tract in response to food intake. GLP-1 stimulates insulin secretion from pancreatic β-cells and inhibits glucagon secretion from pancreatic α-cells. GLP-1 receptors are located on various cell and tissue types including pancreatic β-cells, central and peripheral neurons, cells of the intestinal tract, vascular smooth muscle and endothelial cells, coronary arteries, and the sino-atrial node of the heart. Through actions at these receptors, GLP-1 and GLP-1R agonists have demonstrated widespread therapeutic effects in patients with diabetes, including stimulating insulin secretion and lowering blood glucose levels, slowing gastric emptying, reducing caloric intake, promoting weight loss, improving lipoprotein metabolism, lowering systolic blood pressure, improving complications from arteriosclerotic cardiovascular diseases, and reducing cardiovascular disease morbidity and mortality, as illustrated below.</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20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GLP-1R pathway and target biology</w:t>
      </w:r>
    </w:p>
    <w:p>
      <w:pPr>
        <w:pStyle w:val="TextBody"/>
        <w:spacing w:before="0" w:after="240"/>
        <w:ind w:left="0" w:right="0" w:hanging="0"/>
        <w:jc w:val="center"/>
        <w:rPr/>
      </w:pPr>
      <w:r>
        <w:rPr/>
        <w:drawing>
          <wp:inline distT="0" distB="0" distL="0" distR="0">
            <wp:extent cx="4632960" cy="2936240"/>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3"/>
                    <a:stretch>
                      <a:fillRect/>
                    </a:stretch>
                  </pic:blipFill>
                  <pic:spPr bwMode="auto">
                    <a:xfrm>
                      <a:off x="0" y="0"/>
                      <a:ext cx="4632960" cy="2936240"/>
                    </a:xfrm>
                    <a:prstGeom prst="rect">
                      <a:avLst/>
                    </a:prstGeom>
                  </pic:spPr>
                </pic:pic>
              </a:graphicData>
            </a:graphic>
          </wp:inline>
        </w:drawing>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Endogenous GLP-1 is rapidly degraded </w:t>
      </w:r>
      <w:r>
        <w:rPr>
          <w:rFonts w:ascii="Arial;Helvetica;sans-serif" w:hAnsi="Arial;Helvetica;sans-serif"/>
          <w:i/>
          <w:sz w:val="20"/>
        </w:rPr>
        <w:t>in vivo</w:t>
      </w:r>
      <w:r>
        <w:rPr>
          <w:rFonts w:ascii="Arial;Helvetica;sans-serif" w:hAnsi="Arial;Helvetica;sans-serif"/>
          <w:sz w:val="20"/>
        </w:rPr>
        <w:t xml:space="preserve"> by DPP-4, with a half-life of one to two minutes. The development of GLP-1R agonists for the treatment of diabetes and obesity has involved modifications to the GLP-1 peptide and/or conjugation to carrier compounds or matrices that delay degradation after subcutaneous administration.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five marketed GLP-1R agonists are synthetic peptides and include liraglutide and semaglutide marketed by Novo Nordisk; dulaglutide marketed by Eli Lilly; exenatide marketed primarily by AstraZeneca plc (“AstraZeneca”); and lixisenatide marketed by Sanofi. According to Global Data, these five GLP-1R peptides approved for T2DM and/or obesity collectively generated approximately $13.2 billion in worldwide sales in 2020, which is projected to reach $36.4 billion by 2026.</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Rybelsus is an oral formulation of semaglutide co-formulated with sodium N-8-(2-hydroxybenzoyl) amino caprylate to limit degradation and improve oral absorption. To date, there are no approved oral small molecule therapies targeting this pathway.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Common side effects of GLP-1R agonists include nausea, vomiting, and diarrhea, which are most pronounced when starting therapy or increasing the dose. Generally, these effects correlate with times of maximum drug concentrations and ameliorate with continued therapy. Typically, slow up-titration to the desired dose can mitigate these side effects. However, once-weekly injectable GLP-1R agonists typically require a long titration period to achieve an optimal dose, potentially delaying therapeutic benefit. Once-daily therapy with an oral small molecule may provide flexibility in titration and allow a combined approach with other oral therapies.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The Unmet Medical Need for Improved GLP-1R Therapeutics in Diabetes and Obesity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GLP-1R agonists provide multiple beneficial effects in patients with T2DM, including excellent glycemic control with low risk of hypoglycemia, weight loss and protection against cardiovascular and renal complications. However, we believe approved GLP-1R agonists have shortcomings in terms of patient convenience, ease of dosing, and cost.</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Injectable peptide GLP-1R agonist peptides require patients to self-inject, require inconvenient refrigerated storage and are costly. In addition, long acting GLP-1R agonists typically require long titration periods to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21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reach an optimal dose for disease management in order to avoid treatment-associated gastrointestinal side effects.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Oral semaglutide (Rybelsus), the first approved oral GLP-1R peptide agonist, provides an option for patients who are unable or unwilling to self-administer. However, Rybelsus requires a stringent dosing protocol and dosing with up to four ounces of water with no food or beverage within 30 minutes. Additionally, the product’s absorption enhancer may affect the absorption of other concomitantly administered oral medications.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believe there is an unmet medical need for orally administered GLP-1R agonists that meet or exceed efficacy and safety parameters of available drugs with less stringent preparation requirements. Such existing constraints include restrictive food or fluid dosing protocols, refrigeration, maintenance of effective concentrations throughout the dosing interval, without interfering with the absorption of concomitant medications and that offer the potential for combination products with other glucose lowering agents or other commonly co-administered therapies.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to glycemic control, weight management is increasingly viewed as important to the management of T2DM. Injectable GLP-1R agonists, liraglutide and semaglutide result in weight loss at doses approved for treatment of T2DM, while higher doses of each drug, indicated for chronic weight management, result in greater weight loss. At an appropriate dose, an oral GLP-1R agonist may play a role in managing both blood glucose and weight.</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Our Solution: Small Molecule GLP-1R Agonist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GLP-1, along with GIPR, comprise the incretin family, peptide hormones secreted into the blood by enteroendocrine cells in the gut, which play a role in glycemic control. We are taking a franchise approach to our GLP-1R programs by developing next generation GLP-1 agonists and potential GIPR modulators. Leveraging the depth of our GLP-1R/GIPR structure platform, proprietary compound library and deep biology and disease insights, we are advancing multiple generations of structurally distinct GLP-1R agonist molecules through lead optimization. Each molecule is designed to have a different tissue penetration profile and other incretin activities in order to maximize the value and/or realize the full potential offered by our in-house platform.</w:t>
      </w:r>
    </w:p>
    <w:p>
      <w:pPr>
        <w:pStyle w:val="TextBody"/>
        <w:spacing w:before="0" w:after="240"/>
        <w:ind w:left="0" w:right="0" w:hanging="0"/>
        <w:rPr>
          <w:rFonts w:ascii="Arial;Helvetica;sans-serif" w:hAnsi="Arial;Helvetica;sans-serif"/>
          <w:b w:val="false"/>
          <w:i/>
          <w:sz w:val="20"/>
        </w:rPr>
      </w:pPr>
      <w:r>
        <w:rPr>
          <w:rFonts w:ascii="Arial;Helvetica;sans-serif" w:hAnsi="Arial;Helvetica;sans-serif"/>
          <w:b w:val="false"/>
          <w:i/>
          <w:sz w:val="20"/>
        </w:rPr>
        <w:t>GSBR-1290</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developing GSBR-1290, a biased orally-available small molecule GLP-1R agonist, initially as a treatment for T2DM and obesity. Due to its significant preclinical activity and oral availability, we believe that GSBR-1290 has the potential to be a differentiated treatment with no restrictions on diet or concomitant therapies.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22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GSBR-1290 analog bound GLP-1R cryo-EM structure</w:t>
      </w:r>
    </w:p>
    <w:p>
      <w:pPr>
        <w:pStyle w:val="TextBody"/>
        <w:spacing w:before="0" w:after="240"/>
        <w:ind w:left="0" w:right="0" w:hanging="0"/>
        <w:jc w:val="center"/>
        <w:rPr/>
      </w:pPr>
      <w:r>
        <w:rPr/>
        <w:drawing>
          <wp:inline distT="0" distB="0" distL="0" distR="0">
            <wp:extent cx="3799840" cy="3180080"/>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4"/>
                    <a:stretch>
                      <a:fillRect/>
                    </a:stretch>
                  </pic:blipFill>
                  <pic:spPr bwMode="auto">
                    <a:xfrm>
                      <a:off x="0" y="0"/>
                      <a:ext cx="3799840" cy="3180080"/>
                    </a:xfrm>
                    <a:prstGeom prst="rect">
                      <a:avLst/>
                    </a:prstGeom>
                  </pic:spPr>
                </pic:pic>
              </a:graphicData>
            </a:graphic>
          </wp:inline>
        </w:drawing>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GSBR-1290 was designed through our internal structure-based drug discovery platform. As shown above, multiple small molecules bound to GLP-1R structures have been generated to guide iterative chemistry design efforts. GSBR-1290 is also designed to be a biased GPCR agonist, which only activates the G-protein pathway without β-arrestin signaling at therapeutic doses, thereby avoiding receptor internalization and de-sensitization. In an intravenous glucose tolerance test (“ivGTT”) in NHPs, GSBR-1290 increased glucose-dependent insulin secretion to a similar level achieved by liraglutide, an approved injectable GLP-1R agonist. In a repeat food intake study in NHPs, GSBR-1290 showed a significant decrease in body weight relative to the placebo and surpassed that seen with liraglutide.</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Preclinical Data, Pharmacology, and Biomarker Data</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NHP ivGTT studies, glucose was injected five minutes following intravenous administration of either GSBR-1290 (0.05 mg/kg) or liraglutide (0.1 mg/kg). Plasma samples were taken at indicated timepoints to evaluate insulin and glucose levels. GSBR-1290 demonstrated statistically significant decreases in blood glucose concentration via stimulation of insulin secretion in a glucose-dependent manner, similar to liraglutide which was dosed at an equivalent approved human dose.</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Robust activity in non-human primate acute ivGTT studies</w:t>
      </w:r>
    </w:p>
    <w:p>
      <w:pPr>
        <w:pStyle w:val="TextBody"/>
        <w:spacing w:before="0" w:after="240"/>
        <w:ind w:left="0" w:right="0" w:hanging="0"/>
        <w:jc w:val="center"/>
        <w:rPr/>
      </w:pPr>
      <w:r>
        <w:rPr/>
        <w:drawing>
          <wp:inline distT="0" distB="0" distL="0" distR="0">
            <wp:extent cx="4632960" cy="1412240"/>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5"/>
                    <a:stretch>
                      <a:fillRect/>
                    </a:stretch>
                  </pic:blipFill>
                  <pic:spPr bwMode="auto">
                    <a:xfrm>
                      <a:off x="0" y="0"/>
                      <a:ext cx="4632960" cy="1412240"/>
                    </a:xfrm>
                    <a:prstGeom prst="rect">
                      <a:avLst/>
                    </a:prstGeom>
                  </pic:spPr>
                </pic:pic>
              </a:graphicData>
            </a:graphic>
          </wp:inline>
        </w:drawing>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23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i/>
          <w:sz w:val="20"/>
        </w:rPr>
      </w:pPr>
      <w:r>
        <w:rPr>
          <w:rFonts w:ascii="Arial;Helvetica;sans-serif" w:hAnsi="Arial;Helvetica;sans-serif"/>
          <w:i/>
          <w:sz w:val="20"/>
        </w:rPr>
        <w:t>Data were presented as mean ± standard error of the mean (“SEM”); one-way ANOVA followed by Dunnett’s multiple comparisons test. *p&lt;0.05, **p&lt;0.01, ***p&lt;0.001 vs vehicle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shown below, in a seven day repeat oral dosing study in NHPs, GSBR-1290 was evaluated at once-daily oral doses of 2 mg/kg, 6 mg/kg, and 10 mg/kg and compared to placebo and liraglutide. Food intake was measured each day over the first six days of the study and reported as an average of these measurements. ivGTT and body weight were performed before dosing and on the sixth day (body weight) or seventh day (ivGTT) of post-dosing. At all doses of GSBR-1290, glucose reduction was shown to be statistically significantly different versus vehicle and comparable to liraglutide. Similarly, all doses increased insulin secretion significantly except at 6 mg/kg dose, which only achieved statistical p value at 0.055 due to a slightly greater data variability. At 6 mg/kg and 10 mg/kg, a statistically significant reduction of average food intake measured over the first six days of the study compared to vehicle was observed. At 10 mg/kg of GSBR-1290, the average food intake from Day 1 to Day 6 was only 59% relative to liraglutide group. GSBR-1290 at 6 mg/kg and 10 mg/kg also showed a significant decrease in body weight relative to placebo and surpassed liraglutide, with the highest dose of GSBR-1290 achieving more than eight percent reduction in average body weight versus baseline in one week.</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Seven day repeat oral dosing study in non-human primates</w:t>
      </w:r>
    </w:p>
    <w:p>
      <w:pPr>
        <w:pStyle w:val="TextBody"/>
        <w:spacing w:before="0" w:after="240"/>
        <w:ind w:left="0" w:right="0" w:hanging="0"/>
        <w:jc w:val="center"/>
        <w:rPr/>
      </w:pPr>
      <w:r>
        <w:rPr/>
        <w:drawing>
          <wp:inline distT="0" distB="0" distL="0" distR="0">
            <wp:extent cx="4572000" cy="2159000"/>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6"/>
                    <a:stretch>
                      <a:fillRect/>
                    </a:stretch>
                  </pic:blipFill>
                  <pic:spPr bwMode="auto">
                    <a:xfrm>
                      <a:off x="0" y="0"/>
                      <a:ext cx="4572000" cy="2159000"/>
                    </a:xfrm>
                    <a:prstGeom prst="rect">
                      <a:avLst/>
                    </a:prstGeom>
                  </pic:spPr>
                </pic:pic>
              </a:graphicData>
            </a:graphic>
          </wp:inline>
        </w:drawing>
      </w:r>
    </w:p>
    <w:p>
      <w:pPr>
        <w:pStyle w:val="TextBody"/>
        <w:spacing w:before="0" w:after="0"/>
        <w:ind w:left="0" w:right="0" w:hanging="0"/>
        <w:jc w:val="center"/>
        <w:rPr>
          <w:rFonts w:ascii="Arial;Helvetica;sans-serif" w:hAnsi="Arial;Helvetica;sans-serif"/>
          <w:i/>
          <w:sz w:val="20"/>
        </w:rPr>
      </w:pPr>
      <w:r>
        <w:rPr>
          <w:rFonts w:ascii="Arial;Helvetica;sans-serif" w:hAnsi="Arial;Helvetica;sans-serif"/>
          <w:i/>
          <w:sz w:val="20"/>
        </w:rPr>
        <w:t>Data were presented as mean ± SEM; one-way ANOVA followed by Dunnett’s multiple comparisons test.</w:t>
      </w:r>
    </w:p>
    <w:p>
      <w:pPr>
        <w:pStyle w:val="TextBody"/>
        <w:spacing w:before="0" w:after="240"/>
        <w:ind w:left="0" w:right="0" w:hanging="0"/>
        <w:jc w:val="center"/>
        <w:rPr>
          <w:rFonts w:ascii="Arial;Helvetica;sans-serif" w:hAnsi="Arial;Helvetica;sans-serif"/>
          <w:i/>
          <w:sz w:val="20"/>
        </w:rPr>
      </w:pPr>
      <w:r>
        <w:rPr>
          <w:rFonts w:ascii="Arial;Helvetica;sans-serif" w:hAnsi="Arial;Helvetica;sans-serif"/>
          <w:i/>
          <w:sz w:val="20"/>
        </w:rPr>
        <w:t>*p&lt;0.05, **p&lt;0.01, ***p&lt;0.001 vs vehicle</w:t>
      </w:r>
    </w:p>
    <w:p>
      <w:pPr>
        <w:pStyle w:val="TextBody"/>
        <w:spacing w:before="0" w:after="240"/>
        <w:ind w:left="0" w:right="0" w:hanging="0"/>
        <w:jc w:val="center"/>
        <w:rPr>
          <w:rFonts w:ascii="Arial;Helvetica;sans-serif" w:hAnsi="Arial;Helvetica;sans-serif"/>
          <w:i/>
          <w:sz w:val="20"/>
        </w:rPr>
      </w:pPr>
      <w:r>
        <w:rPr>
          <w:rFonts w:ascii="Arial;Helvetica;sans-serif" w:hAnsi="Arial;Helvetica;sans-serif"/>
          <w:i/>
          <w:sz w:val="20"/>
        </w:rPr>
        <w:t>In the description of our clinical trials and preclinical studies below and elsewhere in this Annual Report, n represents the number of participants in a particular group and p or p-values represent the probability that random chance caused the result (e.g., a p-value of 0.01 means that there is a 0.1% probability that the difference between the placebo group and the treatment group is purely due to random chance). A p-value of less than or equal to 0.05 is a commonly used criterion for statistical significance, and may be supportive of a finding of efficacy by regulatory authorities.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GSBR-1290 was demonstrated to be generally well tolerated based on its 28-day GLP toxicology studies with no-observed-adverse-effect level (“NOAEL”) dose at 1000 mg/kg/day in rats. The estimated therapeutic window is more than 1000-fold based in rats based on its 28-day GLP toxicology studies.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In addition, we conducted a preclinical comparison study of GSBR-1290 and PF-06882961, a clinical stage compound in development by Pfizer. Unlike GSBR-1290, PF-06882961 is a partially biased GLP-1R agonist, which could lead to de-sensitization of the receptor </w:t>
      </w:r>
      <w:r>
        <w:rPr>
          <w:rFonts w:ascii="Arial;Helvetica;sans-serif" w:hAnsi="Arial;Helvetica;sans-serif"/>
          <w:i/>
          <w:sz w:val="20"/>
        </w:rPr>
        <w:t>in vivo</w:t>
      </w:r>
      <w:r>
        <w:rPr>
          <w:rFonts w:ascii="Arial;Helvetica;sans-serif" w:hAnsi="Arial;Helvetica;sans-serif"/>
          <w:sz w:val="20"/>
        </w:rPr>
        <w:t xml:space="preserve">. In an experiment conducted in-house, GSBR-1290 demonstrated comparable </w:t>
      </w:r>
      <w:r>
        <w:rPr>
          <w:rFonts w:ascii="Arial;Helvetica;sans-serif" w:hAnsi="Arial;Helvetica;sans-serif"/>
          <w:i/>
          <w:sz w:val="20"/>
        </w:rPr>
        <w:t>in vivo</w:t>
      </w:r>
      <w:r>
        <w:rPr>
          <w:rFonts w:ascii="Arial;Helvetica;sans-serif" w:hAnsi="Arial;Helvetica;sans-serif"/>
          <w:sz w:val="20"/>
        </w:rPr>
        <w:t xml:space="preserve"> activity to PF-06882961 at a lower exposure. In the acute ivGTT studies, GSBR-1290 achieved similar activity to liraglutide at average concentration around 34 nanomolar (“nM”) (0.05 mg intravenous), comparing to a similar activity achieved by PF-06882961 in an in-house experiment at an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24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average concentration around 442 nM (0.3 mg intravenous). This suggests that the concentration needed to achieve full activity for GSBR-1290 is at a level much lower than that for PF-06882961. PF-06882961 has been studied in SAD and MAD studies with a maximum dose of 200 mg/BID to achieve maximum HbA1c activity and weight management.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In-house data showed that PF-06882961 was positive in a glutathione trapping assay. GSBR-1290 was inactive in this assay, suggesting reduced risks with long-term use. In addition, GSBR-1290 also did not show activity as a time dependent inhibitor (“TDI”) for cytochrome P450 3A4, or CYP3A4. PF-06882961 was reported as a CYP3A4 TDI, which, if confirmed in clinical trials, suggests the potential for interactions with the 30–50% of marketed drugs metabolized through this pathway.</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Phase 1 Healthy Volunteer Trial</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September 2022, we completed a first-in-human Phase 1 SAD study for GSBR-1290 in 48 healthy adult volunteers between the ages of 18 and 55. The objective was to assess drug safety, tolerability and PK. The study enrolled six cohorts of eight participants assigned to receive a single dose of GSBR-1290 or placebo in a 3:1 ratio. Doses ranged from 1 mg to 90 mg across the six cohorts. The fourth cohort received 15 mg administered either under a fed condition, which consisted of a standardized high fat breakfast, and under a fasted condition, in each case to characterize the effect of food on the PK of GSBR-1290. A schema of our Phase 1 SAD study is presented below:</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Schema of our GSBR-1290 Phase 1 SAD study in healthy volunteers</w:t>
      </w:r>
    </w:p>
    <w:p>
      <w:pPr>
        <w:pStyle w:val="TextBody"/>
        <w:spacing w:before="0" w:after="240"/>
        <w:ind w:left="0" w:right="0" w:hanging="0"/>
        <w:jc w:val="center"/>
        <w:rPr/>
      </w:pPr>
      <w:r>
        <w:rPr/>
        <w:drawing>
          <wp:inline distT="0" distB="0" distL="0" distR="0">
            <wp:extent cx="5334000" cy="2463800"/>
            <wp:effectExtent l="0" t="0" r="0" b="0"/>
            <wp:docPr id="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descr=""/>
                    <pic:cNvPicPr>
                      <a:picLocks noChangeAspect="1" noChangeArrowheads="1"/>
                    </pic:cNvPicPr>
                  </pic:nvPicPr>
                  <pic:blipFill>
                    <a:blip r:embed="rId17"/>
                    <a:stretch>
                      <a:fillRect/>
                    </a:stretch>
                  </pic:blipFill>
                  <pic:spPr bwMode="auto">
                    <a:xfrm>
                      <a:off x="0" y="0"/>
                      <a:ext cx="5334000" cy="2463800"/>
                    </a:xfrm>
                    <a:prstGeom prst="rect">
                      <a:avLst/>
                    </a:prstGeom>
                  </pic:spPr>
                </pic:pic>
              </a:graphicData>
            </a:graphic>
          </wp:inline>
        </w:drawing>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Phase 1 PK and PD Data in Healthy Volunteers</w:t>
      </w:r>
    </w:p>
    <w:p>
      <w:pPr>
        <w:pStyle w:val="TextBody"/>
        <w:spacing w:before="0" w:after="240"/>
        <w:ind w:left="0" w:right="0" w:hanging="0"/>
        <w:rPr>
          <w:rFonts w:ascii="Arial;Helvetica;sans-serif" w:hAnsi="Arial;Helvetica;sans-serif"/>
          <w:sz w:val="14"/>
        </w:rPr>
      </w:pPr>
      <w:r>
        <w:rPr>
          <w:rFonts w:ascii="Arial;Helvetica;sans-serif" w:hAnsi="Arial;Helvetica;sans-serif"/>
          <w:sz w:val="20"/>
        </w:rPr>
        <w:t>In the study, PK parameters of systemic exposure, C</w:t>
      </w:r>
      <w:r>
        <w:rPr>
          <w:rFonts w:ascii="Arial;Helvetica;sans-serif" w:hAnsi="Arial;Helvetica;sans-serif"/>
          <w:sz w:val="14"/>
        </w:rPr>
        <w:t xml:space="preserve">max </w:t>
      </w:r>
      <w:r>
        <w:rPr>
          <w:rFonts w:ascii="Arial;Helvetica;sans-serif" w:hAnsi="Arial;Helvetica;sans-serif"/>
          <w:sz w:val="20"/>
        </w:rPr>
        <w:t>and AUC, increased with doses of GSBR-1290 across the dose range from 1 mg to 90 mg GSBR-1290. GSBR-1290 exhibited supra dose proportionality from 1 mg to 30 mg followed by less than dose-proportional from 30 mg to 90 mg.</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 30mg dose AUC provided more than double the effective AUC0-24h required for glycemic control, derived from non-human primate PK/PD data. Food intake (high fat meal) was associated with a ~36%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25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14"/>
        </w:rPr>
      </w:pPr>
      <w:r>
        <w:rPr>
          <w:rFonts w:ascii="Arial;Helvetica;sans-serif" w:hAnsi="Arial;Helvetica;sans-serif"/>
          <w:sz w:val="20"/>
        </w:rPr>
        <w:t>decrease in the geometric mean C</w:t>
      </w:r>
      <w:r>
        <w:rPr>
          <w:rFonts w:ascii="Arial;Helvetica;sans-serif" w:hAnsi="Arial;Helvetica;sans-serif"/>
          <w:sz w:val="14"/>
        </w:rPr>
        <w:t xml:space="preserve">max </w:t>
      </w:r>
      <w:r>
        <w:rPr>
          <w:rFonts w:ascii="Arial;Helvetica;sans-serif" w:hAnsi="Arial;Helvetica;sans-serif"/>
          <w:sz w:val="20"/>
        </w:rPr>
        <w:t>but no significant change in mean AUC value, with 80% relative bioavailability, based on AUC compared with the fasted state.</w:t>
      </w:r>
    </w:p>
    <w:p>
      <w:pPr>
        <w:pStyle w:val="TextBody"/>
        <w:spacing w:before="0" w:after="240"/>
        <w:ind w:left="0" w:right="0" w:hanging="0"/>
        <w:jc w:val="center"/>
        <w:rPr/>
      </w:pPr>
      <w:r>
        <w:rPr/>
        <w:drawing>
          <wp:inline distT="0" distB="0" distL="0" distR="0">
            <wp:extent cx="4632960" cy="1818640"/>
            <wp:effectExtent l="0" t="0" r="0" b="0"/>
            <wp:docPr id="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 descr=""/>
                    <pic:cNvPicPr>
                      <a:picLocks noChangeAspect="1" noChangeArrowheads="1"/>
                    </pic:cNvPicPr>
                  </pic:nvPicPr>
                  <pic:blipFill>
                    <a:blip r:embed="rId18"/>
                    <a:stretch>
                      <a:fillRect/>
                    </a:stretch>
                  </pic:blipFill>
                  <pic:spPr bwMode="auto">
                    <a:xfrm>
                      <a:off x="0" y="0"/>
                      <a:ext cx="4632960" cy="1818640"/>
                    </a:xfrm>
                    <a:prstGeom prst="rect">
                      <a:avLst/>
                    </a:prstGeom>
                  </pic:spPr>
                </pic:pic>
              </a:graphicData>
            </a:graphic>
          </wp:inline>
        </w:drawing>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Phase 1 Safety Data in Healthy Volunteers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GSBR-1290 was shown to be generally well tolerated at all dose levels administrated in this Phase 1 SAD study.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No SAEs and no adverse changes in laboratory tests (including hematology, chemistry and coagulation) were observed. No trial stopping criteria were met. Adverse events (“AEs”) did not result in any early terminations or subject discontinuations from participation in this study.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Treatment-emergent AEs (“TEAEs”) were reported for 32 of 36 participants (89%) following fasted administration of GSBR-1290 and for 7 of 12 participants (58%) following administration of placebo, with a total of 109 TEAEs.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Following administration of GSBR-1290 in the fasted state, most TEAEs were classified as mild (69 of 109, or 63% of all TEAEs) in severity, with 34 TEAEs (31% of all TEAEs) classified as moderate in severity. Six TEAEs (6%) were classified as severe, including four events of vomiting, one event of nausea and one event of catheter site infection. There was an apparent dose-related trend in the severity of TEAEs following single doses of GSBR-1290, with severe TEAEs reported following the 60 mg and 90 mg doses of GSBR-1290, but not following low doses (1 mg, 10 mg, 15 mg). Occurrences in TEAEs of moderate intensity were also higher following higher dose range of GSBR-1290.</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following table shows an overall summary of TEAEs that were reported in the study.</w:t>
      </w:r>
    </w:p>
    <w:p>
      <w:pPr>
        <w:pStyle w:val="TextBody"/>
        <w:spacing w:before="0" w:after="240"/>
        <w:ind w:left="0" w:right="0" w:hanging="0"/>
        <w:jc w:val="center"/>
        <w:rPr/>
      </w:pPr>
      <w:r>
        <w:rPr/>
        <w:drawing>
          <wp:inline distT="0" distB="0" distL="0" distR="0">
            <wp:extent cx="5791200" cy="2133600"/>
            <wp:effectExtent l="0" t="0" r="0" b="0"/>
            <wp:docPr id="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8" descr=""/>
                    <pic:cNvPicPr>
                      <a:picLocks noChangeAspect="1" noChangeArrowheads="1"/>
                    </pic:cNvPicPr>
                  </pic:nvPicPr>
                  <pic:blipFill>
                    <a:blip r:embed="rId19"/>
                    <a:stretch>
                      <a:fillRect/>
                    </a:stretch>
                  </pic:blipFill>
                  <pic:spPr bwMode="auto">
                    <a:xfrm>
                      <a:off x="0" y="0"/>
                      <a:ext cx="5791200" cy="2133600"/>
                    </a:xfrm>
                    <a:prstGeom prst="rect">
                      <a:avLst/>
                    </a:prstGeom>
                  </pic:spPr>
                </pic:pic>
              </a:graphicData>
            </a:graphic>
          </wp:inline>
        </w:drawing>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26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Low dose GSBR-1290 includes 1 mg, 10 mg and 15 mg fasted and high dose GSBR-1290 includes 30 mg, 60 mg and 90 mg fasted.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If a participant had multiple occurrences of a TEAE, the participant was presented only once in the Participant count for a given Preferred Term. Occurrences were counted each time.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There was no notable difference in the overall incidence or severity of treatment-related AEs under fasted and fed administration of GSBR-1290 at a dose level of 15 mg. There was a higher incidence of related TEAEs of vomiting and headache following fasted administration (three of six participants, or 50%) compared to fed administration (one of six participants, or 17%).</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most common TEAEs reported in at least four of 36 participants (&gt;10%) who received GSBR-1290 were nausea, headache, vomiting, dehydration, decreased appetite, dizziness, and diarrhea.</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Across the various dose levels, there were apparent dose-related trends in the overall incidence of common TEAEs. The incidence of the TEAEs described above was notably higher following fasted administration of the high dose GSBR-1290 treatments (30 mg, 60 mg, 90 mg) than the low dose GSBR-1290 treatments (1 mg, 10 mg, 15 mg) and placebo, with a similar observation in treatment-related AEs of nausea, vomiting, dehydration, and headache of at least moderate severity.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believe all TEAEs observed during the study are in line with the proposed treatment mechanism and typically derive from impacts on appetite, nausea, and vomiting. There was an apparent increasing trend in heart rate over time in both low (1 mg, 10 mg, 15 mg) and high dose (30 mg, 60 mg, 90 mg) GSBR-1290 groups. This increase appeared to peak at 12 hours post-dose and was notably larger in the high dose GSBR-1290 groups. Increases in heart rate over time were observed in the pooled placebo group but to a much lesser extent.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summary, GSBR-1290 was shown to be generally well tolerated when administered as a single dose of up to 90 mg. However, there were dose-related trends in the incidence, severity and causality of TEAEs, particularly GI related TEAEs, consistent with what has been previously reported in clinical trials involving the GLP-1RA class of drugs. There were no treatment-related AEs reported in patients who received placebo.</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PK parameters of systemic exposure increased with dose of GSBR-1290 across the dose range from 1 mg to 90 mg GSBR-1290.</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Non-clinical Safety Pharmacology and Toxicology Studies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 standard battery of nonclinical safety pharmacology studies (central nervous system, cardiovascular and respiratory) has been completed with GSBR-1290 with no findings anticipated to be of clinical relevance. Genotoxicity assessments demonstrated an absence of genotoxicity potential.</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the 4-week and 13-week GLP toxicology study in rats, the NOAEL dose was considered to be 1000 mg/kg/day, the highest dose tested. In the 4-week and 13-week GLP toxicology study in NHPs, GSBR-1290 showed pharmacologically related events such as inappetence and bodyweight loss, which were reversible with sufficient recovery periods. There were no GSBR-1290-related deaths during the course of study and no GSBR-1290-related changes in organ weights, gross and histopathology examinations at the end of the dosing and recovery periods. In the 13-week study, NHPs of both sexes in all dose groups, including in the control group, had minimal to moderate multifocal necrosis/infiltration in the liver. The root cause of these liver abnormalities was not determined, but these findings were considered unrelated to GSBR-1290. The FDA reviewed our 13-week GLP toxicology studies in rats and NHPs and agreed that these liver abnormalities were not considered a new non-clinical safety signal related to GSBR-1290.</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nonclinical animal models, GSBR-1290 demonstrated statistically significant decreases in blood glucose concentration and increases of insulin secretion.</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27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have initiated the 26-week chronic toxicology studies in rats and 39-week studies in NHP and embryo-fetal development studies that we believe will be required by regulatory agencies to continue dosing beyond 13 weeks in Phase 2b.</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Phase 1b MAD study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submitted an IND to the FDA to support initiation of a GSBR 1290 Phase 1b MAD study and received FDA allowance in September 2022. After initiation in January 2023, we enrolled 24 healthy overweight or obese subjects between the ages of 18 and 55. The primary objective is to assess drug safety and tolerability. The secondary objectives are to evaluate PK and PD and determine the starting dose for titration and help define the titration scheme including the dose level and duration of steps. The study enrolled three cohorts of eight participants who received multiple ascending doses of GSBR 1290 or placebo in a 6:2 ratio. We completed dosing of Cohorts 1 through 3 in March 2023. Cohort 1 doses started at 5 mg daily and escalated up to 60 mg weekly over four weeks. Cohort 2 doses started at 10 mg and escalated up to 90 mg daily over four weeks. Cohort 3 doses started at 10 mg for two weeks and escalated to 30 mg for an additional two weeks. A schema of our Phase 1b MAD study is presented below:</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Schema of our GSBR-1290 Phase 1b MAD study in healthy overweight/obese subjects</w:t>
      </w:r>
    </w:p>
    <w:p>
      <w:pPr>
        <w:pStyle w:val="TextBody"/>
        <w:spacing w:before="0" w:after="240"/>
        <w:ind w:left="0" w:right="0" w:hanging="0"/>
        <w:jc w:val="center"/>
        <w:rPr/>
      </w:pPr>
      <w:r>
        <w:rPr/>
        <w:drawing>
          <wp:inline distT="0" distB="0" distL="0" distR="0">
            <wp:extent cx="5689600" cy="1384300"/>
            <wp:effectExtent l="0" t="0" r="0" b="0"/>
            <wp:docPr id="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9" descr=""/>
                    <pic:cNvPicPr>
                      <a:picLocks noChangeAspect="1" noChangeArrowheads="1"/>
                    </pic:cNvPicPr>
                  </pic:nvPicPr>
                  <pic:blipFill>
                    <a:blip r:embed="rId20"/>
                    <a:stretch>
                      <a:fillRect/>
                    </a:stretch>
                  </pic:blipFill>
                  <pic:spPr bwMode="auto">
                    <a:xfrm>
                      <a:off x="0" y="0"/>
                      <a:ext cx="5689600" cy="1384300"/>
                    </a:xfrm>
                    <a:prstGeom prst="rect">
                      <a:avLst/>
                    </a:prstGeom>
                  </pic:spPr>
                </pic:pic>
              </a:graphicData>
            </a:graphic>
          </wp:inline>
        </w:drawing>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Phase 2a proof-of-concept study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plan to submit a protocol amendment to initiate a Phase 2a proof-of-concept portion of the study in T2DM and healthy overweight or obese subjects and expect to report initial data in the second half of 2023. The primary objective is to assess safety and tolerability of GSBR 1290 in healthy obese subjects and T2DM subjects. Secondary objectives include assessing changes in body weight, HbA1c and other PD measures in T2DM subjects as well as changes in body weight in healthy overweight or obese subjects. The exploratory objectives are to assess metabolite formation.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Phase 2a part of the study will enroll at least 69 subjects, which number may increase based upon the final study design. Approximately 54 T2DM subjects will be randomized in three groups to receive GSBR 1290 45 mg or 90 mg or placebo. There will be a four week titration period followed by eight weeks of daily treatment at the target dose.</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In addition, at least 15 healthy overweight or obese subjects will receive GSBR 1290 or placebo or, after a four week titration period, GSBR 1290 90 mg daily for two to four weeks followed by 120 mg daily for four to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28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six weeks, depending on the final study design. We may make additional modifications to the initial study design when we submit our final protocol amendment to the FDA.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also anticipate initiating a Phase 2b study in 2024, subject to favorable results in the Phase 2a study. A schema of our Phase 2a proof-of-concept study is presented below:</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Schema of our GSBR-1290 Phase 2a proof-of-concept study in T2DM and healthy overweight/obese subjects</w:t>
      </w:r>
    </w:p>
    <w:p>
      <w:pPr>
        <w:pStyle w:val="TextBody"/>
        <w:spacing w:before="0" w:after="240"/>
        <w:ind w:left="0" w:right="0" w:hanging="0"/>
        <w:jc w:val="center"/>
        <w:rPr/>
      </w:pPr>
      <w:r>
        <w:rPr/>
        <w:drawing>
          <wp:inline distT="0" distB="0" distL="0" distR="0">
            <wp:extent cx="5791200" cy="1651000"/>
            <wp:effectExtent l="0" t="0" r="0" b="0"/>
            <wp:docPr id="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0" descr=""/>
                    <pic:cNvPicPr>
                      <a:picLocks noChangeAspect="1" noChangeArrowheads="1"/>
                    </pic:cNvPicPr>
                  </pic:nvPicPr>
                  <pic:blipFill>
                    <a:blip r:embed="rId21"/>
                    <a:stretch>
                      <a:fillRect/>
                    </a:stretch>
                  </pic:blipFill>
                  <pic:spPr bwMode="auto">
                    <a:xfrm>
                      <a:off x="0" y="0"/>
                      <a:ext cx="5791200" cy="1651000"/>
                    </a:xfrm>
                    <a:prstGeom prst="rect">
                      <a:avLst/>
                    </a:prstGeom>
                  </pic:spPr>
                </pic:pic>
              </a:graphicData>
            </a:graphic>
          </wp:inline>
        </w:drawing>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Next Generation GLP-1R Program</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our next generation GLP-1R program, we have identified hits for small molecule dual GLP-1R/GIPR modulation and we are planning to select a development candidate in 2024. We believe GLP-1R/GIPR modulation has the potential to provide a differentiated treatment in diabetes and obesity.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Recent third-party clinical data showed tirzepatide, a GLP-1R/GIPR modulator, was superior to semaglutide with respect to glycemic control. The glycated hemoglobin level target of less than 5.7% (normoglycemia) was met in 27 to 46% of the T2DM patients who received tirzepatide compared to 19% of those who received semaglutide. The body weight reduction and gastrointestinal related side effects were similar to the GLP-1R agonists. In addition, many patients who received tirzepatide were noted to have improved biomarkers of insulin sensitivity.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have obtained both GIP and tirzepatide bound GIPR structures along with GLP-1R structures to guide our small molecular design.</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Multiple Structures of ligand bound GLP-1R, GIPR, GCGR</w:t>
      </w:r>
    </w:p>
    <w:p>
      <w:pPr>
        <w:pStyle w:val="TextBody"/>
        <w:spacing w:before="0" w:after="240"/>
        <w:ind w:left="0" w:right="0" w:hanging="0"/>
        <w:jc w:val="center"/>
        <w:rPr/>
      </w:pPr>
      <w:r>
        <w:rPr/>
        <w:drawing>
          <wp:inline distT="0" distB="0" distL="0" distR="0">
            <wp:extent cx="5791200" cy="1955800"/>
            <wp:effectExtent l="0" t="0" r="0" b="0"/>
            <wp:docPr id="3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1" descr=""/>
                    <pic:cNvPicPr>
                      <a:picLocks noChangeAspect="1" noChangeArrowheads="1"/>
                    </pic:cNvPicPr>
                  </pic:nvPicPr>
                  <pic:blipFill>
                    <a:blip r:embed="rId22"/>
                    <a:stretch>
                      <a:fillRect/>
                    </a:stretch>
                  </pic:blipFill>
                  <pic:spPr bwMode="auto">
                    <a:xfrm>
                      <a:off x="0" y="0"/>
                      <a:ext cx="5791200" cy="1955800"/>
                    </a:xfrm>
                    <a:prstGeom prst="rect">
                      <a:avLst/>
                    </a:prstGeom>
                  </pic:spPr>
                </pic:pic>
              </a:graphicData>
            </a:graphic>
          </wp:inline>
        </w:drawing>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29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shown above, representative three-dimensional structures of the incretin GPCRs (</w:t>
      </w:r>
      <w:r>
        <w:rPr>
          <w:rFonts w:ascii="Arial;Helvetica;sans-serif" w:hAnsi="Arial;Helvetica;sans-serif"/>
          <w:i/>
          <w:sz w:val="20"/>
        </w:rPr>
        <w:t>e.g.</w:t>
      </w:r>
      <w:r>
        <w:rPr>
          <w:rFonts w:ascii="Arial;Helvetica;sans-serif" w:hAnsi="Arial;Helvetica;sans-serif"/>
          <w:sz w:val="20"/>
        </w:rPr>
        <w:t>, GIPR, GLP-1R, Glucagon receptor) are available for structure-based drug discovery. This structural data enables the ability to design dual and tri modulators of this important class of metabolic GPCRs. The GIPR model shown below suggests that one of our dual GLP-1/GIPR agonists may extend to fill the pocket (highlighted in color) occupied by our GLP-1/GIPR agonist hits. Multiple approaches were applied for hit identification, including a screen of our proprietary incretin compound library. Weak antagonists and agonists were identified. After several rounds of structure activity relationship evolution, a full potential GLP-1R/GIPR antagonist and initial dual GLP-1R/GIPR agonist hit leading to the discovery of an optimized dual GLP-1R/GIPR agonist hit. While displaying different GIPR activity, both compounds still maintained certain levels of GLP-1R activities.</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Next generation dual incretin GLP-1R/GIPR agonist hits identified</w:t>
      </w:r>
    </w:p>
    <w:p>
      <w:pPr>
        <w:pStyle w:val="TextBody"/>
        <w:spacing w:before="0" w:after="240"/>
        <w:ind w:left="0" w:right="0" w:hanging="0"/>
        <w:jc w:val="center"/>
        <w:rPr/>
      </w:pPr>
      <w:r>
        <w:rPr/>
        <w:drawing>
          <wp:inline distT="0" distB="0" distL="0" distR="0">
            <wp:extent cx="5791200" cy="2603500"/>
            <wp:effectExtent l="0" t="0" r="0" b="0"/>
            <wp:docPr id="3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2" descr=""/>
                    <pic:cNvPicPr>
                      <a:picLocks noChangeAspect="1" noChangeArrowheads="1"/>
                    </pic:cNvPicPr>
                  </pic:nvPicPr>
                  <pic:blipFill>
                    <a:blip r:embed="rId23"/>
                    <a:stretch>
                      <a:fillRect/>
                    </a:stretch>
                  </pic:blipFill>
                  <pic:spPr bwMode="auto">
                    <a:xfrm>
                      <a:off x="0" y="0"/>
                      <a:ext cx="5791200" cy="2603500"/>
                    </a:xfrm>
                    <a:prstGeom prst="rect">
                      <a:avLst/>
                    </a:prstGeom>
                  </pic:spPr>
                </pic:pic>
              </a:graphicData>
            </a:graphic>
          </wp:inline>
        </w:drawing>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Our LPA1R and APJR Program for the Treatment of IPF</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developing LTSE-2578, an investigational oral small molecule LPA1R antagonist for the treatment of IPF. We believe LTSE-2578 is a differentiated molecule because it demonstrated potent in vitro and in vivo activity in preclinical IPF models and dose dependent inhibition of histamine release as the pharmacodynamic marker. In addition, we are developing ANPA-0073, an investigational oral small molecule APJR agonist, for the treatment of IPF. When compared to a non-biased APJR agonist (Apelin-12) in a preclinical study, ANPA-0073 avoided hypotension. In September 2022, we completed a Phase 1 SAD and MAD study evaluating ANPA-0073, in which it was generally well tolerated in healthy human volunteers. We expect to conduct additional preclinical studies to be followed by a Phase 1 formulation bridging PK study in Australia. We also plan to initiate a Phase 2 study in 2024 in the United States.</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IPF Disease Background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IPF is a life-threatening chronic interstitial lung disease characterized by progressive fibrosis of lung tissue leading to impaired blood oxygenation, progressive deterioration in lung function, and ultimately respiratory failure. IPF occurs primarily among patients between the ages of 50 and 70 years and is associated with high mortality, with median survival time between three- and five-years following diagnosis. Estimated prevalence of IPF is 13 to 20 per 100,000 people worldwide. In the United States, approximately 100,000 people are affected, and 30,000 to 40,000 new cases are diagnosed each year.</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30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Normal lungs (A) and lungs with IPF (B)</w:t>
      </w:r>
    </w:p>
    <w:p>
      <w:pPr>
        <w:pStyle w:val="TextBody"/>
        <w:spacing w:before="0" w:after="240"/>
        <w:ind w:left="0" w:right="0" w:hanging="0"/>
        <w:jc w:val="center"/>
        <w:rPr/>
      </w:pPr>
      <w:r>
        <w:rPr/>
        <w:drawing>
          <wp:inline distT="0" distB="0" distL="0" distR="0">
            <wp:extent cx="4632960" cy="1666240"/>
            <wp:effectExtent l="0" t="0" r="0" b="0"/>
            <wp:docPr id="3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3" descr=""/>
                    <pic:cNvPicPr>
                      <a:picLocks noChangeAspect="1" noChangeArrowheads="1"/>
                    </pic:cNvPicPr>
                  </pic:nvPicPr>
                  <pic:blipFill>
                    <a:blip r:embed="rId24"/>
                    <a:stretch>
                      <a:fillRect/>
                    </a:stretch>
                  </pic:blipFill>
                  <pic:spPr bwMode="auto">
                    <a:xfrm>
                      <a:off x="0" y="0"/>
                      <a:ext cx="4632960" cy="1666240"/>
                    </a:xfrm>
                    <a:prstGeom prst="rect">
                      <a:avLst/>
                    </a:prstGeom>
                  </pic:spPr>
                </pic:pic>
              </a:graphicData>
            </a:graphic>
          </wp:inline>
        </w:drawing>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etiology of IPF remains unknown. IPF is a progressive disease, beginning with inflammation followed by fibrotic buildup as damaged epithelial cells surrounding the alveoli are replaced by fibroblasts, as shown above. Buildup of fibroblasts cause the lungs to thicken over time, becoming stiff and unable to properly function. In addition to complications from the disease itself, IPF can lead to other severe co-morbidities, including lung cancer, pulmonary embolisms, pneumonia or PH.</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most common symptoms of IPF are shortness of breath, persistent cough, fatigue, and weight loss, severely impacting quality of life. Given the non-specific nature of these symptoms, IPF is challenging to diagnose, particularly in the early stages of disease.</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Current Treatments for IPF and Unmet Medical Need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Currently, there are two FDA-approved drugs for the treatment of IPF, Esbriet (pirfenidone) and Ofev (nintedanib).</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Pirfenidone exhibits anti-fibrotic, anti-inflammatory and antioxidant properties through down-regulation of key pro-fibrotic growth factors including TGF-β, inhibition of inflammatory cytokines production and release and reduction of lipid peroxidation and oxidative stress. In Phase 3 trials, pirfenidone slowed disease progression and functional decline in patients with IPF and showed a reduced risk of mortality. Common adverse effects of pirfenidone include gastrointestinal intolerance such as nausea, diarrhea and dyspepsia and skin reactions, including rash and photosensitivity.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Nintedanib is an intracellular inhibitor that targets multiple tyrosine kinase growth factor receptors (vascular endothelial growth factor receptors 1-3, fibroblast growth factor receptors 1-3, and platelet-derived growth factor receptors α and β). By inhibiting these receptors, nintedanib interferes with processes implicated in IPF pathogenesis, including proliferation and migration of lung fibroblasts, and differentiation of fibroblasts to myofibroblasts. Nintedanib may also have a mortality benefit. Its most frequent side effects are diarrhea and nausea.</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Both drugs are recommended by the most recent treatment guidelines from 2015. These therapeutics slow disease progression, but do not offer a cure. The two-year mortality rate is 36% and 39% after treatment of nintedanib and pirfenidone respectively. Safety and tolerability concerns, which resulted in a 20% to 30% discontinuation rate due to side effects, limit therapeutic usage and there remains an unmet medical need for IPF patients. Despite these limitations, these two drugs have generated total sales of $3.6 billion in 2020.</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Overview of LPA1R Pathway and Target Biology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Lysophosphatidic acid (“LPA”) is a bioactive lipid which exerts potent extracellular signaling through its interaction with several GPCRs, mediating important cellular responses, such as proliferation, migration, and cytoskeletal reorganization.</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31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LPA/LPA1R in IPF pathogenesis</w:t>
      </w:r>
    </w:p>
    <w:p>
      <w:pPr>
        <w:pStyle w:val="TextBody"/>
        <w:spacing w:before="0" w:after="240"/>
        <w:ind w:left="0" w:right="0" w:hanging="0"/>
        <w:jc w:val="center"/>
        <w:rPr/>
      </w:pPr>
      <w:r>
        <w:rPr/>
        <w:drawing>
          <wp:inline distT="0" distB="0" distL="0" distR="0">
            <wp:extent cx="3474720" cy="2849880"/>
            <wp:effectExtent l="0" t="0" r="0" b="0"/>
            <wp:docPr id="3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4" descr=""/>
                    <pic:cNvPicPr>
                      <a:picLocks noChangeAspect="1" noChangeArrowheads="1"/>
                    </pic:cNvPicPr>
                  </pic:nvPicPr>
                  <pic:blipFill>
                    <a:blip r:embed="rId25"/>
                    <a:stretch>
                      <a:fillRect/>
                    </a:stretch>
                  </pic:blipFill>
                  <pic:spPr bwMode="auto">
                    <a:xfrm>
                      <a:off x="0" y="0"/>
                      <a:ext cx="3474720" cy="2849880"/>
                    </a:xfrm>
                    <a:prstGeom prst="rect">
                      <a:avLst/>
                    </a:prstGeom>
                  </pic:spPr>
                </pic:pic>
              </a:graphicData>
            </a:graphic>
          </wp:inline>
        </w:drawing>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shown above, upon injury to certain cells in the lung, LPA levels increase and activate LPA1R. In published third-party preclinical studies, LPA1R activation promoted pro-fibrotic processes, including accumulation of fibroblasts; genetic or PD inhibition of LPA1R attenuated bleomycin induced lung fibrosis by mediating fibroblast recruitment and vascular leak.</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believe that LPA1R has been clinically validated as a potential target based on proof-of-concept data from a third-party, randomized, double blind, placebo-controlled Phase 2 trial of an LPA1R antagonist (BMS-986020) in patients with IPF. Patients in the 600mg BID cohort exhibited significantly slower rates of forced vital capacity decline from baseline to 26 weeks versus placebo. Although the compound was generally well tolerated, dose-related hepatobiliary toxicity in some patients led to early termination of the trial. After conducting additional toxicology investigations, BMS reported that hepatobiliary toxicity was likely caused by inhibition of bile acids efflux transporters such as Bile Salt Export Pump (“BSEP”). Second generation LPA1R antagonists (BMS-986278) with minimal BSEP inhibition by BMS are currently in clinical development.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illustrated below, we utilized the available protein structural information to collaborate with Schrödinger. After validation and customization with an initial set of compounds for retrospective analysis, Schrödinger’s FEP was utilized and suggested potency in the prospective analysis. This customized model greatly expedited the iterative lead optimization process and helped us to achieve candidate selection efficiently.</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32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Iterative LPA1R Structure-Based Drug Discovery</w:t>
      </w:r>
    </w:p>
    <w:p>
      <w:pPr>
        <w:pStyle w:val="TextBody"/>
        <w:spacing w:before="0" w:after="240"/>
        <w:ind w:left="0" w:right="0" w:hanging="0"/>
        <w:jc w:val="center"/>
        <w:rPr/>
      </w:pPr>
      <w:r>
        <w:rPr/>
        <w:drawing>
          <wp:inline distT="0" distB="0" distL="0" distR="0">
            <wp:extent cx="3783330" cy="2548890"/>
            <wp:effectExtent l="0" t="0" r="0" b="0"/>
            <wp:docPr id="3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5" descr=""/>
                    <pic:cNvPicPr>
                      <a:picLocks noChangeAspect="1" noChangeArrowheads="1"/>
                    </pic:cNvPicPr>
                  </pic:nvPicPr>
                  <pic:blipFill>
                    <a:blip r:embed="rId26"/>
                    <a:stretch>
                      <a:fillRect/>
                    </a:stretch>
                  </pic:blipFill>
                  <pic:spPr bwMode="auto">
                    <a:xfrm>
                      <a:off x="0" y="0"/>
                      <a:ext cx="3783330" cy="2548890"/>
                    </a:xfrm>
                    <a:prstGeom prst="rect">
                      <a:avLst/>
                    </a:prstGeom>
                  </pic:spPr>
                </pic:pic>
              </a:graphicData>
            </a:graphic>
          </wp:inline>
        </w:drawing>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Preclinical Data</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In an </w:t>
      </w:r>
      <w:r>
        <w:rPr>
          <w:rFonts w:ascii="Arial;Helvetica;sans-serif" w:hAnsi="Arial;Helvetica;sans-serif"/>
          <w:i/>
          <w:sz w:val="20"/>
        </w:rPr>
        <w:t>in vivo</w:t>
      </w:r>
      <w:r>
        <w:rPr>
          <w:rFonts w:ascii="Arial;Helvetica;sans-serif" w:hAnsi="Arial;Helvetica;sans-serif"/>
          <w:sz w:val="20"/>
        </w:rPr>
        <w:t xml:space="preserve"> PK and PD study, mice were orally dosed with LTSE-2578 and challenged by LPA at one hour and at 12 hours after dosing. Plasma was collected at two minutes post-LPA challenge and histamine level was measured as a pharmacodynamics biomarker. As shown below, LTSE-2578 demonstrated reductions in histamine release at doses ≥ 0.06 mg/kg, as compared to approximately 45 ng/mL and approximately 201 ng/mL for BMS’s first generation (BMS-986020) and second generation (BMS-986278) LPA1R antagonists, respectively.</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LTSE-2578 demonstrated dose dependent inhibition of histamine release</w:t>
      </w:r>
    </w:p>
    <w:p>
      <w:pPr>
        <w:pStyle w:val="TextBody"/>
        <w:spacing w:before="0" w:after="240"/>
        <w:ind w:left="0" w:right="0" w:hanging="0"/>
        <w:jc w:val="center"/>
        <w:rPr/>
      </w:pPr>
      <w:r>
        <w:rPr/>
        <w:drawing>
          <wp:inline distT="0" distB="0" distL="0" distR="0">
            <wp:extent cx="4053840" cy="3013710"/>
            <wp:effectExtent l="0" t="0" r="0" b="0"/>
            <wp:docPr id="3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6" descr=""/>
                    <pic:cNvPicPr>
                      <a:picLocks noChangeAspect="1" noChangeArrowheads="1"/>
                    </pic:cNvPicPr>
                  </pic:nvPicPr>
                  <pic:blipFill>
                    <a:blip r:embed="rId27"/>
                    <a:stretch>
                      <a:fillRect/>
                    </a:stretch>
                  </pic:blipFill>
                  <pic:spPr bwMode="auto">
                    <a:xfrm>
                      <a:off x="0" y="0"/>
                      <a:ext cx="4053840" cy="3013710"/>
                    </a:xfrm>
                    <a:prstGeom prst="rect">
                      <a:avLst/>
                    </a:prstGeom>
                  </pic:spPr>
                </pic:pic>
              </a:graphicData>
            </a:graphic>
          </wp:inline>
        </w:drawing>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33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LTSE-2578 showed limited inhibition (IC50 &gt; 50 μ M) of efflux transporters including BSEP, MRP3 and MRP4, potentially reducing the likelihood of hepatobiliary toxicity caused by efflux transporter inhibition. IND-enabling studies of LTSE-2578 are ongoing with data expected in the second half of 2023.</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Overview of APJR Pathway and Target Biology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apelinergic system plays a key role in the maintenance of vascular health and function through regulation of fibrosis, cell proliferation and inflammation. APJR is highly expressed in the pulmonary vascular endothelium and is upregulated on endothelial cells in IPF patients. Further, activation of the apelinergic system through APJR has been shown to protect endothelial cell survival, and is critical for regeneration of the small capillary blood vessels. These findings support the possibility that an APJR agonist may play a beneficial role in interstitial lung disease.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Apelin binding to APJR activates G-protein second messenger signaling and leads to reduced production of cyclic adenosine monophosphate (“cAMP”). Apelin binding to APJR also initiates a feedback loop that eventually downregulates apelin-APJR signaling by recruitment of β-arrestin and subsequent internalization of APJR. In addition, recruitment of β-arrestin triggers downstream pathways that induce vasorelaxation and cardiomyocyte hypertrophy. Therefore, the degree of activation by designed ligands of G-protein and β-arrestin signaling pathway may lead to both therapeutic benefit and undesirable effects.</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Importance of endothelial cells on pulmonary fibrosis</w:t>
      </w:r>
    </w:p>
    <w:p>
      <w:pPr>
        <w:pStyle w:val="TextBody"/>
        <w:spacing w:before="0" w:after="240"/>
        <w:ind w:left="0" w:right="0" w:hanging="0"/>
        <w:jc w:val="center"/>
        <w:rPr/>
      </w:pPr>
      <w:r>
        <w:rPr/>
        <w:drawing>
          <wp:inline distT="0" distB="0" distL="0" distR="0">
            <wp:extent cx="4053840" cy="3253740"/>
            <wp:effectExtent l="0" t="0" r="0" b="0"/>
            <wp:docPr id="3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7" descr=""/>
                    <pic:cNvPicPr>
                      <a:picLocks noChangeAspect="1" noChangeArrowheads="1"/>
                    </pic:cNvPicPr>
                  </pic:nvPicPr>
                  <pic:blipFill>
                    <a:blip r:embed="rId28"/>
                    <a:stretch>
                      <a:fillRect/>
                    </a:stretch>
                  </pic:blipFill>
                  <pic:spPr bwMode="auto">
                    <a:xfrm>
                      <a:off x="0" y="0"/>
                      <a:ext cx="4053840" cy="3253740"/>
                    </a:xfrm>
                    <a:prstGeom prst="rect">
                      <a:avLst/>
                    </a:prstGeom>
                  </pic:spPr>
                </pic:pic>
              </a:graphicData>
            </a:graphic>
          </wp:inline>
        </w:drawing>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shown above, while epithelial cell damage and the inflammatory response are known contributors to fibrosis, recent studies have highlighted the importance of endothelial cells on pulmonary fibrosis. Microvascular injuries are observed in patients with pulmonary fibrosis. Persistent vascular leak may support a pro-inflammatory and pro-fibrotic environment. Endothelial senescence is found in the lung of IPF patients. Senescent endothelial cells could secrete factors that directly stimulate fibroblast activation. Targeting apelin pathway may promote capillary regeneration, ameliorate the inflammatory environment, and reduce endothelial senescence, in this way reducing lung fibrosis. Since an APJR agonist mainly targets endothelial cells, we believe it could be easily combined with the current standard of care, pirfenidone and ninetedanib, which do not target the anti-fibrosis pathway from endothelial cells.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34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val="false"/>
          <w:i/>
          <w:sz w:val="20"/>
        </w:rPr>
      </w:pPr>
      <w:r>
        <w:rPr>
          <w:rFonts w:ascii="Arial;Helvetica;sans-serif" w:hAnsi="Arial;Helvetica;sans-serif"/>
          <w:b w:val="false"/>
          <w:i/>
          <w:sz w:val="20"/>
        </w:rPr>
        <w:t>ANPA-0073</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We are developing ANPA-0073, an investigational, oral, small molecule APJR agonist, for the treatment of IPF. ANPA-0073 is designed to suppress cAMP production through activation of a G-protein-mediated signaling without significant activation of the β-arrestin pathway in order to avoid APJ internalization, and thereby potentially avoid any desensitization effects of an unbiased APJR agonist. We conducted preclinical </w:t>
      </w:r>
      <w:r>
        <w:rPr>
          <w:rFonts w:ascii="Arial;Helvetica;sans-serif" w:hAnsi="Arial;Helvetica;sans-serif"/>
          <w:i/>
          <w:sz w:val="20"/>
        </w:rPr>
        <w:t>in vitro</w:t>
      </w:r>
      <w:r>
        <w:rPr>
          <w:rFonts w:ascii="Arial;Helvetica;sans-serif" w:hAnsi="Arial;Helvetica;sans-serif"/>
          <w:sz w:val="20"/>
        </w:rPr>
        <w:t xml:space="preserve"> studies on our compounds and third-party compounds to assess arrestin signaling and internalization. As shown below, apelin peptide and clinically tested competitor compounds including AMG-986 and BMS-986224 are all non-biased APJR agonists in these </w:t>
      </w:r>
      <w:r>
        <w:rPr>
          <w:rFonts w:ascii="Arial;Helvetica;sans-serif" w:hAnsi="Arial;Helvetica;sans-serif"/>
          <w:i/>
          <w:sz w:val="20"/>
        </w:rPr>
        <w:t>in vitro</w:t>
      </w:r>
      <w:r>
        <w:rPr>
          <w:rFonts w:ascii="Arial;Helvetica;sans-serif" w:hAnsi="Arial;Helvetica;sans-serif"/>
          <w:sz w:val="20"/>
        </w:rPr>
        <w:t xml:space="preserve"> studies, with low β-arrestin/cAMP and internalization/cAMP ratios. Our molecules, such as ANPA-0073 and ANPA-137, are designed to be biased with much higher β-arrestin/cAMP and internalization/cAMP ratios than apelin peptide and the competitor compounds shown below.</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APJR biased agonism is a potential differentiator for ANPA-0073</w:t>
      </w:r>
    </w:p>
    <w:tbl>
      <w:tblPr>
        <w:tblW w:w="5725" w:type="dxa"/>
        <w:jc w:val="left"/>
        <w:tblInd w:w="0" w:type="dxa"/>
        <w:tblCellMar>
          <w:top w:w="0" w:type="dxa"/>
          <w:left w:w="0" w:type="dxa"/>
          <w:bottom w:w="0" w:type="dxa"/>
          <w:right w:w="0" w:type="dxa"/>
        </w:tblCellMar>
      </w:tblPr>
      <w:tblGrid>
        <w:gridCol w:w="1381"/>
        <w:gridCol w:w="326"/>
        <w:gridCol w:w="1531"/>
        <w:gridCol w:w="326"/>
        <w:gridCol w:w="2161"/>
      </w:tblGrid>
      <w:tr>
        <w:trPr/>
        <w:tc>
          <w:tcPr>
            <w:tcW w:w="1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876935" cy="175260"/>
                      <wp:effectExtent l="0" t="0" r="0" b="0"/>
                      <wp:wrapNone/>
                      <wp:docPr id="37" name="Frame10"/>
                      <a:graphic xmlns:a="http://schemas.openxmlformats.org/drawingml/2006/main">
                        <a:graphicData uri="http://schemas.microsoft.com/office/word/2010/wordprocessingShape">
                          <wps:wsp>
                            <wps:cNvSpPr txBox="1"/>
                            <wps:spPr>
                              <a:xfrm>
                                <a:off x="0" y="0"/>
                                <a:ext cx="876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8" name="Frame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972185" cy="175260"/>
                      <wp:effectExtent l="0" t="0" r="0" b="0"/>
                      <wp:wrapNone/>
                      <wp:docPr id="39" name="Frame12"/>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0" name="Frame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372235" cy="175260"/>
                      <wp:effectExtent l="0" t="0" r="0" b="0"/>
                      <wp:wrapNone/>
                      <wp:docPr id="41" name="Frame14"/>
                      <a:graphic xmlns:a="http://schemas.openxmlformats.org/drawingml/2006/main">
                        <a:graphicData uri="http://schemas.microsoft.com/office/word/2010/wordprocessingShape">
                          <wps:wsp>
                            <wps:cNvSpPr txBox="1"/>
                            <wps:spPr>
                              <a:xfrm>
                                <a:off x="0" y="0"/>
                                <a:ext cx="1372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38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53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216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r>
      <w:tr>
        <w:trPr/>
        <w:tc>
          <w:tcPr>
            <w:tcW w:w="13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401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BIASED SELECTIVITY</w:t>
            </w:r>
          </w:p>
        </w:tc>
      </w:tr>
      <w:tr>
        <w:trPr/>
        <w:tc>
          <w:tcPr>
            <w:tcW w:w="138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153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β-ARRESTIN</w:t>
            </w:r>
          </w:p>
        </w:tc>
        <w:tc>
          <w:tcPr>
            <w:tcW w:w="326" w:type="dxa"/>
            <w:tcBorders/>
            <w:shd w:fill="auto" w:val="clear"/>
            <w:vAlign w:val="center"/>
          </w:tcPr>
          <w:p>
            <w:pPr>
              <w:pStyle w:val="TableContents"/>
              <w:spacing w:before="0" w:after="1"/>
              <w:ind w:left="0" w:right="0" w:hanging="0"/>
              <w:jc w:val="center"/>
              <w:rPr/>
            </w:pPr>
            <w:r>
              <w:rPr/>
              <w:t>​</w:t>
            </w:r>
          </w:p>
        </w:tc>
        <w:tc>
          <w:tcPr>
            <w:tcW w:w="2161" w:type="dxa"/>
            <w:tcBorders/>
            <w:shd w:fill="auto" w:val="clear"/>
            <w:vAlign w:val="center"/>
          </w:tcPr>
          <w:p>
            <w:pPr>
              <w:pStyle w:val="TableContents"/>
              <w:spacing w:before="0" w:after="1"/>
              <w:ind w:left="0" w:right="0" w:hanging="0"/>
              <w:jc w:val="center"/>
              <w:rPr/>
            </w:pPr>
            <w:r>
              <w:rPr/>
              <w:t>​</w:t>
            </w:r>
          </w:p>
        </w:tc>
      </w:tr>
      <w:tr>
        <w:trPr/>
        <w:tc>
          <w:tcPr>
            <w:tcW w:w="1381" w:type="dxa"/>
            <w:tcBorders>
              <w:bottom w:val="single" w:sz="2"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b/>
                <w:sz w:val="16"/>
              </w:rPr>
            </w:pPr>
            <w:r>
              <w:rPr>
                <w:rFonts w:ascii="Arial;Helvetica;sans-serif" w:hAnsi="Arial;Helvetica;sans-serif"/>
                <w:b/>
                <w:sz w:val="16"/>
              </w:rPr>
              <w:t>COMPOUND ID</w:t>
            </w:r>
          </w:p>
        </w:tc>
        <w:tc>
          <w:tcPr>
            <w:tcW w:w="326" w:type="dxa"/>
            <w:tcBorders/>
            <w:shd w:fill="auto" w:val="clear"/>
            <w:vAlign w:val="center"/>
          </w:tcPr>
          <w:p>
            <w:pPr>
              <w:pStyle w:val="TableContents"/>
              <w:spacing w:before="0" w:after="1"/>
              <w:ind w:left="0" w:right="0" w:hanging="0"/>
              <w:jc w:val="center"/>
              <w:rPr/>
            </w:pPr>
            <w:r>
              <w:rPr/>
              <w:t>​</w:t>
            </w:r>
          </w:p>
        </w:tc>
        <w:tc>
          <w:tcPr>
            <w:tcW w:w="15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SIGNALING/cAMP</w:t>
            </w:r>
          </w:p>
        </w:tc>
        <w:tc>
          <w:tcPr>
            <w:tcW w:w="326" w:type="dxa"/>
            <w:tcBorders/>
            <w:shd w:fill="auto" w:val="clear"/>
            <w:vAlign w:val="center"/>
          </w:tcPr>
          <w:p>
            <w:pPr>
              <w:pStyle w:val="TableContents"/>
              <w:spacing w:before="0" w:after="1"/>
              <w:ind w:left="0" w:right="0" w:hanging="0"/>
              <w:jc w:val="center"/>
              <w:rPr/>
            </w:pPr>
            <w:r>
              <w:rPr/>
              <w:t>​</w:t>
            </w:r>
          </w:p>
        </w:tc>
        <w:tc>
          <w:tcPr>
            <w:tcW w:w="216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INTERNALIZATION/cAMP</w:t>
            </w:r>
          </w:p>
        </w:tc>
      </w:tr>
      <w:tr>
        <w:trPr/>
        <w:tc>
          <w:tcPr>
            <w:tcW w:w="138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Apelin Peptide</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1.33</w:t>
            </w:r>
          </w:p>
        </w:tc>
        <w:tc>
          <w:tcPr>
            <w:tcW w:w="326" w:type="dxa"/>
            <w:tcBorders/>
            <w:shd w:fill="CCEEFF" w:val="clear"/>
            <w:vAlign w:val="center"/>
          </w:tcPr>
          <w:p>
            <w:pPr>
              <w:pStyle w:val="TableContents"/>
              <w:spacing w:before="0" w:after="1"/>
              <w:ind w:left="0" w:right="0" w:hanging="0"/>
              <w:rPr/>
            </w:pPr>
            <w:r>
              <w:rPr/>
              <w:t>    </w:t>
            </w:r>
          </w:p>
        </w:tc>
        <w:tc>
          <w:tcPr>
            <w:tcW w:w="216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1.47</w:t>
            </w:r>
          </w:p>
        </w:tc>
      </w:tr>
      <w:tr>
        <w:trPr/>
        <w:tc>
          <w:tcPr>
            <w:tcW w:w="138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AMG-986</w:t>
            </w:r>
          </w:p>
        </w:tc>
        <w:tc>
          <w:tcPr>
            <w:tcW w:w="326" w:type="dxa"/>
            <w:tcBorders/>
            <w:shd w:fill="auto" w:val="clear"/>
            <w:vAlign w:val="center"/>
          </w:tcPr>
          <w:p>
            <w:pPr>
              <w:pStyle w:val="TableContents"/>
              <w:spacing w:before="0" w:after="1"/>
              <w:ind w:left="0" w:right="0" w:hanging="0"/>
              <w:rPr/>
            </w:pPr>
            <w:r>
              <w:rPr/>
              <w:t> </w:t>
            </w:r>
          </w:p>
        </w:tc>
        <w:tc>
          <w:tcPr>
            <w:tcW w:w="153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0.86</w:t>
            </w:r>
          </w:p>
        </w:tc>
        <w:tc>
          <w:tcPr>
            <w:tcW w:w="326" w:type="dxa"/>
            <w:tcBorders/>
            <w:shd w:fill="auto" w:val="clear"/>
            <w:vAlign w:val="center"/>
          </w:tcPr>
          <w:p>
            <w:pPr>
              <w:pStyle w:val="TableContents"/>
              <w:spacing w:before="0" w:after="1"/>
              <w:ind w:left="0" w:right="0" w:hanging="0"/>
              <w:rPr/>
            </w:pPr>
            <w:r>
              <w:rPr/>
              <w:t> </w:t>
            </w:r>
          </w:p>
        </w:tc>
        <w:tc>
          <w:tcPr>
            <w:tcW w:w="216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1.00</w:t>
            </w:r>
          </w:p>
        </w:tc>
      </w:tr>
      <w:tr>
        <w:trPr/>
        <w:tc>
          <w:tcPr>
            <w:tcW w:w="138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BMS-986224</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4.48</w:t>
            </w:r>
          </w:p>
        </w:tc>
        <w:tc>
          <w:tcPr>
            <w:tcW w:w="326" w:type="dxa"/>
            <w:tcBorders/>
            <w:shd w:fill="CCEEFF" w:val="clear"/>
            <w:vAlign w:val="center"/>
          </w:tcPr>
          <w:p>
            <w:pPr>
              <w:pStyle w:val="TableContents"/>
              <w:spacing w:before="0" w:after="1"/>
              <w:ind w:left="0" w:right="0" w:hanging="0"/>
              <w:rPr/>
            </w:pPr>
            <w:r>
              <w:rPr/>
              <w:t> </w:t>
            </w:r>
          </w:p>
        </w:tc>
        <w:tc>
          <w:tcPr>
            <w:tcW w:w="216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1.94</w:t>
            </w:r>
          </w:p>
        </w:tc>
      </w:tr>
      <w:tr>
        <w:trPr/>
        <w:tc>
          <w:tcPr>
            <w:tcW w:w="138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ANPA-0073</w:t>
            </w:r>
          </w:p>
        </w:tc>
        <w:tc>
          <w:tcPr>
            <w:tcW w:w="326" w:type="dxa"/>
            <w:tcBorders/>
            <w:shd w:fill="auto" w:val="clear"/>
            <w:vAlign w:val="center"/>
          </w:tcPr>
          <w:p>
            <w:pPr>
              <w:pStyle w:val="TableContents"/>
              <w:spacing w:before="0" w:after="1"/>
              <w:ind w:left="0" w:right="0" w:hanging="0"/>
              <w:rPr/>
            </w:pPr>
            <w:r>
              <w:rPr/>
              <w:t> </w:t>
            </w:r>
          </w:p>
        </w:tc>
        <w:tc>
          <w:tcPr>
            <w:tcW w:w="153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18.02</w:t>
            </w:r>
          </w:p>
        </w:tc>
        <w:tc>
          <w:tcPr>
            <w:tcW w:w="326" w:type="dxa"/>
            <w:tcBorders/>
            <w:shd w:fill="auto" w:val="clear"/>
            <w:vAlign w:val="center"/>
          </w:tcPr>
          <w:p>
            <w:pPr>
              <w:pStyle w:val="TableContents"/>
              <w:spacing w:before="0" w:after="1"/>
              <w:ind w:left="0" w:right="0" w:hanging="0"/>
              <w:rPr/>
            </w:pPr>
            <w:r>
              <w:rPr/>
              <w:t> </w:t>
            </w:r>
          </w:p>
        </w:tc>
        <w:tc>
          <w:tcPr>
            <w:tcW w:w="216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3,074</w:t>
            </w:r>
          </w:p>
        </w:tc>
      </w:tr>
      <w:tr>
        <w:trPr/>
        <w:tc>
          <w:tcPr>
            <w:tcW w:w="138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ANPA-137</w:t>
            </w:r>
          </w:p>
        </w:tc>
        <w:tc>
          <w:tcPr>
            <w:tcW w:w="326" w:type="dxa"/>
            <w:tcBorders/>
            <w:shd w:fill="CCEEFF" w:val="clear"/>
            <w:vAlign w:val="center"/>
          </w:tcPr>
          <w:p>
            <w:pPr>
              <w:pStyle w:val="TableContents"/>
              <w:spacing w:before="0" w:after="1"/>
              <w:ind w:left="0" w:right="0" w:hanging="0"/>
              <w:rPr/>
            </w:pPr>
            <w:r>
              <w:rPr/>
              <w:t> </w:t>
            </w:r>
          </w:p>
        </w:tc>
        <w:tc>
          <w:tcPr>
            <w:tcW w:w="15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28.20</w:t>
            </w:r>
          </w:p>
        </w:tc>
        <w:tc>
          <w:tcPr>
            <w:tcW w:w="326" w:type="dxa"/>
            <w:tcBorders/>
            <w:shd w:fill="CCEEFF" w:val="clear"/>
            <w:vAlign w:val="center"/>
          </w:tcPr>
          <w:p>
            <w:pPr>
              <w:pStyle w:val="TableContents"/>
              <w:spacing w:before="0" w:after="1"/>
              <w:ind w:left="0" w:right="0" w:hanging="0"/>
              <w:rPr/>
            </w:pPr>
            <w:r>
              <w:rPr/>
              <w:t> </w:t>
            </w:r>
          </w:p>
        </w:tc>
        <w:tc>
          <w:tcPr>
            <w:tcW w:w="21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1,411</w:t>
            </w:r>
          </w:p>
        </w:tc>
      </w:tr>
      <w:tr>
        <w:trPr/>
        <w:tc>
          <w:tcPr>
            <w:tcW w:w="138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53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16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Preclinical Data</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In an </w:t>
      </w:r>
      <w:r>
        <w:rPr>
          <w:rFonts w:ascii="Arial;Helvetica;sans-serif" w:hAnsi="Arial;Helvetica;sans-serif"/>
          <w:i/>
          <w:sz w:val="20"/>
        </w:rPr>
        <w:t>in vitro</w:t>
      </w:r>
      <w:r>
        <w:rPr>
          <w:rFonts w:ascii="Arial;Helvetica;sans-serif" w:hAnsi="Arial;Helvetica;sans-serif"/>
          <w:sz w:val="20"/>
        </w:rPr>
        <w:t xml:space="preserve"> study, ANPA-0073 demonstrated high potency in suppressing cAMP production through the G-protein-mediated signaling pathway with a half maximal excitatory concentration (EC50) value of less than 10 nM (n=15), but less potency in triggering the β-arrestin pathway and APJR internalization respectively. These data suggest ANPA-0073 is highly biased. The G-protein agonist potency of ANPA-0073 was similar across different species (rat, dog and monkey).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Anti-fibrosis effect of an APJ agonist ANPA-0137 was evaluated in bleomycin induced lung fibrosis model. Seven days after bleomycin challenges, mice received oral ANPA-137 for two weeks. ANPA-137 significantly reduced lung fibrosis Ashcroft scores and inflammatory cells infiltration into lung as quantified by inflammatory score as shown below.</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35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APJR agonist demonstrated anti-fibrosis efficacy in therapeutic IPF mouse model</w:t>
      </w:r>
    </w:p>
    <w:p>
      <w:pPr>
        <w:pStyle w:val="TextBody"/>
        <w:spacing w:before="0" w:after="240"/>
        <w:ind w:left="0" w:right="0" w:hanging="0"/>
        <w:jc w:val="center"/>
        <w:rPr/>
      </w:pPr>
      <w:r>
        <w:rPr/>
        <w:drawing>
          <wp:inline distT="0" distB="0" distL="0" distR="0">
            <wp:extent cx="5212080" cy="2651760"/>
            <wp:effectExtent l="0" t="0" r="0" b="0"/>
            <wp:docPr id="4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8" descr=""/>
                    <pic:cNvPicPr>
                      <a:picLocks noChangeAspect="1" noChangeArrowheads="1"/>
                    </pic:cNvPicPr>
                  </pic:nvPicPr>
                  <pic:blipFill>
                    <a:blip r:embed="rId29"/>
                    <a:stretch>
                      <a:fillRect/>
                    </a:stretch>
                  </pic:blipFill>
                  <pic:spPr bwMode="auto">
                    <a:xfrm>
                      <a:off x="0" y="0"/>
                      <a:ext cx="5212080" cy="2651760"/>
                    </a:xfrm>
                    <a:prstGeom prst="rect">
                      <a:avLst/>
                    </a:prstGeom>
                  </pic:spPr>
                </pic:pic>
              </a:graphicData>
            </a:graphic>
          </wp:inline>
        </w:drawing>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Furthermore, ANPA-137 also demonstrated anti-fibrotic activity in an in vivo bleomycin-induced rat lung fibrosis model. Similar to mouse bleomycin study design, seven days after bleomycin challenges, rats received 15 mpk of oral ANPA-137 for two weeks. ANPA-137 significantly reduced lung fibrosis as quantified by Ashcroft score as shown below.</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APJR agonist demonstrated anti-fibrosis efficacy in therapeutic IPF rat model</w:t>
      </w:r>
    </w:p>
    <w:p>
      <w:pPr>
        <w:pStyle w:val="TextBody"/>
        <w:spacing w:before="0" w:after="240"/>
        <w:ind w:left="0" w:right="0" w:hanging="0"/>
        <w:jc w:val="center"/>
        <w:rPr/>
      </w:pPr>
      <w:r>
        <w:rPr/>
        <w:drawing>
          <wp:inline distT="0" distB="0" distL="0" distR="0">
            <wp:extent cx="5501640" cy="2799080"/>
            <wp:effectExtent l="0" t="0" r="0" b="0"/>
            <wp:docPr id="4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9" descr=""/>
                    <pic:cNvPicPr>
                      <a:picLocks noChangeAspect="1" noChangeArrowheads="1"/>
                    </pic:cNvPicPr>
                  </pic:nvPicPr>
                  <pic:blipFill>
                    <a:blip r:embed="rId30"/>
                    <a:stretch>
                      <a:fillRect/>
                    </a:stretch>
                  </pic:blipFill>
                  <pic:spPr bwMode="auto">
                    <a:xfrm>
                      <a:off x="0" y="0"/>
                      <a:ext cx="5501640" cy="2799080"/>
                    </a:xfrm>
                    <a:prstGeom prst="rect">
                      <a:avLst/>
                    </a:prstGeom>
                  </pic:spPr>
                </pic:pic>
              </a:graphicData>
            </a:graphic>
          </wp:inline>
        </w:drawing>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Phase 1 Healthy Volunteer Trial Design</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In September 2022, we completed a two-part, 96 subject, first-in-human Phase 1 SAD and MAD study for ANPA-0073 in 48 healthy adult volunteers between the ages of 18 and 55. The objective was to assess drug safety and PK. The first part of this study was a SAD study, involving eight cohorts of eight participants assigned to receive a single dose of ANPA-0073 or placebo in a 3:1 ratio. Doses from 2 mg to 600 mg across the eight cohorts were evaluated. The second part of the trial was a MAD study, including four cohorts of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36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eight subjects receiving sequential ascending doses of ANPA-0073 daily for seven days, increasing from 75 mg to 500 mg once daily. A schema of our Phase 1 study is presented below:</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Schema of our ANPA-0073 Phase 1 study in healthy volunteers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ANPA-0073-01 Part A SAD Schema</w:t>
      </w:r>
    </w:p>
    <w:p>
      <w:pPr>
        <w:pStyle w:val="TextBody"/>
        <w:spacing w:before="0" w:after="240"/>
        <w:ind w:left="0" w:right="0" w:hanging="0"/>
        <w:jc w:val="center"/>
        <w:rPr/>
      </w:pPr>
      <w:r>
        <w:rPr/>
        <w:drawing>
          <wp:inline distT="0" distB="0" distL="0" distR="0">
            <wp:extent cx="4632960" cy="1686560"/>
            <wp:effectExtent l="0" t="0" r="0" b="0"/>
            <wp:docPr id="4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0" descr=""/>
                    <pic:cNvPicPr>
                      <a:picLocks noChangeAspect="1" noChangeArrowheads="1"/>
                    </pic:cNvPicPr>
                  </pic:nvPicPr>
                  <pic:blipFill>
                    <a:blip r:embed="rId31"/>
                    <a:stretch>
                      <a:fillRect/>
                    </a:stretch>
                  </pic:blipFill>
                  <pic:spPr bwMode="auto">
                    <a:xfrm>
                      <a:off x="0" y="0"/>
                      <a:ext cx="4632960" cy="1686560"/>
                    </a:xfrm>
                    <a:prstGeom prst="rect">
                      <a:avLst/>
                    </a:prstGeom>
                  </pic:spPr>
                </pic:pic>
              </a:graphicData>
            </a:graphic>
          </wp:inline>
        </w:drawing>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ANPA-0073-01 Part B MAD Schema</w:t>
      </w:r>
    </w:p>
    <w:p>
      <w:pPr>
        <w:pStyle w:val="TextBody"/>
        <w:spacing w:before="0" w:after="240"/>
        <w:ind w:left="0" w:right="0" w:hanging="0"/>
        <w:jc w:val="center"/>
        <w:rPr/>
      </w:pPr>
      <w:r>
        <w:rPr/>
        <w:drawing>
          <wp:inline distT="0" distB="0" distL="0" distR="0">
            <wp:extent cx="4551680" cy="1645920"/>
            <wp:effectExtent l="0" t="0" r="0" b="0"/>
            <wp:docPr id="4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1" descr=""/>
                    <pic:cNvPicPr>
                      <a:picLocks noChangeAspect="1" noChangeArrowheads="1"/>
                    </pic:cNvPicPr>
                  </pic:nvPicPr>
                  <pic:blipFill>
                    <a:blip r:embed="rId32"/>
                    <a:stretch>
                      <a:fillRect/>
                    </a:stretch>
                  </pic:blipFill>
                  <pic:spPr bwMode="auto">
                    <a:xfrm>
                      <a:off x="0" y="0"/>
                      <a:ext cx="4551680" cy="1645920"/>
                    </a:xfrm>
                    <a:prstGeom prst="rect">
                      <a:avLst/>
                    </a:prstGeom>
                  </pic:spPr>
                </pic:pic>
              </a:graphicData>
            </a:graphic>
          </wp:inline>
        </w:drawing>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Phase 1 Safety Data in Healthy Volunteers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ANPA-0073 was generally well tolerated at all dose levels administrated in the SAD and MAD parts of this Phase 1 study.</w:t>
      </w:r>
    </w:p>
    <w:p>
      <w:pPr>
        <w:pStyle w:val="TextBody"/>
        <w:spacing w:before="0" w:after="240"/>
        <w:ind w:left="0" w:right="0" w:hanging="0"/>
        <w:rPr>
          <w:rFonts w:ascii="Arial;Helvetica;sans-serif" w:hAnsi="Arial;Helvetica;sans-serif"/>
          <w:sz w:val="14"/>
        </w:rPr>
      </w:pPr>
      <w:r>
        <w:rPr>
          <w:rFonts w:ascii="Arial;Helvetica;sans-serif" w:hAnsi="Arial;Helvetica;sans-serif"/>
          <w:sz w:val="20"/>
        </w:rPr>
        <w:t>In the study, PK parameters of systemic exposure, C</w:t>
      </w:r>
      <w:r>
        <w:rPr>
          <w:rFonts w:ascii="Arial;Helvetica;sans-serif" w:hAnsi="Arial;Helvetica;sans-serif"/>
          <w:sz w:val="14"/>
        </w:rPr>
        <w:t xml:space="preserve">max </w:t>
      </w:r>
      <w:r>
        <w:rPr>
          <w:rFonts w:ascii="Arial;Helvetica;sans-serif" w:hAnsi="Arial;Helvetica;sans-serif"/>
          <w:sz w:val="20"/>
        </w:rPr>
        <w:t>and AUC, increased with doses of ANPA-0073 across the dose range from 75 mg to 500 mg.</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37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pPr>
      <w:r>
        <w:rPr/>
        <w:drawing>
          <wp:inline distT="0" distB="0" distL="0" distR="0">
            <wp:extent cx="5791200" cy="2184400"/>
            <wp:effectExtent l="0" t="0" r="0" b="0"/>
            <wp:docPr id="4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2" descr=""/>
                    <pic:cNvPicPr>
                      <a:picLocks noChangeAspect="1" noChangeArrowheads="1"/>
                    </pic:cNvPicPr>
                  </pic:nvPicPr>
                  <pic:blipFill>
                    <a:blip r:embed="rId33"/>
                    <a:stretch>
                      <a:fillRect/>
                    </a:stretch>
                  </pic:blipFill>
                  <pic:spPr bwMode="auto">
                    <a:xfrm>
                      <a:off x="0" y="0"/>
                      <a:ext cx="5791200" cy="2184400"/>
                    </a:xfrm>
                    <a:prstGeom prst="rect">
                      <a:avLst/>
                    </a:prstGeom>
                  </pic:spPr>
                </pic:pic>
              </a:graphicData>
            </a:graphic>
          </wp:inline>
        </w:drawing>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the SAD cohorts, no SAEs and no adverse changes in laboratory tests were observed. Among the AEs reported, five were considered moderate treatment emergent adverse events and the remaining were mild in severity. AEs did not result in any early terminations or subject discontinuations from participation in this study. No trial stopping criteria were met and no significant changes or trends in hematology, blood chemistries, vital signs or electrocardiogram (“ECG”) measurements were noted. The following table shows all TEAEs that were reported:</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ANPA-0073 Phase 1 SAD Treatment Emergent Adverse Events</w:t>
      </w:r>
    </w:p>
    <w:p>
      <w:pPr>
        <w:pStyle w:val="TextBody"/>
        <w:spacing w:before="0" w:after="240"/>
        <w:ind w:left="0" w:right="0" w:hanging="0"/>
        <w:jc w:val="center"/>
        <w:rPr/>
      </w:pPr>
      <w:r>
        <w:rPr/>
        <w:drawing>
          <wp:inline distT="0" distB="0" distL="0" distR="0">
            <wp:extent cx="5443855" cy="2065020"/>
            <wp:effectExtent l="0" t="0" r="0" b="0"/>
            <wp:docPr id="4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3" descr=""/>
                    <pic:cNvPicPr>
                      <a:picLocks noChangeAspect="1" noChangeArrowheads="1"/>
                    </pic:cNvPicPr>
                  </pic:nvPicPr>
                  <pic:blipFill>
                    <a:blip r:embed="rId34"/>
                    <a:stretch>
                      <a:fillRect/>
                    </a:stretch>
                  </pic:blipFill>
                  <pic:spPr bwMode="auto">
                    <a:xfrm>
                      <a:off x="0" y="0"/>
                      <a:ext cx="5443855" cy="2065020"/>
                    </a:xfrm>
                    <a:prstGeom prst="rect">
                      <a:avLst/>
                    </a:prstGeom>
                  </pic:spPr>
                </pic:pic>
              </a:graphicData>
            </a:graphic>
          </wp:inline>
        </w:drawing>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In the MAD portion of the Phase 1 study, no SAEs and no adverse changes in laboratory tests were observed. Among the AEs reported, twelve were considered moderate TEAEs and the remaining were mild in severity. AEs did not result in any early terminations or subject discontinuations from participation in this study. No trial stopping criteria were met and no significant changes or trends in hematology, blood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38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chemistries, vital signs or ECG measurements were noted. The following table shows all TEAEs that were reported:</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ANPA-0073 Phase 1 MAD Treatment Emergent Adverse Events</w:t>
      </w:r>
    </w:p>
    <w:p>
      <w:pPr>
        <w:pStyle w:val="TextBody"/>
        <w:spacing w:before="0" w:after="240"/>
        <w:ind w:left="0" w:right="0" w:hanging="0"/>
        <w:jc w:val="center"/>
        <w:rPr/>
      </w:pPr>
      <w:r>
        <w:rPr/>
        <w:drawing>
          <wp:inline distT="0" distB="0" distL="0" distR="0">
            <wp:extent cx="5327650" cy="2044700"/>
            <wp:effectExtent l="0" t="0" r="0" b="0"/>
            <wp:docPr id="4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4" descr=""/>
                    <pic:cNvPicPr>
                      <a:picLocks noChangeAspect="1" noChangeArrowheads="1"/>
                    </pic:cNvPicPr>
                  </pic:nvPicPr>
                  <pic:blipFill>
                    <a:blip r:embed="rId35"/>
                    <a:stretch>
                      <a:fillRect/>
                    </a:stretch>
                  </pic:blipFill>
                  <pic:spPr bwMode="auto">
                    <a:xfrm>
                      <a:off x="0" y="0"/>
                      <a:ext cx="5327650" cy="2044700"/>
                    </a:xfrm>
                    <a:prstGeom prst="rect">
                      <a:avLst/>
                    </a:prstGeom>
                  </pic:spPr>
                </pic:pic>
              </a:graphicData>
            </a:graphic>
          </wp:inline>
        </w:drawing>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A Phase I, Open-label Study to Evaluate the Relative Bioavailability of ANPA-0073 Capsule versus Tablet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planning to conduct a Phase 1 study to evaluate the relative oral bioavailability of two formulations of ANPA-0073 (tablet and capsule) using a 2-period, 2-sequence, 2-way crossover design. We expect this study to be an open-label study in 16 healthy male and female volunteers, aged 18 to 55 in Australia. After screening, we plan for subjects to be confined in the clinical unit from Day-1 to Day 10, and that each study subject will be enrolled and randomized into one of two treatment arms (n=8 per arm). Capsule and tablet formulations of ANPA-0073 will be administered as a single 200 mg (2 x 100 mg) dose in a fasted manner in two separate treatment periods: Day 1 (Period 1) and Day 7 (Period 2). We expect the sequence of administration (capsule → tablet vs. tablet → capsule) will differ between each treatment arm and that each treatment period will be separated by a 6-day washout interval.</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Our APJR Program for the Treatment of PAH</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evaluating ANPA-0073 for the treatment of PAH. Despite existing treatment options for PAH, five-year mortality remains high. In a third-party clinical proof-of- concept study an acute infusion of an apelin agonist intravenously was shown to improve cardiac output. In our preclinical rat models, ANPA-0073 has shown increased cardiac output and mitigated the vascular remodeling that is characteristic of PAH. We believe that oral ANPA-0073 has the potential to provide therapeutic benefit through its novel mechanism of action, infrequent dosing, and lack of stringent administration requirements.</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PAH Overview</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PAH Background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Pulmonary hypertension (“PH”) is a group of diseases characterized by remodeling of the pulmonary vasculature that leads to a progressive elevation of blood pressure in the pulmonary circulation from a variety of causes. The World Health Organization (“WHO”) has divided PH into five groups based on similarities in pathophysiology, clinical presentation, and therapeutic options as shown below.</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39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400" w:right="0" w:hanging="0"/>
        <w:rPr>
          <w:rFonts w:ascii="Arial;Helvetica;sans-serif" w:hAnsi="Arial;Helvetica;sans-serif"/>
          <w:b/>
          <w:sz w:val="20"/>
        </w:rPr>
      </w:pPr>
      <w:r>
        <w:rPr>
          <w:rFonts w:ascii="Arial;Helvetica;sans-serif" w:hAnsi="Arial;Helvetica;sans-serif"/>
          <w:b/>
          <w:sz w:val="20"/>
        </w:rPr>
        <w:t>WHO classification of pulmonary hypertension</w:t>
      </w:r>
    </w:p>
    <w:tbl>
      <w:tblPr>
        <w:tblW w:w="6913" w:type="dxa"/>
        <w:jc w:val="center"/>
        <w:tblInd w:w="0" w:type="dxa"/>
        <w:tblCellMar>
          <w:top w:w="28" w:type="dxa"/>
          <w:left w:w="0" w:type="dxa"/>
          <w:bottom w:w="0" w:type="dxa"/>
          <w:right w:w="0" w:type="dxa"/>
        </w:tblCellMar>
      </w:tblPr>
      <w:tblGrid>
        <w:gridCol w:w="226"/>
        <w:gridCol w:w="326"/>
        <w:gridCol w:w="6361"/>
      </w:tblGrid>
      <w:tr>
        <w:trPr/>
        <w:tc>
          <w:tcPr>
            <w:tcW w:w="226" w:type="dxa"/>
            <w:tcBorders>
              <w:top w:val="single" w:sz="2" w:space="0" w:color="000000"/>
            </w:tcBorders>
            <w:shd w:fill="auto" w:val="clear"/>
            <w:vAlign w:val="center"/>
          </w:tcPr>
          <w:p>
            <w:pPr>
              <w:pStyle w:val="TableContents"/>
              <w:pBdr/>
              <w:spacing w:before="0" w:after="0"/>
              <w:ind w:left="0" w:right="0" w:hanging="0"/>
              <w:rPr/>
            </w:pPr>
            <w:r>
              <w:rPr/>
              <w:t>​</w:t>
            </w:r>
          </w:p>
        </w:tc>
        <w:tc>
          <w:tcPr>
            <w:tcW w:w="326" w:type="dxa"/>
            <w:tcBorders>
              <w:top w:val="single" w:sz="2" w:space="0" w:color="000000"/>
            </w:tcBorders>
            <w:shd w:fill="auto" w:val="clear"/>
            <w:vAlign w:val="center"/>
          </w:tcPr>
          <w:p>
            <w:pPr>
              <w:pStyle w:val="TableContents"/>
              <w:spacing w:before="0" w:after="0"/>
              <w:ind w:left="0" w:right="0" w:hanging="0"/>
              <w:rPr/>
            </w:pPr>
            <w:r>
              <w:rPr/>
              <w:t>​</w:t>
            </w:r>
          </w:p>
        </w:tc>
        <w:tc>
          <w:tcPr>
            <w:tcW w:w="6361" w:type="dxa"/>
            <w:tcBorders>
              <w:top w:val="single" w:sz="2" w:space="0" w:color="000000"/>
            </w:tcBorders>
            <w:shd w:fill="auto" w:val="clear"/>
            <w:vAlign w:val="center"/>
          </w:tcPr>
          <w:p>
            <w:pPr>
              <w:pStyle w:val="TableContents"/>
              <w:spacing w:before="0" w:after="0"/>
              <w:ind w:left="0" w:right="0" w:hanging="0"/>
              <w:rPr/>
            </w:pPr>
            <w:r>
              <w:rPr/>
              <w:t>​</w:t>
            </w:r>
          </w:p>
        </w:tc>
      </w:tr>
      <w:tr>
        <w:trPr/>
        <w:tc>
          <w:tcPr>
            <w:tcW w:w="226" w:type="dxa"/>
            <w:tcBorders/>
            <w:shd w:fill="auto" w:val="clear"/>
            <w:tcMar>
              <w:top w:w="0" w:type="dxa"/>
            </w:tcMar>
            <w:vAlign w:val="center"/>
          </w:tcPr>
          <w:p>
            <w:pPr>
              <w:pStyle w:val="TableContents"/>
              <w:pBdr/>
              <w:spacing w:before="0" w:after="0"/>
              <w:ind w:left="0" w:right="0" w:hanging="0"/>
              <w:rPr>
                <w:rFonts w:ascii="Arial;Helvetica;sans-serif" w:hAnsi="Arial;Helvetica;sans-serif"/>
                <w:b/>
                <w:sz w:val="20"/>
              </w:rPr>
            </w:pPr>
            <w:r>
              <w:rPr>
                <w:rFonts w:ascii="Arial;Helvetica;sans-serif" w:hAnsi="Arial;Helvetica;sans-serif"/>
                <w:b/>
                <w:sz w:val="20"/>
              </w:rPr>
              <w:t>1</w:t>
            </w:r>
          </w:p>
        </w:tc>
        <w:tc>
          <w:tcPr>
            <w:tcW w:w="326" w:type="dxa"/>
            <w:tcBorders/>
            <w:shd w:fill="auto" w:val="clear"/>
            <w:tcMar>
              <w:top w:w="0" w:type="dxa"/>
            </w:tcMar>
            <w:vAlign w:val="center"/>
          </w:tcPr>
          <w:p>
            <w:pPr>
              <w:pStyle w:val="TableContents"/>
              <w:spacing w:before="0" w:after="0"/>
              <w:ind w:left="0" w:right="0" w:hanging="0"/>
              <w:rPr/>
            </w:pPr>
            <w:r>
              <w:rPr/>
              <w:t>    </w:t>
            </w:r>
          </w:p>
        </w:tc>
        <w:tc>
          <w:tcPr>
            <w:tcW w:w="6361" w:type="dxa"/>
            <w:tcBorders/>
            <w:shd w:fill="auto" w:val="clear"/>
            <w:tcMar>
              <w:top w:w="0"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Pulmonary arterial hypertension</w:t>
            </w:r>
          </w:p>
        </w:tc>
      </w:tr>
      <w:tr>
        <w:trPr/>
        <w:tc>
          <w:tcPr>
            <w:tcW w:w="226" w:type="dxa"/>
            <w:tcBorders/>
            <w:shd w:fill="auto" w:val="clear"/>
            <w:tcMar>
              <w:top w:w="0" w:type="dxa"/>
            </w:tcMar>
            <w:vAlign w:val="center"/>
          </w:tcPr>
          <w:p>
            <w:pPr>
              <w:pStyle w:val="TableContents"/>
              <w:pBdr/>
              <w:spacing w:before="0" w:after="0"/>
              <w:ind w:left="0" w:right="0" w:hanging="0"/>
              <w:rPr>
                <w:rFonts w:ascii="Arial;Helvetica;sans-serif" w:hAnsi="Arial;Helvetica;sans-serif"/>
                <w:b/>
                <w:sz w:val="20"/>
              </w:rPr>
            </w:pPr>
            <w:r>
              <w:rPr>
                <w:rFonts w:ascii="Arial;Helvetica;sans-serif" w:hAnsi="Arial;Helvetica;sans-serif"/>
                <w:b/>
                <w:sz w:val="20"/>
              </w:rPr>
              <w:t>2</w:t>
            </w:r>
          </w:p>
        </w:tc>
        <w:tc>
          <w:tcPr>
            <w:tcW w:w="326" w:type="dxa"/>
            <w:tcBorders/>
            <w:shd w:fill="auto" w:val="clear"/>
            <w:tcMar>
              <w:top w:w="0" w:type="dxa"/>
            </w:tcMar>
            <w:vAlign w:val="center"/>
          </w:tcPr>
          <w:p>
            <w:pPr>
              <w:pStyle w:val="TableContents"/>
              <w:spacing w:before="0" w:after="0"/>
              <w:ind w:left="0" w:right="0" w:hanging="0"/>
              <w:rPr/>
            </w:pPr>
            <w:r>
              <w:rPr/>
              <w:t>​</w:t>
            </w:r>
          </w:p>
        </w:tc>
        <w:tc>
          <w:tcPr>
            <w:tcW w:w="6361" w:type="dxa"/>
            <w:tcBorders/>
            <w:shd w:fill="auto" w:val="clear"/>
            <w:tcMar>
              <w:top w:w="0"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Pulmonary hypertension secondary to left heart disease</w:t>
            </w:r>
          </w:p>
        </w:tc>
      </w:tr>
      <w:tr>
        <w:trPr/>
        <w:tc>
          <w:tcPr>
            <w:tcW w:w="226" w:type="dxa"/>
            <w:tcBorders/>
            <w:shd w:fill="auto" w:val="clear"/>
            <w:tcMar>
              <w:top w:w="0" w:type="dxa"/>
            </w:tcMar>
            <w:vAlign w:val="center"/>
          </w:tcPr>
          <w:p>
            <w:pPr>
              <w:pStyle w:val="TableContents"/>
              <w:pBdr/>
              <w:spacing w:before="0" w:after="0"/>
              <w:ind w:left="0" w:right="0" w:hanging="0"/>
              <w:rPr>
                <w:rFonts w:ascii="Arial;Helvetica;sans-serif" w:hAnsi="Arial;Helvetica;sans-serif"/>
                <w:b/>
                <w:sz w:val="20"/>
              </w:rPr>
            </w:pPr>
            <w:r>
              <w:rPr>
                <w:rFonts w:ascii="Arial;Helvetica;sans-serif" w:hAnsi="Arial;Helvetica;sans-serif"/>
                <w:b/>
                <w:sz w:val="20"/>
              </w:rPr>
              <w:t>3</w:t>
            </w:r>
          </w:p>
        </w:tc>
        <w:tc>
          <w:tcPr>
            <w:tcW w:w="326" w:type="dxa"/>
            <w:tcBorders/>
            <w:shd w:fill="auto" w:val="clear"/>
            <w:tcMar>
              <w:top w:w="0" w:type="dxa"/>
            </w:tcMar>
            <w:vAlign w:val="center"/>
          </w:tcPr>
          <w:p>
            <w:pPr>
              <w:pStyle w:val="TableContents"/>
              <w:spacing w:before="0" w:after="0"/>
              <w:ind w:left="0" w:right="0" w:hanging="0"/>
              <w:rPr/>
            </w:pPr>
            <w:r>
              <w:rPr/>
              <w:t>​</w:t>
            </w:r>
          </w:p>
        </w:tc>
        <w:tc>
          <w:tcPr>
            <w:tcW w:w="6361" w:type="dxa"/>
            <w:tcBorders/>
            <w:shd w:fill="auto" w:val="clear"/>
            <w:tcMar>
              <w:top w:w="0"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Pulmonary hypertension from chronic lung diseases and/or hypoxia</w:t>
            </w:r>
          </w:p>
        </w:tc>
      </w:tr>
      <w:tr>
        <w:trPr/>
        <w:tc>
          <w:tcPr>
            <w:tcW w:w="226" w:type="dxa"/>
            <w:tcBorders/>
            <w:shd w:fill="auto" w:val="clear"/>
            <w:tcMar>
              <w:top w:w="0" w:type="dxa"/>
            </w:tcMar>
            <w:vAlign w:val="center"/>
          </w:tcPr>
          <w:p>
            <w:pPr>
              <w:pStyle w:val="TableContents"/>
              <w:pBdr/>
              <w:spacing w:before="0" w:after="0"/>
              <w:ind w:left="0" w:right="0" w:hanging="0"/>
              <w:rPr>
                <w:rFonts w:ascii="Arial;Helvetica;sans-serif" w:hAnsi="Arial;Helvetica;sans-serif"/>
                <w:b/>
                <w:sz w:val="20"/>
              </w:rPr>
            </w:pPr>
            <w:r>
              <w:rPr>
                <w:rFonts w:ascii="Arial;Helvetica;sans-serif" w:hAnsi="Arial;Helvetica;sans-serif"/>
                <w:b/>
                <w:sz w:val="20"/>
              </w:rPr>
              <w:t>4</w:t>
            </w:r>
          </w:p>
        </w:tc>
        <w:tc>
          <w:tcPr>
            <w:tcW w:w="326" w:type="dxa"/>
            <w:tcBorders/>
            <w:shd w:fill="auto" w:val="clear"/>
            <w:tcMar>
              <w:top w:w="0" w:type="dxa"/>
            </w:tcMar>
            <w:vAlign w:val="center"/>
          </w:tcPr>
          <w:p>
            <w:pPr>
              <w:pStyle w:val="TableContents"/>
              <w:spacing w:before="0" w:after="0"/>
              <w:ind w:left="0" w:right="0" w:hanging="0"/>
              <w:rPr/>
            </w:pPr>
            <w:r>
              <w:rPr/>
              <w:t>​</w:t>
            </w:r>
          </w:p>
        </w:tc>
        <w:tc>
          <w:tcPr>
            <w:tcW w:w="6361" w:type="dxa"/>
            <w:tcBorders/>
            <w:shd w:fill="auto" w:val="clear"/>
            <w:tcMar>
              <w:top w:w="0"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Pulmonary hypertension due to pulmonary artery obstruction</w:t>
            </w:r>
          </w:p>
        </w:tc>
      </w:tr>
      <w:tr>
        <w:trPr/>
        <w:tc>
          <w:tcPr>
            <w:tcW w:w="226" w:type="dxa"/>
            <w:tcBorders/>
            <w:shd w:fill="auto" w:val="clear"/>
            <w:tcMar>
              <w:top w:w="0" w:type="dxa"/>
            </w:tcMar>
            <w:vAlign w:val="center"/>
          </w:tcPr>
          <w:p>
            <w:pPr>
              <w:pStyle w:val="TableContents"/>
              <w:pBdr/>
              <w:spacing w:before="0" w:after="0"/>
              <w:ind w:left="0" w:right="0" w:hanging="0"/>
              <w:rPr>
                <w:rFonts w:ascii="Arial;Helvetica;sans-serif" w:hAnsi="Arial;Helvetica;sans-serif"/>
                <w:b/>
                <w:sz w:val="20"/>
              </w:rPr>
            </w:pPr>
            <w:r>
              <w:rPr>
                <w:rFonts w:ascii="Arial;Helvetica;sans-serif" w:hAnsi="Arial;Helvetica;sans-serif"/>
                <w:b/>
                <w:sz w:val="20"/>
              </w:rPr>
              <w:t>5</w:t>
            </w:r>
          </w:p>
        </w:tc>
        <w:tc>
          <w:tcPr>
            <w:tcW w:w="326" w:type="dxa"/>
            <w:tcBorders/>
            <w:shd w:fill="auto" w:val="clear"/>
            <w:tcMar>
              <w:top w:w="0" w:type="dxa"/>
            </w:tcMar>
            <w:vAlign w:val="center"/>
          </w:tcPr>
          <w:p>
            <w:pPr>
              <w:pStyle w:val="TableContents"/>
              <w:spacing w:before="0" w:after="0"/>
              <w:ind w:left="0" w:right="0" w:hanging="0"/>
              <w:rPr/>
            </w:pPr>
            <w:r>
              <w:rPr/>
              <w:t>​</w:t>
            </w:r>
          </w:p>
        </w:tc>
        <w:tc>
          <w:tcPr>
            <w:tcW w:w="6361" w:type="dxa"/>
            <w:tcBorders/>
            <w:shd w:fill="auto" w:val="clear"/>
            <w:tcMar>
              <w:top w:w="0"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Pulmonary hypertension from unexplained or multifactorial mechanisms</w:t>
            </w:r>
          </w:p>
        </w:tc>
      </w:tr>
      <w:tr>
        <w:trPr/>
        <w:tc>
          <w:tcPr>
            <w:tcW w:w="226" w:type="dxa"/>
            <w:tcBorders>
              <w:bottom w:val="single" w:sz="2" w:space="0" w:color="000000"/>
            </w:tcBorders>
            <w:shd w:fill="auto" w:val="clear"/>
            <w:tcMar>
              <w:top w:w="0" w:type="dxa"/>
              <w:bottom w:w="28" w:type="dxa"/>
            </w:tcMar>
            <w:vAlign w:val="center"/>
          </w:tcPr>
          <w:p>
            <w:pPr>
              <w:pStyle w:val="TableContents"/>
              <w:pBdr/>
              <w:spacing w:before="0" w:after="0"/>
              <w:ind w:left="0" w:right="0" w:hanging="0"/>
              <w:rPr/>
            </w:pPr>
            <w:r>
              <w:rPr/>
              <w:t>​</w:t>
            </w:r>
          </w:p>
        </w:tc>
        <w:tc>
          <w:tcPr>
            <w:tcW w:w="326" w:type="dxa"/>
            <w:tcBorders>
              <w:bottom w:val="single" w:sz="2" w:space="0" w:color="000000"/>
            </w:tcBorders>
            <w:shd w:fill="auto" w:val="clear"/>
            <w:tcMar>
              <w:top w:w="0" w:type="dxa"/>
              <w:bottom w:w="28" w:type="dxa"/>
            </w:tcMar>
            <w:vAlign w:val="center"/>
          </w:tcPr>
          <w:p>
            <w:pPr>
              <w:pStyle w:val="TableContents"/>
              <w:spacing w:before="0" w:after="0"/>
              <w:ind w:left="0" w:right="0" w:hanging="0"/>
              <w:rPr/>
            </w:pPr>
            <w:r>
              <w:rPr/>
              <w:t>​</w:t>
            </w:r>
          </w:p>
        </w:tc>
        <w:tc>
          <w:tcPr>
            <w:tcW w:w="6361" w:type="dxa"/>
            <w:tcBorders>
              <w:bottom w:val="single" w:sz="2" w:space="0" w:color="000000"/>
            </w:tcBorders>
            <w:shd w:fill="auto" w:val="clear"/>
            <w:tcMar>
              <w:top w:w="0" w:type="dxa"/>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PAH is a rare, progressive life-threatening disease characterized by elevated pressures in the pulmonary arteries, the blood vessels responsible for carrying deoxygenated blood from the heart to the lungs. This increase in pressure results from disordered proliferation of endothelial cells lining the lumen of pulmonary arteries, which causes a narrowing in blood vessel diameter and a consequent slowing of blood flow to the lungs. Over time, recruitment of inflammatory cells and cytokines stimulates fibrosis and further blood vessel remodeling, ultimately causing severe restrictions in blood flow. To overcome increased pulmonary arterial pressures, the right side of the heart must work harder in order to circulate blood through the lungs, causing excessive strain on the right ventricle. Left untreated, this leads to right ventricular hypertrophy and ultimately right heart failure, which can present with symptoms such as breathlessness, fatigue, chest pain, and abdominal distension.</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Right ventricular hypertrophy and pulmonary arterial hypertension</w:t>
      </w:r>
    </w:p>
    <w:p>
      <w:pPr>
        <w:pStyle w:val="TextBody"/>
        <w:spacing w:before="0" w:after="240"/>
        <w:ind w:left="0" w:right="0" w:hanging="0"/>
        <w:jc w:val="center"/>
        <w:rPr/>
      </w:pPr>
      <w:r>
        <w:rPr/>
        <w:drawing>
          <wp:inline distT="0" distB="0" distL="0" distR="0">
            <wp:extent cx="4343400" cy="2276475"/>
            <wp:effectExtent l="0" t="0" r="0" b="0"/>
            <wp:docPr id="4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5" descr=""/>
                    <pic:cNvPicPr>
                      <a:picLocks noChangeAspect="1" noChangeArrowheads="1"/>
                    </pic:cNvPicPr>
                  </pic:nvPicPr>
                  <pic:blipFill>
                    <a:blip r:embed="rId36"/>
                    <a:stretch>
                      <a:fillRect/>
                    </a:stretch>
                  </pic:blipFill>
                  <pic:spPr bwMode="auto">
                    <a:xfrm>
                      <a:off x="0" y="0"/>
                      <a:ext cx="4343400" cy="2276475"/>
                    </a:xfrm>
                    <a:prstGeom prst="rect">
                      <a:avLst/>
                    </a:prstGeom>
                  </pic:spPr>
                </pic:pic>
              </a:graphicData>
            </a:graphic>
          </wp:inline>
        </w:drawing>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shown in the schematic of PAH pathology above, increased pulmonary vascular resistance is caused by cell proliferation in the pulmonary vessels that obstructs blood flow. Ultimately, this disease leads to right heart failure, resulting eventually in death. Therefore, treatments that can increase right heart contractility may have benefit.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to the above classification based on physiologic mechanisms of PH, the WHO has also developed a functional classification of PH patients, including those with PAH, as shown below. Four functional classes categorize patient symptom severity and ability to carry out physical activity. Higher numbered functional classes indicate worsening symptoms and are associated with higher mortality. As patients in Class I are asymptomatic and generally not diagnosed and also cannot show clinical improvement, patients in Classes II–IV are generally studied in clinical trials of new therapeutic agents.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40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WHO functional classification of pulmonary hypertension</w:t>
      </w:r>
    </w:p>
    <w:tbl>
      <w:tblPr>
        <w:tblW w:w="10205" w:type="dxa"/>
        <w:jc w:val="left"/>
        <w:tblInd w:w="0" w:type="dxa"/>
        <w:tblCellMar>
          <w:top w:w="28" w:type="dxa"/>
          <w:left w:w="0" w:type="dxa"/>
          <w:bottom w:w="28" w:type="dxa"/>
          <w:right w:w="0" w:type="dxa"/>
        </w:tblCellMar>
      </w:tblPr>
      <w:tblGrid>
        <w:gridCol w:w="978"/>
        <w:gridCol w:w="326"/>
        <w:gridCol w:w="8901"/>
      </w:tblGrid>
      <w:tr>
        <w:trPr/>
        <w:tc>
          <w:tcPr>
            <w:tcW w:w="978" w:type="dxa"/>
            <w:tcBorders>
              <w:top w:val="single" w:sz="2" w:space="0" w:color="000000"/>
              <w:bottom w:val="single" w:sz="2" w:space="0" w:color="000000"/>
            </w:tcBorders>
            <w:shd w:fill="auto" w:val="clear"/>
            <w:vAlign w:val="center"/>
          </w:tcPr>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WHO CLASS </w:t>
            </w:r>
          </w:p>
        </w:tc>
        <w:tc>
          <w:tcPr>
            <w:tcW w:w="326" w:type="dxa"/>
            <w:tcBorders>
              <w:top w:val="single" w:sz="2" w:space="0" w:color="000000"/>
            </w:tcBorders>
            <w:shd w:fill="auto" w:val="clear"/>
            <w:tcMar>
              <w:bottom w:w="0" w:type="dxa"/>
            </w:tcMar>
            <w:vAlign w:val="center"/>
          </w:tcPr>
          <w:p>
            <w:pPr>
              <w:pStyle w:val="TableContents"/>
              <w:spacing w:before="0" w:after="0"/>
              <w:ind w:left="0" w:right="0" w:hanging="0"/>
              <w:rPr/>
            </w:pPr>
            <w:r>
              <w:rPr/>
              <w:t>    </w:t>
            </w:r>
          </w:p>
        </w:tc>
        <w:tc>
          <w:tcPr>
            <w:tcW w:w="8901" w:type="dxa"/>
            <w:tcBorders>
              <w:top w:val="single" w:sz="2" w:space="0" w:color="000000"/>
              <w:bottom w:val="single" w:sz="2" w:space="0" w:color="000000"/>
            </w:tcBorders>
            <w:shd w:fill="auto" w:val="clear"/>
            <w:vAlign w:val="center"/>
          </w:tcPr>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 xml:space="preserve">DESCRIPTION </w:t>
            </w:r>
          </w:p>
        </w:tc>
      </w:tr>
      <w:tr>
        <w:trPr/>
        <w:tc>
          <w:tcPr>
            <w:tcW w:w="978" w:type="dxa"/>
            <w:tcBorders>
              <w:top w:val="single" w:sz="2" w:space="0" w:color="000000"/>
            </w:tcBorders>
            <w:shd w:fill="auto" w:val="clear"/>
            <w:tcMar>
              <w:bottom w:w="0" w:type="dxa"/>
            </w:tcM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 xml:space="preserve">Class I </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8901" w:type="dxa"/>
            <w:tcBorders>
              <w:top w:val="single" w:sz="2" w:space="0" w:color="000000"/>
            </w:tcBorders>
            <w:shd w:fill="auto" w:val="clear"/>
            <w:tcMar>
              <w:bottom w:w="0" w:type="dxa"/>
            </w:tcM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 xml:space="preserve">Patients with pulmonary hypertension but without resulting limitation of physical activity. Ordinary physical activity does not cause undue dyspnea or fatigue, chest pain or near syncope. </w:t>
            </w:r>
          </w:p>
        </w:tc>
      </w:tr>
      <w:tr>
        <w:trPr/>
        <w:tc>
          <w:tcPr>
            <w:tcW w:w="978" w:type="dxa"/>
            <w:tcBorders/>
            <w:shd w:fill="auto" w:val="clear"/>
            <w:tcMar>
              <w:top w:w="0" w:type="dxa"/>
              <w:bottom w:w="0" w:type="dxa"/>
            </w:tcM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 xml:space="preserve">Class II </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8901" w:type="dxa"/>
            <w:tcBorders/>
            <w:shd w:fill="auto" w:val="clear"/>
            <w:tcMar>
              <w:top w:w="0" w:type="dxa"/>
              <w:bottom w:w="0" w:type="dxa"/>
            </w:tcM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 xml:space="preserve">Patients with pulmonary hypertension resulting in a slight limitation of physical activity. They are comfortable at rest. Ordinary physical activity causes undue dyspnea or fatigue, chest pain or near syncope. </w:t>
            </w:r>
          </w:p>
        </w:tc>
      </w:tr>
      <w:tr>
        <w:trPr/>
        <w:tc>
          <w:tcPr>
            <w:tcW w:w="978" w:type="dxa"/>
            <w:tcBorders/>
            <w:shd w:fill="auto" w:val="clear"/>
            <w:tcMar>
              <w:top w:w="0" w:type="dxa"/>
              <w:bottom w:w="0" w:type="dxa"/>
            </w:tcM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 xml:space="preserve">Class III </w:t>
            </w:r>
          </w:p>
        </w:tc>
        <w:tc>
          <w:tcPr>
            <w:tcW w:w="326" w:type="dxa"/>
            <w:tcBorders/>
            <w:shd w:fill="auto" w:val="clear"/>
            <w:tcMar>
              <w:top w:w="0" w:type="dxa"/>
              <w:bottom w:w="0" w:type="dxa"/>
            </w:tcMar>
            <w:vAlign w:val="center"/>
          </w:tcPr>
          <w:p>
            <w:pPr>
              <w:pStyle w:val="TableContents"/>
              <w:spacing w:before="0" w:after="0"/>
              <w:ind w:left="0" w:right="0" w:hanging="0"/>
              <w:rPr/>
            </w:pPr>
            <w:r>
              <w:rPr/>
              <w:t>​</w:t>
            </w:r>
          </w:p>
        </w:tc>
        <w:tc>
          <w:tcPr>
            <w:tcW w:w="8901" w:type="dxa"/>
            <w:tcBorders/>
            <w:shd w:fill="auto" w:val="clear"/>
            <w:tcMar>
              <w:top w:w="0" w:type="dxa"/>
              <w:bottom w:w="0" w:type="dxa"/>
            </w:tcM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 xml:space="preserve">Patients with pulmonary hypertension but without resulting limitation of physical activity. Ordinary physical activity does not cause undue dyspnea or fatigue, chest pain or near syncope. </w:t>
            </w:r>
          </w:p>
        </w:tc>
      </w:tr>
      <w:tr>
        <w:trPr/>
        <w:tc>
          <w:tcPr>
            <w:tcW w:w="978" w:type="dxa"/>
            <w:tcBorders>
              <w:bottom w:val="single" w:sz="2" w:space="0" w:color="000000"/>
            </w:tcBorders>
            <w:shd w:fill="auto" w:val="clear"/>
            <w:tcMar>
              <w:top w:w="0" w:type="dxa"/>
            </w:tcM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 xml:space="preserve">Class IV </w:t>
            </w:r>
          </w:p>
        </w:tc>
        <w:tc>
          <w:tcPr>
            <w:tcW w:w="326" w:type="dxa"/>
            <w:tcBorders>
              <w:bottom w:val="single" w:sz="2" w:space="0" w:color="000000"/>
            </w:tcBorders>
            <w:shd w:fill="auto" w:val="clear"/>
            <w:tcMar>
              <w:top w:w="0" w:type="dxa"/>
            </w:tcMar>
            <w:vAlign w:val="center"/>
          </w:tcPr>
          <w:p>
            <w:pPr>
              <w:pStyle w:val="TableContents"/>
              <w:spacing w:before="0" w:after="0"/>
              <w:ind w:left="0" w:right="0" w:hanging="0"/>
              <w:rPr/>
            </w:pPr>
            <w:r>
              <w:rPr/>
              <w:t>​</w:t>
            </w:r>
          </w:p>
        </w:tc>
        <w:tc>
          <w:tcPr>
            <w:tcW w:w="8901" w:type="dxa"/>
            <w:tcBorders>
              <w:bottom w:val="single" w:sz="2" w:space="0" w:color="000000"/>
            </w:tcBorders>
            <w:shd w:fill="auto" w:val="clear"/>
            <w:tcMar>
              <w:top w:w="0" w:type="dxa"/>
            </w:tcM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19"/>
              </w:rPr>
              <w:t>Patients with pulmonary hypertension with inability to carry out any physical activity without symptoms. These patients manifest signs of right heart failure. Dyspnea and/or fatigue may even be present at rest. Discomfort is increased by any physical activity.</w:t>
            </w:r>
          </w:p>
        </w:tc>
      </w:tr>
    </w:tbl>
    <w:p>
      <w:pPr>
        <w:pStyle w:val="TextBody"/>
        <w:spacing w:before="0" w:after="0"/>
        <w:ind w:left="0" w:right="0" w:hanging="0"/>
        <w:rPr/>
      </w:pPr>
      <w:r>
        <w:rPr/>
        <w:t>​</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Prevalence of PAH and Unmet Medical Need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It is estimated that between 40,000 and 100,000 patients suffer from PAH worldwide, though the actual number is likely higher given underdiagnosis in developing countries. In the United States, the prevalence of PAH is 12 to 30 per million, and incidence is approximately 2.3 per million diagnosed annually.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Combined global sales for approved drugs for the treatment of PAH totaled approximately $5.4 billion in 2020. While advances in the treatment of PAH have markedly improved median survival over the past two decades, patients still face significant disease burden and premature death. Patient survival of PAH remains poor at five years despite treatment advances and there is unmet medical need for new therapies beyond the standard of care.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current and future pipeline candidates could have broad applicability in other PH groups as well as more broadly in heart failure, which is estimated to affect approximately 26–64 million people worldwide.</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Limitations of Current Treatments and Unmet Medical Need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current standard of care for patients with PAH consist of three classes of vasodilators including phosphodiesterase 5 (“PDE5”) inhibitors, endothelin receptor antagonists, and prostanoids. PDE5 inhibitors are often used in combination with ERAs as an early treatment strategy. In patients who fail to respond to combination therapy of an ERA and a PDE5 inhibitor, it is common practice to add a prostanoid which is also commonly used to treat patients with evidence of right heart failure. While existing treatments have led to significant improvements in time to clinical worsening and other composite endpoints in PAH patients, none directly alter the underlying disease process. The effect of vasodilation, while improving blood flow through the lungs, may eventually be overtaken by the worsening cellular proliferation and arterial remodeling underlying the condition.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Accordingly, we believe there is unmet medical need for therapies that are disease modifying and address more fundamental aspects of the disease.</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Apelin Receptor is a Clinically Validated and Highly Druggable Target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APJR is a GPCR with wide distribution throughout the human body.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expression patterns of apelin and APJR are consistent with their importance in cardiovascular and pulmonary diseases such as PAH. Apelin and APJR are expressed in several tissues, including those in the heart, lung, and blood vessels with expression observed in endothelial cells lining the blood vessels.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41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Activation of APJR pathways by its cognate peptide ligand, apelin, exerts pleiotropic effects in human biology, including inducing diverse physiological effects such as strengthening of cardiac contractility, vasodilation, angiogenesis, reducing vascular remodeling and regulation of energy metabolism and fluid homeostasis as shown below. We believe that the apelinergic signaling pathway will provide disease modifying effects in PAH through right ventricular protection and anti-pulmonary vessel remodeling.</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Apelin Biology in human makes APJR an attractive target for PAH</w:t>
      </w:r>
    </w:p>
    <w:p>
      <w:pPr>
        <w:pStyle w:val="TextBody"/>
        <w:spacing w:before="0" w:after="240"/>
        <w:ind w:left="0" w:right="0" w:hanging="0"/>
        <w:jc w:val="center"/>
        <w:rPr/>
      </w:pPr>
      <w:r>
        <w:rPr/>
        <w:drawing>
          <wp:inline distT="0" distB="0" distL="0" distR="0">
            <wp:extent cx="4632960" cy="2865120"/>
            <wp:effectExtent l="0" t="0" r="0" b="0"/>
            <wp:docPr id="5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6" descr=""/>
                    <pic:cNvPicPr>
                      <a:picLocks noChangeAspect="1" noChangeArrowheads="1"/>
                    </pic:cNvPicPr>
                  </pic:nvPicPr>
                  <pic:blipFill>
                    <a:blip r:embed="rId37"/>
                    <a:stretch>
                      <a:fillRect/>
                    </a:stretch>
                  </pic:blipFill>
                  <pic:spPr bwMode="auto">
                    <a:xfrm>
                      <a:off x="0" y="0"/>
                      <a:ext cx="4632960" cy="2865120"/>
                    </a:xfrm>
                    <a:prstGeom prst="rect">
                      <a:avLst/>
                    </a:prstGeom>
                  </pic:spPr>
                </pic:pic>
              </a:graphicData>
            </a:graphic>
          </wp:inline>
        </w:drawing>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Apelin mRNA and protein levels in control and PAH lung samples</w:t>
      </w:r>
    </w:p>
    <w:p>
      <w:pPr>
        <w:pStyle w:val="TextBody"/>
        <w:spacing w:before="0" w:after="240"/>
        <w:ind w:left="0" w:right="0" w:hanging="0"/>
        <w:jc w:val="center"/>
        <w:rPr/>
      </w:pPr>
      <w:r>
        <w:rPr/>
        <w:drawing>
          <wp:inline distT="0" distB="0" distL="0" distR="0">
            <wp:extent cx="4632960" cy="1818640"/>
            <wp:effectExtent l="0" t="0" r="0" b="0"/>
            <wp:docPr id="5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7" descr=""/>
                    <pic:cNvPicPr>
                      <a:picLocks noChangeAspect="1" noChangeArrowheads="1"/>
                    </pic:cNvPicPr>
                  </pic:nvPicPr>
                  <pic:blipFill>
                    <a:blip r:embed="rId38"/>
                    <a:stretch>
                      <a:fillRect/>
                    </a:stretch>
                  </pic:blipFill>
                  <pic:spPr bwMode="auto">
                    <a:xfrm>
                      <a:off x="0" y="0"/>
                      <a:ext cx="4632960" cy="1818640"/>
                    </a:xfrm>
                    <a:prstGeom prst="rect">
                      <a:avLst/>
                    </a:prstGeom>
                  </pic:spPr>
                </pic:pic>
              </a:graphicData>
            </a:graphic>
          </wp:inline>
        </w:drawing>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shown above, the apelin expression level in the lung of PAH patients (IPAH) was dramatically reduced compared to the non-PAH (C) lung samples. Apelin signaling is implicated in PAH which can be induced in animal models by hypoxia, a condition which temporarily induces apelin expression.</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42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Apelin peptide reduced PVR and increased cardiac output without a change in</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heart rate or mean arterial pressure</w:t>
      </w:r>
    </w:p>
    <w:p>
      <w:pPr>
        <w:pStyle w:val="TextBody"/>
        <w:spacing w:before="0" w:after="240"/>
        <w:ind w:left="0" w:right="0" w:hanging="0"/>
        <w:jc w:val="center"/>
        <w:rPr/>
      </w:pPr>
      <w:r>
        <w:rPr/>
        <w:drawing>
          <wp:inline distT="0" distB="0" distL="0" distR="0">
            <wp:extent cx="4632960" cy="2733040"/>
            <wp:effectExtent l="0" t="0" r="0" b="0"/>
            <wp:docPr id="5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8" descr=""/>
                    <pic:cNvPicPr>
                      <a:picLocks noChangeAspect="1" noChangeArrowheads="1"/>
                    </pic:cNvPicPr>
                  </pic:nvPicPr>
                  <pic:blipFill>
                    <a:blip r:embed="rId39"/>
                    <a:stretch>
                      <a:fillRect/>
                    </a:stretch>
                  </pic:blipFill>
                  <pic:spPr bwMode="auto">
                    <a:xfrm>
                      <a:off x="0" y="0"/>
                      <a:ext cx="4632960" cy="2733040"/>
                    </a:xfrm>
                    <a:prstGeom prst="rect">
                      <a:avLst/>
                    </a:prstGeom>
                  </pic:spPr>
                </pic:pic>
              </a:graphicData>
            </a:graphic>
          </wp:inline>
        </w:drawing>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shown above, apelin has a role in cardiac function. In a published third-party clinical proof-of-concept study, intravenous infusion of apelin peptide in PAH patients provided a significant reduction in pulmonary vascular resistance and an increase in cardiac output without a change in heart rate or systemic vascular resistance. It was also observed that the effect was most prominent in the subgroup of patients receiving concomitant PDE5 inhibition.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Both biased and non-biased apelin analogs could increase cardiac contraction, while biased apelin analogs have limited effects on vasorelaxation and systemic blood pressure reduction. These suggest that the inotropic efficacy mainly signals through G-protein pathway, while β-arrestin signaling pathway correlates with hypotensive effect as shown below.</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APJR agonist activity on β-arrestin recruitment and its correlation with hypotensive effect.</w:t>
      </w:r>
    </w:p>
    <w:p>
      <w:pPr>
        <w:pStyle w:val="TextBody"/>
        <w:spacing w:before="0" w:after="240"/>
        <w:ind w:left="0" w:right="0" w:hanging="0"/>
        <w:jc w:val="center"/>
        <w:rPr/>
      </w:pPr>
      <w:r>
        <w:rPr/>
        <w:drawing>
          <wp:inline distT="0" distB="0" distL="0" distR="0">
            <wp:extent cx="3241040" cy="2560320"/>
            <wp:effectExtent l="0" t="0" r="0" b="0"/>
            <wp:docPr id="5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9" descr=""/>
                    <pic:cNvPicPr>
                      <a:picLocks noChangeAspect="1" noChangeArrowheads="1"/>
                    </pic:cNvPicPr>
                  </pic:nvPicPr>
                  <pic:blipFill>
                    <a:blip r:embed="rId40"/>
                    <a:stretch>
                      <a:fillRect/>
                    </a:stretch>
                  </pic:blipFill>
                  <pic:spPr bwMode="auto">
                    <a:xfrm>
                      <a:off x="0" y="0"/>
                      <a:ext cx="3241040" cy="2560320"/>
                    </a:xfrm>
                    <a:prstGeom prst="rect">
                      <a:avLst/>
                    </a:prstGeom>
                  </pic:spPr>
                </pic:pic>
              </a:graphicData>
            </a:graphic>
          </wp:inline>
        </w:drawing>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43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believe that a biased APJR agonist as compared to a non-biased agonist has the potential to maintain long-term cardiac output and stroke volume improvement while avoiding β-arrestin related hypotensive effect and mechanical stress induced cardiac hypertrophy.</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Our Solution: Small Molecule Biased APJR Agonist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described above, we are developing ANPA-0073, a novel orally-available biased APJR agonist which is designed to suppress cAMP production through activation of a G-protein-mediated signaling without significant activation of the β-arrestin pathway in order to avoid APJR internalization.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believe that ANPA-0073 has the potential to be a differentiated and disease-modifying therapeutic agent and it is designed to provide the following potential advantages:</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Orally-available with improved cardiac contractility, increased stroke volume and right ventricular cardiac output leading to increased survival;</w:t>
            </w:r>
          </w:p>
        </w:tc>
      </w:tr>
    </w:tbl>
    <w:tbl>
      <w:tblPr>
        <w:tblW w:w="6528" w:type="dxa"/>
        <w:jc w:val="left"/>
        <w:tblInd w:w="0" w:type="dxa"/>
        <w:tblCellMar>
          <w:top w:w="0" w:type="dxa"/>
          <w:left w:w="0" w:type="dxa"/>
          <w:bottom w:w="0" w:type="dxa"/>
          <w:right w:w="0" w:type="dxa"/>
        </w:tblCellMar>
      </w:tblPr>
      <w:tblGrid>
        <w:gridCol w:w="23"/>
        <w:gridCol w:w="170"/>
        <w:gridCol w:w="633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33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Biased agonism that avoids down regulation due to APJR internalization;</w:t>
            </w:r>
          </w:p>
        </w:tc>
      </w:tr>
    </w:tbl>
    <w:tbl>
      <w:tblPr>
        <w:tblW w:w="6273" w:type="dxa"/>
        <w:jc w:val="left"/>
        <w:tblInd w:w="0" w:type="dxa"/>
        <w:tblCellMar>
          <w:top w:w="0" w:type="dxa"/>
          <w:left w:w="0" w:type="dxa"/>
          <w:bottom w:w="0" w:type="dxa"/>
          <w:right w:w="0" w:type="dxa"/>
        </w:tblCellMar>
      </w:tblPr>
      <w:tblGrid>
        <w:gridCol w:w="23"/>
        <w:gridCol w:w="170"/>
        <w:gridCol w:w="60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08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Disease-modifying effect through decreased vascular remodeling; and</w:t>
            </w:r>
          </w:p>
        </w:tc>
      </w:tr>
    </w:tbl>
    <w:tbl>
      <w:tblPr>
        <w:tblW w:w="5868" w:type="dxa"/>
        <w:jc w:val="left"/>
        <w:tblInd w:w="0" w:type="dxa"/>
        <w:tblCellMar>
          <w:top w:w="0" w:type="dxa"/>
          <w:left w:w="0" w:type="dxa"/>
          <w:bottom w:w="0" w:type="dxa"/>
          <w:right w:w="0" w:type="dxa"/>
        </w:tblCellMar>
      </w:tblPr>
      <w:tblGrid>
        <w:gridCol w:w="23"/>
        <w:gridCol w:w="170"/>
        <w:gridCol w:w="56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67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Limited effect on systemic blood pressure, avoiding hypotension.</w:t>
            </w:r>
          </w:p>
        </w:tc>
      </w:tr>
    </w:tbl>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ANPA-0073 did not change mean arterial blood pressure in a rat telemetry study</w:t>
      </w:r>
    </w:p>
    <w:p>
      <w:pPr>
        <w:pStyle w:val="TextBody"/>
        <w:spacing w:before="0" w:after="240"/>
        <w:ind w:left="0" w:right="0" w:hanging="0"/>
        <w:jc w:val="center"/>
        <w:rPr/>
      </w:pPr>
      <w:r>
        <w:rPr/>
        <w:drawing>
          <wp:inline distT="0" distB="0" distL="0" distR="0">
            <wp:extent cx="4632960" cy="2245360"/>
            <wp:effectExtent l="0" t="0" r="0" b="0"/>
            <wp:docPr id="5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0" descr=""/>
                    <pic:cNvPicPr>
                      <a:picLocks noChangeAspect="1" noChangeArrowheads="1"/>
                    </pic:cNvPicPr>
                  </pic:nvPicPr>
                  <pic:blipFill>
                    <a:blip r:embed="rId41"/>
                    <a:stretch>
                      <a:fillRect/>
                    </a:stretch>
                  </pic:blipFill>
                  <pic:spPr bwMode="auto">
                    <a:xfrm>
                      <a:off x="0" y="0"/>
                      <a:ext cx="4632960" cy="2245360"/>
                    </a:xfrm>
                    <a:prstGeom prst="rect">
                      <a:avLst/>
                    </a:prstGeom>
                  </pic:spPr>
                </pic:pic>
              </a:graphicData>
            </a:graphic>
          </wp:inline>
        </w:drawing>
      </w:r>
    </w:p>
    <w:p>
      <w:pPr>
        <w:pStyle w:val="TextBody"/>
        <w:spacing w:before="0" w:after="240"/>
        <w:ind w:left="0" w:right="0" w:hanging="0"/>
        <w:jc w:val="center"/>
        <w:rPr>
          <w:rFonts w:ascii="Arial;Helvetica;sans-serif" w:hAnsi="Arial;Helvetica;sans-serif"/>
          <w:i/>
          <w:sz w:val="20"/>
        </w:rPr>
      </w:pPr>
      <w:r>
        <w:rPr>
          <w:rFonts w:ascii="Arial;Helvetica;sans-serif" w:hAnsi="Arial;Helvetica;sans-serif"/>
          <w:i/>
          <w:sz w:val="20"/>
        </w:rPr>
        <w:t>One way ANOVA analysis; **** p&lt;0.0001 compared to vehicle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shown above, in a rat telemetry model, a non-biased apelin peptide demonstrated an acute decrease in mean arterial pressure as expected, whereas the biased molecule, ANPA-0073, did not.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ANPA-0073 has demonstrated promising activity in multiple animal models. In five different studies using monocrotaline (“MCT”) induced rat models of PAH, daily oral doses of ANPA-0073 reduced right ventricular systolic pressure, right ventricular hypertrophy index, and percentage of pulmonary artery wall thickness (“PAWT”), but increased right ventricular ejection fraction. As shown below, ANPA-0073 treatment resulted in reduced pulmonary artery pressure and increased cardiac function.</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44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Treatment with sildenafil or an ANPA-0073 in an MCT rat model of PAH</w:t>
      </w:r>
    </w:p>
    <w:p>
      <w:pPr>
        <w:pStyle w:val="TextBody"/>
        <w:spacing w:before="0" w:after="240"/>
        <w:ind w:left="0" w:right="0" w:hanging="0"/>
        <w:jc w:val="center"/>
        <w:rPr/>
      </w:pPr>
      <w:r>
        <w:rPr/>
        <w:drawing>
          <wp:inline distT="0" distB="0" distL="0" distR="0">
            <wp:extent cx="4632960" cy="1402080"/>
            <wp:effectExtent l="0" t="0" r="0" b="0"/>
            <wp:docPr id="5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1" descr=""/>
                    <pic:cNvPicPr>
                      <a:picLocks noChangeAspect="1" noChangeArrowheads="1"/>
                    </pic:cNvPicPr>
                  </pic:nvPicPr>
                  <pic:blipFill>
                    <a:blip r:embed="rId42"/>
                    <a:stretch>
                      <a:fillRect/>
                    </a:stretch>
                  </pic:blipFill>
                  <pic:spPr bwMode="auto">
                    <a:xfrm>
                      <a:off x="0" y="0"/>
                      <a:ext cx="4632960" cy="1402080"/>
                    </a:xfrm>
                    <a:prstGeom prst="rect">
                      <a:avLst/>
                    </a:prstGeom>
                  </pic:spPr>
                </pic:pic>
              </a:graphicData>
            </a:graphic>
          </wp:inline>
        </w:drawing>
      </w:r>
    </w:p>
    <w:p>
      <w:pPr>
        <w:pStyle w:val="TextBody"/>
        <w:spacing w:before="0" w:after="240"/>
        <w:ind w:left="0" w:right="0" w:hanging="0"/>
        <w:jc w:val="center"/>
        <w:rPr>
          <w:rFonts w:ascii="Arial;Helvetica;sans-serif" w:hAnsi="Arial;Helvetica;sans-serif"/>
          <w:i/>
          <w:sz w:val="20"/>
        </w:rPr>
      </w:pPr>
      <w:r>
        <w:rPr>
          <w:rFonts w:ascii="Arial;Helvetica;sans-serif" w:hAnsi="Arial;Helvetica;sans-serif"/>
          <w:i/>
          <w:sz w:val="20"/>
        </w:rPr>
        <w:t>One way ANOVA analysis; *p&lt;0.05, **p&lt;0.01, **** p&lt;0.0001 compared to vehicle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summary, in a published third-party clinical proof-of-concept study, an intravenous infusion of apelin has demonstrated increased cardiac output, especially in combination with the PAH standard of care therapy, sildenafil. In the MCT rat model of PAH, our biased apelin agonists showed increased cardiac stroke volume and cardiac output without impacting heart rate, and also mitigation of PAH-induced vascular remodeling. Together, these data suggest that an orally-available, biased apelin agonist, such as ANPA-0073, may have potential as a treatment for PAH, providing benefits differentiated from current standard of care therapies.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Intellectual Property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success depends in part on our ability to obtain and maintain proprietary protection for our product candidates and other discoveries, inventions, trade secrets and know-how that are critical to our business operations. Our success also depends in part on our ability to operate without infringing the proprietary rights of others, and in part on our ability to prevent others from infringing our proprietary rights. A comprehensive discussion on risks relating to intellectual property is provided under Part I. Item 1A. “Risk Factors—Risks Related to Our Intellectual Property.”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For our GLP-1R program, as of December 31, 2022, our wholly-owned subsidiary Gasherbrum Bio, Inc., is the sole owner of one granted U.S. patent and five pending U.S. patent applications, 16 Patent Cooperation Treaty (“PCT”) applications, and 42 pending foreign patent applications in Argentina, African Regional Intellectual Property Organization (“ARIPO”) Australia, Brazil, Canada, Chile, the People’s Republic of China (“PRC”), Colombia, Costa Rica, Dominican Republic, Egypt, Eurasian Patent Office (“EAPO”), European Patent Office (“EPO”), Guatemala, Indonesia, Israel, India, Japan, South Korea, Mexico, Malaysia, New Zealand, Panama, Peru, Philippines, Saudi Arabia, Singapore, Thailand, Taiwan, Ukraine, Vietnam, and South Africa. These patent applications, to the extent they issue (or in the case of priority applications, if issued from future non-provisional applications that we file), are expected to expire between 2041 and 2043, without accounting for potentially available patent term adjustments or extensions. These patent applications relate to compositions of matter of heterocyclic GLP-1 agonists, including GSBR-1290 and its analogs, solid forms and methods of treating conditions associated with GLP-1R activity. We intend to strengthen the patent protection of our product candidates and other discoveries, inventions, trade secrets and know-how that are critical to our business operations through additional patent application filings.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For our APJR program, as of December 31, 2022, our wholly-owned subsidiary Annapurna Bio, Inc. is the sole owner of one granted U.S. patent and two pending U.S. patent applications, one PCT, application, and 22 pending foreign patent applications in Argentina, Australia, Brazil, Canada, the PRC, EAPO, EPO, Hong Kong, Israel, India, Japan, South Korea, Mexico, New Zealand, Singapore, Taiwan and South Africa relating to compounds and compositions of matter for treating conditions associated with Apelin receptor activity, including ANPA-0073 and its analogs, solid forms and methods of treating conditions associated with Apelin receptor activity. Any patents issuing from these patent applications (or in the case of priority applications, if issued from future non-provisional applications that we file) are expected to expire between 2039 and 2043, without accounting for potentially available patent term adjustments or extensions.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45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For our LPA1R program, as of December 31, 2022, our wholly-owned subsidiary Lhotse Bio, Inc. (“Lhotse”) is the sole owner of four PCT applications and two pending foreign patent applications in Argentina and Taiwan relating to compounds and compositions of matter for treating conditions associated with LPA receptor activity, including LTSE-2578 and their analogs, and methods of treating conditions associated with LPA receptor activity. Any patents issuing from these patent applications (or in the case of priority applications, if issued from future non-provisional applications that we file) are expected to expire between 2041 and 2043, without accounting for potentially available patent term adjustments or extensions.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to patent protection, we also rely on trade secrets, know-how, trademarks, other proprietary information and continuing technological innovation to develop and maintain our competitive position.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However, such confidentiality agreements can be breached, and we may not have adequate remedies for any such breach. For more information regarding the risks related to our intellectual property, see Part I. Item 1A. “Risk Factors — Risks Related to Our Intellectual Property.”</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Lhotse Collaboration Agreement with Schrödinger, LLC</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October 2020, Lhotse, our wholly-owned subsidiary, entered into a collaboration agreement with Schrödinger (the “Lhotse-Schrödinger Agreement”) to discover and develop novel, orally bioavailable, small molecule inhibitors of LPA1R. Under the Lhotse-Schrödinger Agreement, Schrödinger is obligated to provide computational modeling and design support, including by using its technology platform to perform virtual screens, and Lhotse is obligated to provide day-to-day chemistry and biology support. Pursuant to the Lhotse-Schrödinger Agreement, a joint steering committee comprised of representatives from both parties oversees the research performed under the agreement. During the term of the Lhotse-Schrödinger Agreement and for a specified period thereafter while Lhotse is engaged in active development of any compound having activity against LPA1R that is discovered or developed under the Lhotse-Schrödinger Agreement, Schrödinger is obligated to work exclusively with Lhotse on the design, research, development and commercialization of compounds that inhibit LPA1R. Lhotse will solely own the research results, work product, inventions and other intellectual property generated under the Lhotse-Schrödinger Agreement that are directed to LPA1R.</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Under the Lhotse-Schrödinger Agreement, Lhotse is obligated to pay Schrödinger a quarterly active program payment in the low six digits for each successive three-month period during which Schrödinger continues to perform research work as agreed by the parties, and as of December 31, 2022, we have paid to Schrödinger an aggregate of $0.8 million. If Lhotse develops and commercializes a product containing a compound (“Collaboration Compound”) that is discovered or developed under the Lhotse-Schrödinger Agreement (“Collaboration Product”), Lhotse is obligated to pay Schrödinger development and regulatory milestone payments of up to an aggregate of $17.0 million, regardless of the number of Collaboration Products that reach such milestones. Lhotse will also be obligated to pay Schrödinger tiered royalties in the low single digit range on aggregate worldwide net sales of all Collaboration Products, subject to specified reductions and offsets. Lhotse’s obligation to pay royalties to Schrödinger will expire on a Collaboration Product-by-Collaboration Product and country-by-country basis on the later of (i) the expiration of the last-to-expire Lhotse owned patent claim covering the composition of matter of the Collaboration Compound contained in such Collaboration Product in such country, (ii) the expiration of regulatory, pediatric, orphan drug, or data exclusivity with respect to such Collaboration Product in such country, and (iii) ten years after the first commercial sale of such Collaboration Product in such country (“Royalty Term”).</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Unless terminated earlier, the Lhotse-Schrödinger Agreement will continue for three years, subject to extension by mutual written agreement of the parties. Either party may terminate the Lhotse-Schrödinger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46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Agreement for the other party’s uncured material breach, subject to certain notice and cure periods, or for the other party’s bankruptcy or insolvency. Lhotse’s obligation to make milestone and royalty payments (subject to the Royalty Term) to Schrödinger continues after the expiration or termination of the Lhotse-Schrödinger Agreement.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Manufacturing</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do not own or operate manufacturing facilities for the production of our product candidates and currently have no immediate plans to build our own clinical or commercial scale manufacturing capabilities. We currently engage with third-party contract manufacturing organizations (“CMOs”) for the manufacture of our product candidates. We rely on and expect to continue to engage third-party manufacturers for the production of both drug substance and finished drug product. We currently obtain our supplies from these manufacturers on a purchase order basis and do not have long-term supply arrangements in place. Should any of these manufacturers become unavailable to us for any reason, we believe that there are a number of potential replacements, although we may incur some delay in identifying and qualifying such replacements.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Competition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biotechnology and pharmaceutical industries are characterized by rapid evolution of technologies, fierce competition and strong defense of intellectual property. While we believe that our platform and our knowledge, experience and scientific resources provide us with competitive advantages, we face competition from major pharmaceutical and biotechnology companies, academic institutions, governmental agencies and public and private research institutions, among others.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If any of our product candidates are approved for the indications for which we expect to conduct clinical trials, they will compete with the foregoing therapies and currently marketed drugs, as well as any drugs potentially in development. It is also possible that we will face competition from other pharmaceutical approaches as well as other types of therapies. The key competitive factors affecting the success of all our programs, if approved, are likely to be their efficacy, safety, convenience, price, level of generic competition, and availability of reimbursement.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Despite significant biopharmaceutical industry investment, no oral small molecule therapy targeting GLP-1R has been approved for the treatment of diabetes or obesity. We are aware of GLP-1R small molecules in development by Pfizer, Eli Lilly, and Qilu Regor Therapeutics Inc. There are currently approved GLP-1R peptides for the treatment of diabetes and obesity marketed by Novo Nordisk, Eli Lilly, AstraZeneca, and Sanofi. We are aware of other GLP-1R plus dual/tri incretin targeting peptides in development by Eli Lilly, Jiangsu Hansoh Pharmaceutical Group Co., Ltd., Boehringer Ingelheim, Altimmune, Inc., Carmot Therapeutics, Inc., and Sciwind Biosciences Co., Ltd. In addition, there are a number of companies developing product candidates for diabetes and obesity utilizing approaches with different mechanisms of action, including but not limited to sodium-glucose cotransporter-2 inhibitors.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aware of APJR targeted product candidates in development for COVID-19 acute respiratory distress syndrome by CohBar, Inc.; IPF, systemic sclerosis interstitial lung disease, and kidney nephrotic syndrome by Apie Therapeutics; and muscle atrophy by BioAge Labs, Inc. Both Amgen and Bristol Myers Squibb (“BMS”) have APJR targeted product candidates for heart failure. In addition, there are a number of companies developing product candidates for PAH utilizing approaches with different mechanisms of action, including but not limited to FibroGen, Inc., Galapagos NV, Galecto, Inc., Pliant Therapeutics, Inc., Gilead Sciences, Inc., Roche Holding AG and Boehringer Ingelheim.</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aware of LPA1R targeted product candidates in development for IPF by BMS, Horizon Therapeutics plc, and DJS Antibodies Ltd; and myelin restoration and neuroinflammation by Pipeline Therapeutics. In addition, there are a number of companies developing product candidates for IPF utilizing approaches with different mechanisms of action, including Roche Holding AG and Boehringer Ingelheim.</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47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applicable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product candidates are approved, we expect that they will be priced at a significant premium over competitive generic products.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Data Privacy and Security Laws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the European Union General Data Protection Regulation (“EU GDPR”) imposes strict requirements for processing the personal data of individuals within the European Economic Area (“EEA”). Companies that must comply with the EU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had to comply with the GDPR and also the United Kingdom GDPR (“UK GDPR”) which, together with the amended UK Data Protection Act 2018, retains the GDPR in UK national law. The UK GDPR mirrors the fines under the GDPR relating to fines up to the greater of £17.5 million or 4% of global turnover.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Regulation</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Government Regulation of Pharmaceutical Product Development and Approval</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U.S. Regulation of Pharmaceutical Product Development and Approval</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In the United States, the FDA regulates drugs under the Federal Food, Drug, and Cosmetic Act (“FDCA”) and its implementing regulations. Drugs are also subject to other federal, state and local statutes and regulations. The process of obtaining marketing approvals and the subsequent compliance with appropriate federal, state and local rules and regulations requires the expenditure of substantial time and financial resources. Our drug candidates must be approved by the FDA through the New Drug Application (“NDA”) process before they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48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may be legally marketed in the United States. The process required by the FDA before a drug may be marketed in the United States generally involves the following:</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completion of extensive preclinical laboratory tests, preclinical animal studies and formulation studies all performed in compliance with applicable regulations, including the FDA’s good laboratory practices (“GLP”) regulations;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submission to the FDA of an Investigational IND which must become effective before human clinical trials may begin;</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approval by an institutional review board (“IRB”) or ethics committee representing each clinical site before each clinical trial may be initiated;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performance of adequate and well-controlled human clinical trials in accordance with applicable good clinical practices (“GCPs”) and other clinical trial-related regulations, to establish the safety and efficacy of the proposed drug product for its proposed indication;</w:t>
            </w:r>
          </w:p>
        </w:tc>
      </w:tr>
    </w:tbl>
    <w:tbl>
      <w:tblPr>
        <w:tblW w:w="7698" w:type="dxa"/>
        <w:jc w:val="left"/>
        <w:tblInd w:w="0" w:type="dxa"/>
        <w:tblCellMar>
          <w:top w:w="0" w:type="dxa"/>
          <w:left w:w="0" w:type="dxa"/>
          <w:bottom w:w="0" w:type="dxa"/>
          <w:right w:w="0" w:type="dxa"/>
        </w:tblCellMar>
      </w:tblPr>
      <w:tblGrid>
        <w:gridCol w:w="23"/>
        <w:gridCol w:w="170"/>
        <w:gridCol w:w="75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50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preparation and submission to the FDA of an NDA together with payment of user fees;</w:t>
            </w:r>
          </w:p>
        </w:tc>
      </w:tr>
    </w:tbl>
    <w:tbl>
      <w:tblPr>
        <w:tblW w:w="8298" w:type="dxa"/>
        <w:jc w:val="left"/>
        <w:tblInd w:w="0" w:type="dxa"/>
        <w:tblCellMar>
          <w:top w:w="0" w:type="dxa"/>
          <w:left w:w="0" w:type="dxa"/>
          <w:bottom w:w="0" w:type="dxa"/>
          <w:right w:w="0" w:type="dxa"/>
        </w:tblCellMar>
      </w:tblPr>
      <w:tblGrid>
        <w:gridCol w:w="23"/>
        <w:gridCol w:w="170"/>
        <w:gridCol w:w="81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10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determination by the FDA within 60 days of its receipt of an NDA to file the NDA for review;</w:t>
            </w:r>
          </w:p>
        </w:tc>
      </w:tr>
    </w:tbl>
    <w:tbl>
      <w:tblPr>
        <w:tblW w:w="6558" w:type="dxa"/>
        <w:jc w:val="left"/>
        <w:tblInd w:w="0" w:type="dxa"/>
        <w:tblCellMar>
          <w:top w:w="0" w:type="dxa"/>
          <w:left w:w="0" w:type="dxa"/>
          <w:bottom w:w="0" w:type="dxa"/>
          <w:right w:w="0" w:type="dxa"/>
        </w:tblCellMar>
      </w:tblPr>
      <w:tblGrid>
        <w:gridCol w:w="23"/>
        <w:gridCol w:w="170"/>
        <w:gridCol w:w="63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36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review by an FDA advisory committee, where appropriate or if applicable;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satisfactory completion of an FDA pre-approval inspection of the manufacturing facility or facilities at which the active pharmaceutical ingredient (“API”) and finished drug product are produced to assess compliance with the FDA’s current Good Manufacturing Practices (“cGMP”);</w:t>
            </w:r>
          </w:p>
        </w:tc>
      </w:tr>
    </w:tbl>
    <w:tbl>
      <w:tblPr>
        <w:tblW w:w="9918" w:type="dxa"/>
        <w:jc w:val="left"/>
        <w:tblInd w:w="0" w:type="dxa"/>
        <w:tblCellMar>
          <w:top w:w="0" w:type="dxa"/>
          <w:left w:w="0" w:type="dxa"/>
          <w:bottom w:w="0" w:type="dxa"/>
          <w:right w:w="0" w:type="dxa"/>
        </w:tblCellMar>
      </w:tblPr>
      <w:tblGrid>
        <w:gridCol w:w="23"/>
        <w:gridCol w:w="170"/>
        <w:gridCol w:w="972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72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potential FDA audit of the preclinical and/or clinical trial sites that generated the data in support of the NDA; and</w:t>
            </w:r>
          </w:p>
        </w:tc>
      </w:tr>
    </w:tbl>
    <w:tbl>
      <w:tblPr>
        <w:tblW w:w="9903" w:type="dxa"/>
        <w:jc w:val="left"/>
        <w:tblInd w:w="0" w:type="dxa"/>
        <w:tblCellMar>
          <w:top w:w="0" w:type="dxa"/>
          <w:left w:w="0" w:type="dxa"/>
          <w:bottom w:w="0" w:type="dxa"/>
          <w:right w:w="0" w:type="dxa"/>
        </w:tblCellMar>
      </w:tblPr>
      <w:tblGrid>
        <w:gridCol w:w="23"/>
        <w:gridCol w:w="170"/>
        <w:gridCol w:w="97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71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FDA review and approval of the NDA prior to any commercial marketing or sale of the drug in the United States.</w:t>
            </w:r>
          </w:p>
        </w:tc>
      </w:tr>
    </w:tbl>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Preclinical Studies and Clinical Trials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preclinical development stage generally involves synthesizing the active component, developing the formulation and determining the manufacturing process, evaluating purity and stability, as well as carrying out non-human toxicology, pharmacology and drug metabolism studies in the laboratory, which support subsequent clinical testing. The conduct of the preclinical tests must comply with federal regulations, including GLPs where applicable.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trials. The IND automatically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or questions before the clinical trial can begin. Some long-term preclinical testing, such as animal tests of reproductive adverse events and carcinogenicity, may continue after the IND is submitted. The FDA may also impose clinical holds on a drug candidate at any time before or during clinical trials due to safety concerns or non-compliance. Accordingly, submission of an IND does not guarantee the FDA will allow clinical trials to begin, or that, once begun, issues will not arise that could cause the trial to be suspended or terminated.</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 clinical stage of development involves the administration of the drug product to human subjects or patients under the supervision of qualified investigators, generally physicians not employed by or under the trial sponsor’s control, in accordance with GCPs, which establish standards for conducting, recording data from, and reporting the results of clinical trials, and are intended to assure that the rights, safety, and well-being of study participants are protected. GCPs also include the requirement that all research subjects provide their informed consent in writing for their participation in any clinical trial. Clinical trials are conducted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49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under written study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A separate submission to the existing IND must be made for each successive clinical trial conducted during product development and for any subsequent protocol amendments. 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Further, each clinical trial must be reviewed and approved by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IRB also reviews and approves the informed consent form that must be provided to each clinical trial subject or his or her legal representative and must monitor the clinical trial until completed. Some studies also include oversight by an independent group of qualified experts organized by the clinical trial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There are also requirements governing the reporting of ongoing clinical trials and completed clinical trial results to public registries.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Clinical trials are generally conducted in three sequential phases that may overlap or be combined, known as Phase I, Phase II and Phase III clinical trials.</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i/>
                <w:sz w:val="20"/>
              </w:rPr>
              <w:t>Phase I:</w:t>
            </w:r>
            <w:r>
              <w:rPr>
                <w:caps w:val="false"/>
                <w:smallCaps w:val="false"/>
              </w:rPr>
              <w:t>     </w:t>
            </w:r>
            <w:r>
              <w:rPr>
                <w:rFonts w:ascii="Arial;Helvetica;sans-serif" w:hAnsi="Arial;Helvetica;sans-serif"/>
                <w:b w:val="false"/>
                <w:i w:val="false"/>
                <w:caps w:val="false"/>
                <w:smallCaps w:val="false"/>
                <w:sz w:val="20"/>
              </w:rPr>
              <w:t>The drug is initially introduced into a small number of healthy volunteers or patients with the target disease or condition who are initially exposed to a single dose and then multiple doses of the drug candidate. These studies are designed to assess the metabolism, pharmacologic action, dosage tolerance, side effects associated with increasing doses, and safety of the drug, and if possible, to gain early evidence on effectiveness.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i/>
                <w:sz w:val="20"/>
              </w:rPr>
              <w:t>Phase II:</w:t>
            </w:r>
            <w:r>
              <w:rPr>
                <w:caps w:val="false"/>
                <w:smallCaps w:val="false"/>
              </w:rPr>
              <w:t>    </w:t>
            </w:r>
            <w:r>
              <w:rPr>
                <w:rFonts w:ascii="Arial;Helvetica;sans-serif" w:hAnsi="Arial;Helvetica;sans-serif"/>
                <w:b w:val="false"/>
                <w:i w:val="false"/>
                <w:caps w:val="false"/>
                <w:smallCaps w:val="false"/>
                <w:sz w:val="20"/>
              </w:rPr>
              <w:t>The drug is administered to a limited patient population with a specified disease or condition to evaluate optimal dosage and dosing schedule. At the same time, safety and further PK and PD information is collected, as well as identification of possible adverse effects and safety risks and preliminary evaluation of efficacy.</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i/>
                <w:sz w:val="20"/>
              </w:rPr>
              <w:t>Phase III:</w:t>
            </w:r>
            <w:r>
              <w:rPr>
                <w:caps w:val="false"/>
                <w:smallCaps w:val="false"/>
              </w:rPr>
              <w:t>   </w:t>
            </w:r>
            <w:r>
              <w:rPr>
                <w:rFonts w:ascii="Arial;Helvetica;sans-serif" w:hAnsi="Arial;Helvetica;sans-serif"/>
                <w:b w:val="false"/>
                <w:i w:val="false"/>
                <w:caps w:val="false"/>
                <w:smallCaps w:val="false"/>
                <w:sz w:val="20"/>
              </w:rPr>
              <w:t>The drug is administered to an expanded number of patients, generally at multiple sites that are geographically dispersed, in well-controlled clinical trials to generate enough data to demonstrate the efficacy of the drug for its intended use, its safety profile, and to establish the overall benefit/risk profile of the drug and provide an adequate basis for drug approval and labeling of the drug product.</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Post-approval trials, sometimes referred to as Phase IV clinical trials, may be conducted after initial marketing approval. These trials are used to gain additional experience from the treatment of patients in the intended therapeutic indication. In certain instances, the FDA may mandate the performance of Phase IV clinical trials as a condition of NDA approval.</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 FDA, the IRB,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or an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50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institution it represents, if the clinical trial is not being conducted in accordance with the IRB’s requirements or if the drug has been associated with unexpected serious harm to patients. Concurrent with clinical trials,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long-term stability and quality of the final drug product. Additionally, appropriate packaging must be selected and tested and stability studies must be conducted to demonstrate that the drug candidate does not undergo unacceptable deterioration over its shelf life.</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NDA Submission and FDA Review Process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Assuming successful completion of all required testing in accordance with all applicable regulatory requirements, the results of non-clinical studies and of the clinical trials, together with other detailed information, including extensive manufacturing information and information on the composition of the drug and proposed labeling, are submitted to the FDA in the form of an NDA requesting approval to market the drug for one or more specified indications. Data can come from company-sponsored clinical studies intended to test the safety and effectiveness of a use of the product, or from a number of alternative sources, including studies initiated by independent investigators. Under the Prescription Drug User Fee Act, as amended (“PDUFA”) each NDA must be accompanied by an application user fee. The FDA adjusts the PDUFA user fees on an annual basis. PDUFA also imposes an annual prescription drug program fee for human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has a goal of ten months from the filing date to complete a standard review of an NDA for a drug that is a new molecular entity. This review typically takes twelve months from the date the NDA is submitted to FDA because the FDA has approximately two months to make a “filing” decision after it the application is submitted. The FDA reviews the NDA to determine, among other things, whether the proposed drug is safe and effective for its intended use, and whether the drug is being manufactured in accordance with cGMP to assure and preserve the drug’s identity, strength, quality and purity.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FDA may refer applications for novel drugs or drug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Before approving an NDA, the FDA will conduct a pre-approval inspection of the manufacturing facilities for the new drug to determine whether they comply with cGMPs. The FDA will not approve the drug unless it determines that the manufacturing processes and facilities are in compliance with cGMP requirements and adequate to assure consistent production of the drug within required specifications. In addition, before approving an NDA, the FDA may re-analyze clinical trial data and may also audit data from clinical trials to ensure compliance with GCP requirements.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After the FDA evaluates the application, manufacturing process and manufacturing facilities where the drug product and/or its API will be produced, it may issue an approval letter or a Complete Response Letter (“CRL”) An approval letter authorizes commercial marketing of the drug with specific prescribing information for specific indications. A CRL indicates that the review cycle of the application is complete and the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51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application is not ready for approval. A CRL usually describes all of the specific deficiencies in the NDA identified by the FDA. The CRL may require additional clinical data and/or an additional pivotal clinical trial(s), and/or other significant, expensive and time-consuming requirements related to clinical trials, preclinical studies or manufacturing. If a CRL is issued, the applicant may either resubmit the NDA, addressing all of the deficiencies identified in the letter, or withdraw the application. Even if such data and information is submitted, the FDA may ultimately decide that the NDA does not satisfy the criteria for approval.</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If a drug receives marketing approval, such approval will be granted for particular indications and may be significantly limited to specific diseases, dosages, or patient populations. Further, the FDA may require that certain contraindications, warnings or precautions be included in the drug labeling or may condition the approval of the NDA on other changes to the proposed labeling, development of adequate controls and specifications, or a commitment to conduct post-market testing or clinical trials and surveillance to monitor the effects of approved drugs. For example, the FDA may require so-called Phase IV testing which involves clinical trials designed to further assess a drug’s safety and effectiveness and may require testing and surveillance programs to monitor the safety of approved drugs that have been commercialized. The FDA may also place other conditions on approvals including the requirement for a Risk Evaluation and Mitigation Strategy (“REMS”) to ensure that the benefits of a drug or biological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drugs. Drug approvals may be withdrawn for non-compliance with regulatory standards or if problems occur following initial marketing.</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Pediatric Trials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Under the Pediatric Research Equity Act,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A sponsor who is planning to submit a marketing application for a drug that includes a new active ingredient, new indication, new dosage form, new dosing regimen or new route of administration must also submit an initial Pediatric Study Plan (“PSP”) within sixty days of an end-of-Phase II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Orphan Drug Designation and Exclusivity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publicly disclose the identity of the therapeutic agent and its potential use. Orphan product designation does not convey any advantage in or shorten the duration of the regulatory review and approval process.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If a product that has orphan drug designation subsequently receives the first FDA approval for a particular active ingredient for the disease for which it has such designation, the product is entitled to orphan product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52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exclusivity, meaning that the FDA may not approve any other applications for the same product for the same indication for seven years, including a full NDA, except in certain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Post-Marketing Requirements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Following approval of a new drug, the NDA sponsor and the approved drug are subject to continuing regulation by the FDA, including, among other things, monitoring and recordkeeping activities, reporting to the applicable regulatory authorities of adverse experiences with the drug, providing the regulatory authorities with updated safety and efficacy information, drug sampling and distribution requirements, and complying with applicable promotion and advertising requirements. Modifications or enhancements to the drug or its labeling or changes of the site of manufacture are often subject to the approval of the FDA and other regulators, which may or may not be received or may result in a lengthy review process.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FDA regulations also require that approved drug products be manufactured in specific facilities identified in the approved application for marketing and in accordance with cGMP. NDA holders using contract manufacturers, laboratories or packagers are responsible for the selection and monitoring of qualified firms, and, in certain circumstances, qualified suppliers to these firms. These manufacturers must comply with cGMP regulations that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restrictions on the marketing or manufacturing of the product, complete withdrawal of the product from the market or product recalls;</w:t>
            </w:r>
          </w:p>
        </w:tc>
      </w:tr>
    </w:tbl>
    <w:tbl>
      <w:tblPr>
        <w:tblW w:w="3648" w:type="dxa"/>
        <w:jc w:val="left"/>
        <w:tblInd w:w="0" w:type="dxa"/>
        <w:tblCellMar>
          <w:top w:w="0" w:type="dxa"/>
          <w:left w:w="0" w:type="dxa"/>
          <w:bottom w:w="0" w:type="dxa"/>
          <w:right w:w="0" w:type="dxa"/>
        </w:tblCellMar>
      </w:tblPr>
      <w:tblGrid>
        <w:gridCol w:w="23"/>
        <w:gridCol w:w="170"/>
        <w:gridCol w:w="34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45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fines, warning letters, or untitled letters;</w:t>
            </w:r>
          </w:p>
        </w:tc>
      </w:tr>
    </w:tbl>
    <w:tbl>
      <w:tblPr>
        <w:tblW w:w="2808" w:type="dxa"/>
        <w:jc w:val="left"/>
        <w:tblInd w:w="0" w:type="dxa"/>
        <w:tblCellMar>
          <w:top w:w="0" w:type="dxa"/>
          <w:left w:w="0" w:type="dxa"/>
          <w:bottom w:w="0" w:type="dxa"/>
          <w:right w:w="0" w:type="dxa"/>
        </w:tblCellMar>
      </w:tblPr>
      <w:tblGrid>
        <w:gridCol w:w="23"/>
        <w:gridCol w:w="170"/>
        <w:gridCol w:w="26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61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clinical holds on clinical trials;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refusal of the FDA to approve pending applications or supplements to approved applications, or suspension or revocation of product approvals;</w:t>
            </w:r>
          </w:p>
        </w:tc>
      </w:tr>
    </w:tbl>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53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7233" w:type="dxa"/>
        <w:jc w:val="left"/>
        <w:tblInd w:w="0" w:type="dxa"/>
        <w:tblCellMar>
          <w:top w:w="0" w:type="dxa"/>
          <w:left w:w="0" w:type="dxa"/>
          <w:bottom w:w="0" w:type="dxa"/>
          <w:right w:w="0" w:type="dxa"/>
        </w:tblCellMar>
      </w:tblPr>
      <w:tblGrid>
        <w:gridCol w:w="23"/>
        <w:gridCol w:w="170"/>
        <w:gridCol w:w="70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04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product seizure or detention, or refusal to permit the import or export of products;</w:t>
            </w:r>
          </w:p>
        </w:tc>
      </w:tr>
    </w:tbl>
    <w:tbl>
      <w:tblPr>
        <w:tblW w:w="9543" w:type="dxa"/>
        <w:jc w:val="left"/>
        <w:tblInd w:w="0" w:type="dxa"/>
        <w:tblCellMar>
          <w:top w:w="0" w:type="dxa"/>
          <w:left w:w="0" w:type="dxa"/>
          <w:bottom w:w="0" w:type="dxa"/>
          <w:right w:w="0" w:type="dxa"/>
        </w:tblCellMar>
      </w:tblPr>
      <w:tblGrid>
        <w:gridCol w:w="23"/>
        <w:gridCol w:w="170"/>
        <w:gridCol w:w="93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35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consent decrees, corporate integrity agreements, debarment or exclusion from federal healthcare programs;</w:t>
            </w:r>
          </w:p>
        </w:tc>
      </w:tr>
    </w:tbl>
    <w:tbl>
      <w:tblPr>
        <w:tblW w:w="9183" w:type="dxa"/>
        <w:jc w:val="left"/>
        <w:tblInd w:w="0" w:type="dxa"/>
        <w:tblCellMar>
          <w:top w:w="0" w:type="dxa"/>
          <w:left w:w="0" w:type="dxa"/>
          <w:bottom w:w="0" w:type="dxa"/>
          <w:right w:w="0" w:type="dxa"/>
        </w:tblCellMar>
      </w:tblPr>
      <w:tblGrid>
        <w:gridCol w:w="23"/>
        <w:gridCol w:w="170"/>
        <w:gridCol w:w="899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99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mandated modification of promotional materials and labeling and the issuance of corrective information;</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issuance of safety alerts, Dear Healthcare Provider letters, press releases and other communications containing warnings or other safety information about the product; or</w:t>
            </w:r>
          </w:p>
        </w:tc>
      </w:tr>
    </w:tbl>
    <w:tbl>
      <w:tblPr>
        <w:tblW w:w="5133" w:type="dxa"/>
        <w:jc w:val="left"/>
        <w:tblInd w:w="0" w:type="dxa"/>
        <w:tblCellMar>
          <w:top w:w="0" w:type="dxa"/>
          <w:left w:w="0" w:type="dxa"/>
          <w:bottom w:w="0" w:type="dxa"/>
          <w:right w:w="0" w:type="dxa"/>
        </w:tblCellMar>
      </w:tblPr>
      <w:tblGrid>
        <w:gridCol w:w="23"/>
        <w:gridCol w:w="170"/>
        <w:gridCol w:w="49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94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injunctions or the imposition of civil or criminal penalties.</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labeling.</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Marketing Exclusivity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Market exclusivity provisions under the FDCA can delay the acceptance by the FDA for review,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an NDA submitted under Section 505(b)(2), or 505(b)(2) NDA, submitted by another company for another drug based on the same active moiety, regardless of whether the drug is intended for the same indication as the original reference drug or for another indication, where the applicant does not own or have a legal right of reference to all the data required for approval. However, an application may be accepted for review after four years if it contains a certification of patent invalidity or non-infringement to one of the patents listed with the FDA for the reference drug.</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such as new indications, dosages or strengths of an existing drug. This three-year exclusivity covers only the modification for which the drug received approval on the basis of the new clinical investigations and does not prohibit the FDA from approving abbreviated NDAs or 505(b)(2) NDAs for drugs containing the active agent for the original indication or condition of use.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54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Other U.S. Regulatory Matters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Manufacturing, sales, promotion and other activities following drug approval are also subject to regulation by numerous regulatory authorities in addition to the FDA, including, in the United States, the Centers for Medicare &amp; Medicaid Services (“CMS”), other divisions of the Department of Health and Human Services, the Consumer Product Safety Commission, the Federal Trade Commission, the Occupational Safety &amp; Health Administration, the Environmental Protection Agency and state and local governments. In the United States, the activities of pharmaceutical manufacturers are subject to federal and state laws designed to prevent fraud and abuse in the healthcare industry. The laws generally limit financial interactions between manufacturers and health care providers or other participants in the healthcare industry and/or require disclosure to the government and public of such interactions. Many of these laws and regulations contain ambiguous requirements or require administrative guidance for implementation.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Pharmaceutical manufacturers are also required to provide discounts or rebates under government healthcare programs or to certain government and private purchasers in order to obtain coverage under federal healthcare programs such as Medicaid. Participation in such programs may require tracking and reporting of certain drug prices. Manufacturers are subject to fines and other penalties if such prices are not reported accurately. Drugs must meet applicable child-resistant packaging requirements under the U.S. Poison Prevention Packaging Act. Manufacturing, sales, promotion and other activities are also potentially subject to federal and state consumer protection and unfair competition laws.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distribution of pharmaceutical drugs is subject to additional requirements and regulations, including extensive record-keeping, licensing, storage and security requirements intended to prevent the unauthorized sale of pharmaceutical drugs.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failure to comply with regulatory requirements subjects manufacturers to possible legal or regulatory action. Depending on the circumstances, failure to meet applicable regulatory requirements can result in criminal prosecution, fines, civil monetary or other penalties, injunctions, recall or seizure of drugs, total or partial suspension of production, denial or withdrawal of product approvals, additional regulatory oversight and integrity monitoring, exclusion from participation in government healthcare programs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Chinese Regulation of Pharmaceutical Product Development and Approval</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Since China’s entry into the World Trade Organization in 2001, the Chinese government has made significant efforts to standardize regulations, develop its pharmaceutical regulatory system and strengthen intellectual property protection.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October 2017, China’s drug regulatory system entered a new and significant period of reform. The General Office of the State Council and the General Office of the Communist Party of China Central Committee jointly issued the Opinion on Deepening the Reform of the Regulatory Approval System to Encourage Innovation in Drugs and Medical Devices, or the Innovation Opinion, which is a mandatory plan to further reform the review and approval system and to encourage the innovation of drugs and medical devices. Under the Innovation Opinion and other recent reforms, the expedited programs and other advantages encourage drug manufacturers to seek marketing approval in China first and to develop drugs in high priority disease areas, such as oncology or rare disease.</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To implement the regulatory reform introduced by the Innovation Opinion, the Standing Committee of the National People’s Congress of the PRC (“SCNPC”) and the National Medical Products Administration (“NMPA”) have recently revised the fundamental laws, regulations and rules governing pharmaceutical products and the pharmaceutical industry, including the amendment of the framework law known as the People’s Republic of China Drug Administration Law (“PRC Drug Administration Law”), which became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55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effective on December 1, 2019. The State Administration for Market Regulation (“SAMR”) has promulgated two key implementing regulations for the PRC Drug Administration Law: (i) the amended Administrative Measures for Drug Registration and (ii) the amended Measures on the Supervision and Administration of the Manufacture of Drugs. Both regulations took effect on July 1, 2020.</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Rest of the World Regulation of Pharmaceutical Product Development and Approval</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For other countries outside of Asia and the United States, such as countries in Europe, Latin America or other parts of Asia, the requirements governing the conduct of clinical trials, drug licensing, pricing and reimbursement vary from country to country. In all cases the clinical trials must be conducted in accordance with applicable GCP requirements and the applicable regulatory requirements and ethical principles.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If we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Other Healthcare Laws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Other U.S. Healthcare Laws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may also be subject to healthcare regulation and enforcement by the U.S. federal government and the states where we may market our drug candidates, if approved. These laws include, without limitation, state and federal anti-kickback, fraud and abuse, false claims, privacy and security and transparency laws, such as the following:</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federal Anti-Kickback Statute, which prohibit, among other things, persons from knowingly and willfully offering,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A person or entity does not need to have actual knowledge of the statute or specific intent to violate it in order to have committed a violation;</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federal false claims laws, including the False Claim Act and the Civil Monetary Penalties Law, which prohibit, among other things, individuals or entities from knowingly presenting, or causing to be presented, information or claims for payment from Medicare, Medicaid, or other third-party payers that are false or fraudulent. In addition, a claim including items or services resulting from a violation of the U.S. federal Anti-Kickback Statute constitutes a false or fraudulent claim for purposes of the federal civil False Claims Act;</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federal Health Insurance Portability and Accountability Act of 1996 (“HIPAA”), which prohibits, among other things, executing or attempting to execute a scheme to defraud any healthcare benefit program (including private health plans) or making false statements relating to healthcare matters. Similar to the federal Anti-Kickback Statute, a person or entity does not need to have actual knowledge of the statute or specific intent to violate it in order to have committed a violation;</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Federal Food, Drug, and Cosmetic Act (“FDCA”), which among other things, strictly regulates drug product and medical device marketing, prohibits manufacturers from marketing such products prior to approval or for off-label use and regulates the distribution of samples;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or other transfers of value made to physicians (defined to include </w:t>
            </w:r>
          </w:p>
        </w:tc>
      </w:tr>
    </w:tbl>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56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23"/>
        <w:gridCol w:w="10159"/>
      </w:tblGrid>
      <w:tr>
        <w:trPr/>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159"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doctors, dentists, optometrists, podiatrists and chiropractors), other healthcare professionals (such as physician assistants and nurse practitioners) and teaching hospitals, as well as ownership and investment interests held by physicians and their immediate family members;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HIPAA, as amended by the Health Information Technology for Economic and Clinical Health Act (“HITECH”), and their implementing regulations, imposes obligations, including mandatory contractual terms, on “covered entities,” including certain healthcare providers, health plans, healthcare clearinghouses, and their respective “business associates,” and their subcontractors that create, receive, maintain or transmit individually identifiable health information for or on behalf of a covered entity, with respect to safeguarding the privacy, security and transmission of individually identifiable health information;</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 law equivalents of the above federal laws, such as anti-kickback and false claims laws, which may apply to items or services reimbursed by any third-party payer, including private insurers,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We may also be subject to federal consumer protection and unfair competition laws, which broadly regulate marketplace activities and activities that potentially harm consumers.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Efforts to ensure that our activities comply with applicable healthcare laws may involve substantial costs. Many of these laws and their implementing regulations contain ambiguous requirements or require administrative guidance for implementation. Given the lack of clarity in laws and their implementation, our activities could be subject to challenge. If our operations were found to be in violation of any of these laws or any other governmental regulations that may apply to us, we could be subject to significant civil, criminal and administrative penalties, including, without limitation, damages, fines, imprisonment, additional regulatory oversight and integrity monitoring, exclusion from participation in government healthcare programs, such as Medicare and Medicaid, and the curtailment or restructuring of our operations.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Coverage and Reimbursement</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U.S. Coverage and Reimbursement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Successful sales of our drug candidates in the U.S. market, if approved, will depend, in part, on the extent to which our drugs will be covered by third-party payors, such as government health programs or private health insurance (including managed care plans). Patients who are provided with prescriptions as part of their medical treatment generally rely on such third-party payors to reimburse all or part of the costs associated with their prescriptions and therefore adequate coverage and reimbursement from such third-party payors are critical to new and ongoing product acceptance. 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of determining coverage and reimbursement is often time consuming and costly. Further, third-party payors are increasingly reducing reimbursements for medical drugs and services and implementing measures to control utilization of drugs (such as requiring prior authorization for coverage).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or expansion of price controls and cost-containment measures could further limit our net revenue and results. Decreases in third-party reimbursement for our drug candidates, if approved, or a decision by a third-party payor to not cover our drug candidates could have a material adverse effect on our sales, results of operations and financial condition.</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57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General legislative cost control measures may also affect reimbursement for our products. If we obtain approval to market a drug candidate in the United States, we may be subject to spending reductions affecting Medicare, Medicaid or other publicly funded or subsidized health programs and/or any significant taxes or fees.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U.S. Health Care Reform</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in March 2010, the Affordable Care Act (“ACA”) was passed which substantially changed the way healthcare is financed by both the government and private insurers and continues to significantly impact the U.S. pharmaceutical industry.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There have been judicial, Congressional and executive branch challenges to certain aspects of the ACA, including efforts to repeal or replace certain aspects of the ACA. For example, on June 17, 2021 the U.S. Supreme Court dismissed a challenge on procedural grounds that argued the ACA is unconstitutional in its entirety because the individual mandate was repealed by Congress. In addition,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through a newly established manufacturer discount program.</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Additionally, there has been heightened governmental scrutiny in the United States of pharmaceutical pricing practices in light of the rising cost of prescription drugs and biologics. Such scrutiny has resulted in several recent Congressional inquiries, presidential executive orders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in July 2021, the Biden administration released an executive order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to advance these principles. In addition, the IRA, among other things, (1) directs the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Further, the Biden administration released an additional executive order on October 14, 2022, directing HHS to report on how the Center for Medicare and Medicaid Innovation can be further leveraged to test new models for lowering drug costs for Medicare and Medicaid beneficiaries.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Other Significant Chinese Regulation Affecting Our Business Activities in China</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Chinese Regulation of Foreign Investment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establishment, operation and management of corporate entities in China are governed by the Company Law of the People’s Republic of China (the “PRC Company Law”), which was adopted by the SCNPC in December 1993, implemented in July 1994, and subsequently amended in December 1999, August 2004, October 2005, December 2013 and October 2018. Under the PRC Company Law, companies are generally classified into two categories: limited liability companies and companies limited by shares. The PRC Company Law also applies to foreign-invested limited liability companies. Pursuant to the PRC Company Law, where laws on foreign investment have other stipulations, such stipulations shall prevail.</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58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Investment activities in China by foreign investors are governed by the Guiding Foreign Investment Direction, which was promulgated by the State Council on February 11, 2002 and came into effect on April 1, 2002, and the latest Special Administrative Measures (Negative List) for Foreign Investment Access (2021) (the “Negative List”), which was promulgated by the Ministry of Commerce of the People’s Republic of China (“MOFCOM”), and National Development and Reform Commission (“NDRC”), on December 27, 2021 and took effect on January 1, 2022. The Negative List set out in a unified manner the restrictive measures, such as the requirements on shareholding percentages and management, for the access of foreign investments, and the industries that are prohibited for foreign investment. The Negative List covers 12 industries, and any field not falling in the Negative List shall be administered under the principle of equal treatment to domestic and foreign investment.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Foreign Investment Law of the People’s Republic of China (the “Foreign Investment Law”) was promulgated by the National People’s Congress (“NPC”) in March 2019 and become effective in January 2020. After the Foreign Investment Law came into force, the Law on Wholly Foreign-Owned Enterprises of the People’s Republic of China, the Law on Sino-foreign Equity Joint Ventures of the People’s Republic of China and the Law on Sino-foreign Contractual Joint Ventures of the People’s Republic of China have been repealed simultaneously. The investment activities of foreign natural persons, enterprises or other organizations (hereinafter referred to as foreign investors) directly or indirectly within the territory of China shall comply with and be governed by the Foreign Investment Law, including: (i) establishing by foreign investors of foreign-invested enterprises in China alone or jointly with other investors; (ii) acquiring by foreign investors of shares, equity, property shares, or other similar interests of Chinese domestic enterprises; (iii) investing by foreign investors in new projects in China alone or jointly with other investors; (iv) other forms of investment prescribed by laws, administrative regulations or the State Council.</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December 2019, the State Council issued the Regulations on Implementing the Foreign Investment Law, which came into effect in January 2020. After the Regulations on Implementing the Foreign Investment Law came into effect, the Regulation on Implementing the Sino-Foreign Equity Joint Venture Enterprise Law, Provisional Regulations on the Duration of Sino-Foreign Equity Joint Venture Enterprise, the Regulations on Implementing the Wholly Foreign-Owned Enterprise Law and the Regulations on Implementing the Sino-Foreign Cooperative Joint Venture Enterprise Law have been repealed simultaneously.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December 2019, the MOFCOM and the SAMR issued the Measures for the Reporting of Foreign Investment Information, which came into effect in January 2020. After the Measures for the Reporting of Foreign Investment Information came into effect, the Interim Measures on the Administration of Filing for Establishment and Change of Foreign Investment Enterprises has been repealed simultaneously. Since January 1, 2020, for foreign investors carrying out investment activities directly or indirectly in China, the foreign investors or foreign-invested enterprises shall submit investment information to the relevant commerce administrative authorities pursuant to these measures.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Chinese Regulation of Commercial Bribery</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Pursuant to specific provisions in the amended People’s Republic of China Anti-Unfair Competition Law, commercial bribery is prohibited. Both the bribe giver and bribe recipient are subject to civil and criminal liability. Further, pharmaceutical companies involved in a criminal investigation or administrative proceedings related to bribery are listed in the Adverse Records of Commercial Briberies by its provincial health and family planning administrative department. Pursuant to the Provisions on the Establishment of Adverse Records of Commercial Briberies in the Medicine Purchase and Sales Industry, which became effective on March 1, 2014, provincial health and family planning administrative departments formulate the implementing measures for the establishment of Adverse Records of Commercial Briberies. If a pharmaceutical company is listed in the Adverse Records of Commercial Briberies for the first time, their production is not required to be purchased by public medical institutions. A pharmaceutical company will not be penalized by the relevant Chinese government authorities merely by virtue of having contractual relationships with distributors or third-party promoters who are engaged in bribery activities, so long as such pharmaceutical company and its employees are not utilizing the distributors or third-party promoters for the implementation of, or acting in conjunction with them in, the prohibited bribery activities. In addition, a pharmaceutical company is under no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59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legal obligation to monitor the operating activities of its distributors and third-party promoters, and it will not be subject to penalties or sanctions by relevant Chinese government authorities as a result of failure to monitor their operating activities.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Chinese Regulation of Product Liability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to the strict new drug approval process, certain Chinese laws have been promulgated to protect the rights of consumers and to strengthen the control of medical products in China. Under current Chinese law, manufacturers and vendors of defective products in China may incur liability for loss and injury caused by such products. Pursuant to the General Principles of the Civil Law of the People’s Republic of China (“PRC Civil Law”) promulgated on April 12, 1986 and amended on August 27, 2009, a defective product which causes property damage or physical injury to any person may subject the manufacturer or vendor of such product to civil liability for such damage or injury. The Civil Code of the People’s Republic of China (“PRC Civil Code”), which was promulgated in May 2020 and became effective on January 1, 2021, amalgamates and replaces a series of specialized laws in civil law area, including the PRC Civil Law. The rules on product liability in the PRC Civil Code remain consistent with the rules in the PRC Civil Law.</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On February 22, 1993, the Product Quality Law of the People’s Republic of China (“Product Quality Law”) was promulgated to supplement the PRC Civil Law aiming to protect the legitimate rights and interests of the end-users and consumers and to strengthen the supervision and control of the quality of products. The Product Quality Law was revised on July 8, 2000, August 27, 2009 and December 29, 2018 respectively. Pursuant to the revised Product Quality Law, manufacturers who produce defective products may be subject to civil or criminal liability and have their business licenses revoked.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Law of the People’s Republic of China on the Protection of the Rights and Interests of Consumers was promulgated on October 31, 1993 and was amended on August 27, 2009 and October 25, 2013 to protect consumers’ rights when they purchase or use goods and accept services. According to which, all business operators must comply with this law when they manufacture or sell goods and/or provide services to customers. Under the amendment on October 25, 2013, all business operators shall pay high attention to protect the customers’ privacy and strictly keep confidential any consumer information they obtain during the business operation. In addition, in extreme situations, pharmaceutical product manufacturers and operators may be subject to criminal liability if their goods or services lead to the death or injuries of customers or other third parties.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Chinese Tort Law</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Under the Tort Law of the People’s Republic of China (“Tort Law”), which became effective on July 1, 2010, if damages to other persons are caused by defective products due to the fault of a third party, such as the parties providing transportation or warehousing, the producers and the sellers of the products have the right to recover their respective losses from such third parties. If defective products are identified after they have been put into circulation, the producers or the sellers shall take remedial measures such as the issuance of a warning, or the recall of products in a timely manner. The producers or the sellers shall be liable under tort if they fail to take remedial measures in a timely manner or have not made efforts to take remedial measures, thus causing damages. If the products are produced or sold with known defects, causing deaths or severe adverse health issues, the infringed party has the right to claim punitive damages in addition to compensatory damages. The PRC Civil Code amalgamated and replaced the Tort Law effective January 1, 2021. The rules on tort in the PRC Civil Code are generally consistent with the Tort Law.</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Chinese Regulation of Intellectual Property Rights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China has made substantial efforts to adopt comprehensive legislation governing intellectual property rights, including patents, trademarks, copyrights and domain names.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60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Patents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Pursuant to the Patent Law of the People’s Republic of China (the “PRC Patent Law”), most recently amended in December 2008 and October 2020, and its implementation rules, most recently amended in January 2010, patents in China fall into three categories: invention, utility model and design. An invention patent is granted to a new technical solution proposed in respect of a product or method or an improvement of a product or method. A utility model is granted to a new technical solution that is practicable for application and proposed in respect of the shape, structure or a combination of both of a product. A design patent is granted to the new design of a certain product in shape, pattern or a combination of both and in color, shape and pattern combinations aesthetically suitable for industrial application. Under the PRC Patent Law, the term of patent protection starts from the date of application. Patents relating to invention are effective for twenty years, and utility models and designs are effective for ten and fifteen years, respectively, from the date of application. The PRC Patent Law adopts the principle of “first-to-file” system, which provides that where more than one person files a patent application for the same invention, a patent will be granted to the person who files the application first.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Existing patents can become narrowed, invalid or unenforceable due to a variety of grounds, including lack of novelty, creativity, and deficiencies in patent application. In China, a patent must have novelty, creativity and practical applicability. Under the PRC Patent Law, novelty means that before a patent application is filed, no identical invention or utility model has been publicly disclosed in any publication in China or overseas or has been publicly used or made known to the public by any other means, whether in or outside of China, nor has any other person filed with the patent authority an application that describes an identical invention or utility model and is recorded in patent application documents or patent documents published after the filing date. Creativity means that, compared with existing technology, an invention has prominent substantial features and represents notable progress, and a utility model has substantial features and represents any progress. Practical applicability means an invention or utility model can be manufactured or used and may produce positive results. Patents in China are filed with the China National Intellectual Property Administration (“CNIPA”). Normally, the CNIPA publishes an application for an invention patent within 18 months after the filing date, which may be shortened at the request of applicant. The applicant must apply to the CNIPA for a substantive examination within three years from the date of application.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Article 19 of the PRC Patent Law provides that, for an invention or utility model completed in China, any applicant (not just Chinese companies and individuals), before filing a patent application outside of China, must first submit it to the CNIPA for a confidential examination. Failure to comply with this requirement will result in the denial of any Chinese patent for the relevant invention. This added requirement of confidential examination by the CNIPA has raised concerns by foreign companies who conduct research and development activities in China or outsource research and development activities to service providers in China. The PRC Patent Law also sets up the framework and adds the provisions for patent linkage and patent term extension.</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Patent Enforcement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Unauthorized use of patents without consent from owners of patents, forgery of the patents belonging to other persons, or engagement in other patent infringement acts, will subject the infringers to infringement liability. Serious offenses such as forgery of patents may be subject to criminal penalties.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When a dispute arises out of infringement of the patent owner’s patent right, Chinese law requires that the parties first attempt to settle the dispute through mutual consultation. However, if the dispute cannot be settled through mutual consultation, the patent owner, or an interested party who believes the patent is being infringed, may either file a civil legal suit or file an administrative complaint with the relevant patent administration authority. A Chinese court may issue a preliminary injunction upon the patent owner’s or an interested party’s request before instituting any legal proceedings or during the proceedings. Damages for infringement are calculated as the loss suffered by the patent holder arising from the infringement, or the benefit gained by the infringer from the infringement. If it is difficult to ascertain damages in this manner, damages may be determined by using a reasonable multiple of the license fee under a contractual license.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61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Statutory damages may be awarded in the circumstances where the damages cannot be determined by the calculation standards referenced above. The damage calculation methods shall be applied in the aforementioned order. Generally, the patent owner has the burden of proving that the patent is being infringed. However, if the owner of an invention patent for manufacturing process of a new product alleges infringement of its patent, the alleged infringer has the burden of proof.</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most recent amendment to the PRC Patent Law, which was promulgated by the SCNPC in October 2020 and became effective in June 2021, describes the general principles of linking generic drug applications to pharmaceutical patent protection, also known as Patent Linkage. In July 2021, the NMPA and the CNIPA jointly published the Measures for Implementing an Early-Stage Resolution Mechanism for Pharmaceutical Patent Disputes (Tentative) (“Measures on Patent Linkage”), providing an operating mechanism for Patent Linkage. Upon notification of generic applications and certifications, if the patentee or the interested person disagrees, the patentee or the interested person will need to file a claim with the court or the CNIPA within 45 days after the Center for Drug Evaluation (“CDE’s”) publication and must submit a copy of the case acceptance notification to the CDE within 15 working days after the case acceptance date. Otherwise, the NMPA can proceed with the technical review and approval. For chemical drugs, the NMPA would initiate a nine-month approval stay period upon notification. If the patentee or the interested person cannot secure a favorable court judgment or a decision from the CNIPA within the nine-month period, the NMPA can grant marketing authorization to the generic applicant after the nine-month period expires.</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Medical Patent Compulsory License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According to the PRC Patent Law, for the purpose of public health, the CNIPA may grant a compulsory license for manufacturing patented drugs and exporting them to countries or regions covered under relevant international treaties to which China has acceded.</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Exemptions for Unlicensed Manufacture, Use, Sale or Import of Patented Products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PRC Patent Law provides five exceptions permitting the unauthorized manufacture, use, sale or import of patented products. None of following circumstances are deemed an infringement of the patent rights, and any person may manufacture, use, sell or import patented products without authorization granted by the patent owner as follows:</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person who uses, promises to sell, sells or imports any patented product or product directly obtained in accordance with the patented methods after such product is sold by the patent owner or by its licensed entity or individual;</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person who has manufactured an identical product, has used an identical method or has made necessary preparations for manufacture or use prior to the date of patent application and continues to manufacture such product or use such method only within the original scope;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foreign transportation facility that temporarily passes through the territory, territorial waters or territorial airspace of China and uses the relevant patents in its devices and installations for its own needs in accordance with any agreement concluded between China and that country to which the foreign transportation facility belongs, or any international treaty to which both countries are party, or on the basis of the principle of reciprocity;</w:t>
            </w:r>
          </w:p>
        </w:tc>
      </w:tr>
    </w:tbl>
    <w:tbl>
      <w:tblPr>
        <w:tblW w:w="9888" w:type="dxa"/>
        <w:jc w:val="left"/>
        <w:tblInd w:w="0" w:type="dxa"/>
        <w:tblCellMar>
          <w:top w:w="0" w:type="dxa"/>
          <w:left w:w="0" w:type="dxa"/>
          <w:bottom w:w="0" w:type="dxa"/>
          <w:right w:w="0" w:type="dxa"/>
        </w:tblCellMar>
      </w:tblPr>
      <w:tblGrid>
        <w:gridCol w:w="23"/>
        <w:gridCol w:w="170"/>
        <w:gridCol w:w="96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69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person who uses the relevant patents solely for the purposes of scientific research and experimentation; or</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person who manufactures, uses or imports patented drug or patented medical equipment for the purpose of providing information required for administrative approval, or manufactures, uses or imports patented drugs or patented medical equipment for the abovementioned person.</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However, if patented drugs are utilized on the ground of exemptions for unauthorized manufacture, use, sale or import of patented drugs prescribed in PRC Patent Law, such patented drugs cannot be manufactured, used, sold or imported for any commercial purposes without authorization granted by the patent owner.</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62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Trade Secrets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According to the People’s Republic of China Anti-Unfair Competition Law promulgated by the SCNPC on September 2, 1993, as amended on November 4, 2017 and on April 23, 2019 (collectively, the “PRC Anti-Unfair Competition Law”), the term “trade secrets” refers to technical and business information that is unknown to the public that has utility and may create business interests or profits for its legal owners or holders, and is maintained as a secret by its legal owners or holders.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Under the PRC Anti-Unfair Competition Law, business persons are prohibited from infringing others’ trade secrets by: (i) obtaining the trade secrets from the legal owners or holders by any unfair methods such as theft, bribery, fraud, coercion, electronic intrusion, or any other illicit means; (ii) disclosing, using or permitting others to use the trade secrets obtained illegally under item (i) above; (iii) disclosing, using or permitting others to use the trade secrets, in violation of any contractual agreements or any requirements of the legal owners or holders to keep such trade secrets in confidence; or (iv) instigating, inducing or assisting others to violate confidentiality obligation or to violate a rights holder’s requirements on keeping confidentiality of trade secrets, disclosing, using or permitting others to use the trade secrets of the rights holder. If a third party knows or should have known of such illegal conduct but nevertheless obtains, uses or discloses trade secrets of others trade secrets, the third party may be deemed to have committed a misappropriation of the others’ trade secrets.</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Trademarks and Domain Names</w:t>
      </w:r>
    </w:p>
    <w:p>
      <w:pPr>
        <w:pStyle w:val="TextBody"/>
        <w:spacing w:before="0" w:after="240"/>
        <w:ind w:left="0" w:right="0" w:hanging="0"/>
        <w:rPr>
          <w:rFonts w:ascii="Arial;Helvetica;sans-serif" w:hAnsi="Arial;Helvetica;sans-serif"/>
          <w:sz w:val="20"/>
        </w:rPr>
      </w:pPr>
      <w:r>
        <w:rPr>
          <w:rFonts w:ascii="Arial;Helvetica;sans-serif" w:hAnsi="Arial;Helvetica;sans-serif"/>
          <w:i/>
          <w:sz w:val="20"/>
        </w:rPr>
        <w:t>Trademarks.</w:t>
      </w:r>
      <w:r>
        <w:rPr>
          <w:rFonts w:ascii="Arial;Helvetica;sans-serif" w:hAnsi="Arial;Helvetica;sans-serif"/>
          <w:sz w:val="20"/>
        </w:rPr>
        <w:t> According to the Trademark Law of the People’s Republic of China, promulgated by the SCNPC in August 1982, as amended in February 1993, October 2001, August 2013 and April 2019 and its implementation rules (collectively, the “Trademark Law”), the Trademark Office of the National Intellectual Property Administration is responsible for the registration and administration of trademarks throughout China. The Trademark Law has adopted a “first-to-file” principle with respect to trademark registration.</w:t>
      </w:r>
    </w:p>
    <w:p>
      <w:pPr>
        <w:pStyle w:val="TextBody"/>
        <w:spacing w:before="0" w:after="240"/>
        <w:ind w:left="0" w:right="0" w:hanging="0"/>
        <w:rPr>
          <w:rFonts w:ascii="Arial;Helvetica;sans-serif" w:hAnsi="Arial;Helvetica;sans-serif"/>
          <w:sz w:val="20"/>
        </w:rPr>
      </w:pPr>
      <w:r>
        <w:rPr>
          <w:rFonts w:ascii="Arial;Helvetica;sans-serif" w:hAnsi="Arial;Helvetica;sans-serif"/>
          <w:i/>
          <w:sz w:val="20"/>
        </w:rPr>
        <w:t>Domain Names.</w:t>
      </w:r>
      <w:r>
        <w:rPr>
          <w:rFonts w:ascii="Arial;Helvetica;sans-serif" w:hAnsi="Arial;Helvetica;sans-serif"/>
          <w:sz w:val="20"/>
        </w:rPr>
        <w:t> Domain names are protected under the Administrative Measures on the Internet Domain Names promulgated by the Ministry of Industry and Information Technology in August 2017 and effective November 2017. The Ministry of Industry and Information Technology is the main regulatory body responsible for the administration of Chinese internet domain names.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Chinese Regulation of Labor Protection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Under the Labor Law of the People’s Republic of China, effective on January 1, 1995 and subsequently amended on August 27, 2009 and December 29, 2018, the Employment Contract Law of the People’s Republic of China, effective on January 1, 2008 and subsequently amended on December 28, 2012 and the Implementing Regulations of the Employment Contract Law, effective on September 18, 2008, employers must establish a comprehensive management system to protect the rights of their employees, including a system governing occupational health and safety to provide employees with occupational training to prevent occupational injury, and employers are required to truthfully inform prospective employees of the job description, working conditions, location, occupational hazards and status of safe production as well as remuneration and other conditions as requested by the Labor Contract Law of the People’s Republic of China.</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Pursuant to the Law of Manufacturing Safety of the People’s Republic of China effective on November 1, 2002 and amended on August 27, 2009, August 31, 2014 and June 10, 2021, manufacturers must establish a comprehensive management system to ensure manufacturing safety in accordance with applicable laws, regulations, national standards, and industrial standards. Manufacturers not meeting relevant legal requirements are not permitted to commence their manufacturing activities.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Pursuant to the Administrative Measures Governing the Production Quality of Pharmaceutical Products effective on March 1, 2011, manufacturers of pharmaceutical products are required to establish production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63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safety and labor protection measures in connection with the operation of their manufacturing equipment and manufacturing process.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Pursuant to applicable Chinese laws, rules and regulations, including the Social Insurance Law which became effective on July 1, 2011 and amended on December 29, 2018, the Interim Regulations on the Collection and Payment of Social Security Funds, which became effective on January 22, 1999 and amended on March 24, 2019, Interim Measures concerning the Maternity Insurance of Employees, which became effective on January 1, 1995, and the Regulations on Work-related Injury Insurance, which became effective on January 1, 2004 and was subsequently amended on December 20, 2010, employers are required to contribute, on behalf of their employees, to a number of social security funds, including funds for basic pension insurance, unemployment insurance, basic medical insurance, work-related injury insurance and maternity insurance. If an employer fails to make social insurance contributions timely and in full, the social insurance collecting authority will order the employer to make up outstanding contributions within the prescribed time period and impose a late payment fee at the rate of 0.05% per day from the date on which the contribution becomes due. If such employer fails to make the overdue contributions within such time limit, the relevant administrative department may impose a fine equivalent to one to three times the overdue amount.</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Regulations Relating to Foreign Exchange Registration of Offshore Investment by Chinese Residents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July 2014, the State Administration of Foreign Exchange (“SAFE”), issued SAFE Circular 37 and its implementation guidelines. Pursuant to SAFE Circular 37 and its implementation guidelines, residents of China (including Chinese institutions and individuals) must register with local branches of SAFE in connection with their direct or indirect offshore investment in an overseas special purpose vehicle (“SPV”), directly established or indirectly controlled by Chinese residents for the purposes of offshore investment and financing with their legally owned assets or interests in domestic enterprises, or their legally owned offshore assets or interests. Such Chinese residents are also required to amend their registrations with SAFE when there is a change to the basic information of the SPV, such as changes of a Chinese resident individual shareholder, the name or operating period of the SPV, or when there is a significant change to the SPV, such as changes of the Chinese individual resident’s increase or decrease of its capital contribution in the SPV, or any share transfer or exchange, merger, division of the SPV. Failure to comply with the registration procedures set forth in the SAFE Circular 37 may result in restrictions being imposed on the foreign exchange activities of the relevant onshore company, including the payment of dividends and other distributions to its offshore parent or affiliate, the capital inflow from the offshore entities and settlement of foreign exchange capital, and may also subject relevant onshore companies or Chinese residents to penalties under Chinese foreign exchange administration regulations.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Regulations Relating to Employee Stock Incentive Plan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February 2012, SAFE promulgated the Notices on Issues Concerning the Foreign Exchange Administration for Domestic Individuals Participating in Stock Incentive Plans of Overseas Publicly Listed Companies (the “Stock Option Rules”). In accordance with the Stock Option Rules and relevant rules and regulations, Chinese citizens or non-Chinese citizens residing in China for a continuous period of not less than one year, who participate in any stock incentive plan of an overseas publicly listed company, subject to a few exceptions, are required to register with SAFE through a domestic qualified agent, which could be a Chinese subsidiary of such overseas listed company, and complete certain procedures. We and our employees who are Chinese citizens or who reside in China for a continuous period of not less than one year and who participate in our stock incentive plan are subject to such regulation. In addition, the State Taxation Administration of the PRC, or SAT, has issued circulars concerning employee stock options or restricted shares. Under these circulars, employees working in China who exercise stock options, or whose restricted shares vest, will be subject to Chinese individual income tax (”IIT”). The Chinese subsidiaries of an overseas listed company have obligations to file documents related to employee stock options or restricted shares with relevant tax authorities and to withhold IIT of those employees related to their stock options or restricted shares. If the employees fail to pay, or the Chinese subsidiaries fail to withhold, their IIT according to relevant laws, rules and regulations, the Chinese subsidiaries may face sanctions imposed by the tax authorities or other Chinese government authorities.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64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Regulations Relating to Dividend Distribution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Pursuant to the PRC Company Law and Foreign Investment Law, and Regulations on Implementing the Foreign Investment Law of the People’s Republic of China, foreign investors may freely remit into or out of China, in RMB or any other foreign currency, their capital contributions, profits, capital gains, income from asset disposal, intellectual property royalties, lawfully acquired compensation, indemnity or liquidation income and so on within the territory of China.</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January 2017, SAFE issued the Notice on Improving the Check of Authenticity and Compliance to Further Promote Foreign Exchange Control, which stipulates several capital control measures with respect to outbound remittance of profits from domestic entities to offshore entities, including the following: (i) under the principle of genuine transaction, banks shall check board resolutions regarding profit distribution, the original version of tax filing records and audited financial statements; and (ii) domestic entities shall hold income to account for previous years’ losses before remitting the profits. Moreover, domestic entities shall provide detailed explanations of the sources of capital and the utilization arrangements and board resolutions, contracts and other proof when completing the registration procedures in connection with an outbound investment.</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Regulations Relating to Foreign Exchange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principal regulations governing foreign currency exchange in China are the Foreign Exchange Administration Regulations, most recently amended in August 2008. Under the Foreign Exchange Administration Regulations, payments of current account items, such as profit distributions and trade and service-related foreign exchange transactions can be made in foreign currencies without prior approval from SAFE by complying with certain procedural requirements. However, approval from or registration with appropriate government authorities is required where RMB is to be converted into foreign currency and remitted out of China to pay capital expenses such as the repayment of foreign currency-denominated loans.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August 2008, SAFE issued the Circular on the Relevant Operating Issues Concerning the Improvement of the Administration of the Payment and Settlement of Foreign Currency Capital of Foreign-Invested Enterprises (“SAFE Circular 142”), regulating the conversion by a foreign-invested enterprise of foreign currency-registered capital into RMB by restricting how the converted RMB may be used. SAFE Circular 142 provides that the RMB capital converted from foreign currency registered capital of a foreign-invested enterprise may only be used for purposes within the business scope approved by the applicable government authority and may not be used for equity investments within China. SAFE also strengthened its oversight of the flow and use of the RMB capital converted from foreign currency registered capital of foreign-invested enterprises. The use of such RMB capital may not be changed without SAFE’s approval, and such RMB capital may not in any case be used to repay RMB loans if the proceeds of such loans have not been used. In March 2015, SAFE issued the Circular of the State Administration of Foreign Exchange on Reforming the Management Approach regarding the Settlement of Foreign Exchange Capital of Foreign-invested Enterprises (“SAFE Circular 19”), which became effective and replaced SAFE Circular 142 on June 1, 2015. Although SAFE Circular 19 allows for the use of RMB converted from the foreign currency- denominated capital for equity investments in China, the restrictions continue to apply as to foreign-invested enterprises’ use of the converted RMB for purposes beyond the business scope, for entrusted loans or for inter-company RMB loans. SAFE promulgated the Notice of the State Administration of Foreign Exchange on Reforming and Standardizing the Foreign Exchange Settlement Management Policy of Capital Account (“SAFE Circular 16”) effective on June 9,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unassociated enterprises. Violations of SAFE Circular 19 or SAFE Circular 16 could result in administrative penalties.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 Circular of Further Improving and Adjusting Foreign Exchange Administration Policies on Foreign Direct Investment was promulgated by SAFE in November 2012 and amended in May 2015, which substantially amends and simplifies the current foreign exchange procedure. Pursuant to this circular, the opening of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65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various special purpose foreign exchange accounts (</w:t>
      </w:r>
      <w:r>
        <w:rPr>
          <w:rFonts w:ascii="Arial;Helvetica;sans-serif" w:hAnsi="Arial;Helvetica;sans-serif"/>
          <w:i/>
          <w:sz w:val="20"/>
        </w:rPr>
        <w:t>e.g.</w:t>
      </w:r>
      <w:r>
        <w:rPr>
          <w:rFonts w:ascii="Arial;Helvetica;sans-serif" w:hAnsi="Arial;Helvetica;sans-serif"/>
          <w:sz w:val="20"/>
        </w:rPr>
        <w:t>, pre-establishment expenses accounts, foreign exchange capital accounts and guarantee accounts), the reinvestment of lawful incomes derived by foreign investors in China (</w:t>
      </w:r>
      <w:r>
        <w:rPr>
          <w:rFonts w:ascii="Arial;Helvetica;sans-serif" w:hAnsi="Arial;Helvetica;sans-serif"/>
          <w:i/>
          <w:sz w:val="20"/>
        </w:rPr>
        <w:t>e.g.</w:t>
      </w:r>
      <w:r>
        <w:rPr>
          <w:rFonts w:ascii="Arial;Helvetica;sans-serif" w:hAnsi="Arial;Helvetica;sans-serif"/>
          <w:sz w:val="20"/>
        </w:rPr>
        <w:t>, profit, proceeds of equity transfer, capital reduction, liquidation and early repatriation of investment), and purchase and remittance of foreign exchange as a result of capital reduction, liquidation, early repatriation or share transfer in a foreign-invested enterprise no longer require SAFE approval, and multiple capital accounts for the same entity may be opened in different provinces, which was not possible before. In addition, SAFE promulgated the Circular on Printing and Distributing the Provisions on Foreign Exchange Administration over Domestic Direct Investment by Foreign Investors and the Supporting Documents in May 2013, which specifies that the administration by SAFE or its local branches over direct investment by foreign investors in China shall be conducted by way of registration and banks shall process foreign exchange business relating to the direct investment in China based on the registration information provided by SAFE and its branches.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February 2015, SAFE promulgated the Circular on Further Simplifying and Improving the Policies Concerning Foreign Exchange Control on Direct Investment (“SAFE Circular 13”), which took effect on June 1, 2015. SAFE Circular 13 delegates the authority to enforce the foreign exchange registration in connection with the inbound and outbound direct investment under relevant SAFE rules to certain banks and therefore further simplifies the foreign exchange registration procedures for inbound and outbound direct investment.</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Regulations on Securities Offering and Listing Outside of China</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On February 17, 2023, the CSRC promulgated a new set of regulations consisting of the Trial Administrative Measures of Overseas Securities Offering and Listing by Domestic Companies (the “Trial Measures”) and five supporting guidelines which will come into effect on March 31, 2023 to regulate overseas securities offering and listing activities by domestic companies either in direct or indirect form.</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Trial Measures and supporting guidelines apply to overseas offerings by domestic companies of equity shares, depositary receipts, convertible corporate bonds, or other equity-like securities, and overseas listing of the securities for trading. Both direct and indirect overseas securities offering and listing by domestic companies would be regulated, of which the former refers to securities offering and listing in an overseas market made by a joint-stock company incorporated domestically, and the latter refers to securities offering and listing in an overseas market made in the name of an offshore entity, while based on the underlying equity, assets, earnings or other similar rights of a domestic company which operates its main business domestically. According to the Trial Measures, if an issuer meets the following conditions, the offering and listing shall be determined as an indirect overseas offering and listing by a domestic company: (i) the total assets, net assets, revenues or gross profits of the domestic company(ies) of the issuer in the most recent financial year account for more than 50% of the corresponding figure in the issuer’s audited consolidated financial statements over the same period; (ii) the majority of the senior management in charge of business operation and management of the issuer are Chinese citizens or habitually reside in China, or its main places of business operation are located in China or main parts of its business activities are conducted in China.</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Under the Trial Measures and supporting guidelines, a filing-based regulatory system would be implemented covering both direct and indirect overseas offering and listing. For an indirect initial public offering and listing in an overseas market, the issuer shall designate a major domestic operating entity to submit the filing documents to the CSRC, including but not limited to the prospectus within three working days after such application of overseas offering and listing is submitted. The CSRC would, within 20 working days if filing documents are complete and in compliance with the stipulated requirements, complete the filing and publish the filing information on the CSRC’s official website. While for confidential filings of overseas offering and listing application documents, the designated filing entity may apply for an extension of the publication of such filing. The issuer shall report to the CSRC within three working days after the overseas offering and listing application documents become public. In addition, subsequent securities offerings of an issuer in the same overseas market where it has previously offered and listed securities shall be filed with the CSRC within three working days after the offering is completed.</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66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Meanwhile, overseas offering and listing would be prohibited under certain circumstances, including but not limited to that (i) the offering and listing are expressly forbidden by the Chinese laws, regulations and relevant rules; (ii) the intended overseas securities offering and listing may endanger national security as reviewed and determined by competent authorities under the State Council in accordance with laws or (iii) there are material disputes with regard to the ownership of the equity held by the domestic company’s controlling shareholder or by other shareholders that are controlled by the controlling shareholder and/or actual controller. If a domestic company falls into the circumstances where overseas offering and listing is prohibited prior to the overseas offering and listing, the domestic company shall postpone or terminate the intended overseas offering and listing, and report to the CSRC and competent authorities under the State Council in a timely manner.</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If domestic companies fail to fulfill the above-mentioned filing procedures or offer and list in an overseas market against the prohibited circumstances, they would be warned and fined up to RMB 10 million. The controlling shareholders and actual controllers of such domestic companies that organize or instruct the aforementioned violations would be fined up to RMB10 million and directly liable persons-in-charge and other directly liable persons would be each fined up to RMB 5 million. Other Chinese National- and Provincial-Level Laws and Regulations.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Other Chinese National- and Provincial-Level Laws and Regulations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subject to changing regulations under many other laws and regulations administered by governmental authorities at the national, provincial and municipal levels, some of which are or may become applicable to our business. For example, regulations control the confidentiality of patients’ medical information and the circumstances under which patient medical information may be released for inclusion in our databases, or released by us to third parties. These laws and regulations governing both the disclosure and the use of confidential patient medical information may become more restrictive in the future.</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Employees and Human Capital Resources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of December 31, 2022, we had 68 full-time employees, 30 of whom have a Ph.D. or M.D. Of these 68 employees, 45 were engaged in research and development activities and 23 were engaged in business development, finance, information systems, facilities, human resources or administrative support. Five of the non-research and development-based employees were based in Shanghai, China while the other 18 resided in the United States. None of our employees are represented by labor unions or covered by collective bargaining agreements. We consider our relationship with our employees to be good.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shareholder value and the success of our company by motivating such individuals to perform to the best of their abilities and achieve our objectives.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Corporate Information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a Cayman Islands exempted company incorporated with limited liability. We were initially formed as a Delaware corporation in 2016 under the name ShouTi Inc., and reorganized as a Cayman Islands exempted company in 2019. We completed our IPO on February 7, 2023, and our ADS began trading on the Nasdaq Global Market on February 3, 2023.</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Our principal executive office is located at 611 Gateway Blvd., Suite 223, South San Francisco, California 94080 and our telephone number is (628) 229-9277. The principal executive office of our research and development operations is located at Unit 02, F5, No. 1, Lane 2889, Jinke Road, China (Shanghai) Free Trade Zone, Shanghai, People’s Republic of China, 201203. Our telephone number at this address is 86 21 61215839. Our current registered office in the Cayman Islands is located at the offices of International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67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Corporation Services Ltd., P.O, Box 472, 2nd Floor, Harbour Place, 103 South Church Street, George Town, Grand Cayman KY1-1106, Cayman Islands.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website is www.structuretx.com. Information contained on, or accessible through, our website shall not be deemed incorporated into, and is not a part of, this Annual Report. We have included our website in this Annual Report solely as an inactive textual reference.</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Available Information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Annual Report on Form 10-K, Quarterly Reports on Form 10-Q and Current Reports on Form 8-K and amendments to those reports filed or furnished pursuant to Sections 13(a) or 15(d) of the Exchange Act are available on our website, free of charge, as soon as reasonably practicable after the reports are electronically filed or furnished to the Securities and Exchange Commission, or SEC. The SEC maintains a website at www.sec.gov that contains reports, proxy and information statements, and other information that we file with the SEC electronically.</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Item 1A. Risk Factors.</w:t>
      </w:r>
      <w:bookmarkStart w:id="4" w:name="Item1A_Risk_Factors"/>
      <w:bookmarkEnd w:id="4"/>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Investing in our ADS, involves a high degree of risk. You should carefully consider the risks and uncertainties described below, together with all of the other information contained in this Annual Report, including our consolidated financial statements and their related notes included elsewhere in this Annual Report and Part II. Item 7. “Management’s Discussion and Analysis of Financial Condition and Results of Operations” before making an investment decision. If any of the following risks actually occurs, our business, prospects, operating results and financial condition could suffer materially, the trading price of our ADSs could decline and you could lose all or part of your investment. The risks and uncertainties described below are not the only ones we face. Additional risks and uncertainties not presently known to us or that we currently believe to be immaterial also may materially and adversely affect our business, prospects, operating results and financial condition.</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Risks Related to Our Limited Operating History, Financial Position and Capital Requirements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have a limited operating history and have incurred significant operating losses since our inception and expect to incur significant losses for the foreseeable future.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Biopharmaceutical product development is a highly speculative undertaking and involves a substantial degree of risk. We are a clinical-stage biopharmaceutical company with a limited operating histor</w:t>
      </w:r>
      <w:r>
        <w:rPr>
          <w:rFonts w:ascii="Arial;Helvetica;sans-serif" w:hAnsi="Arial;Helvetica;sans-serif"/>
          <w:i/>
          <w:sz w:val="20"/>
        </w:rPr>
        <w:t>y,</w:t>
      </w:r>
      <w:r>
        <w:rPr>
          <w:rFonts w:ascii="Arial;Helvetica;sans-serif" w:hAnsi="Arial;Helvetica;sans-serif"/>
          <w:sz w:val="20"/>
        </w:rPr>
        <w:t xml:space="preserve"> which may make it difficult to evaluate the success of our business to date and assess our future viability. Since our inception in 2016, we have focused primarily on organizing and staffing our company, business planning, establishing our intellectual property portfolio, raising capital, developing our structure-based drug discovery platform, identifying and developing our product candidates, conducting preclinical studies and, more recently, clinical trials, and providing general and administrative support for these operations. Our approach to the discovery and development of product candidates based on our structure-based drug discovery platform is unproven, and we do not know whether we will be able to develop any product candidates that succeed in clinical development or commercially. Further, GSBR-1290, our product candidate for T2DM and obesity, and ANPA-0073, our product candidate for IPF and PAH, are in early clinical development and our other product candidates and programs are in preclinical development or discovery stages. Accordingly, we have not yet demonstrated an ability to successfully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We have no products approved for commercial sale and have not generated any revenue to date, and we continue to incur significant research and development and other expenses related to our ongoing operations. As a result, we are not profitable and have incurred significant losses since our inception and expect to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68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continue to incur significant and increasing operating losses for at least the next several years. Our net losses were $51.3 million and $38.0 million for the years ended December 31, 2022 and 2021, respectively. As of December 31, 2022, we had an accumulated deficit of $117.0 million. Substantially all of our losses have resulted from expenses incurred in connection with our research and development programs and from general and administrative costs associated with our operations. In February 2023, we completed our IPO, for net proceeds of $166.7 million. All of our product candidates will require substantial additional development time and resources before we would be able to apply for or receive marketing approvals and begin generating revenue from product sales. We expect to continue to incur losses for the foreseeable future, and we anticipate that our expenses will increase substantially as we continue our development of, seek marketing approval for and potentially commercialize any of our product candidates, recruit and maintain key personnel and seek to identify, assess, acquire, in-license or develop additional product candidates.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Even if we succeed in developing and obtaining marketing approval for one or more product candidates, we may never generate revenue that is significant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Our failure to become and remain profitable could decrease the value of our ADSs and impair our ability to raise capital, maintain our research and development efforts, expand our business or continue our operations.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will require substantial additional capital to finance our operations, which may not be available on acceptable terms, or at all. Failure to obtain this necessary capital when needed may force us to delay, limit or terminate certain of our product development programs, commercialization efforts or other operations.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development of biopharmaceutical product candidates is capital-intensive. We expect our expenses to increase substantially in connection with our ongoing and planned activities, particularly as we conduct our ongoing and planned preclinical studies and clinical trials of GSBR-1290, ANPA-0073, LTSE-2578 and any future product candidates we may develop. Our expenses will increase substantially if our product candidates successfully complete early clinical and other studies, and also could increase beyond expectations if the FDA or foreign authorities require us to perform clinical and other studies in addition to those that we currently anticipate. Because the outcome of any clinical trial or preclinical study is highly uncertain, we cannot reasonably estimate the actual amounts necessary to successfully complete the development and commercialization of our product candidates. In addition, we expect to incur additional costs associated with operating as a public company. Furthermore, if we obtain marketing approval for our product candidates, we expect to incur significant expenses related to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Based on our current operating plan, we believe that our cash, cash equivalents and short-term investments as of December 31, 2022, together with the net proceeds of $166.7 million from our Initial Public Offering, or IPO, in February 2023, will be sufficient to fund our operating expenses and capital expenditure requirements through at least 2025. We have based these estimates on assumptions that may prove to be wrong, and we could use our capital resources sooner than we currently expect. Our operating plan may change as a result of many factors currently unknown to us, and we may need to seek additional funds sooner than planned, through equity offerings, debt financings or other capital sources, including potentially grants, collaborations, licenses and other similar arrangements. Even if we believe we have sufficient capital for our current or future operating plans, we may seek additional capital if market conditions are favorable or if we have specific strategic considerations.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Any additional capital raising efforts may divert our management from their day-to-day activities, which may adversely affect our ability to develop and, if approved, commercialize our current and any future product candidates. Additional funding may not be available on acceptable terms, or at all. As a result of the COVID-19 pandemic and actions taken to slow its spread, as well as actual or anticipated changes in interest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69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rates and economic inflation and the impact of the Russian/Ukraine conflict,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If the equity and credit markets deteriorate, including as a result of recent bank failures, it may make any necessary debt or equity financing more difficult to obtain in a timely manner or on favorable terms, more costly or more dilutive.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future funding requirements will depend on many factors, including:</w:t>
      </w:r>
    </w:p>
    <w:tbl>
      <w:tblPr>
        <w:tblW w:w="10068" w:type="dxa"/>
        <w:jc w:val="left"/>
        <w:tblInd w:w="0" w:type="dxa"/>
        <w:tblCellMar>
          <w:top w:w="0" w:type="dxa"/>
          <w:left w:w="0" w:type="dxa"/>
          <w:bottom w:w="0" w:type="dxa"/>
          <w:right w:w="0" w:type="dxa"/>
        </w:tblCellMar>
      </w:tblPr>
      <w:tblGrid>
        <w:gridCol w:w="23"/>
        <w:gridCol w:w="170"/>
        <w:gridCol w:w="98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87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progress, costs, design, results of and timing of our planned and ongoing preclinical studies and clinical trials;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willingness of the FDA or applicable foreign authorities to accept our clinical trials, as well as data from our planned and ongoing preclinical studies and clinical trials and other work, as the basis for review and approval of our product candidates;</w:t>
            </w:r>
          </w:p>
        </w:tc>
      </w:tr>
    </w:tbl>
    <w:tbl>
      <w:tblPr>
        <w:tblW w:w="9303" w:type="dxa"/>
        <w:jc w:val="left"/>
        <w:tblInd w:w="0" w:type="dxa"/>
        <w:tblCellMar>
          <w:top w:w="0" w:type="dxa"/>
          <w:left w:w="0" w:type="dxa"/>
          <w:bottom w:w="0" w:type="dxa"/>
          <w:right w:w="0" w:type="dxa"/>
        </w:tblCellMar>
      </w:tblPr>
      <w:tblGrid>
        <w:gridCol w:w="23"/>
        <w:gridCol w:w="170"/>
        <w:gridCol w:w="91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11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outcome, costs and timing of seeking and obtaining FDA and applicable foreign regulatory approvals;</w:t>
            </w:r>
          </w:p>
        </w:tc>
      </w:tr>
    </w:tbl>
    <w:tbl>
      <w:tblPr>
        <w:tblW w:w="6228" w:type="dxa"/>
        <w:jc w:val="left"/>
        <w:tblInd w:w="0" w:type="dxa"/>
        <w:tblCellMar>
          <w:top w:w="0" w:type="dxa"/>
          <w:left w:w="0" w:type="dxa"/>
          <w:bottom w:w="0" w:type="dxa"/>
          <w:right w:w="0" w:type="dxa"/>
        </w:tblCellMar>
      </w:tblPr>
      <w:tblGrid>
        <w:gridCol w:w="23"/>
        <w:gridCol w:w="170"/>
        <w:gridCol w:w="603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03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number and characteristics of product candidates that we pursue;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need to expand our research and development capabilities, including further development of our structure-based drug discovery platform or in-licensing of complementary technologies;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costs and timing associated with manufacturing our product candidates, and establishing commercial supplies and sales, marketing, and distribution capabilities;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efforts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tc>
      </w:tr>
    </w:tbl>
    <w:tbl>
      <w:tblPr>
        <w:tblW w:w="9753" w:type="dxa"/>
        <w:jc w:val="left"/>
        <w:tblInd w:w="0" w:type="dxa"/>
        <w:tblCellMar>
          <w:top w:w="0" w:type="dxa"/>
          <w:left w:w="0" w:type="dxa"/>
          <w:bottom w:w="0" w:type="dxa"/>
          <w:right w:w="0" w:type="dxa"/>
        </w:tblCellMar>
      </w:tblPr>
      <w:tblGrid>
        <w:gridCol w:w="23"/>
        <w:gridCol w:w="170"/>
        <w:gridCol w:w="95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56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need and ability to retain key management and hire scientific, technical, business, and medical personnel;</w:t>
            </w:r>
          </w:p>
        </w:tc>
      </w:tr>
    </w:tbl>
    <w:tbl>
      <w:tblPr>
        <w:tblW w:w="9828" w:type="dxa"/>
        <w:jc w:val="left"/>
        <w:tblInd w:w="0" w:type="dxa"/>
        <w:tblCellMar>
          <w:top w:w="0" w:type="dxa"/>
          <w:left w:w="0" w:type="dxa"/>
          <w:bottom w:w="0" w:type="dxa"/>
          <w:right w:w="0" w:type="dxa"/>
        </w:tblCellMar>
      </w:tblPr>
      <w:tblGrid>
        <w:gridCol w:w="23"/>
        <w:gridCol w:w="170"/>
        <w:gridCol w:w="963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63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need to implement additional internal systems and infrastructure, including financial and reporting systems;</w:t>
            </w:r>
          </w:p>
        </w:tc>
      </w:tr>
    </w:tbl>
    <w:tbl>
      <w:tblPr>
        <w:tblW w:w="5208" w:type="dxa"/>
        <w:jc w:val="left"/>
        <w:tblInd w:w="0" w:type="dxa"/>
        <w:tblCellMar>
          <w:top w:w="0" w:type="dxa"/>
          <w:left w:w="0" w:type="dxa"/>
          <w:bottom w:w="0" w:type="dxa"/>
          <w:right w:w="0" w:type="dxa"/>
        </w:tblCellMar>
      </w:tblPr>
      <w:tblGrid>
        <w:gridCol w:w="23"/>
        <w:gridCol w:w="170"/>
        <w:gridCol w:w="50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01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costs associated with operating as a public company;</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economic and other terms, timing of and success of our current and any future collaboration, licensing or other arrangements which we may enter in the future;</w:t>
            </w:r>
          </w:p>
        </w:tc>
      </w:tr>
    </w:tbl>
    <w:tbl>
      <w:tblPr>
        <w:tblW w:w="7563" w:type="dxa"/>
        <w:jc w:val="left"/>
        <w:tblInd w:w="0" w:type="dxa"/>
        <w:tblCellMar>
          <w:top w:w="0" w:type="dxa"/>
          <w:left w:w="0" w:type="dxa"/>
          <w:bottom w:w="0" w:type="dxa"/>
          <w:right w:w="0" w:type="dxa"/>
        </w:tblCellMar>
      </w:tblPr>
      <w:tblGrid>
        <w:gridCol w:w="23"/>
        <w:gridCol w:w="170"/>
        <w:gridCol w:w="73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37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receipt, and amount of sales from our potential products, if approved; and</w:t>
            </w:r>
          </w:p>
        </w:tc>
      </w:tr>
    </w:tbl>
    <w:tbl>
      <w:tblPr>
        <w:tblW w:w="7893" w:type="dxa"/>
        <w:jc w:val="left"/>
        <w:tblInd w:w="0" w:type="dxa"/>
        <w:tblCellMar>
          <w:top w:w="0" w:type="dxa"/>
          <w:left w:w="0" w:type="dxa"/>
          <w:bottom w:w="0" w:type="dxa"/>
          <w:right w:w="0" w:type="dxa"/>
        </w:tblCellMar>
      </w:tblPr>
      <w:tblGrid>
        <w:gridCol w:w="23"/>
        <w:gridCol w:w="170"/>
        <w:gridCol w:w="770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70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costs associated with any delays or issues caused by the ongoing COVID-19 pandemic.</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If we are unable to raise additional capital when needed, we may be required to delay, limit, reduce or terminate our product development or future commercialization efforts or grant rights to develop and market product candidates that we would otherwise prefer to develop and market ourselves, and our ability to grow and support our business and to respond to market challenges could be significantly limited, which could have a material adverse effect on our business, financial condition and results of operations.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Raising additional capital may cause dilution to our shareholders, restrict our operations or require us to relinquish rights to our technologies or product candidates.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Until such time, if ever, as we can generate substantial product revenue, we expect to finance our operations through equity offerings, debt financings or other capital sources, including potentially grants, collaborations, licenses or other similar arrangements. To the extent that we raise additional capital through the sale of equity or convertible debt securities, the ownership interest of our shareholders will be diluted, and the terms of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70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these securities may include liquidation or other preferences that adversely affect the rights of our ADS holders. Debt financing, if available, may involve agreements that include covenants limiting or restricting our ability to take specific actions, such as limitations on our ability to incur additional debt, make capital expenditures or declare dividends. If we raise funds through collaborations or licensing arrangements with third parties, we may be required to relinquish valuable rights to our technologies, future revenue streams, research programs or product candidates or grant licenses on terms that may not be favorable to us.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Risks Related to the Discovery, Development and Regulatory Approval of Product Candidates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Our approach to the discovery of product candidates based on our technology platform is unproven, and we do not know whether we will be able to develop any products of commercial value.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success of our business depends primarily upon our ability to identify novel product candidates based on our structure-based drug discovery platform and to successfully develop and commercialize those product candidates. While we have had favorable preclinical study results for certain of our development programs, we have not yet succeeded and may not succeed in demonstrating efficacy and safety for any product candidates in clinical trials or in obtaining marketing approvals or in commercializing such product candidates. We also may be unsuccessful in identifying additional product candidates using our platform, and any of our product candidates may be shown to have harmful side effects or may have other characteristics that may necessitate additional clinical testing, or make the product candidates unmarketable or unlikely to receive marketing approval. In particular, because all of our product candidates have been derived from our structure-based drug discovery platform, any failure of one of our development programs could create a perception that our other programs are less likely to succeed or that our discovery platform is not viable. Similarly, adverse developments with respect to other companies that attempt to use a similar approach to our approach may adversely impact the actual or perceived value and potential of our discovery platform and resulting product candidates.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If any of these events occur, our ability to successfully discover, develop and commercialize any product candidates may be impaired and the value of our company could decline significantly.</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are early in our development efforts and only have two product candidates, GSBR-1290 and ANPA-0073, in early clinical development. All of our other development programs are in the preclinical or discovery stage. If we are unable to advance our product candidates in clinical development, obtain regulatory approval and ultimately commercialize our product candidates, or experience significant delays in doing so, our business will be materially harmed.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in the early stages of our development efforts and have two product candidates, GSBR-1290 and ANPA-0073, in early clinical development. We completed a Phase 1 SAD study of GSBR-1290 in healthy volunteers in September 2022 for T2DM and obesity. Furthermore, we initiated the Phase 1b MAD study in January 2023 and completed dosing in healthy overweight subjects in March 2023. We plan to submit a protocol amendment to the FDA to transition to a Phase 2a proof-of-concept study in T2DM and obesity with expected initiation in the second half of 2023. Additionally, we completed our Phase 1 SAD and MAD study for ANPA-0073 in healthy volunteers for IPF and PAH in September 2022. Our other product candidates are still in the preclinical or discovery stages. We will need to progress early product candidates through preclinical studies and submit INDs to the FDA or appropriate regulatory documents to applicable foreign authorities prior to initiating their clinical development.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tbl>
      <w:tblPr>
        <w:tblW w:w="4968" w:type="dxa"/>
        <w:jc w:val="left"/>
        <w:tblInd w:w="0" w:type="dxa"/>
        <w:tblCellMar>
          <w:top w:w="0" w:type="dxa"/>
          <w:left w:w="0" w:type="dxa"/>
          <w:bottom w:w="0" w:type="dxa"/>
          <w:right w:w="0" w:type="dxa"/>
        </w:tblCellMar>
      </w:tblPr>
      <w:tblGrid>
        <w:gridCol w:w="23"/>
        <w:gridCol w:w="170"/>
        <w:gridCol w:w="47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77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completion of preclinical studies with favorable results;</w:t>
            </w:r>
          </w:p>
        </w:tc>
      </w:tr>
    </w:tbl>
    <w:tbl>
      <w:tblPr>
        <w:tblW w:w="5253" w:type="dxa"/>
        <w:jc w:val="left"/>
        <w:tblInd w:w="0" w:type="dxa"/>
        <w:tblCellMar>
          <w:top w:w="0" w:type="dxa"/>
          <w:left w:w="0" w:type="dxa"/>
          <w:bottom w:w="0" w:type="dxa"/>
          <w:right w:w="0" w:type="dxa"/>
        </w:tblCellMar>
      </w:tblPr>
      <w:tblGrid>
        <w:gridCol w:w="23"/>
        <w:gridCol w:w="170"/>
        <w:gridCol w:w="50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06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successful enrollment in, and completion of, clinical trials;</w:t>
            </w:r>
          </w:p>
        </w:tc>
      </w:tr>
    </w:tbl>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71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9843" w:type="dxa"/>
        <w:jc w:val="left"/>
        <w:tblInd w:w="0" w:type="dxa"/>
        <w:tblCellMar>
          <w:top w:w="0" w:type="dxa"/>
          <w:left w:w="0" w:type="dxa"/>
          <w:bottom w:w="0" w:type="dxa"/>
          <w:right w:w="0" w:type="dxa"/>
        </w:tblCellMar>
      </w:tblPr>
      <w:tblGrid>
        <w:gridCol w:w="23"/>
        <w:gridCol w:w="170"/>
        <w:gridCol w:w="96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65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sufficiency of our financial and other resources to complete the necessary preclinical studies and clinical trials;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allowance to proceed with clinical trials under INDs by the FDA or under similar regulatory submissions by applicable foreign authorities for the conduct of clinical trials of our product candidates and our proposed design of future clinical trials;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demonstrating the safety and efficacy of our product candidates to the satisfaction of applicable regulatory authorities;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receipt of regulatory approvals from applicable regulatory authorities, including NDAs from the FDA and maintaining such approvals;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making arrangements with third-party manufacturers, or establishing clinical and commercial manufacturing capabilities for our product candidates;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establishing sales, marketing and distribution capabilities and launching commercial sales of our products, if and when approved, whether alone or in collaboration with others;</w:t>
            </w:r>
          </w:p>
        </w:tc>
      </w:tr>
    </w:tbl>
    <w:tbl>
      <w:tblPr>
        <w:tblW w:w="10173" w:type="dxa"/>
        <w:jc w:val="left"/>
        <w:tblInd w:w="0" w:type="dxa"/>
        <w:tblCellMar>
          <w:top w:w="0" w:type="dxa"/>
          <w:left w:w="0" w:type="dxa"/>
          <w:bottom w:w="0" w:type="dxa"/>
          <w:right w:w="0" w:type="dxa"/>
        </w:tblCellMar>
      </w:tblPr>
      <w:tblGrid>
        <w:gridCol w:w="23"/>
        <w:gridCol w:w="170"/>
        <w:gridCol w:w="99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8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establishing and maintaining patent and trade secret protection or regulatory exclusivity for our product candidates;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acceptance of any products we develop and their benefits and uses, if and when approved, by patients, the medical community and third-party payors;</w:t>
            </w:r>
          </w:p>
        </w:tc>
      </w:tr>
    </w:tbl>
    <w:tbl>
      <w:tblPr>
        <w:tblW w:w="3888" w:type="dxa"/>
        <w:jc w:val="left"/>
        <w:tblInd w:w="0" w:type="dxa"/>
        <w:tblCellMar>
          <w:top w:w="0" w:type="dxa"/>
          <w:left w:w="0" w:type="dxa"/>
          <w:bottom w:w="0" w:type="dxa"/>
          <w:right w:w="0" w:type="dxa"/>
        </w:tblCellMar>
      </w:tblPr>
      <w:tblGrid>
        <w:gridCol w:w="23"/>
        <w:gridCol w:w="170"/>
        <w:gridCol w:w="36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69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effectively competing with other therapies;</w:t>
            </w:r>
          </w:p>
        </w:tc>
      </w:tr>
    </w:tbl>
    <w:tbl>
      <w:tblPr>
        <w:tblW w:w="8898" w:type="dxa"/>
        <w:jc w:val="left"/>
        <w:tblInd w:w="0" w:type="dxa"/>
        <w:tblCellMar>
          <w:top w:w="0" w:type="dxa"/>
          <w:left w:w="0" w:type="dxa"/>
          <w:bottom w:w="0" w:type="dxa"/>
          <w:right w:w="0" w:type="dxa"/>
        </w:tblCellMar>
      </w:tblPr>
      <w:tblGrid>
        <w:gridCol w:w="23"/>
        <w:gridCol w:w="170"/>
        <w:gridCol w:w="87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70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obtaining and maintaining healthcare coverage and adequate reimbursement from third-party payors;</w:t>
            </w:r>
          </w:p>
        </w:tc>
      </w:tr>
    </w:tbl>
    <w:tbl>
      <w:tblPr>
        <w:tblW w:w="7068" w:type="dxa"/>
        <w:jc w:val="left"/>
        <w:tblInd w:w="0" w:type="dxa"/>
        <w:tblCellMar>
          <w:top w:w="0" w:type="dxa"/>
          <w:left w:w="0" w:type="dxa"/>
          <w:bottom w:w="0" w:type="dxa"/>
          <w:right w:w="0" w:type="dxa"/>
        </w:tblCellMar>
      </w:tblPr>
      <w:tblGrid>
        <w:gridCol w:w="23"/>
        <w:gridCol w:w="170"/>
        <w:gridCol w:w="68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87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maintaining an acceptable safety profile of our products following approval; and</w:t>
            </w:r>
          </w:p>
        </w:tc>
      </w:tr>
    </w:tbl>
    <w:tbl>
      <w:tblPr>
        <w:tblW w:w="9303" w:type="dxa"/>
        <w:jc w:val="left"/>
        <w:tblInd w:w="0" w:type="dxa"/>
        <w:tblCellMar>
          <w:top w:w="0" w:type="dxa"/>
          <w:left w:w="0" w:type="dxa"/>
          <w:bottom w:w="0" w:type="dxa"/>
          <w:right w:w="0" w:type="dxa"/>
        </w:tblCellMar>
      </w:tblPr>
      <w:tblGrid>
        <w:gridCol w:w="23"/>
        <w:gridCol w:w="170"/>
        <w:gridCol w:w="91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11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building and maintaining an organization of people who can successfully develop our product candidates.</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We have not yet succeeded and may not succeed in demonstrating efficacy and safety for any product candidates in clinical trials or in obtaining marketing approval thereafter. Given our early stage of development, it will take several years before we can demonstrate the safety and efficacy of a product candidate sufficient to warrant approval for commercialization, if we can do so at all. If we are unable to develop, or obtain marketing approval for, or, if approved, successfully commercialize our product candidates, we may not be able to generate sufficient revenue to continue our business.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Clinical and preclinical drug development involves a lengthy and expensive process with uncertain timelines and outcomes. The results of prior clinical trials and preclinical studies are not necessarily predictive of future results, and may not be favorable, or receive regulatory approval on a timely basis, if at all.</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Clinical drug development is expensive and can take many years to complete, and its outcome is inherently uncertain. Our clinical trials may not be conducted as planned or completed on schedule, if at all, and failure can occur at any time during the preclinical study or clinical trial process. For example, we depend on the availability of NHPs to conduct certain preclinical studies that we are required to complete prior to submitting an IND and initiating clinical development. There is currently a global shortage of NHPs available for drug development, due in part to an increase in demand from companies and other institutions developing vaccines and treatments for COVID-19. This has caused the cost of obtaining NHPs for our preclinical studies to increase dramatically and, if the shortage continues, could also result in delays to our development timelines. Despite promising preclinical or clinical results, any product candidate can unexpectedly fail at any stage of preclinical or clinical development. The historical failure rate for product candidates in our industry is high. Furthermore, the results from clinical trials or preclinical studies of a product candidate may not predict the results of later clinical trials of the product candidate, and interim results of a clinical trial are not necessarily indicative of final results. Product candidates in later stages of clinical trials may fail to show the desired safety and efficacy characteristics despite having progressed through preclinical studies and initial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72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clinical trials. In particular, while we have conducted, or are conducting certain preclinical studies of our product candidates, the predictive value of these studies with respect to future testing in humans is limited, particularly in indications where animal models are less developed.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Even if our clinical trials are completed, the results may not be sufficient to obtain marketing approval for our product candidates. In clinical trials that are based on preclinical studies and early clinical trials, it is not uncommon to observe unexpected results, and many product candidates fail in clinical development despite very promising early results. Moreover, preclinical and clinical data may be susceptible to varying interpretations and analyses. A number of companies in the biopharmaceutical industry have suffered significant setbacks in clinical development even after achieving promising results in earlier studies. In addition, in some cases, external experts or regulatory authorities disagreed with such companies’ views and interpretations of the data and results from earlier preclinical studies or clinical trials. As we investigate GSBR-1290 for T2DM and obesity and ANPA-0073 for IPF and PAH, we may encounter new and unforeseen difficulties. For example, we recently completed a 13-week toxicology study evaluating GSBR-1290 in NHPs to support the protocol amendment for our planned Phase 2a study, in which we observed low to moderate levels of liver necrosis across all dosing groups, including the control group. Although the liver necroses observed in the NHP study were not attributed to GSBR-1290, the FDA may disagree or take action which could delay our GSBR-1290 program and harm our business and financial condition. Similarly any future product candidates we may develop may not be able to progress from preclinical to Phase 1 clinical development. For the foregoing reasons, we cannot be certain that our ongoing and planned clinical trials and preclinical studies will be successful. Any of the foregoing occurrences may harm our business, financial condition and prospects significantly.</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Any difficulties or delays in the commencement or completion, or termination or suspension, of our planned clinical trials could result in increased costs to us, delay or limit our ability to generate revenue and adversely affect our commercial prospects.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order to obtain FDA approval to market our product candidates, we must demonstrate the safety and efficacy of our product candidates in humans to the satisfaction of the FDA. To meet these requirements, we will have to conduct adequate and well-controlled clinical trials. Clinical testing is expensive, time-consuming and subject to uncertainty. Conducting preclinical studies and clinical trials represents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Clinical trials may not be conducted as planned or completed on schedule, if at all. Events that may prevent successful or timely completion of clinical development include:</w:t>
      </w:r>
    </w:p>
    <w:tbl>
      <w:tblPr>
        <w:tblW w:w="9108" w:type="dxa"/>
        <w:jc w:val="left"/>
        <w:tblInd w:w="0" w:type="dxa"/>
        <w:tblCellMar>
          <w:top w:w="0" w:type="dxa"/>
          <w:left w:w="0" w:type="dxa"/>
          <w:bottom w:w="0" w:type="dxa"/>
          <w:right w:w="0" w:type="dxa"/>
        </w:tblCellMar>
      </w:tblPr>
      <w:tblGrid>
        <w:gridCol w:w="23"/>
        <w:gridCol w:w="170"/>
        <w:gridCol w:w="89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91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delays in reaching a consensus with applicable regulatory authorities on trial design or implementation;</w:t>
            </w:r>
          </w:p>
        </w:tc>
      </w:tr>
    </w:tbl>
    <w:tbl>
      <w:tblPr>
        <w:tblW w:w="6423" w:type="dxa"/>
        <w:jc w:val="left"/>
        <w:tblInd w:w="0" w:type="dxa"/>
        <w:tblCellMar>
          <w:top w:w="0" w:type="dxa"/>
          <w:left w:w="0" w:type="dxa"/>
          <w:bottom w:w="0" w:type="dxa"/>
          <w:right w:w="0" w:type="dxa"/>
        </w:tblCellMar>
      </w:tblPr>
      <w:tblGrid>
        <w:gridCol w:w="23"/>
        <w:gridCol w:w="170"/>
        <w:gridCol w:w="62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23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delays in obtaining regulatory authorization to commence a clinical trial;</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delays in reaching agreement on acceptable terms with prospective clinical research organizations (“CROs”), other vendors, or clinical trial sites, the terms of which can be subject to extensive negotiation and may vary significantly among different vendors and trial sites;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delays in obtaining approval from one or more IRBs refusing to approve, suspending or terminating the trial at an investigational site, precluding enrollment of additional participants, or withdrawing their approval of the trial;</w:t>
            </w:r>
          </w:p>
        </w:tc>
      </w:tr>
    </w:tbl>
    <w:tbl>
      <w:tblPr>
        <w:tblW w:w="8103" w:type="dxa"/>
        <w:jc w:val="left"/>
        <w:tblInd w:w="0" w:type="dxa"/>
        <w:tblCellMar>
          <w:top w:w="0" w:type="dxa"/>
          <w:left w:w="0" w:type="dxa"/>
          <w:bottom w:w="0" w:type="dxa"/>
          <w:right w:w="0" w:type="dxa"/>
        </w:tblCellMar>
      </w:tblPr>
      <w:tblGrid>
        <w:gridCol w:w="23"/>
        <w:gridCol w:w="170"/>
        <w:gridCol w:w="79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91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delays in recruiting suitable patients to participate in our ongoing and planned clinical trials;</w:t>
            </w:r>
          </w:p>
        </w:tc>
      </w:tr>
    </w:tbl>
    <w:tbl>
      <w:tblPr>
        <w:tblW w:w="3348" w:type="dxa"/>
        <w:jc w:val="left"/>
        <w:tblInd w:w="0" w:type="dxa"/>
        <w:tblCellMar>
          <w:top w:w="0" w:type="dxa"/>
          <w:left w:w="0" w:type="dxa"/>
          <w:bottom w:w="0" w:type="dxa"/>
          <w:right w:w="0" w:type="dxa"/>
        </w:tblCellMar>
      </w:tblPr>
      <w:tblGrid>
        <w:gridCol w:w="23"/>
        <w:gridCol w:w="170"/>
        <w:gridCol w:w="31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15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to the clinical trial protocol;</w:t>
            </w:r>
          </w:p>
        </w:tc>
      </w:tr>
    </w:tbl>
    <w:tbl>
      <w:tblPr>
        <w:tblW w:w="5883" w:type="dxa"/>
        <w:jc w:val="left"/>
        <w:tblInd w:w="0" w:type="dxa"/>
        <w:tblCellMar>
          <w:top w:w="0" w:type="dxa"/>
          <w:left w:w="0" w:type="dxa"/>
          <w:bottom w:w="0" w:type="dxa"/>
          <w:right w:w="0" w:type="dxa"/>
        </w:tblCellMar>
      </w:tblPr>
      <w:tblGrid>
        <w:gridCol w:w="23"/>
        <w:gridCol w:w="170"/>
        <w:gridCol w:w="569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69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clinical sites deviating from trial protocol or dropping out of a trial;</w:t>
            </w:r>
          </w:p>
        </w:tc>
      </w:tr>
    </w:tbl>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73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delays in manufacturing sufficient quantities of our product candidates for use in clinical trials, or delays in sufficiently developing, characterizing or controlling a manufacturing process suitable for clinical trials;</w:t>
            </w:r>
          </w:p>
        </w:tc>
      </w:tr>
    </w:tbl>
    <w:tbl>
      <w:tblPr>
        <w:tblW w:w="8358" w:type="dxa"/>
        <w:jc w:val="left"/>
        <w:tblInd w:w="0" w:type="dxa"/>
        <w:tblCellMar>
          <w:top w:w="0" w:type="dxa"/>
          <w:left w:w="0" w:type="dxa"/>
          <w:bottom w:w="0" w:type="dxa"/>
          <w:right w:w="0" w:type="dxa"/>
        </w:tblCellMar>
      </w:tblPr>
      <w:tblGrid>
        <w:gridCol w:w="23"/>
        <w:gridCol w:w="170"/>
        <w:gridCol w:w="81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16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delays in having patients complete participation in a trial or return for post-treatment follow-up;</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participants choosing an alternative treatment for the indication for which we are developing our product candidates, or participating in competing clinical trials;</w:t>
            </w:r>
          </w:p>
        </w:tc>
      </w:tr>
    </w:tbl>
    <w:tbl>
      <w:tblPr>
        <w:tblW w:w="4623" w:type="dxa"/>
        <w:jc w:val="left"/>
        <w:tblInd w:w="0" w:type="dxa"/>
        <w:tblCellMar>
          <w:top w:w="0" w:type="dxa"/>
          <w:left w:w="0" w:type="dxa"/>
          <w:bottom w:w="0" w:type="dxa"/>
          <w:right w:w="0" w:type="dxa"/>
        </w:tblCellMar>
      </w:tblPr>
      <w:tblGrid>
        <w:gridCol w:w="23"/>
        <w:gridCol w:w="170"/>
        <w:gridCol w:w="44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43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lack of adequate funding to continue a clinical trial;</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occurrence of AEs or SAEs associated with the product candidate that are viewed to outweigh its potential benefits;</w:t>
            </w:r>
          </w:p>
        </w:tc>
      </w:tr>
    </w:tbl>
    <w:tbl>
      <w:tblPr>
        <w:tblW w:w="8598" w:type="dxa"/>
        <w:jc w:val="left"/>
        <w:tblInd w:w="0" w:type="dxa"/>
        <w:tblCellMar>
          <w:top w:w="0" w:type="dxa"/>
          <w:left w:w="0" w:type="dxa"/>
          <w:bottom w:w="0" w:type="dxa"/>
          <w:right w:w="0" w:type="dxa"/>
        </w:tblCellMar>
      </w:tblPr>
      <w:tblGrid>
        <w:gridCol w:w="23"/>
        <w:gridCol w:w="170"/>
        <w:gridCol w:w="84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40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occurrence of SAEs in clinical trials of the same class of agents conducted by other companies;</w:t>
            </w:r>
          </w:p>
        </w:tc>
      </w:tr>
    </w:tbl>
    <w:tbl>
      <w:tblPr>
        <w:tblW w:w="6903" w:type="dxa"/>
        <w:jc w:val="left"/>
        <w:tblInd w:w="0" w:type="dxa"/>
        <w:tblCellMar>
          <w:top w:w="0" w:type="dxa"/>
          <w:left w:w="0" w:type="dxa"/>
          <w:bottom w:w="0" w:type="dxa"/>
          <w:right w:w="0" w:type="dxa"/>
        </w:tblCellMar>
      </w:tblPr>
      <w:tblGrid>
        <w:gridCol w:w="23"/>
        <w:gridCol w:w="170"/>
        <w:gridCol w:w="67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71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imposition of a temporary or permanent clinical hold by regulatory authorities;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selection of clinical trial end points that require prolonged periods of clinical observation or analysis of the resulting data;</w:t>
            </w:r>
          </w:p>
        </w:tc>
      </w:tr>
    </w:tbl>
    <w:tbl>
      <w:tblPr>
        <w:tblW w:w="5058" w:type="dxa"/>
        <w:jc w:val="left"/>
        <w:tblInd w:w="0" w:type="dxa"/>
        <w:tblCellMar>
          <w:top w:w="0" w:type="dxa"/>
          <w:left w:w="0" w:type="dxa"/>
          <w:bottom w:w="0" w:type="dxa"/>
          <w:right w:w="0" w:type="dxa"/>
        </w:tblCellMar>
      </w:tblPr>
      <w:tblGrid>
        <w:gridCol w:w="23"/>
        <w:gridCol w:w="170"/>
        <w:gridCol w:w="48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86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clinical trials producing negative or inconclusive results;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facility manufacturing our product candidates or any of their components being ordered by the FDA or applicable foreign authorities to temporarily or permanently shut down due to violations of current good manufacturing practice (“cGMP”) regulations or other applicable requirements, or contamination or cross-contaminations of product candidates in the manufacturing process;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third-party clinical investigators losing the licenses or permits necessary to perform our clinical trials, not performing our clinical trials on our anticipated schedule or consistent with the clinical trial protocol or other regulatory requirements or committing fraud; or</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regulatory requirements, guidance, or feedback from regulatory agencies that require amending or submitting new clinical protocols or otherwise modifying the design of our clinical trials.</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We could also encounter delays if a clinical trial is suspended or terminated by us, by the IRBs of the institutions in which such trials are being conducted, by a Data Safety Monitoring Board for such trial or by the FDA or applicable foreign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applicable foreign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and approval, which may impact the costs, timing or successful completion of a clinical trial.</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Further, conducting clinical trials in foreign countries, as we may do for our product candidates,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requirements, as well as political, currency exchange and other economic risks relevant to such foreign countries. In addition, although the pandemic has waned, any disruptions caused by the COVID-19 pandemic may increase the likelihood that we encounter difficulties or delays in initiating, screening, enrolling, conducting, or completing our ongoing and planned preclinical studies and clinical trials. Clinical site initiation and patient screening and enrollment may be delayed due to prioritization of hospital resources toward the COVID-19 pandemic. Investigators and patients may not be able to comply with clinical trial protocols if quarantines impede patient movement or interrupt healthcare services. Similarly, our ability to recruit and retain patients and principal investigators and site staff who, as healthcare providers, may have heightened exposure to COVID-19, could be limited, which in turn could adversely impact our clinical trial operations.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74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Additionally, we may experience interruption of key clinical trial activities, such as clinical trial site monitoring, due to limitations on travel, quarantines or social distancing protocols imposed or recommended by federal or state governments, employers and others in connection with the ongoing COVID-19 pandemic. As a result of the COVID-19 pandemic, we have faced and may continue to face delays in meeting our anticipated timelines for our ongoing and planned clinical trials. To date, we have experienced delays in our patient enrollment and our supply chain as a direct result of COVID-19 on our suppliers’ ability to timely manufacture and ship certain supplies such as reagents and other lab consumables. These delays have not resulted in a material impact on our operations; however, such delays have previously impacted and could in the future adversely affect our business, financial condition, results of operations and growth prospects.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Any inability to successfully complete preclinical and clinical development could result in additional costs to us or impair our ability to generate revenue from future product sales and regulatory and commercialization milestones. In addition, if we make manufacturing or formulation changes to our product candidates, we may need to conduct additional testing to bridge our modified product candidate to earlier versions. For example, to facilitate potential commercial-scale manufacturing, we expect to transition from capsule formulations of our product candidates used for early clinical trials to tablet formulations, including the addition of excipients, in later stage clinical trials. While these formulation transitions are common for small molecule drug candidates, we cannot guarantee that we will not encounter delays or unexpected results in bridging studies or implementing necessary changes to the manufacturing process. Clinical trial delays could also shorten any periods during which we may have the exclusive right to commercialize our product candidates, if approved, or allow our competitors to bring comparable products to market before we do, which could impair our ability to successfully commercialize our product candidates and may harm our business, financial condition, results of operations and prospects.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Enrollment and retention of patients in clinical trials is an expensive and time-consuming process and could be made more difficult or rendered impossible by multiple factors outside our control, which could adversely affect our business, operating results and prospects.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Patient enrollment is a significant factor impacting the duration of our clinical trials, along with treatment duration and completion of required follow-up periods. Clinical trials may be prolonged, or we may not be able to initiate or continue clinical trials for our product candidates if we are unable to locate and enroll a sufficient number of eligible patients to participate as required by the FDA or applicable foreign authorities. For certain of our product candidates, including ANPA-0073, the conditions which we may evaluate include rare diseases with limited patient pools from which to draw. In some cases, patient populations for rare diseases are located at specific academic sites focused on such indications, often with multiple competing clinical trials. Potential patients for any planned clinical trials may not be adequately diagnosed or identified with the diseases which we are targeting or may not meet the entry criteria for such trials. We also may encounter difficulties in identifying and enrolling patients with a stage of disease appropriate for our planned clinical trials and monitoring such patients adequately during and after treatment. As noted above, other pharmaceutical companies targeting these same diseases are recruiting clinical trial patients from these patient populations, which may make it more difficult to fully enroll our clinical trials. In addition, the process of finding and diagnosing patients may prove costly.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eligibility criteria of our clinical trials, once established, may further limit the pool of available trial participants. If the actual number of patients with these diseases is smaller than we anticipate, we may encounter difficulties in enrolling patients in our clinical trials, thereby delaying or preventing development and approval of our product candidates. Even once enrolled we may be unable to retain a sufficient number of patients to complete any of our trials.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timely completion of clinical trials in accordance with their protocols depends, among other things, on our ability to enroll a sufficient number of patients who remain in the study until its conclusion. We may experience difficulties in patient enrollment or retention in our clinical trials for a variety of reasons. Patient enrollment and retention in clinical trials depends on many factors, including:</w:t>
      </w:r>
    </w:p>
    <w:tbl>
      <w:tblPr>
        <w:tblW w:w="4083" w:type="dxa"/>
        <w:jc w:val="left"/>
        <w:tblInd w:w="0" w:type="dxa"/>
        <w:tblCellMar>
          <w:top w:w="0" w:type="dxa"/>
          <w:left w:w="0" w:type="dxa"/>
          <w:bottom w:w="0" w:type="dxa"/>
          <w:right w:w="0" w:type="dxa"/>
        </w:tblCellMar>
      </w:tblPr>
      <w:tblGrid>
        <w:gridCol w:w="23"/>
        <w:gridCol w:w="170"/>
        <w:gridCol w:w="389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89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size and nature of the patient population;</w:t>
            </w:r>
          </w:p>
        </w:tc>
      </w:tr>
    </w:tbl>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75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4278" w:type="dxa"/>
        <w:jc w:val="left"/>
        <w:tblInd w:w="0" w:type="dxa"/>
        <w:tblCellMar>
          <w:top w:w="0" w:type="dxa"/>
          <w:left w:w="0" w:type="dxa"/>
          <w:bottom w:w="0" w:type="dxa"/>
          <w:right w:w="0" w:type="dxa"/>
        </w:tblCellMar>
      </w:tblPr>
      <w:tblGrid>
        <w:gridCol w:w="23"/>
        <w:gridCol w:w="170"/>
        <w:gridCol w:w="40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08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severity of the disease under investigation;</w:t>
            </w:r>
          </w:p>
        </w:tc>
      </w:tr>
    </w:tbl>
    <w:tbl>
      <w:tblPr>
        <w:tblW w:w="2853" w:type="dxa"/>
        <w:jc w:val="left"/>
        <w:tblInd w:w="0" w:type="dxa"/>
        <w:tblCellMar>
          <w:top w:w="0" w:type="dxa"/>
          <w:left w:w="0" w:type="dxa"/>
          <w:bottom w:w="0" w:type="dxa"/>
          <w:right w:w="0" w:type="dxa"/>
        </w:tblCellMar>
      </w:tblPr>
      <w:tblGrid>
        <w:gridCol w:w="23"/>
        <w:gridCol w:w="170"/>
        <w:gridCol w:w="26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66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design of the trial protocol;</w:t>
            </w:r>
          </w:p>
        </w:tc>
      </w:tr>
    </w:tbl>
    <w:tbl>
      <w:tblPr>
        <w:tblW w:w="6363" w:type="dxa"/>
        <w:jc w:val="left"/>
        <w:tblInd w:w="0" w:type="dxa"/>
        <w:tblCellMar>
          <w:top w:w="0" w:type="dxa"/>
          <w:left w:w="0" w:type="dxa"/>
          <w:bottom w:w="0" w:type="dxa"/>
          <w:right w:w="0" w:type="dxa"/>
        </w:tblCellMar>
      </w:tblPr>
      <w:tblGrid>
        <w:gridCol w:w="23"/>
        <w:gridCol w:w="170"/>
        <w:gridCol w:w="61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17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existing body of safety and efficacy data for the product candidate;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number and nature of competing treatments and ongoing clinical trials of competing therapies for the same indication;</w:t>
            </w:r>
          </w:p>
        </w:tc>
      </w:tr>
    </w:tbl>
    <w:tbl>
      <w:tblPr>
        <w:tblW w:w="3738" w:type="dxa"/>
        <w:jc w:val="left"/>
        <w:tblInd w:w="0" w:type="dxa"/>
        <w:tblCellMar>
          <w:top w:w="0" w:type="dxa"/>
          <w:left w:w="0" w:type="dxa"/>
          <w:bottom w:w="0" w:type="dxa"/>
          <w:right w:w="0" w:type="dxa"/>
        </w:tblCellMar>
      </w:tblPr>
      <w:tblGrid>
        <w:gridCol w:w="23"/>
        <w:gridCol w:w="170"/>
        <w:gridCol w:w="354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54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proximity of patients to clinical sites;</w:t>
            </w:r>
          </w:p>
        </w:tc>
      </w:tr>
    </w:tbl>
    <w:tbl>
      <w:tblPr>
        <w:tblW w:w="2988" w:type="dxa"/>
        <w:jc w:val="left"/>
        <w:tblInd w:w="0" w:type="dxa"/>
        <w:tblCellMar>
          <w:top w:w="0" w:type="dxa"/>
          <w:left w:w="0" w:type="dxa"/>
          <w:bottom w:w="0" w:type="dxa"/>
          <w:right w:w="0" w:type="dxa"/>
        </w:tblCellMar>
      </w:tblPr>
      <w:tblGrid>
        <w:gridCol w:w="23"/>
        <w:gridCol w:w="170"/>
        <w:gridCol w:w="27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79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eligibility criteria for the trial;</w:t>
            </w:r>
          </w:p>
        </w:tc>
      </w:tr>
    </w:tbl>
    <w:tbl>
      <w:tblPr>
        <w:tblW w:w="8553" w:type="dxa"/>
        <w:jc w:val="left"/>
        <w:tblInd w:w="0" w:type="dxa"/>
        <w:tblCellMar>
          <w:top w:w="0" w:type="dxa"/>
          <w:left w:w="0" w:type="dxa"/>
          <w:bottom w:w="0" w:type="dxa"/>
          <w:right w:w="0" w:type="dxa"/>
        </w:tblCellMar>
      </w:tblPr>
      <w:tblGrid>
        <w:gridCol w:w="23"/>
        <w:gridCol w:w="170"/>
        <w:gridCol w:w="83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36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ability to recruit clinical trial investigators with the appropriate competencies and experience;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ability to adequately monitor patients during a trial, clinicians’ and patients’ perceptions as to the potential advantages of the product candidate being studied;</w:t>
            </w:r>
          </w:p>
        </w:tc>
      </w:tr>
    </w:tbl>
    <w:tbl>
      <w:tblPr>
        <w:tblW w:w="7053" w:type="dxa"/>
        <w:jc w:val="left"/>
        <w:tblInd w:w="0" w:type="dxa"/>
        <w:tblCellMar>
          <w:top w:w="0" w:type="dxa"/>
          <w:left w:w="0" w:type="dxa"/>
          <w:bottom w:w="0" w:type="dxa"/>
          <w:right w:w="0" w:type="dxa"/>
        </w:tblCellMar>
      </w:tblPr>
      <w:tblGrid>
        <w:gridCol w:w="23"/>
        <w:gridCol w:w="170"/>
        <w:gridCol w:w="68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86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risk that patients will drop out of a trial before completing all site visits;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clinicians’ and patients’ perceptions as to the potential advantages of the drug being studied in relation to other available therapies.</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Furthermore, our efforts to build relationships with patient communities may not succeed, which could result in delays in patient enrollment in our clinical trials. In addition, any negative results we may report in clinical trials of our product candidate may make it difficult or impossible to recruit and retain patients in other clinical trials of that same product candidate. Delays or failures in planned patient enrollment or retention may result in increased costs, program delays or both, which could have a harmful effect on our ability to develop our product candidates, or could render further development impossible. For example, the impact of public health epidemics, such as the ongoing COVID-19 pandemic, may delay or prevent patients from enrolling or from receiving treatment in accordance with the protocol and the required timelines, which could delay our clinical trials, or prevent us or our partners from completing our clinical trials at all, and harm our ability to obtain approval for such product candidate. Further, if patients drop out of our clinical trials, miss scheduled doses or follow-up visits, or otherwise fail to follow clinical trial protocols, whether as a result of the COVID-19 pandemic and related illness or actions taken to slow the spread of COVID-19 or otherwise, the integrity of data from our clinical trials may be compromised or not accepted by the FDA or applicable foreign authorities, which would represent a significant setback for the applicable program. In addition, we may rely on CROs and clinical trial sites to ensure proper and timely conduct of our future clinical trials and, while we intend to enter into agreements governing their services, we will be limited in our ability to compel their actual performance. Such delays or failures could adversely affect our business, operating results and prospects.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any of which would limit the commercial potential of such product candidate.</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During the conduct of clinical trials, patients report changes in their health, including illnesses, injuries and discomforts, to their doctor. Often, it is not possible to determine whether or not the product candidate being studied caused these conditions. Regulatory authorities may draw different conclusions or require additional testing to confirm these determinations, if they occur. In addition, it is possible that as we test our product candidates in larger, longer and more extensive clinical trials with a broader group of patients, or as use of these product candidates becomes more widespread if they receive marketing approval, illnesses, injuries, discomforts and other AEs that were observed in earlier trials, as well as conditions that did not occur or went undetected in previous trials, will be reported by participants. Many times, side effects are only detectable after investigational product candidates are tested in large-scale, Phase III trials or, in some cases, after they are made available to patients on a commercial scale after approval. If additional clinical experience indicates that any of our current product candidates and any future product candidates has serious or life-threatening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76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side effects or other side effects that outweigh the potential therapeutic benefit, the development of the product candidate may fail or be delayed, or, if the product candidate has received marketing approval, such approval may be revoked, which would harm our business, prospects, operating results and financial condition. In particular, because we are developing our product candidates for chronic indications, the FDA and applicable foreign authorities will likely require that our product candidates demonstrate a higher level of safety over a longer period of time than would be the case for product candidates intended for short-term use. Moreover, if we elect, or are required, to delay, suspend or terminate any clinical trial of our product candidates, the commercial prospects of our product candidates may be harmed and our ability to generate revenue through their sale may be delayed or eliminated. Any of these occurrences may harm our business, financial condition and prospects significantly.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Moreover, if our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value for the product candidate if approved. We may also be required to modify our trial plans based on findings in our ongoing clinical trials. In our completed Phase 1 SAD study of GSBR-1290, the following adverse events occurred and were considered probably or possibly related to the study drug: nausea, headache, vomiting, dehydration, decreased appetite, dizziness, and diarrhea. In our completed Phase 1 SAD and MAD study of ANPA-0073, the following adverse events occurred and were considered probably or possibly related to the study drug: blood creatine phosphokinase increase, dizziness, electrocardiogram T wave inversion, diarrhea, headache, lethargy, nausea, vomiting, chills, palpitations, and sinus tachycardia. However, further analysis may reveal AEs inconsistent with the safety results observed. Many compounds that initially showed promise in early-stage testing have later been found to cause side effects that prevented further development of the compound. In addition, regulatory authorities may draw different conclusions or require additional testing to confirm these determinations.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if any of our product candidates receive marketing approval, the FDA could require us to include a black box warning in our label or adopt a REMS, to ensure that the benefits outweigh its risks, which may include, among other things, a medication guide outlining the risks of the drug for distribution to patients and a communication plan to health care practitioners. For example, the FDA has required that the product labels of approved drugs targeting GLP-1R include a black box warning related to the risk of thyroid C-cell tumors based on rodent carcinogenicity studies. While we have not yet conducted carcinogenicity studies for GSBR-1290, because it also targets GLP-1R, it is possible that absent compelling data to the contrary, the FDA and applicable foreign authorities will similarly require a black box warning for GSBR-1290 if it is approved for marketing. Furthermore, if we or others later identify undesirable side effects caused by our product candidates, several other potentially significant negative consequences could result, including:</w:t>
      </w:r>
    </w:p>
    <w:tbl>
      <w:tblPr>
        <w:tblW w:w="7563" w:type="dxa"/>
        <w:jc w:val="left"/>
        <w:tblInd w:w="0" w:type="dxa"/>
        <w:tblCellMar>
          <w:top w:w="0" w:type="dxa"/>
          <w:left w:w="0" w:type="dxa"/>
          <w:bottom w:w="0" w:type="dxa"/>
          <w:right w:w="0" w:type="dxa"/>
        </w:tblCellMar>
      </w:tblPr>
      <w:tblGrid>
        <w:gridCol w:w="23"/>
        <w:gridCol w:w="170"/>
        <w:gridCol w:w="73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37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regulatory authorities may suspend or withdraw approvals of such product candidate;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regulatory authorities may require additional warnings on the label, including “boxed” warnings, or issue safety alerts, Dear Healthcare Provider letters, press releases or other communications containing warnings or other safety information about the product;</w:t>
            </w:r>
          </w:p>
        </w:tc>
      </w:tr>
    </w:tbl>
    <w:tbl>
      <w:tblPr>
        <w:tblW w:w="9768" w:type="dxa"/>
        <w:jc w:val="left"/>
        <w:tblInd w:w="0" w:type="dxa"/>
        <w:tblCellMar>
          <w:top w:w="0" w:type="dxa"/>
          <w:left w:w="0" w:type="dxa"/>
          <w:bottom w:w="0" w:type="dxa"/>
          <w:right w:w="0" w:type="dxa"/>
        </w:tblCellMar>
      </w:tblPr>
      <w:tblGrid>
        <w:gridCol w:w="23"/>
        <w:gridCol w:w="170"/>
        <w:gridCol w:w="95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57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be required to change the way a product candidate is administered or conduct additional clinical trials;</w:t>
            </w:r>
          </w:p>
        </w:tc>
      </w:tr>
    </w:tbl>
    <w:tbl>
      <w:tblPr>
        <w:tblW w:w="5538" w:type="dxa"/>
        <w:jc w:val="left"/>
        <w:tblInd w:w="0" w:type="dxa"/>
        <w:tblCellMar>
          <w:top w:w="0" w:type="dxa"/>
          <w:left w:w="0" w:type="dxa"/>
          <w:bottom w:w="0" w:type="dxa"/>
          <w:right w:w="0" w:type="dxa"/>
        </w:tblCellMar>
      </w:tblPr>
      <w:tblGrid>
        <w:gridCol w:w="23"/>
        <w:gridCol w:w="170"/>
        <w:gridCol w:w="534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34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could be sued and held liable for harm caused to patients;</w:t>
            </w:r>
          </w:p>
        </w:tc>
      </w:tr>
    </w:tbl>
    <w:tbl>
      <w:tblPr>
        <w:tblW w:w="7743" w:type="dxa"/>
        <w:jc w:val="left"/>
        <w:tblInd w:w="0" w:type="dxa"/>
        <w:tblCellMar>
          <w:top w:w="0" w:type="dxa"/>
          <w:left w:w="0" w:type="dxa"/>
          <w:bottom w:w="0" w:type="dxa"/>
          <w:right w:w="0" w:type="dxa"/>
        </w:tblCellMar>
      </w:tblPr>
      <w:tblGrid>
        <w:gridCol w:w="23"/>
        <w:gridCol w:w="170"/>
        <w:gridCol w:w="75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55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could be subject to fines, injunctions, or the imposition of criminal or civil penalties;</w:t>
            </w:r>
          </w:p>
        </w:tc>
      </w:tr>
    </w:tbl>
    <w:tbl>
      <w:tblPr>
        <w:tblW w:w="3093" w:type="dxa"/>
        <w:jc w:val="left"/>
        <w:tblInd w:w="0" w:type="dxa"/>
        <w:tblCellMar>
          <w:top w:w="0" w:type="dxa"/>
          <w:left w:w="0" w:type="dxa"/>
          <w:bottom w:w="0" w:type="dxa"/>
          <w:right w:w="0" w:type="dxa"/>
        </w:tblCellMar>
      </w:tblPr>
      <w:tblGrid>
        <w:gridCol w:w="23"/>
        <w:gridCol w:w="170"/>
        <w:gridCol w:w="290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90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need to conduct a recall;</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be forced to suspend marketing of that product, or decide to remove the product from the marketplace; and</w:t>
            </w:r>
          </w:p>
        </w:tc>
      </w:tr>
    </w:tbl>
    <w:tbl>
      <w:tblPr>
        <w:tblW w:w="6588" w:type="dxa"/>
        <w:jc w:val="left"/>
        <w:tblInd w:w="0" w:type="dxa"/>
        <w:tblCellMar>
          <w:top w:w="0" w:type="dxa"/>
          <w:left w:w="0" w:type="dxa"/>
          <w:bottom w:w="0" w:type="dxa"/>
          <w:right w:w="0" w:type="dxa"/>
        </w:tblCellMar>
      </w:tblPr>
      <w:tblGrid>
        <w:gridCol w:w="23"/>
        <w:gridCol w:w="170"/>
        <w:gridCol w:w="63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39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product may become less competitive, and our reputation may suffer.</w:t>
            </w:r>
          </w:p>
        </w:tc>
      </w:tr>
    </w:tbl>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77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Any of these events could prevent us from achieving or maintaining market acceptance of our product candidates and could significantly harm our business, prospects, financial condition and results of operations.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As an organization, we have never conducted later-stage clinical trials or submitted an NDA, and may be unable to do so for any of our product candidates.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early in our development efforts for our product candidates, and we will need to successfully complete pivotal clinical trials in order to seek FDA or applicable foreign authority approval to market GSBR-1290, ANPA-0073 and any future product candidates we may develop. Carrying out clinical trials and the submission of NDAs is complicated. We completed a Phase 1 SAD study for GSBR-1290 in healthy volunteers in September 2022. Additionally, we completed our Phase 1 SAD and MAD study for ANPA-0073 in healthy volunteers for IPF and PAH. We have not conducted any later stage or pivotal clinical trials, have limited experience as a company in preparing, submitting and prosecuting regulatory filings and have not previously submitted an NDA or other applicable foreign regulatory submission for any product candidate. We also plan to conduct a number of clinical trials for multiple product candidates in parallel over the next several years. This may be a difficult process to manage with our limited resources and may divert the attention of management. In addition, we have had no interactions with the FDA or applicable foreign authorities and cannot be certain how many clinical trials of our product candidates will be required or how such trials will have to be designed. Consequently, we may be unable to successfully and efficiently execute and complete necessary clinical trials in a way that leads to regulatory submission and approval of any of our product candidates. We may require more time and incur greater costs than our competitors and may not succeed in obtaining marketing approvals of product candidates that we develop. Failure to commence or complete, or delays in, our planned clinical trials, could prevent us from or delay us in submitting NDAs for and commercializing our product candidates.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The marketing approval processes of the FDA and applicable foreign authorities are lengthy, time consuming, expensive and inherently unpredictable, and if we are ultimately unable to obtain marketing approval for our product candidates, our business will be substantially harmed.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time required to reach approval by the FDA and applicable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marketing approval for any product candidate and it is possible that any product candidates we may seek to develop in the future will never obtain marketing approval. Neither we nor any future collaborator is permitted to market any of our product candidates in the United States until we receive FDA marketing approval of an NDA.</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Prior to obtaining approval to commercialize a product candidate in the United States or abroad, we or our collaborators must demonstrate with substantial evidence from well-controlled clinical trials, and to the satisfaction of the FDA or applicable foreign authorities, that such product candidates are safe and effective for their intended uses. The number of nonclinical studies and clinical trials that will be required for FDA approval varies depending on the product candidate, the disease or condition that the product candidate is designed to address, and the regulations applicable to any particular product candidate. Results from nonclinical studies and clinical trials can be interpreted in different ways. Even if we believe the nonclinical or clinical data for our product candidates are promising, such data may not be sufficient to support approval by the FDA and other regulatory authorities. The FDA and applicable foreign authorities may also require us to conduct additional preclinical studies or clinical trials for our product candidates either prior to or post-approval, or could object to elements of our clinical development program.</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78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FDA or applicable foreign authorities can delay, limit or deny approval of our product candidates or require us to conduct additional nonclinical or clinical testing or abandon a program for various reasons, including the following:</w:t>
      </w:r>
    </w:p>
    <w:tbl>
      <w:tblPr>
        <w:tblW w:w="9648" w:type="dxa"/>
        <w:jc w:val="left"/>
        <w:tblInd w:w="0" w:type="dxa"/>
        <w:tblCellMar>
          <w:top w:w="0" w:type="dxa"/>
          <w:left w:w="0" w:type="dxa"/>
          <w:bottom w:w="0" w:type="dxa"/>
          <w:right w:w="0" w:type="dxa"/>
        </w:tblCellMar>
      </w:tblPr>
      <w:tblGrid>
        <w:gridCol w:w="23"/>
        <w:gridCol w:w="170"/>
        <w:gridCol w:w="94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45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FDA or applicable foreign authorities may disagree with the design or implementation of our clinical trials;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be unable to demonstrate to the satisfaction of the FDA or applicable foreign authorities that a product candidate is safe and effective for its proposed indication;</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results of clinical trials may not meet the level of statistical significance required by the FDA or applicable foreign authorities for approval;</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serious and unexpected drug-related side effects experienced by participants in our clinical trials or by individuals using drugs similar to our product candidates;</w:t>
            </w:r>
          </w:p>
        </w:tc>
      </w:tr>
    </w:tbl>
    <w:tbl>
      <w:tblPr>
        <w:tblW w:w="9978" w:type="dxa"/>
        <w:jc w:val="left"/>
        <w:tblInd w:w="0" w:type="dxa"/>
        <w:tblCellMar>
          <w:top w:w="0" w:type="dxa"/>
          <w:left w:w="0" w:type="dxa"/>
          <w:bottom w:w="0" w:type="dxa"/>
          <w:right w:w="0" w:type="dxa"/>
        </w:tblCellMar>
      </w:tblPr>
      <w:tblGrid>
        <w:gridCol w:w="23"/>
        <w:gridCol w:w="170"/>
        <w:gridCol w:w="97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78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be unable to demonstrate that a product candidate’s clinical and other benefits outweigh its safety risks;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FDA or applicable foreign authorities may disagree with our interpretation of data from preclinical studies or clinical trials;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data collected from clinical trials of our product candidates may not be acceptable or sufficient to support the submission of an NDA or other submission or to obtain marketing approval in the United States or elsewhere, and we may be required to conduct additional clinical trials;</w:t>
            </w:r>
          </w:p>
        </w:tc>
      </w:tr>
    </w:tbl>
    <w:tbl>
      <w:tblPr>
        <w:tblW w:w="9513" w:type="dxa"/>
        <w:jc w:val="left"/>
        <w:tblInd w:w="0" w:type="dxa"/>
        <w:tblCellMar>
          <w:top w:w="0" w:type="dxa"/>
          <w:left w:w="0" w:type="dxa"/>
          <w:bottom w:w="0" w:type="dxa"/>
          <w:right w:w="0" w:type="dxa"/>
        </w:tblCellMar>
      </w:tblPr>
      <w:tblGrid>
        <w:gridCol w:w="23"/>
        <w:gridCol w:w="170"/>
        <w:gridCol w:w="93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32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FDA’s or the applicable foreign authority’s requirement for additional nonclinical studies or clinical trials;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FDA or the applicable foreign authority may disagree regarding the formulation, labeling and/or the specifications of our product candidates;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FDA or applicable foreign authorities may fail to approve the manufacturing processes or facilities of third-party manufacturers with which we contract for clinical and commercial supplies;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approval policies or regulations of the FDA or applicable foreign authorities may significantly change in a manner rendering our clinical data insufficient for approval.</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Of the large number of products in development, only a small percentage successfully complete the FDA or foreign marketing approval processes and are commercialized. The lengthy approval process as well as the unpredictability of future clinical trial results may result in our failing to obtain marketing approval to market our product candidates, which would significantly harm our business, results of operations and prospects.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may expend our limited resources to pursue a particular product candidate and fail to capitalize on product candidates or indications that may be more profitable or for which there is a greater likelihood of success.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Because we have limited financial and managerial resources, we focus on specific product candidates, indications and discovery programs. Correctly prioritizing our research and development activities is particularly important for us due to the breadth of potential product candidates and indications that we believe could be pursued using our platform technologies. As a result, we may forgo or delay pursuit of opportunities with other product candidates that could have had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79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may not be able to obtain or maintain orphan drug designations or exclusivity for our product candidates, which could limit the potential profitability of our product candidates.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Regulatory authorities in some jurisdictions, including the United States, may designate drugs for relatively small patient populations as orphan drugs. Under the Orphan Drug Act of 1983, the FDA may designate a drug as an orphan drug if it is a drug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alone. 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 Orphan drug designation, however, neither shortens the development time or regulatory review time of a drug nor gives the drug any advantage in the regulatory review or approval process. Generally, if a drug with an orphan drug designation subsequently receives the first marketing approval for the targeted indication, then the drug is entitled to a seven-year period of marketing exclusivity that precludes the applicable regulatory authority from approving another marketing application for the same chemical entity for the same indication for the exclusivity period except in limited situations, such as a showing of clinical superiority to the product with orphan drug exclusivity or where the manufacturer is unable to assure sufficient product quantity. For purposes of small molecule drugs, the FDA defines “same drug” as a drug that contains the same active moiety and is intended for the same use as the drug in question. A designated orphan drug may not receive orphan drug exclusivity if it is approved for a use that is broader than the indication for which it received orphan drug designation.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intend to pursue orphan drug designation for one or more of our product candidates, as well as for potential other future product candidates. Obtaining orphan drug designations is important to our business strategy; however, obtaining an orphan drug designation can be difficult and we may not be successful in doing so. Even if we were to obtain orphan drug designation for a product candidate, we may not obtain orphan exclusivity and that exclusivity may not effectively protect the drug from the competition of different drugs for the same condition, which could be approved during the exclusivity period. Additionally, after an orphan drug is approved, the FDA could subsequently approve another application for the same drug for the same indication if the FDA concludes that the later drug is shown to be safer, more effective or makes a major contribution to patient care. Orphan drug exclusive marketing rights in the United States also may be lost if the FDA later determines that the request for designation was materially defective or if the manufacturer is unable to assure sufficient quantity of the drug to meet the needs of patients with the rare disease or condition. The failure to obtain an orphan drug designation for any product candidates we may develop, the inability to maintain that designation for the duration of the applicable period, or the inability to obtain or maintain orphan drug exclusivity could reduce our ability to make sufficient sales of the applicable product candidate to balance our expenses incurred to develop it, which would have a negative impact on our operational results and financial condition.</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have conducted, or plan to conduct, our initial clinical studies for GSBR-1290, ANPA-0073, LTSE-2578 and our other product candidates outside of the United States. However, the FDA and other foreign equivalents may not accept data from such trials, in which case our development plans will be delayed, which could materially harm our business.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We have conducted our initial clinical studies for GSBR-1290 and ANPA-0073 in Australia, and will likely conduct our Phase 1 studies for other drug candidates in Australia. The acceptance of study data from clinical trials conducted outside the United States or another jurisdiction by the FDA or applicable foreign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80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applicable foreign authority will accept data from trials conducted outside of the United States or the applicable jurisdiction. If the FDA or any applicable foreign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believe that clinical data generated in Australia will be accepted by the FDA and its foreign equivalents outside of Australia; however, there can be no assurance the FDA or applicable foreign authorities will accept data from any other clinical studies that we may conduct in Australia. If the FDA or applicable foreign authorities do not accept any such data, we would likely be required to conduct additional Phase 1 clinical studies, which would be costly and time consuming, and delay aspects of our development plan, which could harm our business.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Conducting clinical trials outside the United States exposes us to additional risks, including risks associated with:</w:t>
      </w:r>
    </w:p>
    <w:tbl>
      <w:tblPr>
        <w:tblW w:w="3843" w:type="dxa"/>
        <w:jc w:val="left"/>
        <w:tblInd w:w="0" w:type="dxa"/>
        <w:tblCellMar>
          <w:top w:w="0" w:type="dxa"/>
          <w:left w:w="0" w:type="dxa"/>
          <w:bottom w:w="0" w:type="dxa"/>
          <w:right w:w="0" w:type="dxa"/>
        </w:tblCellMar>
      </w:tblPr>
      <w:tblGrid>
        <w:gridCol w:w="23"/>
        <w:gridCol w:w="170"/>
        <w:gridCol w:w="36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65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additional foreign regulatory requirements;</w:t>
            </w:r>
          </w:p>
        </w:tc>
      </w:tr>
    </w:tbl>
    <w:tbl>
      <w:tblPr>
        <w:tblW w:w="2823" w:type="dxa"/>
        <w:jc w:val="left"/>
        <w:tblInd w:w="0" w:type="dxa"/>
        <w:tblCellMar>
          <w:top w:w="0" w:type="dxa"/>
          <w:left w:w="0" w:type="dxa"/>
          <w:bottom w:w="0" w:type="dxa"/>
          <w:right w:w="0" w:type="dxa"/>
        </w:tblCellMar>
      </w:tblPr>
      <w:tblGrid>
        <w:gridCol w:w="23"/>
        <w:gridCol w:w="170"/>
        <w:gridCol w:w="26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63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foreign exchange fluctuations;</w:t>
            </w:r>
          </w:p>
        </w:tc>
      </w:tr>
    </w:tbl>
    <w:tbl>
      <w:tblPr>
        <w:tblW w:w="7653" w:type="dxa"/>
        <w:jc w:val="left"/>
        <w:tblInd w:w="0" w:type="dxa"/>
        <w:tblCellMar>
          <w:top w:w="0" w:type="dxa"/>
          <w:left w:w="0" w:type="dxa"/>
          <w:bottom w:w="0" w:type="dxa"/>
          <w:right w:w="0" w:type="dxa"/>
        </w:tblCellMar>
      </w:tblPr>
      <w:tblGrid>
        <w:gridCol w:w="23"/>
        <w:gridCol w:w="170"/>
        <w:gridCol w:w="74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46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compliance with foreign manufacturing, customs, shipment and storage requirements;</w:t>
            </w:r>
          </w:p>
        </w:tc>
      </w:tr>
    </w:tbl>
    <w:tbl>
      <w:tblPr>
        <w:tblW w:w="5838" w:type="dxa"/>
        <w:jc w:val="left"/>
        <w:tblInd w:w="0" w:type="dxa"/>
        <w:tblCellMar>
          <w:top w:w="0" w:type="dxa"/>
          <w:left w:w="0" w:type="dxa"/>
          <w:bottom w:w="0" w:type="dxa"/>
          <w:right w:w="0" w:type="dxa"/>
        </w:tblCellMar>
      </w:tblPr>
      <w:tblGrid>
        <w:gridCol w:w="23"/>
        <w:gridCol w:w="170"/>
        <w:gridCol w:w="564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64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cultural differences in medical practice and clinical research; and</w:t>
            </w:r>
          </w:p>
        </w:tc>
      </w:tr>
    </w:tbl>
    <w:tbl>
      <w:tblPr>
        <w:tblW w:w="5703" w:type="dxa"/>
        <w:jc w:val="left"/>
        <w:tblInd w:w="0" w:type="dxa"/>
        <w:tblCellMar>
          <w:top w:w="0" w:type="dxa"/>
          <w:left w:w="0" w:type="dxa"/>
          <w:bottom w:w="0" w:type="dxa"/>
          <w:right w:w="0" w:type="dxa"/>
        </w:tblCellMar>
      </w:tblPr>
      <w:tblGrid>
        <w:gridCol w:w="23"/>
        <w:gridCol w:w="170"/>
        <w:gridCol w:w="55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51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diminished protection of intellectual property in some countries.</w:t>
            </w:r>
          </w:p>
        </w:tc>
      </w:tr>
    </w:tbl>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Preliminary, topline and interim data from our clinical trials that we announce or publish from time to time may change as more patient data become available and are subject to audit and verification procedures that could result in material changes in the final data.</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From time to time, we may publicly disclose interim,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made public. As a result, topline and preliminary data should be viewed with caution until the final data are available. 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Adverse differences between topline, preliminary or interim data and final data could significantly harm our business prospects.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81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Obtaining and maintaining marketing approval of our product candidates in one jurisdiction does not mean that we will be successful in obtaining marketing approval of our product candidates in other jurisdictions.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Obtaining and maintaining marketing approval of our product candidates in one jurisdiction does not guarantee that we will be able to obtain or maintain marketing approval in any other jurisdiction. For example, even if the FDA grants marketing approval of a product candidate, it does not mean that comparable regulatory authorities in foreign jurisdictions must also approve the manufacturing, marketing and promotion and reimbursement of the product candidate in those countries. However, a failure or delay in obtaining marketing approval in one jurisdiction may negatively impact the marketing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Obtaining foreign marketing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 which would adversely affect our business, prospects, financial condition, and results of operations.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ability of the FDA and applicable foreign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other government agencies that fund research and development activities is subject to the political process, which is inherently fluid and unpredictable.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Disruptions at the FDA and other agencies may also slow the time necessary for new drugs to be reviewed and/or approved by necessary government agencies, which would adversely affect our business. For example, over the last several years, the U.S. government shut down several times and certain regulatory agencies, such as the FDA, furloughed critical employees and ceased critical activities. If a prolonged government shutdown occurs, it could significantly impact the ability of the FDA and applicable foreign authorities to timely review and process our regulatory submissions, which could have a material adverse effect on our business.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Separately, in response to the COVID-19 pandemic, in March 2020, the FDA postponed most inspections of domestic and foreign manufacturing facilities. Subsequently, in July 2020, the FDA resumed certain on-site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82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inspections of domestic manufacturing facilities subject to a risk-based prioritization system. The FDA utilized this risk-based assessment system to assist in determining when and where it was safest to conduct prioritized domestic inspections. Additionally, in April 2021, the FDA began conducting voluntary remote interactive evaluations of certain drug manufacturing facilities and clinical research sites, among other facilities, in circumstances where the FDA determines that such remote evaluation would be appropriate, based on mission needs and travel limitations. In July 2021, the FDA resumed standard inspectional operations of domestic facilities. More recently, the FDA has continued to monitor and implement changes to its inspectional activities to ensure the safety of its employees and those of the firms it regulates as it adapts to the evolving COVID-19 pandemic. Regulatory authorities outside the United States have adopted similar restrictions or other policy measures in response to the COVID-19 pandemic. If a prolonged government shutdown occurs, or if global health concerns continue to prevent the FDA or applicable foreign authorities from conducting their regular inspections, reviews, or other regulatory activities, it could significantly impact the ability of the FDA or applicable foreign authorities to timely review and process our regulatory submissions, which could have a material adverse effect on our business.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Risks Related to Our Reliance on Third Parties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rely on third parties for the manufacture of our product candidates for preclinical and clinical development and expect to continue to do so for the foreseeable future. This reliance on third parties increases the risk that we will not have sufficient quantities of our product candidates or products or such quantities at an acceptable cost, which could delay, prevent or impair our development or commercialization efforts.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do not own or operate manufacturing facilities and have no plans to build our own clinical or commercial scale manufacturing capabilities. We rely, and expect to continue to rely, on third parties for the manufacture of our product candidates and related raw materials for preclinical and clinical development, as well as for commercial manufacture if any of our product candidates receive marketing approval. This reliance increases the risk that we will not have sufficient quantities of our product candidates or products, if approved, or such quantities at an acceptable cost or quality, which could delay, prevent or impair our development or commercialization efforts. Our active pharmaceutical ingredients and drug product for our product candidates are currently provided by a single-source supplier, WuXi STA, and we expect to rely on this supplier for the foreseeable future. While we believe that adequate alternative sources for such supplies exist, there is a risk that, if supplies are interrupted, it would materially harm our business.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Furthermore,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and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an applicable foreign authority does not approve these facilities for the manufacture of our product candidates or if the FDA or applicable foreign authority,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83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the event that any of our manufacturers fails to comply with applicable requirements or to perform its obligations to us in relation to quality, timing or otherwise, or if our supply of components or other materials becomes limited or interrupted for other reasons, including due to the impact of the COVID-19 pandemic,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our third-party manufacturers or require us to obtain a license from such manufacturers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We will also need to verify, such as through a manufacturing comparability study, that any product produced by the new manufacturer is equivalent to that produced in a prior facility. The delays associated with the verification of a new manufacturer and equivalent product could negatively affect our ability to develop product candidates in a timely manner or within budget.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or a third-party’s failure to execute on our manufacturing requirements on commercially reasonable terms and timelines, if at all, and comply with cGMP requirements could adversely affect our business in a number of ways, including:</w:t>
      </w:r>
    </w:p>
    <w:tbl>
      <w:tblPr>
        <w:tblW w:w="6978" w:type="dxa"/>
        <w:jc w:val="left"/>
        <w:tblInd w:w="0" w:type="dxa"/>
        <w:tblCellMar>
          <w:top w:w="0" w:type="dxa"/>
          <w:left w:w="0" w:type="dxa"/>
          <w:bottom w:w="0" w:type="dxa"/>
          <w:right w:w="0" w:type="dxa"/>
        </w:tblCellMar>
      </w:tblPr>
      <w:tblGrid>
        <w:gridCol w:w="23"/>
        <w:gridCol w:w="170"/>
        <w:gridCol w:w="67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78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inability to meet our drug specifications and quality requirements consistently;</w:t>
            </w:r>
          </w:p>
        </w:tc>
      </w:tr>
    </w:tbl>
    <w:tbl>
      <w:tblPr>
        <w:tblW w:w="6468" w:type="dxa"/>
        <w:jc w:val="left"/>
        <w:tblInd w:w="0" w:type="dxa"/>
        <w:tblCellMar>
          <w:top w:w="0" w:type="dxa"/>
          <w:left w:w="0" w:type="dxa"/>
          <w:bottom w:w="0" w:type="dxa"/>
          <w:right w:w="0" w:type="dxa"/>
        </w:tblCellMar>
      </w:tblPr>
      <w:tblGrid>
        <w:gridCol w:w="23"/>
        <w:gridCol w:w="170"/>
        <w:gridCol w:w="62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27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delay or inability to procure or expand sufficient manufacturing capacity;</w:t>
            </w:r>
          </w:p>
        </w:tc>
      </w:tr>
    </w:tbl>
    <w:tbl>
      <w:tblPr>
        <w:tblW w:w="4023" w:type="dxa"/>
        <w:jc w:val="left"/>
        <w:tblInd w:w="0" w:type="dxa"/>
        <w:tblCellMar>
          <w:top w:w="0" w:type="dxa"/>
          <w:left w:w="0" w:type="dxa"/>
          <w:bottom w:w="0" w:type="dxa"/>
          <w:right w:w="0" w:type="dxa"/>
        </w:tblCellMar>
      </w:tblPr>
      <w:tblGrid>
        <w:gridCol w:w="23"/>
        <w:gridCol w:w="170"/>
        <w:gridCol w:w="38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83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issues related to scale-up of manufacturing;</w:t>
            </w:r>
          </w:p>
        </w:tc>
      </w:tr>
    </w:tbl>
    <w:tbl>
      <w:tblPr>
        <w:tblW w:w="6588" w:type="dxa"/>
        <w:jc w:val="left"/>
        <w:tblInd w:w="0" w:type="dxa"/>
        <w:tblCellMar>
          <w:top w:w="0" w:type="dxa"/>
          <w:left w:w="0" w:type="dxa"/>
          <w:bottom w:w="0" w:type="dxa"/>
          <w:right w:w="0" w:type="dxa"/>
        </w:tblCellMar>
      </w:tblPr>
      <w:tblGrid>
        <w:gridCol w:w="23"/>
        <w:gridCol w:w="170"/>
        <w:gridCol w:w="63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39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costs and validation of new equipment and facilities required for scale-up;</w:t>
            </w:r>
          </w:p>
        </w:tc>
      </w:tr>
    </w:tbl>
    <w:tbl>
      <w:tblPr>
        <w:tblW w:w="5148" w:type="dxa"/>
        <w:jc w:val="left"/>
        <w:tblInd w:w="0" w:type="dxa"/>
        <w:tblCellMar>
          <w:top w:w="0" w:type="dxa"/>
          <w:left w:w="0" w:type="dxa"/>
          <w:bottom w:w="0" w:type="dxa"/>
          <w:right w:w="0" w:type="dxa"/>
        </w:tblCellMar>
      </w:tblPr>
      <w:tblGrid>
        <w:gridCol w:w="23"/>
        <w:gridCol w:w="170"/>
        <w:gridCol w:w="49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95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failure to comply with cGMP or similar foreign standards;</w:t>
            </w:r>
          </w:p>
        </w:tc>
      </w:tr>
    </w:tbl>
    <w:tbl>
      <w:tblPr>
        <w:tblW w:w="9888" w:type="dxa"/>
        <w:jc w:val="left"/>
        <w:tblInd w:w="0" w:type="dxa"/>
        <w:tblCellMar>
          <w:top w:w="0" w:type="dxa"/>
          <w:left w:w="0" w:type="dxa"/>
          <w:bottom w:w="0" w:type="dxa"/>
          <w:right w:w="0" w:type="dxa"/>
        </w:tblCellMar>
      </w:tblPr>
      <w:tblGrid>
        <w:gridCol w:w="23"/>
        <w:gridCol w:w="170"/>
        <w:gridCol w:w="96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69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inability to negotiate manufacturing agreements with third parties under commercially reasonable terms, if at all;</w:t>
            </w:r>
          </w:p>
        </w:tc>
      </w:tr>
    </w:tbl>
    <w:tbl>
      <w:tblPr>
        <w:tblW w:w="7143" w:type="dxa"/>
        <w:jc w:val="left"/>
        <w:tblInd w:w="0" w:type="dxa"/>
        <w:tblCellMar>
          <w:top w:w="0" w:type="dxa"/>
          <w:left w:w="0" w:type="dxa"/>
          <w:bottom w:w="0" w:type="dxa"/>
          <w:right w:w="0" w:type="dxa"/>
        </w:tblCellMar>
      </w:tblPr>
      <w:tblGrid>
        <w:gridCol w:w="23"/>
        <w:gridCol w:w="170"/>
        <w:gridCol w:w="69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95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reliance on single source manufacturers for drug substances and drug products;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lack of qualified backup suppliers for those components that are currently purchased from a sole or single source supplier;</w:t>
            </w:r>
          </w:p>
        </w:tc>
      </w:tr>
    </w:tbl>
    <w:tbl>
      <w:tblPr>
        <w:tblW w:w="7623" w:type="dxa"/>
        <w:jc w:val="left"/>
        <w:tblInd w:w="0" w:type="dxa"/>
        <w:tblCellMar>
          <w:top w:w="0" w:type="dxa"/>
          <w:left w:w="0" w:type="dxa"/>
          <w:bottom w:w="0" w:type="dxa"/>
          <w:right w:w="0" w:type="dxa"/>
        </w:tblCellMar>
      </w:tblPr>
      <w:tblGrid>
        <w:gridCol w:w="23"/>
        <w:gridCol w:w="170"/>
        <w:gridCol w:w="74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43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misappropriation of proprietary information, including our trade secrets and know-how;</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mislabeling of clinical supplies, potentially resulting in the wrong dose amounts being supplied or study drug or placebo not being properly identified;</w:t>
            </w:r>
          </w:p>
        </w:tc>
      </w:tr>
    </w:tbl>
    <w:tbl>
      <w:tblPr>
        <w:tblW w:w="8538" w:type="dxa"/>
        <w:jc w:val="left"/>
        <w:tblInd w:w="0" w:type="dxa"/>
        <w:tblCellMar>
          <w:top w:w="0" w:type="dxa"/>
          <w:left w:w="0" w:type="dxa"/>
          <w:bottom w:w="0" w:type="dxa"/>
          <w:right w:w="0" w:type="dxa"/>
        </w:tblCellMar>
      </w:tblPr>
      <w:tblGrid>
        <w:gridCol w:w="23"/>
        <w:gridCol w:w="170"/>
        <w:gridCol w:w="834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34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clinical supplies not being delivered to clinical sites on time, leading to clinical trial interruptions;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operations of our third-party manufacturers or suppliers could be disrupted by conditions unrelated to our business or operations, including the bankruptcy of the manufacturer or supplier; and</w:t>
            </w:r>
          </w:p>
        </w:tc>
      </w:tr>
    </w:tbl>
    <w:tbl>
      <w:tblPr>
        <w:tblW w:w="5868" w:type="dxa"/>
        <w:jc w:val="left"/>
        <w:tblInd w:w="0" w:type="dxa"/>
        <w:tblCellMar>
          <w:top w:w="0" w:type="dxa"/>
          <w:left w:w="0" w:type="dxa"/>
          <w:bottom w:w="0" w:type="dxa"/>
          <w:right w:w="0" w:type="dxa"/>
        </w:tblCellMar>
      </w:tblPr>
      <w:tblGrid>
        <w:gridCol w:w="23"/>
        <w:gridCol w:w="170"/>
        <w:gridCol w:w="56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67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carrier disruptions or increased costs that are beyond our control.</w:t>
            </w:r>
          </w:p>
        </w:tc>
      </w:tr>
    </w:tbl>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84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we do not have any long-term commitments or supply agreements with our third-party manufacturers. We may be unable to establish any supply agreements with our third-party manufacturers or do so on acceptable terms, which increases the risk of timely obtaining sufficient quantities of our product candidates or such quantities at an acceptable cost, which may harm our business and results of operations.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intend to rely on third parties to conduct, supervise and monitor our discovery research, preclinical studies and clinical trials. If those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do not currently have the ability to independently conduct certain discovery research, preclinical studies and clinical trials for our product candidates. We rely on CROs and clinical trial sites to ensure the proper and timely conduct of our preclinical studies and clinical trials, and we expect to have limited influence over their actual performance. We rely upon CROs to monitor and manage data for our clinical programs, as well as the execution of future nonclinical studies. We expect to control only certain aspects of our CROs’ activities. Nevertheless, we will be responsible for ensuring that each of our preclinical studies or clinical trials are conducted in accordance with the applicable protocol, legal, regulatory and scientific standards and our reliance on the CROs does not relieve us of our regulatory responsibilities.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and our CROs will be required to comply with the good laboratory practices (“GLPs”), and GCPs, which are regulations and guidelines enforced by the FDA and applicable foreign authorities in the form of International Conference on Harmonization guidelines for any of our product candidates that are in preclinical and clinical development. The regulatory authorities enforce GCPs through periodic inspections of trial sponsors, principal investigators and clinical trial sites. Although we will rely on CROs to conduct GLP-compliant preclinical studies and GCP-compliant clinical trials, we remain responsible for ensuring that each of our GLP preclinical studies and clinical trials is conducted in accordance with its investigational plan and protocol and applicable laws and regulations, and our reliance on the CROs does not relieve us of our regulatory responsibilities. If we or our CROs fail to comply with GCPs, the clinical data generated in our clinical trials may be deemed unreliable and the FDA or applicable foreign authorities may require us to perform additional clinical trials before approving our marketing applications. Accordingly, if our CROs fail to comply with these regulations or fail to recruit a sufficient number of participants, we may be required to repeat clinical trials, which would delay the marketing approval process.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While we will have agreements governing their activities, our CROs will not be our employees, and we will not control whether or not they devote sufficient time and resources to our future clinical and nonclinical programs. These CROs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which may reduce our trade secret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marketing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In addition, quarantines, shelter-in-place, and similar government orders, or the perception that such orders, shutdowns or other restrictions on the conduct of business operations could occur, related to COVID-19 or other infectious diseases could impact personnel at our CROs, which could disrupt our clinical timelines, which could have a material adverse impact on our business, prospects, financial condition, and results of operations. If our relationship with these CROs terminates, we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85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to meet our desired clinical development timelines. Though we intend to carefully manage our relationships with our CROs, we may encounter challenges or delays in the future and we cannot assure you that these delays or challenges will not have a negative impact on our business, financial condition and prospects.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or applicable foreign authorities. The FDA or applicable foreign authorities may conclude that a financial relationship between us and a principal investigator has created a conflict of interest or otherwise affected interpretation of the trial. The FDA or applicable foreign authorities may therefore question the integrity of the data generated at the applicable clinical trial site and the utility of the clinical trial itself may be jeopardized. This could result in a delay in approval, or rejection, of our marketing applications by the FDA or applicable foreign authorities and may ultimately lead to the denial of marketing approval of our current and future product candidates.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have entered into, and may in the future enter into, collaboration agreements and strategic alliances to maximize the potential of our structure-based drug discovery platform and product candidates, and we may not realize the anticipated benefits of such collaborations or alliances. We expect to continue to form collaborations in the future with respect to our product candidates, but may be unable to do so or to realize the potential benefits of such transactions, which may cause us to alter or delay our development and commercialization plans.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Part of our business strategy is to explore additional collaborations with third parties to further strengthen our platform capabilities and to leverage our platform for external opportunities where partners bring additional disease biology understanding, development and commercial expertise, regional insights or other complementary capabilities. We may therefore form or seek further strategic alliances, create joint ventures or collaborations, or enter into additional licensing arrangements with third parties that we believe will complement or augment our development and commercialization efforts with respect to our structure-based drug discovery platform or our product candidates and any future product candidates that we may develop, including in territories outside the United States or for certain indications. These transactions can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As a result, if we enter into acquisition or license agreements or strategic partnerships, we may not be able to realize the benefit of such transactions if we are unable to successfully integrate them with our existing operations and company culture. We also cannot be certain that, following a strategic transaction or license, we will achieve the revenue or other anticipated benefits that led us to enter into the arrangement.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Research and development collaborations are subject to numerous risks, which may include the following:</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collaborators have significant discretion in determining the efforts and resources that they will apply to a collaboration, and may not commit sufficient efforts and resources, or may misapply those efforts and resources;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collaborators may not pursue development and commercialization of our structure-based drug discovery platform or collaboration product candidates or may elect not to continue or renew development or commercialization programs based on clinical trial results or changes in their strategic focus;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collaborators may delay, provide insufficient resources to, or modify or stop clinical trials for our structure-based drug discovery platform or collaboration product candidates;</w:t>
            </w:r>
          </w:p>
        </w:tc>
      </w:tr>
    </w:tbl>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86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collaborators could develop or acquire products outside of the collaboration that compete directly or indirectly with our products or product candidates;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disputes may arise between us and a collaborator that cause the delay or termination of the research, development or commercialization of our product candidates, or that result in costly litigation or arbitration that diverts management attention and resources;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collaborations may be terminated and, if terminated, may result in a need for additional capital and personnel to pursue further development or commercialization of our structure-based drug discovery platform or the applicable product candidates;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collaborators may own or co-own intellectual property covering our products that results from our collaborating with them, and in such cases, we may not have the exclusive right to commercialize such intellectual property.</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we face significant competition in seeking appropriate strategic partners and the negotiation process is time-consuming and complex. We may not be successful in our efforts to establish a strategic partnership or other alternative arrangements for our structure-based drug discovery platform or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third-party for development and commercialization of a product candidate, we can expect to relinquish some or all of the control over the future success of that product candidate to the third-party. Our ability to reach a definitive agreement for a collaboration will depend, among other things, upon our assessment of the collaborator’s resources and expertise, the terms and conditions of the proposed collaboration and the proposed collaborator’s evaluation of our technologies, product candidates and market opportunities.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a result of these risks, we may not be able to realize the benefit of our existing collaborations or any future collaborations or licensing agreements we may enter into. In addition, there have been a significant number of recent business combinations among large pharmaceutical and biomedical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structure-based drug discovery platform or product candidates or bring them to market and generate revenue.</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Additionally, we may sometimes collaborate with academic institutions to accelerate our preclinical research or development under written agreements with these institutions. If collaborations occur,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 If we are unable to successfully obtain rights to required third-party intellectual property or to maintain the existing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87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intellectual property rights we have, we may have to abandon development of such program and our business and financial condition could suffer.</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products require specific constituents to work effectively and efficiently, and rights to those constituents are, and in the future may be, held by others. We may also seek to in-license third-party technologies to enhance our structure-based drug discovery platform. We may be unable to in-license any rights from constituents, methods of use, processes or other third-party intellectual property rights from third parties that we identify. We may fail to obtain any of these licenses at a reasonable cost or on reasonable terms, which could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in order to establish or maintain our competitive position in the market. Any delays in entering into new collaborations or strategic partnership agreements related to our product candidates or our structure-based drug discovery platform could delay the development and commercialization of our product candidates in certain geographies or limit our ability to discover and develop new product candidates, which could harm our business prospects, financial condition, and results of operations.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Our existing discovery collaboration with Schrödinger is important to our business. If we are unable to maintain this collaboration, or if this collaboration is not successful, our business could be adversely affected.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October 2020, Lhotse, our wholly-owned subsidiary, entered into the Lhotse-Schrödinger Agreement. Under the Lhotse-Schrödinger Agreement, Schrödinger uses its technology platform to perform virtual screens of members of the target class of human integrins, and we and Schrödinger collaborate to facilitate prioritization of targets, perform target validation and analysis, identify leads and perform lead optimization. Schrödinger has granted us an exclusive license to certain intellectual property related to our product candidates discovered under this agreement. See the Part I. Item 1. “Business—Lhotse Collaboration Agreement with Schrödinger, LLC.”</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Because we currently rely on Schrödinger for a substantial portion of our discovery capabilities, if Schrödinger delays or fails to perform its obligations under the Lhotse-Schrödinger Agreement, disagrees with our interpretation of the terms of the collaboration or our discovery plan or terminates the Lhotse-Schrödinger Agreement, our pipeline of product candidates would be adversely affected. Schrödinger may also fail to properly maintain or defend the intellectual property we have licensed from them, or even infringe upon, our intellectual property rights, leading to the potential invalidation of our intellectual property or subjecting us to litigation or arbitration, any of which would be time-consuming and expensive. Additionally, either party has the right to terminate the collaboration pursuant to the terms of the Lhotse-Schrödinger Agreement. If our collaboration with Schrödinger is terminated, especially during our discovery phase, the development of our product candidates would be materially delayed or harmed.</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Reliance on third parties requires us to share our trade secrets, which increases the possibility that a competitor will discover them or that our trade secrets will be misappropriated or disclosed.</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Reliance on third parties to manufacture or commercialize our current or any future product candidates, and on collaborations with additional third parties for the development of our current or any future product candidates, requires us to share trade secrets with these third parties.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services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88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these agreements typically restrict the ability of our advisors, employees, third-party contractors and consultants to publish data potentially relating to our trade secrets. Despite our efforts to protect our trade secrets, our competitors may discover our trade secrets, either through breach of our agreements with third parties, independent development or publication of information by any third-party collaborators. A competitor’s discovery of our trade secrets could harm our business.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Confidentiality agreements with employees and third parties may not prevent unauthorized disclosure of trade secrets and other proprietary information.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to the protection afforded by patents, we seek to rely on trade secret protection and confidentiality agreements to protect proprietary know-how that is not patentable or that we elect not to patent, processes for which patents are difficult to enforce, and any other elements of our product candidates, technology and product discovery and development processes that involve proprietary know-how, information, or technology that is not covered by patents.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Trade secrets and confidential information, however, may be difficult to protect. We seek to protect our trade secrets, know-how and confidential information, including our proprietary processes, in part, by entering into confidentiality agreements with our employees, consultants, outside scientific advisors, contractors, and collaborators. With our consultants, contractors, and outside scientific collaborators, these agreements typically include invention assignment obligations. Although we use reasonable efforts to protect our trade secrets, our employees, consultants, outside scientific advisors, contractors, and collaborators might intentionally or inadvertently disclose our trade secret information, including to competitors. In addition, competitors or other third-parties may otherwise gain access to our trade secrets or independently develop substantially equivalent information and techniques. Despite our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any of our trade secrets were to be lawfully obtained or independently developed by a competitor or other third-party, we would have no right to prevent them from using that technology or information to compete with us.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89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Risks Related to Commercialization of Our Product Candidates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Even if we receive regulatory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Even if we obtain any marketing approval for our current or any future product candidates, such approvals will be subject to ongoing regulatory requirements for manufacturing, labeling, packaging, storage, advertising, promotion, sampling, record-keeping and submission of safety and other post-market information. These requirements include submissions of safety and other post-marketing information and reports, registration, as well as on-going compliance with cGMPs and GCPs, for any clinical trials that we may conduct post-approval. Any marketing approvals that we receive for our current or future product candidates may also be subject to a REMS, limitations on the approved indicated uses for which the drug may be marketed or to the conditions of approval, or contain requirements for potentially costly post-marketing testing, including Phase 4 trials, and surveillance to monitor the quality, safety and efficacy of the drug.</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drug manufacturers and their facilities are subject to payment of user fees and continual review and periodic inspections by the FDA and other regulatory authorities for compliance with cGMP requirements and adherence to commitments made in the NDA or foreign marketing application. If we or a regulatory authority discover previously unknown problems with a drug, such as AEs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If we fail to comply with applicable regulatory requirements following approval of our current or future product candidates, a regulatory authority may, among other things:</w:t>
      </w:r>
    </w:p>
    <w:tbl>
      <w:tblPr>
        <w:tblW w:w="7398" w:type="dxa"/>
        <w:jc w:val="left"/>
        <w:tblInd w:w="0" w:type="dxa"/>
        <w:tblCellMar>
          <w:top w:w="0" w:type="dxa"/>
          <w:left w:w="0" w:type="dxa"/>
          <w:bottom w:w="0" w:type="dxa"/>
          <w:right w:w="0" w:type="dxa"/>
        </w:tblCellMar>
      </w:tblPr>
      <w:tblGrid>
        <w:gridCol w:w="23"/>
        <w:gridCol w:w="170"/>
        <w:gridCol w:w="72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20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issue an untitled letter or warning letter asserting that we are in violation of the law;</w:t>
            </w:r>
          </w:p>
        </w:tc>
      </w:tr>
    </w:tbl>
    <w:tbl>
      <w:tblPr>
        <w:tblW w:w="7878" w:type="dxa"/>
        <w:jc w:val="left"/>
        <w:tblInd w:w="0" w:type="dxa"/>
        <w:tblCellMar>
          <w:top w:w="0" w:type="dxa"/>
          <w:left w:w="0" w:type="dxa"/>
          <w:bottom w:w="0" w:type="dxa"/>
          <w:right w:w="0" w:type="dxa"/>
        </w:tblCellMar>
      </w:tblPr>
      <w:tblGrid>
        <w:gridCol w:w="23"/>
        <w:gridCol w:w="170"/>
        <w:gridCol w:w="76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68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seek an injunction or impose administrative, civil or criminal penalties or monetary fines;</w:t>
            </w:r>
          </w:p>
        </w:tc>
      </w:tr>
    </w:tbl>
    <w:tbl>
      <w:tblPr>
        <w:tblW w:w="3753" w:type="dxa"/>
        <w:jc w:val="left"/>
        <w:tblInd w:w="0" w:type="dxa"/>
        <w:tblCellMar>
          <w:top w:w="0" w:type="dxa"/>
          <w:left w:w="0" w:type="dxa"/>
          <w:bottom w:w="0" w:type="dxa"/>
          <w:right w:w="0" w:type="dxa"/>
        </w:tblCellMar>
      </w:tblPr>
      <w:tblGrid>
        <w:gridCol w:w="23"/>
        <w:gridCol w:w="170"/>
        <w:gridCol w:w="35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56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suspend or withdraw marketing approval;</w:t>
            </w:r>
          </w:p>
        </w:tc>
      </w:tr>
    </w:tbl>
    <w:tbl>
      <w:tblPr>
        <w:tblW w:w="3258" w:type="dxa"/>
        <w:jc w:val="left"/>
        <w:tblInd w:w="0" w:type="dxa"/>
        <w:tblCellMar>
          <w:top w:w="0" w:type="dxa"/>
          <w:left w:w="0" w:type="dxa"/>
          <w:bottom w:w="0" w:type="dxa"/>
          <w:right w:w="0" w:type="dxa"/>
        </w:tblCellMar>
      </w:tblPr>
      <w:tblGrid>
        <w:gridCol w:w="23"/>
        <w:gridCol w:w="170"/>
        <w:gridCol w:w="30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06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suspend any ongoing clinical trials;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refuse to approve a pending NDA or NDA supplement, or comparable foreign marketing application (or any supplements thereto) submitted by us or our strategic partners;</w:t>
            </w:r>
          </w:p>
        </w:tc>
      </w:tr>
    </w:tbl>
    <w:tbl>
      <w:tblPr>
        <w:tblW w:w="5643" w:type="dxa"/>
        <w:jc w:val="left"/>
        <w:tblInd w:w="0" w:type="dxa"/>
        <w:tblCellMar>
          <w:top w:w="0" w:type="dxa"/>
          <w:left w:w="0" w:type="dxa"/>
          <w:bottom w:w="0" w:type="dxa"/>
          <w:right w:w="0" w:type="dxa"/>
        </w:tblCellMar>
      </w:tblPr>
      <w:tblGrid>
        <w:gridCol w:w="23"/>
        <w:gridCol w:w="170"/>
        <w:gridCol w:w="54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45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restrict or suspend the marketing or manufacturing of the drug;</w:t>
            </w:r>
          </w:p>
        </w:tc>
      </w:tr>
    </w:tbl>
    <w:tbl>
      <w:tblPr>
        <w:tblW w:w="7788" w:type="dxa"/>
        <w:jc w:val="left"/>
        <w:tblInd w:w="0" w:type="dxa"/>
        <w:tblCellMar>
          <w:top w:w="0" w:type="dxa"/>
          <w:left w:w="0" w:type="dxa"/>
          <w:bottom w:w="0" w:type="dxa"/>
          <w:right w:w="0" w:type="dxa"/>
        </w:tblCellMar>
      </w:tblPr>
      <w:tblGrid>
        <w:gridCol w:w="23"/>
        <w:gridCol w:w="170"/>
        <w:gridCol w:w="75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59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seize or detain the drug or otherwise require the withdrawal of the drug from the market;</w:t>
            </w:r>
          </w:p>
        </w:tc>
      </w:tr>
    </w:tbl>
    <w:tbl>
      <w:tblPr>
        <w:tblW w:w="5553" w:type="dxa"/>
        <w:jc w:val="left"/>
        <w:tblInd w:w="0" w:type="dxa"/>
        <w:tblCellMar>
          <w:top w:w="0" w:type="dxa"/>
          <w:left w:w="0" w:type="dxa"/>
          <w:bottom w:w="0" w:type="dxa"/>
          <w:right w:w="0" w:type="dxa"/>
        </w:tblCellMar>
      </w:tblPr>
      <w:tblGrid>
        <w:gridCol w:w="23"/>
        <w:gridCol w:w="170"/>
        <w:gridCol w:w="53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36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refuse to permit the import or export of product candidates; or</w:t>
            </w:r>
          </w:p>
        </w:tc>
      </w:tr>
    </w:tbl>
    <w:tbl>
      <w:tblPr>
        <w:tblW w:w="7233" w:type="dxa"/>
        <w:jc w:val="left"/>
        <w:tblInd w:w="0" w:type="dxa"/>
        <w:tblCellMar>
          <w:top w:w="0" w:type="dxa"/>
          <w:left w:w="0" w:type="dxa"/>
          <w:bottom w:w="0" w:type="dxa"/>
          <w:right w:w="0" w:type="dxa"/>
        </w:tblCellMar>
      </w:tblPr>
      <w:tblGrid>
        <w:gridCol w:w="23"/>
        <w:gridCol w:w="170"/>
        <w:gridCol w:w="70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04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refuse to allow us to enter into supply contracts, including government contracts.</w:t>
            </w:r>
          </w:p>
        </w:tc>
      </w:tr>
    </w:tbl>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In addition, if any of our product candidates is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90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promoted off-label uses may be subject to significant sanctions. The federal government has levied large civil and criminal fines against companies for alleged improper promotion and has enjoined several companies from engaging in off-label promotion. The government has also required companies to enter into consent decrees and/or imposed permanent injunctions under which specified promotional conduct is changed or curtailed.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FDA’s policies, and those of equivalent foreign regulatory agencies, may change and additional government regulations may be enacted that could cause changes to or delays in the drug review process, or suspend or restrict marketing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which would harm our business, financial condition, results of operations and prospects.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Even if our current or future product candidates receive marketing approval, they may fail to achieve market acceptance by physicians, patients, third-party payors or others in the medical community necessary for commercial success.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Even if our current or future product candidates receive marketing approval, they may fail to gain sufficient market acceptance by physicians, patients, third-party payors and others in the medical community. If they do not achieve an adequate level of acceptance, we may not generate significant product revenue and may not become profitable. The degree of market acceptance of our current or future product candidates, if approved for commercial sale, will depend on a number of factors, including but not limited to:</w:t>
      </w:r>
    </w:p>
    <w:tbl>
      <w:tblPr>
        <w:tblW w:w="6033" w:type="dxa"/>
        <w:jc w:val="left"/>
        <w:tblInd w:w="0" w:type="dxa"/>
        <w:tblCellMar>
          <w:top w:w="0" w:type="dxa"/>
          <w:left w:w="0" w:type="dxa"/>
          <w:bottom w:w="0" w:type="dxa"/>
          <w:right w:w="0" w:type="dxa"/>
        </w:tblCellMar>
      </w:tblPr>
      <w:tblGrid>
        <w:gridCol w:w="23"/>
        <w:gridCol w:w="170"/>
        <w:gridCol w:w="58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84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clinical indications for which the product candidate is approved;</w:t>
            </w:r>
          </w:p>
        </w:tc>
      </w:tr>
    </w:tbl>
    <w:tbl>
      <w:tblPr>
        <w:tblW w:w="7848" w:type="dxa"/>
        <w:jc w:val="left"/>
        <w:tblInd w:w="0" w:type="dxa"/>
        <w:tblCellMar>
          <w:top w:w="0" w:type="dxa"/>
          <w:left w:w="0" w:type="dxa"/>
          <w:bottom w:w="0" w:type="dxa"/>
          <w:right w:w="0" w:type="dxa"/>
        </w:tblCellMar>
      </w:tblPr>
      <w:tblGrid>
        <w:gridCol w:w="23"/>
        <w:gridCol w:w="170"/>
        <w:gridCol w:w="76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65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efficacy and potential advantages compared to alternative treatments and therapies;</w:t>
            </w:r>
          </w:p>
        </w:tc>
      </w:tr>
    </w:tbl>
    <w:tbl>
      <w:tblPr>
        <w:tblW w:w="7143" w:type="dxa"/>
        <w:jc w:val="left"/>
        <w:tblInd w:w="0" w:type="dxa"/>
        <w:tblCellMar>
          <w:top w:w="0" w:type="dxa"/>
          <w:left w:w="0" w:type="dxa"/>
          <w:bottom w:w="0" w:type="dxa"/>
          <w:right w:w="0" w:type="dxa"/>
        </w:tblCellMar>
      </w:tblPr>
      <w:tblGrid>
        <w:gridCol w:w="23"/>
        <w:gridCol w:w="170"/>
        <w:gridCol w:w="69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95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of market introduction of the product as well as competitive products;</w:t>
            </w:r>
          </w:p>
        </w:tc>
      </w:tr>
    </w:tbl>
    <w:tbl>
      <w:tblPr>
        <w:tblW w:w="4098" w:type="dxa"/>
        <w:jc w:val="left"/>
        <w:tblInd w:w="0" w:type="dxa"/>
        <w:tblCellMar>
          <w:top w:w="0" w:type="dxa"/>
          <w:left w:w="0" w:type="dxa"/>
          <w:bottom w:w="0" w:type="dxa"/>
          <w:right w:w="0" w:type="dxa"/>
        </w:tblCellMar>
      </w:tblPr>
      <w:tblGrid>
        <w:gridCol w:w="23"/>
        <w:gridCol w:w="170"/>
        <w:gridCol w:w="39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90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effectiveness of sales and marketing efforts;</w:t>
            </w:r>
          </w:p>
        </w:tc>
      </w:tr>
    </w:tbl>
    <w:tbl>
      <w:tblPr>
        <w:tblW w:w="5238" w:type="dxa"/>
        <w:jc w:val="left"/>
        <w:tblInd w:w="0" w:type="dxa"/>
        <w:tblCellMar>
          <w:top w:w="0" w:type="dxa"/>
          <w:left w:w="0" w:type="dxa"/>
          <w:bottom w:w="0" w:type="dxa"/>
          <w:right w:w="0" w:type="dxa"/>
        </w:tblCellMar>
      </w:tblPr>
      <w:tblGrid>
        <w:gridCol w:w="23"/>
        <w:gridCol w:w="170"/>
        <w:gridCol w:w="504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04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strength of our relationships with patient communities;</w:t>
            </w:r>
          </w:p>
        </w:tc>
      </w:tr>
    </w:tbl>
    <w:tbl>
      <w:tblPr>
        <w:tblW w:w="9963" w:type="dxa"/>
        <w:jc w:val="left"/>
        <w:tblInd w:w="0" w:type="dxa"/>
        <w:tblCellMar>
          <w:top w:w="0" w:type="dxa"/>
          <w:left w:w="0" w:type="dxa"/>
          <w:bottom w:w="0" w:type="dxa"/>
          <w:right w:w="0" w:type="dxa"/>
        </w:tblCellMar>
      </w:tblPr>
      <w:tblGrid>
        <w:gridCol w:w="23"/>
        <w:gridCol w:w="170"/>
        <w:gridCol w:w="97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77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of treatment in relation to alternative treatments and therapies, including any similar generic treatments;</w:t>
            </w:r>
          </w:p>
        </w:tc>
      </w:tr>
    </w:tbl>
    <w:tbl>
      <w:tblPr>
        <w:tblW w:w="5553" w:type="dxa"/>
        <w:jc w:val="left"/>
        <w:tblInd w:w="0" w:type="dxa"/>
        <w:tblCellMar>
          <w:top w:w="0" w:type="dxa"/>
          <w:left w:w="0" w:type="dxa"/>
          <w:bottom w:w="0" w:type="dxa"/>
          <w:right w:w="0" w:type="dxa"/>
        </w:tblCellMar>
      </w:tblPr>
      <w:tblGrid>
        <w:gridCol w:w="23"/>
        <w:gridCol w:w="170"/>
        <w:gridCol w:w="53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36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offer such product for sale at competitive prices;</w:t>
            </w:r>
          </w:p>
        </w:tc>
      </w:tr>
    </w:tbl>
    <w:tbl>
      <w:tblPr>
        <w:tblW w:w="8373" w:type="dxa"/>
        <w:jc w:val="left"/>
        <w:tblInd w:w="0" w:type="dxa"/>
        <w:tblCellMar>
          <w:top w:w="0" w:type="dxa"/>
          <w:left w:w="0" w:type="dxa"/>
          <w:bottom w:w="0" w:type="dxa"/>
          <w:right w:w="0" w:type="dxa"/>
        </w:tblCellMar>
      </w:tblPr>
      <w:tblGrid>
        <w:gridCol w:w="23"/>
        <w:gridCol w:w="170"/>
        <w:gridCol w:w="81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18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convenience and ease of administration compared to alternative treatments and therapies;</w:t>
            </w:r>
          </w:p>
        </w:tc>
      </w:tr>
    </w:tbl>
    <w:tbl>
      <w:tblPr>
        <w:tblW w:w="10083" w:type="dxa"/>
        <w:jc w:val="left"/>
        <w:tblInd w:w="0" w:type="dxa"/>
        <w:tblCellMar>
          <w:top w:w="0" w:type="dxa"/>
          <w:left w:w="0" w:type="dxa"/>
          <w:bottom w:w="0" w:type="dxa"/>
          <w:right w:w="0" w:type="dxa"/>
        </w:tblCellMar>
      </w:tblPr>
      <w:tblGrid>
        <w:gridCol w:w="23"/>
        <w:gridCol w:w="170"/>
        <w:gridCol w:w="989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89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willingness of the target patient population to try new therapies and of physicians to prescribe these therapies;</w:t>
            </w:r>
          </w:p>
        </w:tc>
      </w:tr>
    </w:tbl>
    <w:tbl>
      <w:tblPr>
        <w:tblW w:w="6108" w:type="dxa"/>
        <w:jc w:val="left"/>
        <w:tblInd w:w="0" w:type="dxa"/>
        <w:tblCellMar>
          <w:top w:w="0" w:type="dxa"/>
          <w:left w:w="0" w:type="dxa"/>
          <w:bottom w:w="0" w:type="dxa"/>
          <w:right w:w="0" w:type="dxa"/>
        </w:tblCellMar>
      </w:tblPr>
      <w:tblGrid>
        <w:gridCol w:w="23"/>
        <w:gridCol w:w="170"/>
        <w:gridCol w:w="59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91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availability of third-party coverage and adequate reimbursement;</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willingness of patients to pay out-of-pocket in the absence of coverage and adequate reimbursement by third-party payors and government authorities;</w:t>
            </w:r>
          </w:p>
        </w:tc>
      </w:tr>
    </w:tbl>
    <w:tbl>
      <w:tblPr>
        <w:tblW w:w="4533" w:type="dxa"/>
        <w:jc w:val="left"/>
        <w:tblInd w:w="0" w:type="dxa"/>
        <w:tblCellMar>
          <w:top w:w="0" w:type="dxa"/>
          <w:left w:w="0" w:type="dxa"/>
          <w:bottom w:w="0" w:type="dxa"/>
          <w:right w:w="0" w:type="dxa"/>
        </w:tblCellMar>
      </w:tblPr>
      <w:tblGrid>
        <w:gridCol w:w="23"/>
        <w:gridCol w:w="170"/>
        <w:gridCol w:w="43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34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strength of marketing and distribution support;</w:t>
            </w:r>
          </w:p>
        </w:tc>
      </w:tr>
    </w:tbl>
    <w:tbl>
      <w:tblPr>
        <w:tblW w:w="4728" w:type="dxa"/>
        <w:jc w:val="left"/>
        <w:tblInd w:w="0" w:type="dxa"/>
        <w:tblCellMar>
          <w:top w:w="0" w:type="dxa"/>
          <w:left w:w="0" w:type="dxa"/>
          <w:bottom w:w="0" w:type="dxa"/>
          <w:right w:w="0" w:type="dxa"/>
        </w:tblCellMar>
      </w:tblPr>
      <w:tblGrid>
        <w:gridCol w:w="23"/>
        <w:gridCol w:w="170"/>
        <w:gridCol w:w="453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53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prevalence and severity of any side effects; and</w:t>
            </w:r>
          </w:p>
        </w:tc>
      </w:tr>
    </w:tbl>
    <w:tbl>
      <w:tblPr>
        <w:tblW w:w="6618" w:type="dxa"/>
        <w:jc w:val="left"/>
        <w:tblInd w:w="0" w:type="dxa"/>
        <w:tblCellMar>
          <w:top w:w="0" w:type="dxa"/>
          <w:left w:w="0" w:type="dxa"/>
          <w:bottom w:w="0" w:type="dxa"/>
          <w:right w:w="0" w:type="dxa"/>
        </w:tblCellMar>
      </w:tblPr>
      <w:tblGrid>
        <w:gridCol w:w="23"/>
        <w:gridCol w:w="170"/>
        <w:gridCol w:w="642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42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restrictions on the use of the product together with other medications.</w:t>
            </w:r>
          </w:p>
        </w:tc>
      </w:tr>
    </w:tbl>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Our efforts to educate physicians, patients, third-party payors and others in the medical community on the benefits of our product candidates may require significant resources and may never be successful. Such efforts may require more resources than are typically required due to the complexity and uniqueness of our product candidates. Because we expect sales of our product candidates, if approved, to generate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91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substantially all of our revenues for the foreseeable future, the failure of our product candidates, if approved, to find market acceptance would harm our business and could require us to seek additional financing.</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Coverage and adequate reimbursement may not be available for our current or any future product candidates, which could make it difficult for us to sell profitably, if approved.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Market acceptance and sales of any product candidates that we commercialize, if approved, will depend in part on the extent to which coverage and adequate reimbursement for these drugs and related treatments will be available from third-party payors, including government health administration authorities, managed care organizations and other private health insurers. Third-party payors decide which therapies they will pay for and establish reimbursement levels. Commercial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One third-party payor’s determination to provide coverage for a drug does not assure that other payors will also provide coverage, and adequate reimbursement, for the drug. Additionally, a third-party payor’s decision to provide coverage for a therapy does not imply that an adequate reimbursement rate will be approved. Each third-party payor determines whether or not it will provide coverage for a therapy, what amount it will pay the manufacturer for the therapy, and on what tier of its formulary it will be placed. The position on a third-party payor’s list of covered drugs, or formulary, generally determines the co-payment that a patient will need to make to obtain 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drugs unless coverage is provided and reimbursement is adequate to cover a significant portion of the cost of our drugs.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 primary trend in the U.S. healthcare industry and elsewhere is cost containment. Third-party payors have attempted to control costs by limiting coverage and the amount of reimbursement for particular medications. We cannot be sure that coverage and reimbursement will be available for any drug that we commercialize and, if reimbursement is available, what the level of reimbursement will be. Inadequate coverage and reimbursement may impact the demand for, or the price of, any drug for which we obtain marketing approval.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 Further, coverage policies and third-party payor reimbursement rates may change at any time. Therefore, even if favorable coverage and reimbursement status is attained for one or more products for which we receive marketing approval, less favorable coverage policies and reimbursement rates may be implemented in the future.</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face substantial competition, which may result in others discovering, developing or commercializing products before or more successfully than us.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biotechnology and biopharmaceutical industries are characterized by rapidly advancing technologies. Our future success will depend in part on our ability to maintain a competitive position with our structure-based drug discovery platform. If we fail to stay at the forefront of technological change in utilizing our platform to create and develop product candidates, we may be unable to compete effectively. Our competitors may render our approach obsolete by advances in existing technological approaches or the development of new or different approaches, potentially eliminating the advantages in our drug discovery process that we believe we derive from our research approach and platform.</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In addition, we face competition with respect to our current product candidates and will face competition with respect to any other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 candidates for the treatment of the indications that we are pursuing. Potential competitors also include academic institutions, government agencies and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92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other public and private research organizations that conduct research, seek patent protection and establish collaborative arrangements for research, development, manufacturing and commercialization.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aware of GLP-1R small molecules in development by Pfizer, Eli Lilly, and Qilu Regor Therapeutics Inc. There are currently approved GLP-1R peptides for the treatment of diabetes and obesity marketed by Novo Nordisk, Eli Lilly, AstraZeneca, and Sanofi. We are also aware of other GLP-1R plus dual/tri incretin targeting peptides in development by Eli Lilly, Jiangsu Hansoh Pharmaceutical Group Co., Ltd., Boehringer Ingelheim, Altimmune, Inc., Carmot Therapeutics, Inc., and Sciwind Biosciences Co., Ltd. Additionally, we are aware of APJR targeted product candidates in development for COVID-19 acute respiratory distress syndrome by CohBar, Inc.; IPF, systemic sclerosis interstitial lung disease, and kidney nephrotic syndrome by Apie Therapeutics; and muscle atrophy by BioAge Labs, Inc. Both Amgen and BMS have APJR targeted product candidates for heart failure. Furthermore, we are aware of LPA1R targeted product candidates in development for IPF by BMS, Horizon Therapeutics plc, and DJS Antibodies Ltd; myelin restoration and neuroinflammation by Pipeline Therapeutics.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Many of our competitors, either alone or with their collaborators,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timing and scope of marketing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any products we develop obsolete or noncompetitive before we recover the expense of developing and commercializing our product candidates. If we are unable to compete effectively, our opportunity to generate revenue from the sale of our products we may develop, if approved, could be adversely affected.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commercial personnel, establishing clinical trial sites and subject registration for clinical trials, as well as in acquiring technologies complementary to, or necessary for, our programs. Any failure to compete effectively could harm our business, financial condition and operating results.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If the market opportunities for any of our product candidates are smaller than we estimate, even assuming approval of a product candidate, our revenue may be adversely affected, and our business may suffer.</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93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currently have no marketing and sales organization and have no experience as a company in commercializing products, and we may invest significant resources to develop these capabilities. If we are unable to establish marketing and sales capabilities or enter into agreements with third parties to market and sell our products, we may not be able to generate product revenue.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have no internal sales, marketing or distribution capabilities, nor have we as a company commercialized a product. If any of our product candidates ultimately receives marketing approval, we will be required to build a marketing and sales organization with technical expertise and supporting distribution capabilities to commercialize each such product in the markets that we target,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Our future growth may depend, in part, on our ability to commercialize products in foreign markets, where we would be subject to additional regulatory burdens and other risks and uncertainties.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future growth may depend, in part, on our ability to develop and commercialize our product candidates in foreign markets. We are not permitted to market or promote any of our product candidates before we receive regulatory approval from applicable regulatory authorities in foreign markets, and we may never receive such regulatory approvals for any of our product candidates. To obtain separate regulatory approval in many other countries we must comply with numerous and varying regulatory requirements regarding safety and efficacy and governing, among other things, clinical trials, commercial sales, pricing and distribution of our product candidates. If we obtain regulatory approval of our product candidates and ultimately commercialize our products in foreign markets, we would be subject to additional risks and uncertainties, including:</w:t>
      </w:r>
    </w:p>
    <w:tbl>
      <w:tblPr>
        <w:tblW w:w="6633" w:type="dxa"/>
        <w:jc w:val="left"/>
        <w:tblInd w:w="0" w:type="dxa"/>
        <w:tblCellMar>
          <w:top w:w="0" w:type="dxa"/>
          <w:left w:w="0" w:type="dxa"/>
          <w:bottom w:w="0" w:type="dxa"/>
          <w:right w:w="0" w:type="dxa"/>
        </w:tblCellMar>
      </w:tblPr>
      <w:tblGrid>
        <w:gridCol w:w="23"/>
        <w:gridCol w:w="170"/>
        <w:gridCol w:w="64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44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different regulatory requirements for approval of drugs in foreign countries;</w:t>
            </w:r>
          </w:p>
        </w:tc>
      </w:tr>
    </w:tbl>
    <w:tbl>
      <w:tblPr>
        <w:tblW w:w="4458" w:type="dxa"/>
        <w:jc w:val="left"/>
        <w:tblInd w:w="0" w:type="dxa"/>
        <w:tblCellMar>
          <w:top w:w="0" w:type="dxa"/>
          <w:left w:w="0" w:type="dxa"/>
          <w:bottom w:w="0" w:type="dxa"/>
          <w:right w:w="0" w:type="dxa"/>
        </w:tblCellMar>
      </w:tblPr>
      <w:tblGrid>
        <w:gridCol w:w="23"/>
        <w:gridCol w:w="170"/>
        <w:gridCol w:w="42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26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reduced protection for intellectual property rights;</w:t>
            </w:r>
          </w:p>
        </w:tc>
      </w:tr>
    </w:tbl>
    <w:tbl>
      <w:tblPr>
        <w:tblW w:w="7938" w:type="dxa"/>
        <w:jc w:val="left"/>
        <w:tblInd w:w="0" w:type="dxa"/>
        <w:tblCellMar>
          <w:top w:w="0" w:type="dxa"/>
          <w:left w:w="0" w:type="dxa"/>
          <w:bottom w:w="0" w:type="dxa"/>
          <w:right w:w="0" w:type="dxa"/>
        </w:tblCellMar>
      </w:tblPr>
      <w:tblGrid>
        <w:gridCol w:w="23"/>
        <w:gridCol w:w="170"/>
        <w:gridCol w:w="774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74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existence of additional third-party patent rights of potential relevance to our business;</w:t>
            </w:r>
          </w:p>
        </w:tc>
      </w:tr>
    </w:tbl>
    <w:tbl>
      <w:tblPr>
        <w:tblW w:w="6573" w:type="dxa"/>
        <w:jc w:val="left"/>
        <w:tblInd w:w="0" w:type="dxa"/>
        <w:tblCellMar>
          <w:top w:w="0" w:type="dxa"/>
          <w:left w:w="0" w:type="dxa"/>
          <w:bottom w:w="0" w:type="dxa"/>
          <w:right w:w="0" w:type="dxa"/>
        </w:tblCellMar>
      </w:tblPr>
      <w:tblGrid>
        <w:gridCol w:w="23"/>
        <w:gridCol w:w="170"/>
        <w:gridCol w:w="63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38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unexpected changes in tariffs, trade barriers and regulatory requirements;</w:t>
            </w:r>
          </w:p>
        </w:tc>
      </w:tr>
    </w:tbl>
    <w:tbl>
      <w:tblPr>
        <w:tblW w:w="9408" w:type="dxa"/>
        <w:jc w:val="left"/>
        <w:tblInd w:w="0" w:type="dxa"/>
        <w:tblCellMar>
          <w:top w:w="0" w:type="dxa"/>
          <w:left w:w="0" w:type="dxa"/>
          <w:bottom w:w="0" w:type="dxa"/>
          <w:right w:w="0" w:type="dxa"/>
        </w:tblCellMar>
      </w:tblPr>
      <w:tblGrid>
        <w:gridCol w:w="23"/>
        <w:gridCol w:w="170"/>
        <w:gridCol w:w="92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21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economic weakness, including inflation, or political instability in particular foreign economies and markets;</w:t>
            </w:r>
          </w:p>
        </w:tc>
      </w:tr>
    </w:tbl>
    <w:tbl>
      <w:tblPr>
        <w:tblW w:w="9078" w:type="dxa"/>
        <w:jc w:val="left"/>
        <w:tblInd w:w="0" w:type="dxa"/>
        <w:tblCellMar>
          <w:top w:w="0" w:type="dxa"/>
          <w:left w:w="0" w:type="dxa"/>
          <w:bottom w:w="0" w:type="dxa"/>
          <w:right w:w="0" w:type="dxa"/>
        </w:tblCellMar>
      </w:tblPr>
      <w:tblGrid>
        <w:gridCol w:w="23"/>
        <w:gridCol w:w="170"/>
        <w:gridCol w:w="88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88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compliance with tax, employment, immigration and labor laws for employees living or traveling abroad;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foreign currency fluctuations, which could result in increased operating expenses and reduced revenues, and other obligations incident to doing business in another country;</w:t>
            </w:r>
          </w:p>
        </w:tc>
      </w:tr>
    </w:tbl>
    <w:tbl>
      <w:tblPr>
        <w:tblW w:w="4923" w:type="dxa"/>
        <w:jc w:val="left"/>
        <w:tblInd w:w="0" w:type="dxa"/>
        <w:tblCellMar>
          <w:top w:w="0" w:type="dxa"/>
          <w:left w:w="0" w:type="dxa"/>
          <w:bottom w:w="0" w:type="dxa"/>
          <w:right w:w="0" w:type="dxa"/>
        </w:tblCellMar>
      </w:tblPr>
      <w:tblGrid>
        <w:gridCol w:w="23"/>
        <w:gridCol w:w="170"/>
        <w:gridCol w:w="47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73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foreign reimbursement, pricing and insurance regimes;</w:t>
            </w:r>
          </w:p>
        </w:tc>
      </w:tr>
    </w:tbl>
    <w:tbl>
      <w:tblPr>
        <w:tblW w:w="5868" w:type="dxa"/>
        <w:jc w:val="left"/>
        <w:tblInd w:w="0" w:type="dxa"/>
        <w:tblCellMar>
          <w:top w:w="0" w:type="dxa"/>
          <w:left w:w="0" w:type="dxa"/>
          <w:bottom w:w="0" w:type="dxa"/>
          <w:right w:w="0" w:type="dxa"/>
        </w:tblCellMar>
      </w:tblPr>
      <w:tblGrid>
        <w:gridCol w:w="23"/>
        <w:gridCol w:w="170"/>
        <w:gridCol w:w="56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67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workforce uncertainty in countries where labor unrest is common;</w:t>
            </w:r>
          </w:p>
        </w:tc>
      </w:tr>
    </w:tbl>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94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production shortages resulting from any events affecting raw material supply or manufacturing capabilities abroad;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business interruptions resulting from geopolitical actions, including war and terrorism, or natural disasters including earthquakes, typhoons, floods and fires.</w:t>
            </w:r>
          </w:p>
        </w:tc>
      </w:tr>
    </w:tbl>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Risks Related to Our Business Operations and Industry</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Our operating results may fluctuate significantly, which makes our future operating results difficult to predict and could cause our operating results to fall below expectations or any guidance we may provide.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degree of success and cost of, and level of investment in, research, development, regulatory approval and commercialization activities relating to our product candidates, which may change from time to time;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coverage and reimbursement policies with respect to our product candidates, if approved, and potential future drugs that compete with our products;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of manufacturing our product candidates, which may vary depending on the quantity of production and the terms of our agreements with third-party manufacturers;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expenditures that we may incur to acquire, develop or commercialize additional product candidates and technologies;</w:t>
            </w:r>
          </w:p>
        </w:tc>
      </w:tr>
    </w:tbl>
    <w:tbl>
      <w:tblPr>
        <w:tblW w:w="6888" w:type="dxa"/>
        <w:jc w:val="left"/>
        <w:tblInd w:w="0" w:type="dxa"/>
        <w:tblCellMar>
          <w:top w:w="0" w:type="dxa"/>
          <w:left w:w="0" w:type="dxa"/>
          <w:bottom w:w="0" w:type="dxa"/>
          <w:right w:w="0" w:type="dxa"/>
        </w:tblCellMar>
      </w:tblPr>
      <w:tblGrid>
        <w:gridCol w:w="23"/>
        <w:gridCol w:w="170"/>
        <w:gridCol w:w="66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69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level of demand for any approved products, which may vary significantly;</w:t>
            </w:r>
          </w:p>
        </w:tc>
      </w:tr>
    </w:tbl>
    <w:tbl>
      <w:tblPr>
        <w:tblW w:w="6933" w:type="dxa"/>
        <w:jc w:val="left"/>
        <w:tblInd w:w="0" w:type="dxa"/>
        <w:tblCellMar>
          <w:top w:w="0" w:type="dxa"/>
          <w:left w:w="0" w:type="dxa"/>
          <w:bottom w:w="0" w:type="dxa"/>
          <w:right w:w="0" w:type="dxa"/>
        </w:tblCellMar>
      </w:tblPr>
      <w:tblGrid>
        <w:gridCol w:w="23"/>
        <w:gridCol w:w="170"/>
        <w:gridCol w:w="67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74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future accounting pronouncements or changes in our accounting policies;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and success or failure of preclinical studies or clinical trials for our product candidates or any competing product candidates, or any other change in the competitive landscape of our industry, including consolidation among our competitors or partners.</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ADSs could decline substantially. Such a price decline could occur even when we have met any previously publicly stated revenue or earnings guidance we may provide.</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are highly dependent on the services of our senior management team and if we are not able to retain these members of our management team and recruit and retain additional management, clinical and scientific personnel, our business will be harmed.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highly dependent on our senior management team. The employment agreements we have with these officers do not prevent such persons from terminating their employment with us at any time. The loss of the services of any of these persons could impede the achievement of our research, development and commercialization objectives. In addition, we will need to attract, retain and motivate highly qualified additional management, clinical and scientific personnel. If we are not able to retain our management and to attract, on terms acceptable to us, additional qualified personnel necessary for the continued development of our business, we may not be able to sustain our operations or grow.</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95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may not be able to attract or retain qualified personnel in the future due to the intense competition for qualified personnel among biotechnology, pharmaceutical and other businesses. Many of the other pharmaceutical companies that we compete against for qualified personnel and consultants have greater financial and other resources, different risk profiles and a longer operating history in the industry than we do. They also may provide more diverse opportunities and better chances for career advancement. Some of these characteristics may be more appealing to high-quality candidates and consultants than what we have to offer. If we are unable to attract, retain and motivate high-quality personnel and consultants to accomplish our business objectives, the rate and success at which we can discover and develop product candidates and our business will be limited and we may experience constraints on our development objectives.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marketing approvals, sales of our product candidates and our results of operations. Additionally, we do not currently maintain “key person” life insurance on the lives of our executives or any of our employees.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will need to expand our organization, and we may experience difficulties in managing this growth, which could disrupt our operations.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of December 31, 2022, we had 68 full-time employees. As we advance our research and development programs, we may need to further increase the number of our employees and the scope of our operations, particularly in the areas of clinical development, discovery biology, chemistry, manufacturing, general and administrative matters related to being a public company, regulatory affairs and, if any of our product candidates receives marketing approval, sales, marketing and distribution. To manage any future growth, we must:</w:t>
      </w:r>
    </w:p>
    <w:tbl>
      <w:tblPr>
        <w:tblW w:w="7038" w:type="dxa"/>
        <w:jc w:val="left"/>
        <w:tblInd w:w="0" w:type="dxa"/>
        <w:tblCellMar>
          <w:top w:w="0" w:type="dxa"/>
          <w:left w:w="0" w:type="dxa"/>
          <w:bottom w:w="0" w:type="dxa"/>
          <w:right w:w="0" w:type="dxa"/>
        </w:tblCellMar>
      </w:tblPr>
      <w:tblGrid>
        <w:gridCol w:w="23"/>
        <w:gridCol w:w="170"/>
        <w:gridCol w:w="684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84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identify, recruit, integrate, maintain and motivate additional qualified personnel;</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manage our development efforts effectively, including the initiation and conduct of clinical trials for our product candidates; and</w:t>
            </w:r>
          </w:p>
        </w:tc>
      </w:tr>
    </w:tbl>
    <w:tbl>
      <w:tblPr>
        <w:tblW w:w="8523" w:type="dxa"/>
        <w:jc w:val="left"/>
        <w:tblInd w:w="0" w:type="dxa"/>
        <w:tblCellMar>
          <w:top w:w="0" w:type="dxa"/>
          <w:left w:w="0" w:type="dxa"/>
          <w:bottom w:w="0" w:type="dxa"/>
          <w:right w:w="0" w:type="dxa"/>
        </w:tblCellMar>
      </w:tblPr>
      <w:tblGrid>
        <w:gridCol w:w="23"/>
        <w:gridCol w:w="170"/>
        <w:gridCol w:w="83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33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improve our operational, financial and management controls, reporting systems and procedures.</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future financial performance and our ability to develop, manufacture and commercialize our product candidates, if approved, will depend, in part, on our ability to effectively manage any future growth, and our management may also have to divert financial and other resources, and a disproportionate amount of its attention away from day-to-day activities, to managing these growth activities.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Our business and the business or operations of third parties with whom we conduct business has been and could continue to be adversely affected by the effects of health epidemics, including the COVID-19 pandemic, in regions where we or third parties on which we rely have business operations.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Our business has been and could continue to be adversely affected by the global COVID-19 pandemic. In response to the COVID-19 pandemic, we implemented and continue to enhance safety measures in all our facilities, which may negatively impact our business and our preclinical and clinical programs. As public health directives surrounding the pandemic have relaxed, we have modified our safety measures, taking into consideration government restrictions, employee safety, and health risks. Our approach may vary among geographies depending on appropriate health protocols, and may change at any time in response to changes in the COVID-19 pandemic. The status of global economic recovery remains uncertain and unpredictable,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96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and we will continue to be impacted by developments in the pandemic including any subsequent waves of outbreak or new variant strains of COVID-19 which may require re-closures or other preventative measures. The COVID-19 pandemic may also have long-term effects on the nature of the office environment and remote working, which may present risks for our strategy, operational, talent recruiting and retention, and workplace culture. These and similar, and perhaps more severe, disruptions in our operations could negatively impact our business, operating results and financial condition.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As a result of the COVID-19 pandemic, we may experience, or continue to experience, ongoing disruptions that could severely impact our business, preclinical studies and clinical trials, including: </w:t>
      </w:r>
    </w:p>
    <w:tbl>
      <w:tblPr>
        <w:tblW w:w="5523" w:type="dxa"/>
        <w:jc w:val="left"/>
        <w:tblInd w:w="0" w:type="dxa"/>
        <w:tblCellMar>
          <w:top w:w="0" w:type="dxa"/>
          <w:left w:w="0" w:type="dxa"/>
          <w:bottom w:w="0" w:type="dxa"/>
          <w:right w:w="0" w:type="dxa"/>
        </w:tblCellMar>
      </w:tblPr>
      <w:tblGrid>
        <w:gridCol w:w="23"/>
        <w:gridCol w:w="200"/>
        <w:gridCol w:w="5300"/>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530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delays or difficulties in enrolling patients in our clinical trials;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delays or difficulties in clinical site initiation, including difficulties in recruiting clinical site investigators and clinical site staff;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diversion of healthcare resources away from the conduct of clinical trials, including the diversion of hospitals serving as our clinical trial sites and hospital staff supporting the conduct of our clinical trials;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trial endpoints;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interruption or delays in the operations of the FDA or applicable foreign authorities, which may impact review and approval timelines;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interruption or delays in our operations due to staffing shortages, travel restrictions, quarantines, production slowdowns or stoppages and disruptions in delivery systems; </w:t>
            </w:r>
          </w:p>
        </w:tc>
      </w:tr>
    </w:tbl>
    <w:tbl>
      <w:tblPr>
        <w:tblW w:w="7128" w:type="dxa"/>
        <w:jc w:val="left"/>
        <w:tblInd w:w="0" w:type="dxa"/>
        <w:tblCellMar>
          <w:top w:w="0" w:type="dxa"/>
          <w:left w:w="0" w:type="dxa"/>
          <w:bottom w:w="0" w:type="dxa"/>
          <w:right w:w="0" w:type="dxa"/>
        </w:tblCellMar>
      </w:tblPr>
      <w:tblGrid>
        <w:gridCol w:w="23"/>
        <w:gridCol w:w="200"/>
        <w:gridCol w:w="6905"/>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690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need for additional manufacturing space, facilities upgrades and personnel;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delays in clinical sites receiving the supplies and materials needed to conduct our clinical trials, including interruption in global shipping that may affect the transport of clinical trial materials;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inability or unwillingness of some patients to comply with clinical trial protocols if quarantines impede patient movement or interrupt healthcare services;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interruptions in our preclinical studies and clinical trials due to restricted or limited operations at our laboratory facilities;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limitations on employee resources that would otherwise be focused on the conduct of our preclinical studies and clinical trials, including because of sickness of employees or their families or the desire of employees to avoid contact with large groups of people; and </w:t>
            </w:r>
          </w:p>
        </w:tc>
      </w:tr>
    </w:tbl>
    <w:tbl>
      <w:tblPr>
        <w:tblW w:w="5613" w:type="dxa"/>
        <w:jc w:val="left"/>
        <w:tblInd w:w="0" w:type="dxa"/>
        <w:tblCellMar>
          <w:top w:w="0" w:type="dxa"/>
          <w:left w:w="0" w:type="dxa"/>
          <w:bottom w:w="0" w:type="dxa"/>
          <w:right w:w="0" w:type="dxa"/>
        </w:tblCellMar>
      </w:tblPr>
      <w:tblGrid>
        <w:gridCol w:w="23"/>
        <w:gridCol w:w="200"/>
        <w:gridCol w:w="5390"/>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539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interruptions or delays to our discovery and clinical activities. </w:t>
            </w:r>
          </w:p>
        </w:tc>
      </w:tr>
    </w:tbl>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COVID-19 and actions taken to reduce its spread continue to evolve. The extent to which the COVID-19 pandemic impacts our business, our clinical development and regulatory efforts will depend on future developments that are highly uncertain and cannot be predicted with confidence, such as the duration of the pandemic, emergence and spread of variants, travel restrictions, quarantines, social distancing requirements and business closures in the United States and internationally, and business disruptions, and the effectiveness of actions taken in the United States and internationally to contain and treat the disease. Accordingly, we do not yet know the full extent of potential delays or impacts on our business, our clinical and regulatory activities, healthcare systems or the global economy as a whole. To date, we have experienced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97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delays in our patient enrollment and our supply chain as a direct result of COVID-19 on our suppliers’ ability to timely manufacture and ship certain supplies such as reagents and other lab consumables. Such delays have previously impacted and could in the future adversely affect our business, financial condition, results of operations and growth prospects.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to the extent the ongoing COVID-19 pandemic or any future epidemic disease adversely affects our business and results of operations, it may also have the effect of heightening many of the other risks and uncertainties described in this “Risk Factors” section.</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conduct certain research and development operations through our Australian wholly-owned subsidiaries. If we lose our ability to operate in Australia, or if any of our subsidiaries are unable to receive the research and development tax credit allowed by Australian regulations, our business and results of operations could suffer.</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2021, we formed two wholly-owned Australian subsidiaries, Annapurna Bio Pty Limited (“Annapurna AU”) and Gasherbrum Bio Pty Limited (“Gasherbrum AU”),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applicable foreign authorities.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current Australian tax regulations provide for a refundable research and development tax credit equal to 43.5% of qualified expenditures. If we lose our ability to operate Annapurna AU or Gasherbrum AU in Australia, or if we are ineligible or unable to receive the research and development tax credit, or the Australian government significantly reduces or eliminates the tax credit, our business and results of operation may be adversely affected.</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Our relationships with customers, physicians, and third-party payors may be subject, directly or indirectly, to federal and state healthcare fraud and abuse laws, false claims laws, other healthcare laws and regulations and health data privacy and security laws and regulations, contractual obligations and self-regulatory schemes. If we are unable to comply, or have not fully complied, with such laws, we could face substantial penalties.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Healthcare providers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These laws will impact, among other things, our clinical research, as well as our proposed sales and marketing programs. In addition, we may be subject to health information privacy and security laws by the federal government, the states and other jurisdictions in which we may conduct our business. The laws that will affect our operations include, but are not limited to:</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among other things, arrangements between pharmaceutical manufacturers on the one hand, and prescribers, purchasers and formulary managers on the other. A person or entity does not need to have actual knowledge of this statute or specific intent to violate it in order to have committed a violation;</w:t>
            </w:r>
          </w:p>
        </w:tc>
      </w:tr>
    </w:tbl>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98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federal civil and criminal false claims laws, including, without limitation, the False Claims Act, and civil monetary penalty laws, such as the Civil Monetary Penalties Law,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val="false"/>
                <w:i w:val="false"/>
                <w:caps w:val="false"/>
                <w:smallCaps w:val="false"/>
                <w:sz w:val="20"/>
              </w:rPr>
              <w:t>the HIPAA, which created additional federal criminal statutes that prohibit, among other things, a person from knowingly and willfully executing a scheme or making false or fraudulent statements to defraud any healthcare benefit program, regardless of the payor (</w:t>
            </w:r>
            <w:r>
              <w:rPr>
                <w:rFonts w:ascii="Arial;Helvetica;sans-serif" w:hAnsi="Arial;Helvetica;sans-serif"/>
                <w:b w:val="false"/>
                <w:i/>
                <w:sz w:val="20"/>
              </w:rPr>
              <w:t>e.g.</w:t>
            </w:r>
            <w:r>
              <w:rPr>
                <w:rFonts w:ascii="Arial;Helvetica;sans-serif" w:hAnsi="Arial;Helvetica;sans-serif"/>
                <w:b w:val="false"/>
                <w:i w:val="false"/>
                <w:caps w:val="false"/>
                <w:smallCaps w:val="false"/>
                <w:sz w:val="20"/>
              </w:rPr>
              <w:t>, public or private). Similar to the federal Anti-Kickback Statute, a person or entity does not need to have actual knowledge of this statute or specific intent to violate it in order to have committed a violation;</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HIPAA, as amended by HITECH, and their implementing regulations, which imposes certain requirements relating to the privacy, security and transmission of individually identifiable health information without appropriate authorization by entities subject to the rule, such as health plans, healthcare clearinghouses and certain healthcare providers, known as covered entities, and their respective business associates and covered contractors, individuals or entities that perform certain services on behalf of a covered entity that involves the use or disclosure of individually identifiable health information and their subcontractors that use, disclose or otherwise process individually identifiable health information;</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Physician Payments Sunshine Act, which requires certain manufacturers of drugs, devices, biologics and medical supplies for which payment is available under Medicare, Medicaid or the Children’s Health Insurance Program, with specific exceptions, to report annually to the CMS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 and foreign law equivalents of each of the above federal laws, state laws that require manufacturers to report information related to payments and other transfers of value to physicians and other healthcare providers or marketing expenditures and/or information regarding drug pricing, state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laws and regulations that require drug manufacturers to file reports relating to drug pricing and marketing information, and state and local laws that require the registration of pharmaceutical sales representatives;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 and foreign laws that govern the privacy and security of personal information, including health-related information in some circumstances, many of which differ from each other in significant ways and often are not preempted by HIPAA, thus complicating compliance efforts.</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Because of the breadth of these laws and the limited statutory exceptions and regulatory safe harbors available, it is possible that some of our business activities, including certain scientific advisory board agreements with physicians who are compensated in the form of ordinary shares or share options in addition to cash consideration, could be subject to challenge under one or more of such laws.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99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compliance and/or reporting requirements increases the possibility that a healthcare company may run afoul of one or more of the requirements.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If our operations are found to be in violation of any of these laws or any other governmental regulations that may apply to us, we may be subject to significant civil, criminal and administrative penalties, damages, fines, disgorgement,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Healthcare legislative reform measures may have a negative impact on our business and results of operations.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Patient Protection and Affordable Care Act, as amended by the Health Care and Education Reconciliation Act (collectively, the “ACA,”) was passed, which substantially changed the way healthcare is financed by both the government and private insurers, and significantly impacts the U.S. pharmaceutical industry.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Since its enactment, there have been judicial, Congressional and executive branch challenges to certain aspects of the ACA. On June 17, 2021, the U.S. Supreme Court dismissed the most recent judicial challenge to the ACA brought by several states on procedural grounds without specifically ruling on the constitutionality of the ACA. In addition,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through a newly established manufacturer discount program. It is possible the ACA will be subject to judicial or Congressional challenges in the future. It is unclear how other health reform measures of the Biden administration will impact our business.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Also, there has been heightened governmental scrutiny recently over the manner in which drug manufacturers set prices for their marketed products, which have resulted in several Congressional inquiries, presidential executive orders,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in July 2021, the Biden administration released an executive order with multiple provisions aimed at prescription drugs. In response to Biden’s executive order, on September 9, 2021, the HHS released a Comprehensive Plan for Addressing High Drug Prices that outlines principles for drug pricing reform and sets out a variety of potential legislative policies that Congress could pursue to advance these principles. In addition, the IRA, among other things, (1) directs the HHS to negotiate the price of certain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It is currently unclear how the IRA will be implemented but it is likely to have a significant impact on the pharmaceutical industry. Further, the Biden administration released an additional executive order on October 14, 2022, directing HHS to report on how the Center for Medicare and Medicaid Innovation can be further leveraged to test new models for lowering drug costs for Medicare and Medicaid beneficiaries. Individual states in the United States have also become increasingly active in passing legislation and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100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cannot predict what healthcare reform initiatives may be adopted in the future. We expect that these and other healthcare reform measures that may be adopted in the future, may result in more rigorous coverage criteria and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If we or our third-party manufacturers use hazardous and biological materials in a manner that causes injury or violates applicable law, we may be liable for damages.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and foreign jurisdictions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and regulations is expensive, and current or future environmental regulations may impair our research, development, and production efforts, which could harm our business, prospects, financial condition, and results of operations.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Product liability lawsuits against us could cause us to incur substantial liabilities and could limit commercialization of any product candidate that we may develop.</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face an inherent risk of product liability exposure related to the testing of our current and any future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w:t>
      </w:r>
    </w:p>
    <w:tbl>
      <w:tblPr>
        <w:tblW w:w="6048" w:type="dxa"/>
        <w:jc w:val="left"/>
        <w:tblInd w:w="0" w:type="dxa"/>
        <w:tblCellMar>
          <w:top w:w="0" w:type="dxa"/>
          <w:left w:w="0" w:type="dxa"/>
          <w:bottom w:w="0" w:type="dxa"/>
          <w:right w:w="0" w:type="dxa"/>
        </w:tblCellMar>
      </w:tblPr>
      <w:tblGrid>
        <w:gridCol w:w="23"/>
        <w:gridCol w:w="170"/>
        <w:gridCol w:w="58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85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decreased demand for any product candidate that we may develop;</w:t>
            </w:r>
          </w:p>
        </w:tc>
      </w:tr>
    </w:tbl>
    <w:tbl>
      <w:tblPr>
        <w:tblW w:w="6903" w:type="dxa"/>
        <w:jc w:val="left"/>
        <w:tblInd w:w="0" w:type="dxa"/>
        <w:tblCellMar>
          <w:top w:w="0" w:type="dxa"/>
          <w:left w:w="0" w:type="dxa"/>
          <w:bottom w:w="0" w:type="dxa"/>
          <w:right w:w="0" w:type="dxa"/>
        </w:tblCellMar>
      </w:tblPr>
      <w:tblGrid>
        <w:gridCol w:w="23"/>
        <w:gridCol w:w="170"/>
        <w:gridCol w:w="67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71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product recalls, withdrawals or labeling, marketing or promotional restrictions;</w:t>
            </w:r>
          </w:p>
        </w:tc>
      </w:tr>
    </w:tbl>
    <w:tbl>
      <w:tblPr>
        <w:tblW w:w="1608" w:type="dxa"/>
        <w:jc w:val="left"/>
        <w:tblInd w:w="0" w:type="dxa"/>
        <w:tblCellMar>
          <w:top w:w="0" w:type="dxa"/>
          <w:left w:w="0" w:type="dxa"/>
          <w:bottom w:w="0" w:type="dxa"/>
          <w:right w:w="0" w:type="dxa"/>
        </w:tblCellMar>
      </w:tblPr>
      <w:tblGrid>
        <w:gridCol w:w="23"/>
        <w:gridCol w:w="170"/>
        <w:gridCol w:w="14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41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loss of revenue;</w:t>
            </w:r>
          </w:p>
        </w:tc>
      </w:tr>
    </w:tbl>
    <w:tbl>
      <w:tblPr>
        <w:tblW w:w="5403" w:type="dxa"/>
        <w:jc w:val="left"/>
        <w:tblInd w:w="0" w:type="dxa"/>
        <w:tblCellMar>
          <w:top w:w="0" w:type="dxa"/>
          <w:left w:w="0" w:type="dxa"/>
          <w:bottom w:w="0" w:type="dxa"/>
          <w:right w:w="0" w:type="dxa"/>
        </w:tblCellMar>
      </w:tblPr>
      <w:tblGrid>
        <w:gridCol w:w="23"/>
        <w:gridCol w:w="170"/>
        <w:gridCol w:w="52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21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substantial monetary awards to trial participants or patients;</w:t>
            </w:r>
          </w:p>
        </w:tc>
      </w:tr>
    </w:tbl>
    <w:tbl>
      <w:tblPr>
        <w:tblW w:w="5133" w:type="dxa"/>
        <w:jc w:val="left"/>
        <w:tblInd w:w="0" w:type="dxa"/>
        <w:tblCellMar>
          <w:top w:w="0" w:type="dxa"/>
          <w:left w:w="0" w:type="dxa"/>
          <w:bottom w:w="0" w:type="dxa"/>
          <w:right w:w="0" w:type="dxa"/>
        </w:tblCellMar>
      </w:tblPr>
      <w:tblGrid>
        <w:gridCol w:w="23"/>
        <w:gridCol w:w="170"/>
        <w:gridCol w:w="49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94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significant time and costs to defend the related litigation;</w:t>
            </w:r>
          </w:p>
        </w:tc>
      </w:tr>
    </w:tbl>
    <w:tbl>
      <w:tblPr>
        <w:tblW w:w="4833" w:type="dxa"/>
        <w:jc w:val="left"/>
        <w:tblInd w:w="0" w:type="dxa"/>
        <w:tblCellMar>
          <w:top w:w="0" w:type="dxa"/>
          <w:left w:w="0" w:type="dxa"/>
          <w:bottom w:w="0" w:type="dxa"/>
          <w:right w:w="0" w:type="dxa"/>
        </w:tblCellMar>
      </w:tblPr>
      <w:tblGrid>
        <w:gridCol w:w="23"/>
        <w:gridCol w:w="170"/>
        <w:gridCol w:w="46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64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diversion of management’s time and our resources;</w:t>
            </w:r>
          </w:p>
        </w:tc>
      </w:tr>
    </w:tbl>
    <w:tbl>
      <w:tblPr>
        <w:tblW w:w="3498" w:type="dxa"/>
        <w:jc w:val="left"/>
        <w:tblInd w:w="0" w:type="dxa"/>
        <w:tblCellMar>
          <w:top w:w="0" w:type="dxa"/>
          <w:left w:w="0" w:type="dxa"/>
          <w:bottom w:w="0" w:type="dxa"/>
          <w:right w:w="0" w:type="dxa"/>
        </w:tblCellMar>
      </w:tblPr>
      <w:tblGrid>
        <w:gridCol w:w="23"/>
        <w:gridCol w:w="170"/>
        <w:gridCol w:w="33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30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withdrawal of clinical trial participants;</w:t>
            </w:r>
          </w:p>
        </w:tc>
      </w:tr>
    </w:tbl>
    <w:tbl>
      <w:tblPr>
        <w:tblW w:w="3663" w:type="dxa"/>
        <w:jc w:val="left"/>
        <w:tblInd w:w="0" w:type="dxa"/>
        <w:tblCellMar>
          <w:top w:w="0" w:type="dxa"/>
          <w:left w:w="0" w:type="dxa"/>
          <w:bottom w:w="0" w:type="dxa"/>
          <w:right w:w="0" w:type="dxa"/>
        </w:tblCellMar>
      </w:tblPr>
      <w:tblGrid>
        <w:gridCol w:w="23"/>
        <w:gridCol w:w="170"/>
        <w:gridCol w:w="34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47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initiation of investigations by regulators;</w:t>
            </w:r>
          </w:p>
        </w:tc>
      </w:tr>
    </w:tbl>
    <w:tbl>
      <w:tblPr>
        <w:tblW w:w="6648" w:type="dxa"/>
        <w:jc w:val="left"/>
        <w:tblInd w:w="0" w:type="dxa"/>
        <w:tblCellMar>
          <w:top w:w="0" w:type="dxa"/>
          <w:left w:w="0" w:type="dxa"/>
          <w:bottom w:w="0" w:type="dxa"/>
          <w:right w:w="0" w:type="dxa"/>
        </w:tblCellMar>
      </w:tblPr>
      <w:tblGrid>
        <w:gridCol w:w="23"/>
        <w:gridCol w:w="170"/>
        <w:gridCol w:w="64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45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inability to commercialize any product candidate that we may develop;</w:t>
            </w:r>
          </w:p>
        </w:tc>
      </w:tr>
    </w:tbl>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101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6093" w:type="dxa"/>
        <w:jc w:val="left"/>
        <w:tblInd w:w="0" w:type="dxa"/>
        <w:tblCellMar>
          <w:top w:w="0" w:type="dxa"/>
          <w:left w:w="0" w:type="dxa"/>
          <w:bottom w:w="0" w:type="dxa"/>
          <w:right w:w="0" w:type="dxa"/>
        </w:tblCellMar>
      </w:tblPr>
      <w:tblGrid>
        <w:gridCol w:w="23"/>
        <w:gridCol w:w="170"/>
        <w:gridCol w:w="590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90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injury to our reputation and significant negative media attention; and</w:t>
            </w:r>
          </w:p>
        </w:tc>
      </w:tr>
    </w:tbl>
    <w:tbl>
      <w:tblPr>
        <w:tblW w:w="2538" w:type="dxa"/>
        <w:jc w:val="left"/>
        <w:tblInd w:w="0" w:type="dxa"/>
        <w:tblCellMar>
          <w:top w:w="0" w:type="dxa"/>
          <w:left w:w="0" w:type="dxa"/>
          <w:bottom w:w="0" w:type="dxa"/>
          <w:right w:w="0" w:type="dxa"/>
        </w:tblCellMar>
      </w:tblPr>
      <w:tblGrid>
        <w:gridCol w:w="23"/>
        <w:gridCol w:w="170"/>
        <w:gridCol w:w="234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34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decline in our ADS price.</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We currently hold approximately $10.0 million in product liability insurance coverage in the aggregate. We may need to increase our insurance coverage as we expand our clinical trials and if we successfully commercialize any product candidate. Insurance coverage is increasingly expensive. We may not be able to obtain or maintain insurance coverage at a reasonable cost or in an amount adequate to satisfy any liability that may arise.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If our information technology systems or data, or those of third parties upon which we rely, are or were compromised or experienced significant disruptions of our information technology systems or data security incidents, we could experience adverse consequences including but not limited to result in significant financial, legal, regulatory, business and reputational harm to us resulting from litigation; fines and penalties; disruptions of our business operations; reputational harm; loss of revenue or profits; loss of customers or sales; or other adverse consequences.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increasingly dependent on information technology systems and infrastructure, including mobile and third-party, cloud-based technologies, to operate our business. In the ordinary course of our business, we may collect, store, process and transmit large amounts of sensitive information, including intellectual property, proprietary business information, and other confidential information. It is critical that we do so in a secure manner to maintain the confidentiality, integrity and availability of such sensitive information. We have also outsourced elements of our operations (including elements of our information technology infrastructure) to third parties, and as a result, we manage a number of third-party vendors who may or could have access to our computer networks or our sensitive information. In addition, many of those third parties in turn subcontract or outsource some of their responsibilities to third parties. While all information technology operations are inherently vulnerable to inadvertent or intentional security breaches, incidents, attacks and exposures, the accessibility and distributed nature of our information technology systems, and the sensitive information stored on or transmitted between those systems, make such systems potentially vulnerable to unintentional or malicious, internal and external exploits of our technology environment, including by organized groups and individuals with a wide range of motives (including, but not limited to, industrial espionage) and expertise, including organized criminal groups, “hacktivists,” nation states and others. Further, due to the COVID 19 pandemic, we have enabled all of our employees to work remotely, which may make us more vulnerable to cyberattacks. Cyber incidents are increasing in their frequency, levels of persistence, sophistication and intensity, and are being conducted by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supply chain attacks, denial-of-service attacks, social engineering and other means to affect service reliability and threaten the confidentiality, integrity and availability of information. Data security incidents and other inappropriate access can also be difficult to detect, and any delay in identifying them may lead to increased harm. In addition, the prevalent use of mobile devices increases the risk of data security incidents.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Significant disruptions of, or cyber incidents directed at, our or our third-party vendors’ and/or business partners’ information technology systems could adversely affect our business operations and/or result in the loss, misappropriation, and/or unauthorized access, use or disclosure of, or the prevention of access to, sensitive information, which could result in a variety of adverse effects, including financial, legal, regulatory, business and reputational harm to us. In addition, information technology system disruptions, whether from attacks on our technology environment or from computer viruses, natural disasters, terrorism, war and telecommunication and electrical failures, could result in a material disruption of our development programs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102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and our business operations. For example, the loss of clinical trial data from completed or future clinical trials could result in delays in our marketing approval efforts and significantly increase our costs to recover or reproduce the data. Additionally, theft of our intellectual property or proprietary business information could require substantial expenditures to remedy. If we or our third-party collaborators, consultants, contractors, suppliers, vendors or service providers were to suffer an actual or likely attack or breach, for example, that involves the unauthorized access to or use or disclosure of personal or health information for which we are responsible may require us, we may have to notify consumers, partners, collaborators, government authorities, and the media, and may be subject to investigations, civil penalties, administrative and enforcement actions (including mandatory corrective action or requirements to verify the correctness of database contents), and consuming, distracting and expensive litigation, any of which could result in increased costs to us, and result in significant legal and financial exposure, or other harm to our business and reputation.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and certain of our service providers are from time to time subject to cyberattacks and security incidents. While we have no reason to believe that we have been subject to any significant system failure, accident or security breach to date, attackers have become very sophisticated in the way they conceal access to systems, and many companies that have been attacked are not aware that they have been attacked.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While we have implemented security measures intended to protect our information technology systems and infrastructure, such measures may not successfully prevent service interruptions or security incidents.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Our employees, principal investigators, consultants and commercial partners may engage in misconduct or other improper activities, including non-compliance with regulatory standards and requirements and insider trading.</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applicable foreign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applicable foreign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negative impact on our business, financial condition, results of operations and prospects, including the imposition of significant fines or other sanctions.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103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Governments outside the United States tend to impose strict price controls, which may adversely affect our revenues, if any.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are subject to stringent and evolving U.S. and foreign laws, regulations, rules, industry standards, contractual obligations, policies and other obligations related to data security and privacy. Our actual or perceived failure to comply with health and data protection laws and regulations could lead to government enforcement actions, which could include civil, criminal or administrative penalties, private litigation, reputational harm, and/or adverse publicity and could negatively affect our operating results and business, financial condition, results of operations and prospects.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global data protection landscape is rapidly evolving, and we are or may become subject to or be affected by evolving federal, state and foreign data protection laws and regulations, such as laws and regulations that address privacy and data security. In the United States, numerous federal and state laws and regulations, including federal and state health information privacy laws, state data breach notification laws, and federal and state consumer protection laws, such as Section 5 of the Federal Trade Commission Act, govern the collection, use, disclosure and protection of health information and other personal information and could apply to our operations. These laws and regulations are subject to differing interpretations and may be inconsistent among jurisdictions, and guidance on implementation and compliance practices are often updated or otherwise revised, which adds to the complexity of processing personal information. In the United States, HIPAA, as amended by HITECH, imposes, among other things, certain standards relating to the privacy, security, transmission and breach reporting of individually identifiable health information. We do not believe that we are currently acting as a covered entity or business associate under HIPAA and thus are not directly subject to its requirements or penalties. However, we may obtain health information from third parties, including research institutions from which we obtain clinical trial data, that are subject to privacy and security requirements under HIPAA.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Certain states have also adopted comparable privacy and security laws and regulations governing the privacy, processing and protection of personal information. For example,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In addition, the California Privacy Rights Act of 2020 (“CPRA”) expands the CCPA’s requirements, including by adding a new right for individuals to correct their personal information and establishing a new regulatory agency to implement and enforce the law. Other states, such as Virginia, Colorado, Utah, and Connecticut have also passed comprehensive privacy laws, and similar laws are being considered in several other states, as well as at the federal and local levels. While these states, like the CCPA, also exempt some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104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data processed in the context of clinical trials, these developments further complicate compliance efforts, and increase legal risk and compliance costs for us and the third parties upon whom we rely. For example, the CCPA took effect on January 1, 2020. The CCPA creates individual privacy rights for California consumers and places increased privacy and security obligations on organizations that handle certain personal information of consumers or households. The CCPA requires covered companies to provide disclosures to consumers about such companies’ data collection, use and sharing practices, provide such consumers with data privacy rights such as rights to access and delete their personal information, receive detailed information about how their personal information is used, and opt-out of certain sharing of personal information. The CCPA provides for civil penalties for violations, as well as a private right of action for certain data breaches that is expected to increase data breach litigation. The Attorney General and local government attorneys may also bring enforcement actions for alleged violations of the CCPA. Although there are some exemptions for clinical trial data and health information, the CCPA may impact our business activities and increase our compliance costs and potential liability. Further, the CPRA recently passed in California. The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came into effect on January 1, 2023, and additional compliance investment and potential business process changes may be required. Further, Virginia enacted the Virginia Consumer Data Protection Act (“VCDPA”) effective January 1, 2023, Colorado passed the Colorado Privacy Rights Act (“CPA”) effective July 1, 2023, Connecticut passed the Connecticut Data Privacy Act (“CDPA”) effective July 1, 2023, and Utah passed the Utah Consumer Privacy Act (“UCPA”), effective December 31, 2023. A number of other proposals exist for new federal and state privacy legislation that could increase our potential liability, increase our compliance costs, and affect our ability to collect personal information. The VCDPA, CPA, CDPA and UCPA are similar to the CCPA and CPRA but aspects of these state privacy statutes remain unclear, resulting in further legal uncertainty and potentially requiring us to modify our data practices and policies and to incur substantial additional costs and expenses in an effort to comply. The enactment of such laws could have potentially conflicting requirements that would make compliance challenging. In the event that we are subject to or affected by these laws or other domestic privacy and data protection laws, any liability from failure to comply with the requirements of these laws could adversely affect our financial condition.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Outside the United States, an increasing number of laws, regulations, and industry standards may govern data privacy and security. For example, the EU GDPR, the United Kingdom’s GDPR (“UK GDPR”), and the Personal Information Protection Act in South Korea, impose strict requirements for processing personal data.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measures to lawfully transfer personal data to the United States.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105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EU has also proposed a Regulation on Privacy and Electronic Communications (“ePrivacy Regulation”) which, if adopted, would impose new obligations on the use of personal data in the context of electronic communications, particularly with respect to online tracking technologies and direct marketing. Additionally, the EU adopted the EU Clinical Trials Regulation, which came into effect on January 31, 2022. This regulation imposes new obligations on the use of data generated from clinical trials and enables European patients to have the opportunity to access information about clinical trials.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Cayman Islands Data Protection Act imposes obligations on data controllers in relation to the processing of personal data, and also introduced rights for data subjects (which may be subject to various exemptions), including, among others: (a) personal data must be processed fairly and on the basis of one of the grounds for processing as set out in the Data Protection Act; (b) personal data must be obtained for a specified lawful purpose; (c) personal data must be adequate, relevant and not excessive in relation to the purpose for which it was processed; (d) personal data must be accurate and, where necessary, kept up to date; (e) personal data must not be kept for longer than is necessary; (f) personal data must be processed in accordance with the rights of the data subject; (g) appropriate technical and organizational security measures must be taken to prevent unauthorized or unlawful processing, accidental loss or destruction of personal data; and (h) the personal data may not be transferred to a country unless that country ensures an adequate level of protection for the rights and freedoms of data subjects.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recent years, authorities of the PRC have promulgated certain laws and regulations in respect of information security, data collection and privacy protection regulations in the PRC, including the Cybersecurity Law of the PRC, the Provisions on Protection of Personal Information of Telecommunication and Internet Users, the Data Security Law of the PRC which became effective from September 1, 2021, and the Personal Information Protection Law of the PRC which became effective from November 1, 2021. Under the Personal Information Protection Law of the PRC, in case of any personal information processing, such individual prior consent shall be obtained, unless other circumstances clearly mentioned therein to the contrary. Further, any data processing activities in relation to the sensitive personal information such as biometrics, medical health and personal information of teenagers under fourteen years old are not allowed unless such activities have a specific purpose, are highly necessary and have taken strictly protective measures.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to data privacy and security laws, we contractually may be subject to industry standards adopted by industry groups and may become subject to such obligations in the future. We are also bound by contractual obligations related to data privacy and security, and our efforts to comply with such obligations may not be successful. In particular, compliance with U.S. and foreign data protection laws and regulations could require us to take on more onerous obligations in our contracts, increase our costs of legal compliance, restrict our ability to collect, use and disclose data, or in some cases, impact our or our partners’ suppliers’ ability to operate in certain jurisdictions. Our or our service providers’ and vendors’ actual or perceived failure to comply with U.S. and foreign data protection laws and regulations could result in government investigations and/or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106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publish privacy policies, self-certifications, and other documentation regarding our collection, use and disclosure of personal information and/or other confidential information. Although we endeavor to comply with our published policies, certifications, and documentation, we may at times fail to do so or may be perceived to have failed to do so. Moreover, despite our efforts, we may not be successful in achieving compliance if our employees or vendors fail to comply with our published policies, certifications, and documentation. Such failures can subject us to potential international, local, state and federal action if they are found to be deceptive, unfair, or misrepresentative of our actual practices.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There is tax risk associated with the reporting of cross-border arrangements and activities between us and our subsidiaries.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incorporated under the laws of the Cayman Islands and currently have subsidiaries in Mainland China, Hong Kong, Australia, the Cayman Islands and the United States. If we succeed in growing our business, we expect to conduct increased operations through our subsidiaries in various tax jurisdictions pursuant to transfer pricing arrangements between us and our subsidiaries. If two or more affiliated companies are located in different countries, the tax laws or regulations of each country generally will require that transfer prices be the same as those between unrelated companies dealing at arms’ length and that appropriate documentation is maintained to support the transfer prices. While we believe that we operate in compliance with applicable transfer pricing laws and intend to continue to do so, our transfer pricing procedures are not binding on applicable tax authorities.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 In addition, if the country from which the income is reallocated does not agree with the reallocation, both countries could tax the same income, resulting in double taxation. If tax authorities were to allocate income to a higher tax jurisdiction, subject our income to double taxation or assess interest and penalties, it would increase our consolidated tax liability, which could adversely affect our financial condition, results of operations and cash flows.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Tax authorities may disagree with our positions and conclusions regarding certain tax positions, resulting in unanticipated costs, taxes or non-realization of expected benefits.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107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 xml:space="preserve">Changes in tax laws or regulations that are applied adversely to us or our customers may have a material adverse effect on our business, cash flow, financial condition, or results of operations. </w:t>
      </w:r>
    </w:p>
    <w:p>
      <w:pPr>
        <w:pStyle w:val="TextBody"/>
        <w:spacing w:before="0" w:after="240"/>
        <w:ind w:left="0" w:right="0" w:hanging="0"/>
        <w:rPr>
          <w:rFonts w:ascii="Arial;Helvetica;sans-serif" w:hAnsi="Arial;Helvetica;sans-serif"/>
          <w:b w:val="false"/>
          <w:sz w:val="20"/>
        </w:rPr>
      </w:pPr>
      <w:r>
        <w:rPr>
          <w:rFonts w:ascii="Arial;Helvetica;sans-serif" w:hAnsi="Arial;Helvetica;sans-serif"/>
          <w:b w:val="false"/>
          <w:sz w:val="20"/>
        </w:rPr>
        <w:t xml:space="preserve">New tax laws, statutes, rules, regulations, or ordinances could be enacted at any time. Further, existing tax laws, statutes, rules, regulations, or ordinances could be interpreted differently, changed, repealed, or modified at any time. Any such enactment, interpretation, change, repeal, or modification could adversely affect us, possibly with retroactive effect. For instance, the recently enacted Inflation Reduction Act (“IRA”) imposes, among other rules, a 15% minimum tax on the book income of certain large corporations and a 1% excise tax on certain corporate stock repurchases. The Tax Cuts and Jobs Act of 2017 (“TCJA”), as amended by the Coronavirus Aid, Relief, and Economic Security Act significantly reformed the United States Internal Revenue Code of 1986, as amended (the “Code”), by lowering U.S. federal corporate income tax rates, changing the utilization of future net operating loss (“NOL”) carryforwards, permitting for the expensing of certain capital expenditures, eliminating the option to currently deduct research and development expenditures and requiring taxpayers to capitalize and amortize U.S.-based and non-U.S.-based research and development expenditures over five and fifteen years, respectively. and putting into effect significant changes to U.S. taxation of international business activities. The IRA, TCJA, or any future tax reform legislation could have a material impact on the value of our deferred tax assets, result in significant one-time charges, and increase our future tax expenses. </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Risks Related to Doing Business in China and Our International Operations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Changes in the political and economic policies of the Chinese government or in relations between China and the United States may affect our business, financial condition, results of operations and the market price of our ADSs.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Due to our operations in China, our business, results of operations, financial condition and prospects may be influenced to a certain degree by economic, political, legal and social conditions in China or changes in government relations between China and the United States or other governments. There is significant uncertainty about the future relationship between the United States and China with respect to trade policies, treaties, government regulations and tariffs. China’s economy differs from the economies of developed countries in many respects, including with respect to the amount of government involvement, level of development, growth rate, control of foreign exchange and allocation of resources. While China’s economy has experienced significant growth over the past four decades, growth has been uneven across different regions and among various economic sectors. The Chinese government has implemented various measures to encourage economic development and guide the allocation of resources. Some of these measures may benefit the overall Chinese economy, but may have a negative effect on us. For example, our financial condition and results of operations may be affected by government control over capital investments or changes in tax regulations that are currently applicable to us. In addition, in the past, the Chinese government implemented certain measures, including interest rate increases, to control the pace of economic growth. These measures may cause a decrease in economic activity in China, which may affect our business and results of operations. In July 2021, the Chinese government provided new guidance on China-based companies raising capital outside of China, including through arrangements called variable interest entities (“VIEs”). In light of such developments, the SEC has imposed enhanced disclosure requirements on China-based companies seeking to register securities with the SEC. Although we do not have a VIE structure, due to our operations in China, any future Chinese, U.S. or other rules and regulations that place restrictions on capital raising or other activities by companies with operations in China could affect our business and results of operations. If the business environment in China deteriorates from the perspective of domestic or international investment, or if relations between China and the United States or other governments deteriorate, the Chinese government may intervene with our operations and our business in China and United States, as well as the market price of our ADSs, may also be affected.</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108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The Chinese government may intervene in or influence our operations at any time, which could result in a change in our operations and impact the value of our ADSs.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Chinese government has some oversight and discretion over the conduct of our business and may intervene or influence our operations as the government deems appropriate to further regulatory, political and societal goals. The Chinese government has recently published new policies that significantly affected certain industries such as the education and internet industries, and we cannot rule out the possibility that it will in the future release regulations or policies regarding our industry that could require us to seek permission from Chinese authorities to continue to operate our business that could potentially affect our business, financial condition and results of operations. Furthermore, recent statements made by the Chinese government, including the Opinions on Strictly Cracking Down Illegal Securities Activities in Accordance with the Law published on July 6, 2021, and new rules published for comments by the Chinese government, including the Provisions of the State Council on the Administration of Overseas Securities Offering and Listing by Domestic Companies (Draft for Comments) and the Administrative Measures for the Filing of Overseas Securities Offering and Listing by Domestic Companies (Draft for Comments) published on December 24, 2021, have indicated an intent to increase the government’s oversight and control over offerings of companies with certain amount of operations in China that are to be conducted in foreign markets, as well as foreign investment in certain qualified issuers. If we were to become subject to the direct intervention or influence of the Chinese government at any time due to changes in laws or other unforeseeable reasons, it may require a material change in our operations and/or the value of our ADSs.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Changes in U.S. and Chinese regulations may impact our business, our operating results, our ability to raise capital and the market price of our ADSs.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U.S. government, including the SEC, has made statements and taken certain actions that led to changes to United States and international relations, and will impact companies with connections to the United States or China, including imposing several rounds of tariffs affecting certain products manufactured in China, imposing certain sanctions and restrictions in relation to China and issuing statements indicating enhanced review of companies with certain operations based in China. It is unknown whether and to what extent new legislation, executive orders, tariffs, laws or regulations will be adopted, or the effect that any such actions would have on companies with significant connections to the United States or to China, our industry or on us. We conduct research activities and have business operations both in the United States and China. Any unfavorable government policies on cross-border relations and/or international trade, including increased scrutiny on companies with certain operations based in China, capital controls or tariffs, may affect the competitive position of our drug products, the hiring of scientists and other research and development personnel, the demand for our drug products, the import or export of raw materials in relation to drug development, our ability to raise capital, the market price of our ADSs or prevent us from selling our drug products in certain countries. Furthermore, the SEC has issued statements primarily focused on companies with certain operations based in China, such as us. For example, on July 30, 2021, Gary Gensler, Chairman of the SEC, issued a Statement on Investor Protection Related to Recent Developments in China, pursuant to which Chairman Gensler stated that he has asked the SEC staff to engage in targeted additional reviews of filings for companies with certain operations based in China. The statement also addressed risks inherent in companies with VIE structures. We do not have a VIE structure and are not in an industry that is subject to foreign ownership limitations by China. However, it is possible that our periodic reports and other filings with the SEC may be subject to enhanced review by the SEC and this additional scrutiny could affect our ability to effectively raise capital in the United States.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response to the SEC’s July 30, 2021 statement, the CSRC announced on August 1, 2021, that “[i]t is our belief that Chinese and U.S. regulators shall continue to enhance communication with the principle of mutual respect and cooperation, and properly address the issues related to the supervision of China-based companies listed in the U.S. so as to form stable policy expectations and create benign rules framework for the market.” While the CSRC will continue to collaborate “closely with different stakeholders including investors, companies, and relevant authorities to further promote transparency and certainty of policies and implementing measures,” it emphasized that it “has always been open to companies’ choices to list their securities on international or domestic markets in compliance with relevant laws and regulations.”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109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If any new legislation, executive orders, tariffs, laws and/or regulations are implemented, if existing trade agreements are renegotiated, if the U.S. or Chinese governments take retaliatory actions due to the recent U.S.-China tension or if the Chinese government exerts more oversight and control over securities offerings that are conducted in the United States, such changes could have an adverse effect on our business, financial condition and results of operations, our ability to raise capital and the market price of our ADSs.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Compliance with China’s new Data Security Law, Cyber Security Law, Cybersecurity Review Measures, Personal Information Protection Law, regulations and guidelines relating to the multi-level protection scheme on cyber security and any other future laws and regulations may entail significant expenses and could affect our business.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China has implemented or will implement rules and is considering a number of additional proposals relating to data protection. China’s new Data Security Law took effect in September 2021. The Data Security Law provides that the data processing activities must be conducted based on “data classification and hierarchical protection system” for the purpose of data protection and prohibits entities in China from transferring data stored in China to foreign law enforcement agencies or judicial authorities without prior approval by the Chinese government.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Additionally, China’s Cyber Security Law, promulgated by the SCNPC in November 2016 and came into effect in June 2017, and the Administrative Measures for the Hierarchical Protection of Information Security promulgated by the Ministry of Public Security, National Administration of State Secrets Protection, State Cryptography Administration and other government authority in June 2007, requires companies to take certain organizational, technical and administrative measures and other necessary measures to ensure the security of their networks and data stored on their networks. Specifically, the Cyber Security Law provides that China adopt a multi-level protection scheme (“MLPS”), under which network operators are required to perform obligations of security protection to ensure that the network is free from interference, disruption or unauthorized access, and prevent network data from being disclosed, stolen or tampered. Under the MLPS, entities operating information systems must have a thorough assessment of the risks and the conditions of their information and network systems to determine the level of the entity’s information and network systems. These levels range from the lowest Level 1 to the highest Level 5 pursuant to a series of national standards on the grading and implementation of the classified protection of cyber security. The grading result will determine the set of security protection obligations that entities must comply with. Entities classified as Level 2 or above should report the grade to the relevant government authority for examination and approval.</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Recently, the CAC has taken action against several Chinese internet companies in connection with their initial public offerings on U.S. securities exchanges, for alleged national security risks and improper collection and use of the personal information of Chinese data subjects. According to the official announcement, the action was initiated based on the National Security Law, the Cyber Security Law and the Cybersecurity Review Measures, which are aimed at “preventing national data security risks, maintaining national security and safeguarding public interests.”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On July 10, 2021, the CAC published a draft revision to the existing Cybersecurity Review Measures for public comment (the “Revised Draft CAC Measures”). On January 4, 2022, together with 12 other Chinese regulatory authorities, the CAC released the final version of the Revised Draft CAC Measures (the “Revised CAC Measures”), which came into effect on February 15, 2022. Pursuant to the Revised CAC Measures, critical information infrastructure operators procuring network products and services, and online platform operators (as opposed to “data processors” in the Revised Draft CAC Measures) carrying out data processing activities which affect or may affect national security, shall conduct a cybersecurity review pursuant to the provisions therein. In addition, online platform operators possessing personal information of more than one million users seeking to be listed on foreign stock markets must apply for a cybersecurity review. On November 14, 2021, the CAC further published the Regulations on Network Data Security Management (Draft for Comment) (the “Draft Management Regulations”), under which data processors refer to individuals and organizations who determine the data processing activities in terms of the purpose and methods at their discretion. The Draft Management Regulations reiterate that data processors shall be subject to cybersecurity review if (i) they process personal information of more than one million persons and they are aiming to list on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110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foreign stock markets, or (ii) their data processing activities affect or may affect Chinese national security. The Draft Management Regulations also request data processors seeking to list on foreign stock markets to annually assess their data security by themselves or through data security service organizations, and submit the assessment reports to relevant competent authorities. As the Draft Management Regulations are released only for public comment, the final version and the effective date thereof is subject to change.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of the date of this Annual Report, we have not received any notice from any Chinese regulatory authority identifying us as a “critical information infrastructure operator,” “online platform operator” or “data processor,” or requiring us to go through the cybersecurity review procedures pursuant to the Revised CAC Measures and the Draft Management Regulations. Based on our understanding of the Revised CAC Measures, and the Draft Management Regulations if enacted as currently proposed, we do not expect to become subject to cybersecurity review by the CAC for issuing securities to foreign investors because: (i) the clinical and preclinical data we handle in our business operations, either by its nature or in scale, do not normally trigger significant concerns over PRC national security; and (ii) we have not processed, and do not anticipate to process in the foreseeable future, personal information for more than one million users or persons. However, there remains uncertainty as to how the Revised CAC Measures, and the Draft Management Regulations if enacted as currently proposed, will be interpreted or implemented; for example, neither the Revised CAC Measures nor the Draft Management Regulations provides further clarification or interpretation on the criteria for determining those activities that “affect or may affect national security” and relevant Chinese regulatory authorities may interpret it broadly. Furthermore, there remains uncertainty as to whether the Chinese regulatory authorities may adopt new laws, regulations, rules, or detailed implementation and interpretation in relation, or in addition, to the Revised CAC Measures and the Draft Management Regulations. While we intend to closely monitor the evolving laws and regulations in this area and take all reasonable measures to mitigate compliance risks, we cannot guarantee that our business and operations will not be adversely affected by the potential impact of the Revised CAC Measures, the Draft Management Regulations or other laws and regulations related to privacy, data protection and information security.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Also, the National People’s Congress released the Personal Information Protection Law, which became effective on November 1, 2021. The Personal Information Protection Law provides a comprehensive set of data privacy and protection requirements that apply to the processing of personal information and expands data protection compliance obligations to cover the processing of personal information of persons by organizations and individuals in China, and the processing of personal information of persons in China outside of China if such processing is for purposes of providing products and services to, or analyzing and evaluating the behavior of, persons in China. The Personal Information Protection Law also provides that critical information infrastructure operators and personal information processing entities who process personal information meeting a volume threshold to be set by Chinese cyberspace regulators are also required to store in China personal information generated or collected in China, and to pass a security assessment administered by Chinese cyberspace regulators for any export of such personal information. Lastly, the Personal Information Protection Law contains proposals for significant fines for serious violations of up to RMB 50 million or 5% of annual revenues from the prior year and may also be ordered to suspend any related activity by competent authorities. We do not maintain, nor do we intend to maintain in the future, personally identifiable health information of patients in China.</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In addition, certain industry-specific laws and regulations affect the collection and transfer of data in the PRC. The Regulations on the Administration of Human Genetic Resources of the PRC (the “HGR Regulation”) was promulgated by the State Council in May 2019 and came into effect in July 2019. It stipulates that foreign organizations, individuals, and the entities established or actually controlled by foreign organizations or individuals are forbidden to collect, preserve and export China’s human genetic resources. Foreign organizations and the entities established or actually controlled by foreign organizations or individuals may only utilize and be provided with China’s human genetic resources after satisfaction of all requirements under the HGR Regulation and other applicable laws, such as (i) China’s human genetic resources being utilized only in international cooperation with Chinese scientific research institutions, universities, medical institutions, and enterprises for scientific research and clinical trials after completion of requisite approval or filing formalities with competent governmental authorities, and (ii) China’s human genetic resources information being provided after required filing and information backup procedures have been gone through. In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111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October 2020, the SCNPC promulgated the Biosecurity Law of the PRC, which reaffirms the regulatory requirements stipulated by the HGR Regulation while potentially increasing the administrative sanctions where China’s human genetic resources are collected, preserved, exported or used in international cooperation in violation of applicable laws. There remain significant uncertainties as to how various provisions of the HGR Regulation and the related laws and regulations may be interpreted and implemented. Given such uncertainty, although we have made great efforts to comply with mandatory requirements of laws and government authorities in this regard, we cannot assure you that we will be deemed at all times in full compliance with the HGR Regulation, the Biosecurity Law of the PRC and other applicable laws in our utilizing of and dealing with China’s human genetic resources. As a result, we may be exposed to compliance risks under the HGR Regulation and the Biosecurity Law of the PRC.</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Interpretation, application and enforcement of these laws, rules and regulations evolve from time to time and their scope may continually change, through new legislation, amendments to existing legislation or changes in enforcement. Compliance with China’s new Cyber Security Law and Data Security Law could significantly increase the cost to us of providing our service offerings, require significant changes to our operations or even prevent us from providing certain service offerings in jurisdictions in which we currently operate or in which we may operate in the future. Despite our efforts to comply with applicable laws, regulations and other obligations relating to privacy, data protection and information security, it is possible that our practices, offerings or platform could fail to meet all of the requirements imposed on us by the Cyber Security Law, the Data Security Law and/or related implementing regulations. Any failure on our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our reputation, discourage new and existing counterparties from contracting with us or result in investigations, fines, suspension or other penalties by Chinese government authorities and private claims or litigation, any of which could adversely affect our business, financial condition and results of operations. Even if our practices are not subject to legal challenge, the perception of privacy concerns, whether or not valid, may harm our reputation and brand and adversely affect our business, financial condition and results of operations. Moreover, the legal uncertainty created by the Data Security Law, the Revised CAC Measures and the recent Chinese government actions could adversely affect our ability, on favorable terms, to raise capital, including engaging in follow-on offerings of our securities in the U.S. market.</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The approval of, filing or other procedures with the CSRC or other Chinese regulatory authorities may be required in connection with issuing securities to foreign investors under Chinese law, and, if required, we cannot predict whether we will be able, or how long it will take us, to obtain such approval or complete such filing or other procedures.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Regulations on Mergers and Acquisitions of Domestic Enterprises by Foreign Investors (the “M&amp;A Rules”) purport to require offshore special purpose vehicles that are controlled by Chinese companies or individuals and that have been formed for the purpose of seeking a public listing on an overseas stock exchange through acquisitions of Chinese domestic companies or assets in exchange for the shares of the offshore special purpose vehicles shall obtain CSRC approval prior to publicly listing their securities on an overseas stock exchange.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On July 6, 2021, the relevant Chinese government authorities published the Opinions on Strictly Cracking Down Illegal Securities Activities in Accordance with the Law. These opinions call for strengthened regulation over illegal securities activities and increased supervision of overseas listings by China-based companies, and propose to take effective measures, such as promoting the construction of relevant regulatory systems to regulate the risks and incidents faced by China-based overseas-listed companies.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Furthermore, on February 17, 2023, the CSRC promulgated a new set of regulations consists of the Trial Measures and five supporting guidelines which will come into effect on March 31, 2023 to regulate overseas securities offering and listing activities by domestic companies either in direct or indirect form. According to the Trial Measures, we may be required to submit filings to the CSRC in connection with future issuances of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112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equity securities to foreign investors. For more details, see the Part I. Item 1. “Business—Regulation—Other Significant Chinese Regulation Affecting Our Business Activities in China.”</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of the date of this Annual Report, we have not received any inquiry, notice, warning or sanction regarding obtaining approval, completing filings or other procedures in connection with our previous issuances of securities to foreign investors from the CSRC or any other Chinese regulatory authorities that have jurisdiction over our operations. Based on the above and our understanding of the newly issued Trial Measures and the supporting guidelines, after they come into effect on March 31, 2023, we will not at once be required to submit an application to the CSRC for our previous issuances of securities to foreign investors, but if we intend to make any subsequent securities offering in the same overseas market, we may be required to submit filing with the CSRC within three working days after such subsequent securities offering is completed. However, there remains uncertainty as to the interpretation and implementation of regulatory requirements related to overseas securities offerings and other capital markets activities, and we cannot assure you that the relevant Chinese regulatory authorities, including the CSRC, would reach the same conclusion as us. If it is determined in the future that the approval of, filing or other procedure is required with the CSRC or any other regulatory authority is required for our previous issuances of securities to foreign investors, or if we are required to complete relevant procedures for our future issuances of securities to foreign investors, it is uncertain whether we will be able and how long it will take for us to obtain the approval or complete the filing or other procedure or obtain a waiver for such procedures, despite our best efforts. If we, for any reason, are unable to obtain or complete, or experience significant delays in obtaining or completing, the requisite relevant approval(s), filing(s) or other procedure(s), the regulatory authorities may impose fines and penalties on our operations in China, limit our operating privileges in China, revoke our business licenses, delay or restrict the repatriation of the proceeds from securities offerings into China or take other actions that could have an adverse effect on our business, financial condition, results of operations and prospects, as well as the trading price of the ADSs. Any uncertainties and/or negative publicity regarding the aforementioned approval(s), filing or other procedure(s), the interpretation and implementation of existing laws and regulations, or any further laws, regulations or interpretations that may be released and enacted in the future could have a material adverse effect on the trading price of the ADSs.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Pharmaceutical companies operating in China are required to comply with extensive regulations and hold a number of permits and licenses to carry on their business. Our ability to obtain and maintain these regulatory approvals is uncertain, and future government regulation may place additional burdens on our current and planned operations in China.</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pharmaceutical industry in China is subject to extensive government regulation and supervision. The regulatory framework addresses all aspects of operating in the pharmaceutical industry, including product development activities, clinical trials, registration, production, distribution, packaging, labeling, storage and shipment, advertising, licensing and post-approval pharmacovigilance certification requirements and procedures, periodic renewal and reassessment processes, data security and data privacy protection requirements and compliance and environmental protection. In particular, we are subject to many of these laws and regulations because our wholly-owned subsidiary, Basecamp Bio, through which we conduct our technology development and early discovery activities, operates primarily in China. Violation of applicable laws and regulations may materially and adversely affect our business. The regulatory framework governing the pharmaceutical industry in China is subject to change and amendment from time to time. Any such change or amendment could materially and adversely impact our business, financial condition and prospects. The Chinese government has introduced various reforms to the Chinese healthcare system in recent years and may continue to do so, with an overall objective to expand basic medical insurance coverage and improve the quality and reliability of healthcare services. The specific regulatory changes under the various reform initiatives remain uncertain. The implementing measures to be issued may not be sufficiently effective to achieve the stated goals, and as a result, we may not be able to benefit from such reform to the extent we expect, if at all. Moreover, the various reform initiatives could give rise to regulatory developments, such as more burdensome administrative procedures, which may have an adverse effect on our business and prospects.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113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As a company with operations and business relationships outside of the United States, our business is subject to economic, political, regulatory and other risks associated with international operations.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a company with operations in China, our business is subject to risks associated with conducting business outside the United States. In addition to our technology development and early discovery activities through Basecamp Bio in China, substantially all of our suppliers and clinical trial relationships are located outside the United States. Accordingly, our future results could be harmed by a variety of factors, including:</w:t>
      </w:r>
    </w:p>
    <w:tbl>
      <w:tblPr>
        <w:tblW w:w="9588" w:type="dxa"/>
        <w:jc w:val="left"/>
        <w:tblInd w:w="0" w:type="dxa"/>
        <w:tblCellMar>
          <w:top w:w="0" w:type="dxa"/>
          <w:left w:w="0" w:type="dxa"/>
          <w:bottom w:w="0" w:type="dxa"/>
          <w:right w:w="0" w:type="dxa"/>
        </w:tblCellMar>
      </w:tblPr>
      <w:tblGrid>
        <w:gridCol w:w="23"/>
        <w:gridCol w:w="170"/>
        <w:gridCol w:w="93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39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economic weakness, including inflation, or political instability in particular non-U.S. economies and markets;</w:t>
            </w:r>
          </w:p>
        </w:tc>
      </w:tr>
    </w:tbl>
    <w:tbl>
      <w:tblPr>
        <w:tblW w:w="6168" w:type="dxa"/>
        <w:jc w:val="left"/>
        <w:tblInd w:w="0" w:type="dxa"/>
        <w:tblCellMar>
          <w:top w:w="0" w:type="dxa"/>
          <w:left w:w="0" w:type="dxa"/>
          <w:bottom w:w="0" w:type="dxa"/>
          <w:right w:w="0" w:type="dxa"/>
        </w:tblCellMar>
      </w:tblPr>
      <w:tblGrid>
        <w:gridCol w:w="23"/>
        <w:gridCol w:w="170"/>
        <w:gridCol w:w="59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97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differing and changing regulatory requirements for product approvals;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differing jurisdictions could present different issues for securing, maintaining or obtaining freedom to operate in such jurisdictions;</w:t>
            </w:r>
          </w:p>
        </w:tc>
      </w:tr>
    </w:tbl>
    <w:tbl>
      <w:tblPr>
        <w:tblW w:w="5403" w:type="dxa"/>
        <w:jc w:val="left"/>
        <w:tblInd w:w="0" w:type="dxa"/>
        <w:tblCellMar>
          <w:top w:w="0" w:type="dxa"/>
          <w:left w:w="0" w:type="dxa"/>
          <w:bottom w:w="0" w:type="dxa"/>
          <w:right w:w="0" w:type="dxa"/>
        </w:tblCellMar>
      </w:tblPr>
      <w:tblGrid>
        <w:gridCol w:w="23"/>
        <w:gridCol w:w="170"/>
        <w:gridCol w:w="52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21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potentially reduced protection for intellectual property rights;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difficulties in compliance with different, complex and changing laws, regulations and court systems of multiple jurisdictions and compliance with a wide variety of foreign laws, treaties and regulations;</w:t>
            </w:r>
          </w:p>
        </w:tc>
      </w:tr>
    </w:tbl>
    <w:tbl>
      <w:tblPr>
        <w:tblW w:w="6423" w:type="dxa"/>
        <w:jc w:val="left"/>
        <w:tblInd w:w="0" w:type="dxa"/>
        <w:tblCellMar>
          <w:top w:w="0" w:type="dxa"/>
          <w:left w:w="0" w:type="dxa"/>
          <w:bottom w:w="0" w:type="dxa"/>
          <w:right w:w="0" w:type="dxa"/>
        </w:tblCellMar>
      </w:tblPr>
      <w:tblGrid>
        <w:gridCol w:w="23"/>
        <w:gridCol w:w="170"/>
        <w:gridCol w:w="62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23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non-U.S. regulations and customs, tariffs and trade barriers;</w:t>
            </w:r>
          </w:p>
        </w:tc>
      </w:tr>
    </w:tbl>
    <w:tbl>
      <w:tblPr>
        <w:tblW w:w="5298" w:type="dxa"/>
        <w:jc w:val="left"/>
        <w:tblInd w:w="0" w:type="dxa"/>
        <w:tblCellMar>
          <w:top w:w="0" w:type="dxa"/>
          <w:left w:w="0" w:type="dxa"/>
          <w:bottom w:w="0" w:type="dxa"/>
          <w:right w:w="0" w:type="dxa"/>
        </w:tblCellMar>
      </w:tblPr>
      <w:tblGrid>
        <w:gridCol w:w="23"/>
        <w:gridCol w:w="170"/>
        <w:gridCol w:w="51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10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non-U.S. currency exchange rates of the RMB;</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a specific country’s or region’s political or economic environment especially with respect to a particular country’s treatment of or stance towards other countries;</w:t>
            </w:r>
          </w:p>
        </w:tc>
      </w:tr>
    </w:tbl>
    <w:tbl>
      <w:tblPr>
        <w:tblW w:w="9813" w:type="dxa"/>
        <w:jc w:val="left"/>
        <w:tblInd w:w="0" w:type="dxa"/>
        <w:tblCellMar>
          <w:top w:w="0" w:type="dxa"/>
          <w:left w:w="0" w:type="dxa"/>
          <w:bottom w:w="0" w:type="dxa"/>
          <w:right w:w="0" w:type="dxa"/>
        </w:tblCellMar>
      </w:tblPr>
      <w:tblGrid>
        <w:gridCol w:w="23"/>
        <w:gridCol w:w="170"/>
        <w:gridCol w:w="96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62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trade protection measures, import or export licensing requirements or other restrictive actions by governments;</w:t>
            </w:r>
          </w:p>
        </w:tc>
      </w:tr>
    </w:tbl>
    <w:tbl>
      <w:tblPr>
        <w:tblW w:w="7113" w:type="dxa"/>
        <w:jc w:val="left"/>
        <w:tblInd w:w="0" w:type="dxa"/>
        <w:tblCellMar>
          <w:top w:w="0" w:type="dxa"/>
          <w:left w:w="0" w:type="dxa"/>
          <w:bottom w:w="0" w:type="dxa"/>
          <w:right w:w="0" w:type="dxa"/>
        </w:tblCellMar>
      </w:tblPr>
      <w:tblGrid>
        <w:gridCol w:w="23"/>
        <w:gridCol w:w="170"/>
        <w:gridCol w:w="69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92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differing reimbursement regimes and price controls in certain non-U.S. markets;</w:t>
            </w:r>
          </w:p>
        </w:tc>
      </w:tr>
    </w:tbl>
    <w:tbl>
      <w:tblPr>
        <w:tblW w:w="4563" w:type="dxa"/>
        <w:jc w:val="left"/>
        <w:tblInd w:w="0" w:type="dxa"/>
        <w:tblCellMar>
          <w:top w:w="0" w:type="dxa"/>
          <w:left w:w="0" w:type="dxa"/>
          <w:bottom w:w="0" w:type="dxa"/>
          <w:right w:w="0" w:type="dxa"/>
        </w:tblCellMar>
      </w:tblPr>
      <w:tblGrid>
        <w:gridCol w:w="23"/>
        <w:gridCol w:w="170"/>
        <w:gridCol w:w="43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37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negative consequences from changes in tax laws;</w:t>
            </w:r>
          </w:p>
        </w:tc>
      </w:tr>
    </w:tbl>
    <w:tbl>
      <w:tblPr>
        <w:tblW w:w="9078" w:type="dxa"/>
        <w:jc w:val="left"/>
        <w:tblInd w:w="0" w:type="dxa"/>
        <w:tblCellMar>
          <w:top w:w="0" w:type="dxa"/>
          <w:left w:w="0" w:type="dxa"/>
          <w:bottom w:w="0" w:type="dxa"/>
          <w:right w:w="0" w:type="dxa"/>
        </w:tblCellMar>
      </w:tblPr>
      <w:tblGrid>
        <w:gridCol w:w="23"/>
        <w:gridCol w:w="170"/>
        <w:gridCol w:w="88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88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compliance with tax, employment, immigration and labor laws for employees living or traveling abroad;</w:t>
            </w:r>
          </w:p>
        </w:tc>
      </w:tr>
    </w:tbl>
    <w:tbl>
      <w:tblPr>
        <w:tblW w:w="8673" w:type="dxa"/>
        <w:jc w:val="left"/>
        <w:tblInd w:w="0" w:type="dxa"/>
        <w:tblCellMar>
          <w:top w:w="0" w:type="dxa"/>
          <w:left w:w="0" w:type="dxa"/>
          <w:bottom w:w="0" w:type="dxa"/>
          <w:right w:w="0" w:type="dxa"/>
        </w:tblCellMar>
      </w:tblPr>
      <w:tblGrid>
        <w:gridCol w:w="23"/>
        <w:gridCol w:w="170"/>
        <w:gridCol w:w="84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48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variable tax treatment in different jurisdictions of options granted under our equity incentive plans;</w:t>
            </w:r>
          </w:p>
        </w:tc>
      </w:tr>
    </w:tbl>
    <w:tbl>
      <w:tblPr>
        <w:tblW w:w="8958" w:type="dxa"/>
        <w:jc w:val="left"/>
        <w:tblInd w:w="0" w:type="dxa"/>
        <w:tblCellMar>
          <w:top w:w="0" w:type="dxa"/>
          <w:left w:w="0" w:type="dxa"/>
          <w:bottom w:w="0" w:type="dxa"/>
          <w:right w:w="0" w:type="dxa"/>
        </w:tblCellMar>
      </w:tblPr>
      <w:tblGrid>
        <w:gridCol w:w="23"/>
        <w:gridCol w:w="170"/>
        <w:gridCol w:w="87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76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workforce uncertainty in countries where labor unrest is more common than in the United States;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business interruptions resulting from geo-political actions, including war and terrorism, health epidemics, or natural disasters including earthquakes, typhoons, floods and fires.</w:t>
            </w:r>
          </w:p>
        </w:tc>
      </w:tr>
    </w:tbl>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If we fail to comply with Chinese environmental, health and safety laws and regulations, we could become subject to fines or penalties or incur costs that could have a material adverse effect on the success of our business.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We are subject to numerous environmental, health and safety laws and regulations, including those governing laboratory procedures, fire safety and the handling, use, storage, treatment and disposal of hazardous materials and wastes. Our technology development and early discovery operations primarily occur in China and involve the use of hazardous materials, including chemical materials. Our operations also produce hazardous waste products. We are therefore subject to Chinese laws and regulations concerning the discharge of wastewater, gaseous waste and solid waste during our processes, including those relating to product development. We engage competent third-party contractors for the transfer and disposal of these materials and wastes. Despite our efforts to comply fully with environmental and safety regulations, any violation of these regulations may result in substantial fines, criminal sanctions, revocations of operating permits, the shutdown of our facilities and the incurrence of obligations to take corrective measures. We cannot completely eliminate the risk of contamination or injury from these materials and wastes. In the event of contamination or injury resulting from the use or discharge of hazardous materials, we could be held liable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114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for any resulting damages, and any liability could exceed our resources. We also could incur significant costs associated with civil, administrative or criminal fines and penalties.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Although we maintain workers’ compensation insurance to cover costs and expenses incurred due to on-the-job injuries to our employees and public liability insurance to cover costs and expenses that may be incurred if third parties are injured on our property, such insurance may not provide adequate coverage against potential liabilities. Furthermore, the Chinese government may take steps towards the adoption of more stringent environmental regulations, and, due to the possibility of unanticipated regulatory or other developments, the amount and timing of future environmental expenditures may vary substantially from those currently anticipated. If there is any unanticipated change in the environmental regulations, our third-party manufacturers and other service providers may incur substantial capital expenditures to install, replace, upgrade or supplement their manufacturing facilities and equipment or make operational changes to limit any adverse impact or potential adverse impact on the environment in order to comply with new environmental protection laws and regulations. If such costs become prohibitively expensive, we may be forced to cease certain aspects of our business operations and our business may be materially adversely affected.</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China’s economic, political and social conditions, as well as governmental policies, could affect the business environment and financial markets in China, our ability to operate our business, our liquidity and our access to capital.</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There are legal and operational risks associated with having our early discovery and preclinical operations conducted in China. Accordingly, our business, results of operations, financial condition and prospects may be influenced to a significant degree by economic, political, legal and social conditions in China. China’s economy differs from the economies of developed countries in many respects, including with respect to the amount of government involvement, level of development, growth rate, control of foreign exchange and allocation of resources. While China’s economy has experienced significant growth over the past 40 years, growth has been uneven across different regions and among various economic sectors of China. The Chinese government has implemented various measures to encourage economic development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that are currently applicable to us. In addition, in the past the Chinese government implemented certain measures, including interest rate increases, to control the pace of economic growth. These measures may cause decreased economic activity in China, which may adversely affect our business and results of operations.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Uncertainties with respect to the Chinese legal system and changes in laws, regulations and policies in China could materially and adversely affect us.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Chinese laws and regulations govern our operations in China and the implementation of these laws and regulations may be in part based on government policies and internal rules that are subject to the interpretation and discretion of different government agencies (some of which are not published on a timely basis or at all) that may have a retroactive effect. As a result, we may not always be aware of any potential violation of these policies and rules. Such unpredictability regarding our contractual, property and procedural rights could adversely affect our business and impede our ability to continue our operations. Furthermore, since Chinese administrative and court authorities have significant discretion in interpreting and implementing statutory and contractual terms, it may be more difficult to evaluate the outcome of administrative and court proceedings and we may not receive the level of legal protection we enjoy than in more developed legal systems. The Chinese legal system is evolving rapidly and the Chinese laws, regulations, and rules may change quickly with little or no advance notice. In particular, because these laws, rules and regulations are relatively new, and because of the limited number of published decisions and the non-precedential nature of these decisions, the interpretation of these laws, rules and regulations may contain inconsistencies, the enforcement of which involves uncertainties. These uncertainties could materially and adversely affect our business and results of operations.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115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any administrative and court proceedings in China may be protracted, resulting in substantial costs and diversion of resources and management attention.</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may be exposed to liabilities under the U.S. Foreign Corrupt Practices Act (the “FCPA”), and similar anti-corruption and anti-bribery laws of China and other countries in which we operate, as well as U.S. and certain foreign export controls, trade sanctions and import laws and regulations. Compliance with these legal requirements could limit our ability to compete in foreign markets and any determination that we have violated these laws could have a material adverse effect on our business or our reputation.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operations are subject to the FCPA and similar anti-bribery or anti-corruption laws, regulations or rules of China and other countries in which we operate. The FCPA and these other laws generally prohibit us, our officers, and our employees and intermediaries from, directly or indirectly, offering, authorizing or making improper payments to non-U.S. government officials for the purpose of obtaining or retaining business or other advantage. We may engage third parties for clinical trials outside of the United States,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As our business expands, the applicability of the FCPA and other anti-bribery laws to our operations will increase. If our procedures and controls to monitor anti-bribery compliance fail to protect us from reckless or criminal acts committed by our employees or agents or if we, or our employees, agents, contractors or other collaborators,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or domestic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Restrictions on currency exchange may limit our ability to receive and use effectively financing in foreign currencies.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Chinese subsidiaries’ ability to obtain currency exchange is subject to significant foreign exchange controls and, in the case of transactions under the capital account, requires the approval of and/or registration with Chinese government authorities, including the SAFE. In particular, if we finance our Chinese subsidiaries by means of foreign debt from us or other foreign lenders, the amount is not allowed to, among other things, exceed the statutory limits and such loans must be registered with the local branch of SAFE. If we finance our Chinese subsidiaries by means of additional capital contributions, these capital contributions are subject to registration with the State Administration for Market Regulation or its local branch, reporting of foreign investment information with the MOFCOM, or its local branch or registration with other governmental authorities in China.</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116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light of the various requirements imposed by Chinese regulations on loans to, and direct investment in, China-based entities by offshore holding companies, we cannot assure you that we will be able to complete the necessary government requirements or obtain the necessary government approvals on a timely basis, if at all, with respect to future loans or capital contributions by us to our Chinese subsidiaries. If we fail to adhere to such requirements or obtain such approval, our ability to use the proceeds we receive from the IPO and to capitalize or otherwise fund our Chinese operations, including our technology development and early discovery activities through Basecamp Bio, may be negatively affected, which could materially and adversely affect our ability to fund and expand our business.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Chinese regulations relating to the establishment of offshore special purpose companies by residents in China may subject our China resident beneficial owners or our wholly foreign-owned subsidiaries in China to liability or penalties, limit our ability to inject capital into these subsidiaries, limit these subsidiaries’ ability to increase their registered capital or distribute profits to us, or may otherwise adversely affect us.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2014, SAFE promulgated the SAFE Circular 37, which requires residents of China to register with local branches of SAFE in connection with their direct establishment or indirect control of an offshore entity, for the purpose of overseas investment and financing, with such residents’ legally owned assets or equity interests in domestic enterprises or offshore assets or interests, referred to in SAFE Circular 37 as a “special purpose vehicle.” The term “control” under SAFE Circular 37 is broadly defined as the operation rights, beneficiary rights or decision-making rights acquired by residents of China in the offshore special purpose vehicles or Chinese companies by such means as acquisition, trust, proxy, voting rights, repurchase, convertible bonds or other arrangements. SAFE Circular 37 further requires amendment to the registration in the event of any changes with respect to the basic information of or any significant changes with respect to the special purpose vehicle, such as an increase or decrease of capital contributed by China residents, share transfer or exchange, merger, division or other material events. If the shareholders of the offshore holding company who are residents of China do not complete their registration with the local SAFE branches, the Chinese subsidiaries may be prohibited from making distributions of profits and proceeds from any reduction in capital, share transfer or liquidation to the offshore parent company and from carrying out subsequent cross-border foreign exchange activities, and the offshore parent company may be restricted in its ability to contribute additional capital into its Chinese subsidiaries. Moreover, failure to comply with the SAFE registration and amendment requirements described above could result in liability under Chinese law for evasion of applicable foreign exchange restrictions.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Certain residents of China may hold direct or indirect interests in our company, and we will request residents of China who we know hold direct or indirect interests in our company, if any, to make the necessary applications, filings and amendments as required under SAFE Circular 37 and other related rules. However, we may not at all times be fully aware or informed of the identities of our shareholders or beneficial owners that are required to make such registrations, and we cannot provide any assurance that these residents will comply with our requests to make or obtain any applicable registrations or comply with other requirements under SAFE Circular 37 or other related rules. The failure or inability of our China resident shareholders to comply with the registration procedures set forth in these regulations may subject us to fines or legal sanctions, restrictions on our cross-border investment activities or those of our China subsidiaries and limitations on the ability of our wholly foreign-owned subsidiaries in China to distribute dividends or the proceeds from any reduction in capital, share transfer or liquidation to us, and we may also be prohibited from injecting additional capital into these subsidiaries. Moreover, failure to comply with the various foreign exchange registration requirements described above could result in liability under Chinese law for circumventing applicable foreign exchange restrictions. As a result, our business operations and our ability to make distributions to you could be materially and adversely affected.</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117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If we are classified as a China resident enterprise for China income tax purposes, such classification could result in unfavorable tax consequences to us and our non-Chinese shareholders or ADS holders.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Enterprise Income Tax Law of the People’s Republic of China (the “EIT Law”), which was promulgated in March 2007, became effective in January 2008 and was amended in February 2017 and December 2018, and the Regulation on the Implementation of the EIT Law, effective as of January 1, 2008 and as amended in April 2019, define the term “de facto management bodies” as “bodies that substantially carry out comprehensive management and control on the business operation, personnel, accounts and assets of enterprises.” Under the EIT Law, an enterprise incorporated outside of China whose “de facto management bodies” are located in China may be considered a “resident enterprise” and will be subject to a uniform 25% enterprise income tax (“EIT”), rate on its global income. The Notice Regarding the Determination of Chinese-Controlled Offshore-Incorporated Enterprises as Chinese Tax Resident Enterprises on the Basis of De Facto Management Bodies (“SAT Circular 82”), issued by the State Taxation Administration of the People’s Republic of China (“SAT”) on April 22, 2009 and as amended in November 2013 and December 2017 further specifies certain criteria for the determination of what constitutes “de facto management bodies.” If all of these criteria are met, the relevant foreign enterprise may be regarded to have its “de facto management bodies” located in China and therefore be considered a Chinese resident enterprise. These criteria include: (i) the enterprise’s day-to-day operational management is primarily exercised in China; (ii) decisions relating to the enterprise’s financial and human resource matters are made or subject to approval by organizations or personnel in China; (iii) the enterprise’s primary assets, accounting books and records, company seals, and board and shareholders’ meeting minutes are located or maintained in China; and (iv) 50% or more of voting board members or senior executives of the enterprise habitually reside in China. Although SAT Circular 82 only applies to foreign enterprises that are majority-owned and controlled by Chinese enterprises, not those owned and controlled by foreign enterprises or individuals, the determining criteria set forth in SAT Circular 82 may be adopted by the Chinese tax authorities as the reference for determining whether the enterprises are Chinese tax residents, regardless of whether they are majority-owned and controlled by Chinese enterprises.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believe that neither we nor any of our subsidiaries outside of China is a China resident enterprise for Chinese tax purposes. However, the tax resident status of an enterprise is subject to determination by the Chinese tax authorities, and uncertainties remain with respect to the interpretation of the term “de facto management body.” If the Chinese tax authorities determine that we or any of our subsidiaries outside of China is a Chinese resident enterprise for EIT purposes, that entity would be subject to a 25% EIT on its global income. If such entity derives income other than dividends from its wholly-owned subsidiaries in China, a 25% EIT on its global income may increase our tax burden.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if we are classified as a China resident enterprise for Chinese tax purposes, we may be required to withhold tax at a rate of 10% from dividends we pay to our shareholders, including the holders of our ADSs, that are non-resident enterprises. Further, non-resident enterprise shareholders (including our ADS holders) may be subject to a 10% Chinese withholding tax on gains realized on the sale or other disposition of our ADSs or ordinary shares if such income is treated as sourced from within China. Furthermore, gains derived by our non-Chinese individual shareholders from the sale of our ordinary shares and ADSs may be subject to a 20% Chinese withholding tax. It is unclear whether our non-China-based individual shareholders (including our ADS holders) would be subject to any Chinese tax (including withholding tax) on dividends received by such non-Chinese individual shareholders in the event we are determined to be a China resident enterprise. If any Chinese tax were to apply to such dividends, it would generally apply at a rate of 20%. Chinese tax liability may vary under applicable tax treaties. However, it is unclear whether our non-China shareholders would be able to claim the benefits of any tax treaties between their country of tax residence and China in the event that we are treated as a China resident enterprise.</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and our shareholders face uncertainties in China with respect to indirect transfers of equity interests in China resident enterprises.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 indirect transfer of equity interests in China resident enterprises by a non-China resident enterprise (“Indirect Transfer”), is potentially subject to income tax in China at a rate of 10% on the gain if such transfer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118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is considered as not having a commercial purpose and is carried out for tax avoidance. The SAT has issued several rules and notices to tighten the scrutiny over acquisition transactions in recent years. The Announcement of the State Administration of Taxation on Several Issues Concerning the Enterprise Income Tax on Indirect Property Transfer by Non-Resident Enterprises (“SAT Circular 7”), sets out the scope of Indirect Transfers, which includes any changes in the shareholder’s ownership of a foreign enterprise holding Chinese assets directly or indirectly in the course of a group’s overseas restructuring, and the factors to be considered in determining whether an Indirect Transfer has a commercial purpose. An Indirect Transfer satisfying all the following criteria will be deemed to lack a bona fide commercial purpose and be taxable under Chinese laws: (i) 75% or more of the equity value of the intermediary enterprise being transferred is derived directly or indirectly from the Chinese taxable assets; (ii) at any time during the one-year period before the indirect transfer, 90% or more of the asset value of the intermediary enterprise (excluding cash) is comprised directly or indirectly of investments in China, or 90% or more of its income is derived directly or indirectly from China; (iii) the functions performed and risks assumed by the intermediary enterprise and any of its subsidiaries that directly or indirectly hold the Chinese taxable assets are limited and are insufficient to prove their economic substance; and (iv) the non-Chinese tax payable on the gain derived from the indirect transfer of the Chinese taxable assets is lower than the potential Chinese income tax on the direct transfer of such assets. A transaction that does not satisfy all four tests in the immediately preceding sentence may nevertheless be deemed to lack a bona fide commercial purpose if the taxpayer cannot justify such purpose from a totality approach, taking into account the transferred group’s value, income, asset composition, the history and substance in the structure, the non-Chinese tax implications, any tax treaty benefit and the availability of alternative transactions. Nevertheless, a non-resident enterprise’s buying and selling shares or ADSs of the same listed foreign enterprise on the public market will fall under the safe harbor available under SAT Circular 7 if the shares and ADSs were purchased on the public market as well and will not be subject to Chinese tax pursuant to SAT Circular 7.</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However, as these rules and notices are relatively new and there is a lack of clear statutory interpretation, we face uncertainties regarding the reporting required for and impact on future private equity financing transactions, share exchanges or other transactions involving the transfer of shares in our company by investors that are non-Chinese resident enterprises, or the sale or purchase of shares in other non-Chinese resident companies or other taxable assets by us. For example, the Chinese tax authorities may consider that a future securities offering involves an indirect change of shareholding in our Chinese subsidiaries and therefore it may be regarded as an Indirect Transfer under SAT Circular 7. Even if we believe no SAT Circular 7 reporting is required on the basis that such an offering has commercial purposes and is not conducted for tax avoidance, Chinese tax authorities may pursue us to report under SAT Circular 7 and request that we and our Chinese subsidiaries assist in the filing. As a result, we and our subsidiaries may be required to expend significant resources to provide assistance and comply with SAT Circular 7, or establish that we or our non-resident enterprises should not be subject to tax under SAT Circular 7, for such an offering or other transactions, which may have an adverse effect on our and their financial condition and day-to-day operations.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Any failure to comply with Chinese regulations regarding the registration requirements for our employee equity incentive plans may subject us to fines and other legal or administrative sanctions, which could adversely affect our business, financial condition and results of operations.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In February 2012, the SAFE promulgated the Stock Option Rules. In accordance with the Stock Option Rules and other relevant rules and regulations, Chinese citizens or non-Chinese citizens residing in China for a continuous period of not less than one year who participate in any stock incentive plan of an overseas publicly listed company, subject to a few exceptions, are required to register with SAFE through a domestic qualified agent, which could be a Chinese subsidiary of such overseas listed company, and complete certain procedures. We and our employees who are Chinese citizens or who reside in China for a continuous period of not less than one year and who participate in our stock incentive plans are subject to such regulation. We plan to assist our employees to register their equity awards. However, any failure of our Chinese individual beneficial owners and holders of equity awards to comply with the SAFE registration requirements may subject them to fines and legal sanctions and may limit the ability of our Chinese subsidiaries to distribute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119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dividends to us. We also face regulatory uncertainties that could restrict our ability to adopt additional incentive plans for our directors and employees under Chinese law.</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Risks Related to Our Intellectual Property</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If we are unable to obtain and maintain sufficient intellectual property protection for our platform technologies and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markets. Our success depends in large part on our ability to obtain and maintain patent protection for our product candidates and their intended uses, maintain trade secret protection of our platform technologies, as well as our ability to operate without infringing the proprietary rights of others. We seek to protect our proprietary position by filing patent applications in the United States and abroad related to our novel discoveries and technologies that are important to our business. Our pending and future patent applications may not result in patents being issued, or may not result in issued patents that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or products.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including due to delays as a result of the COVID-19 pandemic impacting our or our licensors’ operations. Further, we may decide to not pursue or seek patent protection in all relevant markets.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 If we delay in filing a patent application, and a competitor files a patent application on the same or a similar technology before we do, we may face a limited ability to secure patent rights. Or we may not be able to obtain a patent on such technology at all. Even if we can patent the technology, we may be able to patent only a limited scope of the technology, and the limited scope may be inadequate to protect our product candidates, or to block competitor products or product candidates that are similar to ours.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Composition of matter patents for pharmaceutical product candidates often provide a strong form of intellectual property protection for those types of products, as such patents provide protection without regard to any method of use. The claims in our pending patent applications directed to composition of matter of our product candidates may not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 of use patents, the practice is common and such infringement is difficult to prevent or prosecute.</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 patent position of biopharmaceutical companies generally is highly uncertain, involves complex legal and factual questions for which many legal principles continue to change. In recent years, patent rights have been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120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subject of much litigation. As a result, the issuance, scope, validity, enforceability and commercial value of our patent rights are highly uncertain.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or vice versa.</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cannot ensure that patent rights relating to inventions described and claimed in our pending patent applications will issue or that patents based on our patent applications will not be challenged and rendered invalid and/or unenforceable.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patent application process is subject to numerous risks and uncertainties, and we or any of our potential future collaborators may not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Patent applications in the United States and other foreign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As a result, the issuance, inventorship, scope, validity, enforceability and commercial value of our patent rights are highly uncertain. We or any of our potential future collaborators may not be successful in protecting our product candidates by obtaining and defending patents. We have pending U.S. and foreign patent applications in our portfolio; however, we cannot predict:</w:t>
      </w:r>
    </w:p>
    <w:tbl>
      <w:tblPr>
        <w:tblW w:w="5808" w:type="dxa"/>
        <w:jc w:val="left"/>
        <w:tblInd w:w="0" w:type="dxa"/>
        <w:tblCellMar>
          <w:top w:w="0" w:type="dxa"/>
          <w:left w:w="0" w:type="dxa"/>
          <w:bottom w:w="0" w:type="dxa"/>
          <w:right w:w="0" w:type="dxa"/>
        </w:tblCellMar>
      </w:tblPr>
      <w:tblGrid>
        <w:gridCol w:w="23"/>
        <w:gridCol w:w="170"/>
        <w:gridCol w:w="56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61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and when patents may issue based on our patent applications;</w:t>
            </w:r>
          </w:p>
        </w:tc>
      </w:tr>
    </w:tbl>
    <w:tbl>
      <w:tblPr>
        <w:tblW w:w="7023" w:type="dxa"/>
        <w:jc w:val="left"/>
        <w:tblInd w:w="0" w:type="dxa"/>
        <w:tblCellMar>
          <w:top w:w="0" w:type="dxa"/>
          <w:left w:w="0" w:type="dxa"/>
          <w:bottom w:w="0" w:type="dxa"/>
          <w:right w:w="0" w:type="dxa"/>
        </w:tblCellMar>
      </w:tblPr>
      <w:tblGrid>
        <w:gridCol w:w="23"/>
        <w:gridCol w:w="170"/>
        <w:gridCol w:w="68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83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scope of protection of any patent issuing based on our patent applications;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claims of any patent issuing based on our patent applications will provide protection against competitors;</w:t>
            </w:r>
          </w:p>
        </w:tc>
      </w:tr>
    </w:tbl>
    <w:tbl>
      <w:tblPr>
        <w:tblW w:w="7623" w:type="dxa"/>
        <w:jc w:val="left"/>
        <w:tblInd w:w="0" w:type="dxa"/>
        <w:tblCellMar>
          <w:top w:w="0" w:type="dxa"/>
          <w:left w:w="0" w:type="dxa"/>
          <w:bottom w:w="0" w:type="dxa"/>
          <w:right w:w="0" w:type="dxa"/>
        </w:tblCellMar>
      </w:tblPr>
      <w:tblGrid>
        <w:gridCol w:w="23"/>
        <w:gridCol w:w="170"/>
        <w:gridCol w:w="74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43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or not third parties will find ways to invalidate or circumvent our patent rights;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or not others will obtain patents claiming aspects similar to those covered by our patents and patent applications;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we will need to initiate litigation or administrative proceedings to enforce and/or defend our patent rights which will be costly whether we win or lose;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the patent applications that we own or in-license will result in issued patents with claims that cover our product candidates or uses thereof in the United States or in other foreign countries; and/or</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we may experience patent office interruption or delays to our ability to timely secure patent coverage to our product candidates.</w:t>
            </w:r>
          </w:p>
        </w:tc>
      </w:tr>
    </w:tbl>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 claims in our pending patent applications directed to our product candidates and/or technologies may not be considered patentable by the USPTO or by patent offices in foreign countries. Any such patent applications may not be issued as granted patents.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There may be double patenting among our own patents, which the patent examiner(s) fail to raise during prosecution.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121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product candidates is threatened, it could dissuade companies from collaborating with us to develop and threaten our ability to commercialize our product candidates.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Our pending patent applications may be challenged in the USPTO or in patent offices in foreign countries. Also, because the issuance of a patent is not conclusive as to its scope, validity or enforceability, even issued patents may later be found invalid or unenforceable or may be modified or revoked in proceedings instituted by third parties before various patent offices or in courts. For example, our pending patent applications may be subject to third-party pre-issuance submissions of prior art to the USPTO or patent offices in foreign countries or our issued patents may be subject to post-grant review (“PGR”) proceedings, oppositions, derivations, reexaminations, or </w:t>
      </w:r>
      <w:r>
        <w:rPr>
          <w:rFonts w:ascii="Arial;Helvetica;sans-serif" w:hAnsi="Arial;Helvetica;sans-serif"/>
          <w:i/>
          <w:sz w:val="20"/>
        </w:rPr>
        <w:t>inter partes</w:t>
      </w:r>
      <w:r>
        <w:rPr>
          <w:rFonts w:ascii="Arial;Helvetica;sans-serif" w:hAnsi="Arial;Helvetica;sans-serif"/>
          <w:sz w:val="20"/>
        </w:rPr>
        <w:t xml:space="preserve"> review (“IPR”) proceedings, in the United States or elsewhere, challenging our patent rights or the patent rights of others. An adverse determination in any such challenges may result in loss of exclusivity or in our patent claims being narrowed, invalidated, or held unenforceable, in whole or in part, which could limit our ability to stop others from using or commercializing similar or identical technologies and products, or limit the duration of the patent protection of our technologies and product candidates. In addition, given the amount of time required for the development, testing and regulatory review of new product candidates, patents protecting such candidates might expire before or shortly after such candidates are commercialized. As a result, only limited protection may be available and our patent portfolio may not provide us with sufficient rights or permit us to gain or keep any competitive advantage. Any failure to obtain or maintain patent protection with respect to our product candidates or their uses could have a material adverse effect on our business, financial condition, results of operations and prospects.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rely on trade secret and proprietary know-how which can be difficult to trace and enforce and, if we are unable to protect the confidentiality of our trade secrets, our business and competitive position would be harmed.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to seeking patent protection for our product candidates and technologies, we rely on trade secret protection and confidentiality agreements to protect proprietary know-how that is not patentable, processes for which patents are difficult to enforce and any other elements of our discovery and development processes that involve proprietary know-how, information or technology that is not covered by patents. Elements of our product candidates, including processes for their preparation and manufacture, may involve proprietary know-how, information, or technology that is not covered by patents, and thus for these aspects we may consider trade secrets and know-how to be our primary intellectual property. We may also rely on trade secret protection as temporary protection for concepts that may be included in a future patent filing. We expect to rely on CROs and third parties to generate chemical molecules and important research data. Any disclosure, either intentional or unintentional, by our employees or third-party consultants and vendors or CROs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requires us to share our trade secrets, which increases the possibility that a competitor will discover them or that our trade secrets will be misappropriated or disclosed.</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However, trade secret protection will not protect us from innovations that a competitor develops independently of our proprietary know-how.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complete development of, or commercialize, our products. Although we require all of our employees, consultants, collaborators, CROs, contract manufacturers, advisors and any third parties who have access to our proprietary know-how, information or technologies to enter into confidentiality agreements, we cannot guarantee that we have entered into such agreements with each party that may have or has had access to our trade secrets or proprietary technology and processes. We cannot be certain that our trade secrets and other confidential proprietary information may not be disclosed or that competitors will not otherwise gain access to our trade secrets or independently develop substantially equivalent information and techniques. Despite these efforts,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122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may rely on one or more in-licenses from third parties. If we lose these rights, our business may be materially adversely affected, and if disputes arise with one or more licensors, we may be subjected to future litigation as well as the potential loss of or limitations on our ability to develop and commercialize products and technologies covered by these license agreements.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growth of our business may depend in part on our ability to acquire or in-license additional proprietary rights.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technology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and technology that we may seek to acquire.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may in the future enter into license agreements with third parties under which we receive rights to intellectual property that are important to our business. Our rights to use the technology we license are subject to the continuation of and compliance with the terms of those agreements. These intellectual property license agreements may require of us various development, regulatory and/or commercial diligence obligations, payment of milestones and/or royalties and other obligations. If we fail to comply with our obligations under these agreements (including as a result of COVID-19 impacting our operations), we use the licensed intellectual property in an unauthorized manner or we are subject to bankruptcy-related proceedings, the terms of the license agreements may be materially modified, such as by rendering currently exclusive licenses non-exclusive, or it may give our licensors the right to terminate their respective agreement with us, which could limit our ability to implement our current business plan and materially adversely affect our business, financial condition, results of operations and prospects.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123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some cases, we may not control the prosecution, maintenance or filing of the patents to which we hold licenses, or the enforcement of those patents against third parties. Hence, our success will depend in part on the ability of our licensors to obtain, maintain and enforce patent protection for our licensed intellectual property, in particular, those patents to which we have secured exclusive rights. Our licensors may not successfully prosecute the patent applications to which we are licensed in a manner consistent with the best interests of our business. Even if patents are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Further,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 In the event our licensors fail to adequately pursue and maintain patent protection for patents and applications they control, and to timely cede control of such prosecution to us, our competitors might be able to enter the market, which would have a material adverse effect on our business.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Moreover, disputes may arise with respect to our licensing or other upstream agreements, including:</w:t>
      </w:r>
    </w:p>
    <w:tbl>
      <w:tblPr>
        <w:tblW w:w="7878" w:type="dxa"/>
        <w:jc w:val="left"/>
        <w:tblInd w:w="0" w:type="dxa"/>
        <w:tblCellMar>
          <w:top w:w="0" w:type="dxa"/>
          <w:left w:w="0" w:type="dxa"/>
          <w:bottom w:w="0" w:type="dxa"/>
          <w:right w:w="0" w:type="dxa"/>
        </w:tblCellMar>
      </w:tblPr>
      <w:tblGrid>
        <w:gridCol w:w="23"/>
        <w:gridCol w:w="170"/>
        <w:gridCol w:w="76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68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scope of rights granted under the agreements and other interpretation-related issues;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whether and the extent to which our systems and consumables, technologies and processes infringe on intellectual property of the licensor that is not subject to the licensing agreement;</w:t>
            </w:r>
          </w:p>
        </w:tc>
      </w:tr>
    </w:tbl>
    <w:tbl>
      <w:tblPr>
        <w:tblW w:w="8268" w:type="dxa"/>
        <w:jc w:val="left"/>
        <w:tblInd w:w="0" w:type="dxa"/>
        <w:tblCellMar>
          <w:top w:w="0" w:type="dxa"/>
          <w:left w:w="0" w:type="dxa"/>
          <w:bottom w:w="0" w:type="dxa"/>
          <w:right w:w="0" w:type="dxa"/>
        </w:tblCellMar>
      </w:tblPr>
      <w:tblGrid>
        <w:gridCol w:w="23"/>
        <w:gridCol w:w="170"/>
        <w:gridCol w:w="80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07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sublicensing of patent and other rights under our collaborative development relationships;</w:t>
            </w:r>
          </w:p>
        </w:tc>
      </w:tr>
    </w:tbl>
    <w:tbl>
      <w:tblPr>
        <w:tblW w:w="9663" w:type="dxa"/>
        <w:jc w:val="left"/>
        <w:tblInd w:w="0" w:type="dxa"/>
        <w:tblCellMar>
          <w:top w:w="0" w:type="dxa"/>
          <w:left w:w="0" w:type="dxa"/>
          <w:bottom w:w="0" w:type="dxa"/>
          <w:right w:w="0" w:type="dxa"/>
        </w:tblCellMar>
      </w:tblPr>
      <w:tblGrid>
        <w:gridCol w:w="23"/>
        <w:gridCol w:w="170"/>
        <w:gridCol w:w="94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47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diligence obligations under the license agreements and what activities satisfy those diligence obligations;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inventorship and ownership of inventions and know-how resulting from the joint creation or use of intellectual property by our licensors and us and our partners; and</w:t>
            </w:r>
          </w:p>
        </w:tc>
      </w:tr>
    </w:tbl>
    <w:tbl>
      <w:tblPr>
        <w:tblW w:w="4293" w:type="dxa"/>
        <w:jc w:val="left"/>
        <w:tblInd w:w="0" w:type="dxa"/>
        <w:tblCellMar>
          <w:top w:w="0" w:type="dxa"/>
          <w:left w:w="0" w:type="dxa"/>
          <w:bottom w:w="0" w:type="dxa"/>
          <w:right w:w="0" w:type="dxa"/>
        </w:tblCellMar>
      </w:tblPr>
      <w:tblGrid>
        <w:gridCol w:w="23"/>
        <w:gridCol w:w="170"/>
        <w:gridCol w:w="410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10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priority of invention of patented technology.</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In spite of our efforts to comply with our obligations under our in-license agreements, our licensors might conclude that we have materially breached our obligations under our license agreements and might therefore, including in connection with any aforementioned disputes, terminate the relevant license agreement, thereby removing or limiting our ability to develop and commercialize products and technology covered by these license agreements. If any such in-license is terminated, or if the licensed patents fail to provide the intended exclusivity, competitors or other third parties might have the freedom to market or develop products similar to ours. In addition, absent the rights granted to us under such license agreements, we may infringe the intellectual property rights that are the subject of those agreements, we may be subject to litigation by the licensor, and if such litigation by the licensor is successful we may be required to pay damages to such licensor, or we may be required to cease our development and commercialization activities which are deemed infringing, and in such event we may ultimately need to modify our activities or products to design around such infringement, which may be time- and resource-consuming, and which may not be ultimately successful. Any of the foregoing could have a material adverse effect on our business, financial condition, results of operations and prospects.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124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Our intellectual property licensed from third parties may be subject to retained rights.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future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Government agencies may provide funding, facilities, personnel or other assistance in connection with the development of the intellectual property rights owned by or licensed to us. Such government agencies may have retained rights in such intellectual property. The United States federal government retains certain rights in inventions produced with its financial assistance under the Patent and Trademark Law Amendments Act (the “Bayh-Dole Act”); these include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While it is our policy to avoid engaging our university partners in projects in which there is a risk that federal funds may be commingled,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own or license in the future. We rely on our outside counsel, patent annuity service providers, or our licensing partners to pay these fees due to non-U.S. patent agencies. If these fees are not paid to the USPTO or the non-U.S. patent agencies when due, our rights to such patents or patent applications may be abandoned or otherwise materially impaired.</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 USPTO and various non-U.S. government patent agencies require compliance with several procedural, documentary, and other similar provisions during the patent application process. For example, many countries, including the U.S. and China, require a foreign filing license to seek patent protection in a country outside of the inventor’s or invention’s country. Each country’s laws regarding foreign filing licenses vary and may even conflict. We employ reputable law firms and other professionals to help us comply and we are also dependent on our licensors to take the necessary action to comply with these requirements with respect to our intellectual property. In many cases, an inadvertent lapse, including due to the effect of the COVID-19 pandemic on us, our licensors or our vendors,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Non-compliance events that could result in abandonment or lapse of a patent or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125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patent application include, but are not limited to, failure to respond to official actions within prescribed time limits, non-payment of fees and failure to properly legalize and submit formal documents. In such an event, potential competitors might be able to enter the market and this circumstance could harm our business.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Patent terms may be inadequate to protect our competitive position on our product candidates for an adequate amount of time.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Patents have a limited lifespan. In the United States, if all maintenance fees are paid timely, the natural expiration of a patent is generally 20 years from the earliest filing date of a non-provisional patent application. Various extensions may be available; however, the life of a patent, and the protection it affords, is limited. For instance,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necessarily extend to all patent claims, but instead only to patent claims that read on the product as approved. Even if patents covering our product candidates are obtained, once the patent life has expired for a product candidate, we may be open to competition.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Given the amount of time required for the development, testing and regulatory review of our new product candidates such as GSBR-1290, ANPA-0073 and any of our future product candidates, patents protecting such candidates might expire before or shortly after such candidates are commercialized. We expect to seek extensions of patent terms in the United States and, if available, in other countries where we are prosecuting patents. In the United States, the Drug Price Competition and Patent Term Restoration Act of 1984 permits a patent term extension of up to five years beyond the normal expiration of the patent, which is limited to the approved indication (or any additional indications approved during the period of extension) as compensation for effective patent term lost during product development and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Further,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be able to take advantage of our investment in development and clinical trials by referencing our clinical and preclinical data and launch their product candidates earlier than might otherwise be the case.</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Intellectual property rights do not necessarily address all potential threats to our business.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degree of future protection afforded by our intellectual property rights is uncertain because intellectual property rights have limitations, and may not adequately protect our business. The following examples are illustrative:</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others may be able to make compounds or formulations that are similar to our product candidates but that are not covered by the claims of any patents that we own or control;</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or any strategic partners might not have been the first to make the inventions covered by the issued patents or pending patent applications that we own or control;</w:t>
            </w:r>
          </w:p>
        </w:tc>
      </w:tr>
    </w:tbl>
    <w:tbl>
      <w:tblPr>
        <w:tblW w:w="9813" w:type="dxa"/>
        <w:jc w:val="left"/>
        <w:tblInd w:w="0" w:type="dxa"/>
        <w:tblCellMar>
          <w:top w:w="0" w:type="dxa"/>
          <w:left w:w="0" w:type="dxa"/>
          <w:bottom w:w="0" w:type="dxa"/>
          <w:right w:w="0" w:type="dxa"/>
        </w:tblCellMar>
      </w:tblPr>
      <w:tblGrid>
        <w:gridCol w:w="23"/>
        <w:gridCol w:w="170"/>
        <w:gridCol w:w="96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62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might not have been the first to file patent applications covering certain of the inventions we own or control;</w:t>
            </w:r>
          </w:p>
        </w:tc>
      </w:tr>
    </w:tbl>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126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others may independently develop similar or alternative technologies or duplicate any of our technologies without infringing our intellectual property rights;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it is possible that noncompliance with the USPTO and foreign governmental agencies requirement for a number of procedural, documentary, fee payment and other provisions during the patent process or technology export can result in abandonment or lapse of a patent or patent application, and partial or complete loss of patent rights in the relevant jurisdiction;</w:t>
            </w:r>
          </w:p>
        </w:tc>
      </w:tr>
    </w:tbl>
    <w:tbl>
      <w:tblPr>
        <w:tblW w:w="7353" w:type="dxa"/>
        <w:jc w:val="left"/>
        <w:tblInd w:w="0" w:type="dxa"/>
        <w:tblCellMar>
          <w:top w:w="0" w:type="dxa"/>
          <w:left w:w="0" w:type="dxa"/>
          <w:bottom w:w="0" w:type="dxa"/>
          <w:right w:w="0" w:type="dxa"/>
        </w:tblCellMar>
      </w:tblPr>
      <w:tblGrid>
        <w:gridCol w:w="23"/>
        <w:gridCol w:w="170"/>
        <w:gridCol w:w="71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16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pending patent applications that we own or control may not lead to issued patents;</w:t>
            </w:r>
          </w:p>
        </w:tc>
      </w:tr>
    </w:tbl>
    <w:tbl>
      <w:tblPr>
        <w:tblW w:w="9408" w:type="dxa"/>
        <w:jc w:val="left"/>
        <w:tblInd w:w="0" w:type="dxa"/>
        <w:tblCellMar>
          <w:top w:w="0" w:type="dxa"/>
          <w:left w:w="0" w:type="dxa"/>
          <w:bottom w:w="0" w:type="dxa"/>
          <w:right w:w="0" w:type="dxa"/>
        </w:tblCellMar>
      </w:tblPr>
      <w:tblGrid>
        <w:gridCol w:w="23"/>
        <w:gridCol w:w="170"/>
        <w:gridCol w:w="92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21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issued patents that we own or control may be held invalid or unenforceable as a result of legal challenges;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competitors might conduct research and development activities in the United States and other foreign countries that provide a safe harbor from patent infringement claims for certain research and development activities, as well as in countries where we do not have patent rights and then use the information learned from such activities to develop competitive product candidates for sale in our major commercial markets;</w:t>
            </w:r>
          </w:p>
        </w:tc>
      </w:tr>
    </w:tbl>
    <w:tbl>
      <w:tblPr>
        <w:tblW w:w="6708" w:type="dxa"/>
        <w:jc w:val="left"/>
        <w:tblInd w:w="0" w:type="dxa"/>
        <w:tblCellMar>
          <w:top w:w="0" w:type="dxa"/>
          <w:left w:w="0" w:type="dxa"/>
          <w:bottom w:w="0" w:type="dxa"/>
          <w:right w:w="0" w:type="dxa"/>
        </w:tblCellMar>
      </w:tblPr>
      <w:tblGrid>
        <w:gridCol w:w="23"/>
        <w:gridCol w:w="170"/>
        <w:gridCol w:w="65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51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not develop additional proprietary technologies that are patentable;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cannot predict the scope of protection of any patent issuing based on our patent applications, including whether the patent applications that we own or in-license will result in issued patents with claims that directed to our product candidates or uses thereof in the United States or in other foreign countries;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countries other than the United States may have patent laws that are less favorable to patentees than those upheld by U.S. courts, allowing foreign competitors a better opportunity to create, develop and market competing product candidates;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claims of any patent issuing based on our patent applications may not provide protection against competitors or any competitive advantages, or may be challenged by third parties;</w:t>
            </w:r>
          </w:p>
        </w:tc>
      </w:tr>
    </w:tbl>
    <w:tbl>
      <w:tblPr>
        <w:tblW w:w="7608" w:type="dxa"/>
        <w:jc w:val="left"/>
        <w:tblInd w:w="0" w:type="dxa"/>
        <w:tblCellMar>
          <w:top w:w="0" w:type="dxa"/>
          <w:left w:w="0" w:type="dxa"/>
          <w:bottom w:w="0" w:type="dxa"/>
          <w:right w:w="0" w:type="dxa"/>
        </w:tblCellMar>
      </w:tblPr>
      <w:tblGrid>
        <w:gridCol w:w="23"/>
        <w:gridCol w:w="170"/>
        <w:gridCol w:w="74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41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enforced, a court may not hold that our patents are valid, enforceable and infringed;</w:t>
            </w:r>
          </w:p>
        </w:tc>
      </w:tr>
    </w:tbl>
    <w:tbl>
      <w:tblPr>
        <w:tblW w:w="7083" w:type="dxa"/>
        <w:jc w:val="left"/>
        <w:tblInd w:w="0" w:type="dxa"/>
        <w:tblCellMar>
          <w:top w:w="0" w:type="dxa"/>
          <w:left w:w="0" w:type="dxa"/>
          <w:bottom w:w="0" w:type="dxa"/>
          <w:right w:w="0" w:type="dxa"/>
        </w:tblCellMar>
      </w:tblPr>
      <w:tblGrid>
        <w:gridCol w:w="23"/>
        <w:gridCol w:w="170"/>
        <w:gridCol w:w="689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89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may not develop additional proprietary technologies that are patentable;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patents of others may have an adverse effect on our business, including if others obtain patents claiming subject matter similar to or improving that covered by our patents and patent applications.</w:t>
            </w:r>
          </w:p>
        </w:tc>
      </w:tr>
    </w:tbl>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Third parties may initiate legal proceedings alleging that we are infringing, misappropriating or otherwise violating their intellectual property rights, the outcome of which would be uncertain and could have a negative impact on the success of our business.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Our commercial success depends, in part, upon our ability and the ability of our current or future collaborators to develop, manufacture, market and sell our current and any future product candidates and use our proprietary technologies without infringing the proprietary rights and intellectual property of third parties. The biotechnology and pharmaceutical industries are characterized by extensive and complex litigation regarding patents and other intellectual property rights. Because the intellectual property landscape in the industry in which we participate is rapidly evolving and interdisciplinary, it is difficult to conclusively assess our freedom to operate without infringing on third-party rights.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127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fields, there may be a risk that third parties may allege they have patent rights encompassing our product candidates, technologies or methods.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product candidates and other proprietary technologies we may develop may infringe existing or future patents owned by third parties. We may in the future become party to, or be threatened with, adversarial proceedings or litigation regarding intellectual property rights with respect to our current and any future product candidates and technologies, including interference or derivation, PGR and IPR proceedings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a court of competent jurisdiction may not invalidate the claims of any such U.S. patent. If we are found to infringe a third party’s valid and enforceable intellectual property rights, we could be required to obtain a license from such third party to continue developing, manufacturing and marketing our product candidate(s) and technologies.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technologies or product candidate, or redesign our product candidates or processes so they do not infringe, which may not be possible or may require substantial monetary expenditures and time. In addition, we could be found liable for monetary damages, including treble damages and attorneys’ fees, if we are found to have willfully infringed a patent or other intellectual property right. A finding of infringement could prevent us from manufacturing and commercializing our current or any future product candidates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Third parties asserting their patent or other intellectual property rights against us may also seek and obtain injunctive or other equitable relief, which could effectively block our ability to further develop and commercialize our product candidates or force us to cease some of our business operations. Defense of these claims, regardless of their merit, would involve substantial litigation expense and would be a substantial diversion of management and other employee resources from our business, cause development delays, and may impact our reputation.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if our product candidates are found to infringe the intellectual property rights of third parties, these third parties may assert infringement claims against our licensees and other parties with whom we have business relationships, and we may be required to indemnify those parties for any damages they suffer as a result of these claims. The claims may require us to initiate or defend protracted and costly litigation on behalf of licensees and other parties regardless of the merits of these claims. If any of these claims succeed, we may be forced to pay damages on behalf of those parties or may be required to obtain licenses for the products they use.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Additionally, during the course of any intellectual property litigation, there could be public announcements of the initiation of the litigation as well as results of hearings, rulings on motions and other interim proceedings in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128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litigation. If securities analysts or investors regard these announcements as negative, the perceived value of our existing product candidates, programs or intellectual property could be diminished. Accordingly, the market price of our ADSs may decline. Such announcements could also harm our reputation or the market for our future products, which could have a material adverse effect on our business.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may become involved in lawsuits to protect or enforce our patents or other intellectual property, which could be expensive, time consuming and unsuccessful.</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Competitors or other third parties may infringe or otherwise violate our patents, trademarks or other intellectual property.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technologies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patent offices in foreign countries or made a misleading statement during prosecution. Third parties may also raise similar validity claims before the USPTO in post-grant proceedings such as ex parte reexaminations, IPR, or PGR, or oppositions or similar proceedings outside the United States, in parallel with litigation or even outside the context of litigation. The outcome following legal assertions of invalidity and unenforceability is unpredictable. There may be invalidating prior art, of which we and the patent examiner were unaware during prosecution. There may be double patenting among our own patents, which the patent examiner(s) fail to raise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technologies falls under the safe harbor to patent infringement under 35 U.S.C. §271(e)(1). An adverse outcome in a litigation or other proceeding involving our patents could limit our ability to assert our patents against those parties or other competitors and may curtail or preclude our ability to exclude third parties from making and selling similar or competitive products.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such case, we could ultimately be forced to cease use of such trademarks. In any intellectual property litigation, even if we are successful, any award of monetary damages or other remedy we receive may not be commercially valuable.</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129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litigation. There could also be public announcements of the results of hearings, motions or other interim proceedings or developments. If securities analysts or investors perceive these results to be negative, it could have a material adverse effect on the price of our ADSs.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Further, interference or derivation proceedings provoked by third parties or brought by the USPTO or patent offices in foreign countries may be necessary to determine the priority of inventions with respect to, or the correct inventorship of, our patents or patent applications or those of our licensors. An unfavorable outcome could result in a loss of our current patent rights and could require us to cease using the related technologies or to attempt to license rights to it from the prevailing party. Our business could be harmed if the prevailing party does not offer us a license on commercially reasonable terms. Litigation, interference, derivation or other proceedings may result in a decision adverse to our interests and, even if we are successful, may result in substantial costs and distract our management and other employees.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may not be able to prevent, alone or with our licensors,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Because of the expense and uncertainty of litigation, we may not be in a position to enforce our intellectual property rights against third parties.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Because of the expense and uncertainty of litigation, we may conclude that even if a third-party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shareholders,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clinical trials, continue our internal research programs, in-license needed technologies or other product candidates, or enter into development partnerships that would help us bring our product candidates to market.</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Changes in U.S. patent law or the patent law of other countries or jurisdictions could diminish the value of patents in general, thereby impairing our ability to protect our current and any future product candidates.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Changes in either the patent laws or interpretation of the patent laws in the United States and other foreign countries could increase uncertainties and costs, and may diminish our ability to protect our inventions, obtain, maintain, and enforce our intellectual property rights and, more generally, could affect the value of our patents or narrow the scope of our patent protection. On September 16, 2011, the Leahy-Smith America Invents Act (the “Leahy-Smith Act”) was signed into law. When implemented, the Leahy-Smith Act included several significant changes to U.S. patent law that impacted how patent rights could be prosecuted, enforced and defended.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Further, because of a lower evidentiary standard in these USPTO post-grant proceedings compared to the evidentiary standard in United States federal courts necessary to invalidate a patent claim, a third party could potentially provide evidence in a USPTO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130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proceeding sufficient for the USPTO to hold a patent claim invalid even though the same evidence would be insufficient to invalidate the patent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under the Leahy-Smith Act, the United States transitioned from a “first-to-invent” system to a “first-to-file” system in which, assuming that the other statutory requirements are met, the first inventor to file a patent application will be entitled to the patent on an invention regardless of whether a third-party was the first to invent the claimed invention. A third party that files a patent application in the USPTO after March 2013, but before we file an application covering the same invention,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and other proprietary technologies we may develop or (ii) invent any of the inventions claimed in our or our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USPTO developed new regulations and procedures governing the administration of the Leahy-Smith Act, and many of the substantive changes to patent law associated with the Leahy-Smith Act, and in particular, the first to file provisions, became effective on March 16, 2013. It remains unclear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negative effect on our business.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may not be able to protect our intellectual property rights throughout the world, which could negatively impact our business.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Filing, prosecuting and defending patents covering our current and any future product candidates throughout the world would be prohibitively expensive, and our intellectual property rights in some countries outside the United States can have a different scope and strength than do those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jurisdictions where we have not obtained patent protection to develop their own product candidates and, further, may export otherwise infringing product candidates to territories where we may obtain patent protection, but where patent enforcement is not as strong as that in the United States. These product candidates may compete with our product candidates in jurisdictions where we do not have any issued or licensed patents and any future patent claims or other intellectual property rights may not be effective or sufficient to prevent them from so competing.</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131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 and other intellectual property rights in foreign jurisdictions could result in substantial costs and divert our efforts and attention from other aspects of our business. Furthermore, such proceedings could put our patents at risk of being invalidated, held unenforceable, or interpreted narrowly,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Such disclosure could have a material adverse effect on our business. Moreover, our ability to protect and enforce our intellectual property rights may be adversely affected by unforeseen changes in foreign intellectual property laws. In addition, certain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may be subject to claims that our employees, consultants, or advisors have wrongfully used or disclosed trade secrets or other confidential information of their current or former employers or claims asserting inventorship or ownership of what we regard as our own intellectual property.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Many of our employees, consultants, and advisors are currently or were previously employed at universities or other healthcare,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or client.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invalid or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For example, we may have inventorship disputes arise from conflicting obligations of consultants or others who are involved in developing our product candidates. Litigation may be necessary to defend against these and other claims challenging inventorship.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our management and other employees.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132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 candidates and technology. This could have a material adverse effect on our competitive position, business, financial conditions, results of operations, and prospects.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may not identify relevant third-party patents or may incorrectly interpret the relevance, scope or expiration of a third-party patent, which might adversely affect our ability to develop and market our products.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Any of our patent searches or analyses, including the identification of relevant patents, the scope of patent claims or the expiration of relevant patents, may not be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For example, we may incorrectly determine that our products are not covered by a third-party patent or may incorrectly predict whether a third-party’s pending application will issue with claims of relevant scope. Also,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the claims of our patent applications or, if issued, affect the validity or enforceability of a patent claim. 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Because patent applications in the United States and most other countries are confidential for typically a period of 18 months after filing, or may not be published at all, we may not be the first to file any patent application related to our product candidates. As a result, the issuance, scope, validity, enforceability and commercial value of our patent rights are highly uncertain. Furthermore, for U.S. applications in which all claims are entitled to a priority date before March 16, 2013, an interference proceeding can be provoked by a third party or instituted by the USPTO to determine who was the first to invent any of the subject matter covered by the patent claims of our applications. For U.S. applications containing a patent claim not entitled to priority before March 16, 2013, there is a greater level of uncertainty in the patent law in view of the passage of the Leahy-Smith Act, which brought into effect significant changes to the U.S. patent laws, including new procedures for challenging pending patent applications and issued patents.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133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If our trademarks and trade names are not adequately protected, we may not be able to build name recognition in our markets of interest and our business may be adversely affected.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current or future trademarks or trade names may be challenged, opposed, infringed, circumvented, invalidated, cancelled, declared generic, determined to be not entitled to registration, or determined to be infringing on other marks. During trademark registration proceedings, we may receive rejections of our applications by the USPTO or in foreign jurisdictions.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Any trademark litigation could be expensive. In addition, we could be found liable for significant monetary damages, including treble damages, disgorgement of profits and attorneys’ fees, if we are found to have willfully infringed a trademark. We may not be able to protect our exclusive right to these trademarks and trade names or may be forced to stop using these names, which we need for name recognition by potential collaborators or customers in our markets of interest. If we are unable to establish name recognition based on our trademarks and trade names,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Moreover, any name we have proposed to use with our product candidates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Risks Related to Our ADSs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The price of our ADSs may be volatile, and you could lose all or part of your investment.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trading price of our ADSs is likely to be highly volatile and could be subject to wide fluctuations in response to various factors, some of which are beyond our control, including limited trading volume. In addition to the factors discussed in this “Risk Factors” section and elsewhere in this Annual Report, these factors include:</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commencement, enrollment or results of our ongoing and planned preclinical studies and clinical trials, or any future preclinical studies or clinical trials, we may conduct of our current and any future product candidates, or changes in the development status of our current and any future product candidates;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delay in preparing regulatory submissions to support development or commercialization of our current and any future product candidates and any adverse development or perceived adverse development with respect to the applicable regulatory authority’s review of such submissions, including without limitation the FDA’s issuance of a “refusal to file” letter or a request for additional information;</w:t>
            </w:r>
          </w:p>
        </w:tc>
      </w:tr>
    </w:tbl>
    <w:tbl>
      <w:tblPr>
        <w:tblW w:w="6138" w:type="dxa"/>
        <w:jc w:val="left"/>
        <w:tblInd w:w="0" w:type="dxa"/>
        <w:tblCellMar>
          <w:top w:w="0" w:type="dxa"/>
          <w:left w:w="0" w:type="dxa"/>
          <w:bottom w:w="0" w:type="dxa"/>
          <w:right w:w="0" w:type="dxa"/>
        </w:tblCellMar>
      </w:tblPr>
      <w:tblGrid>
        <w:gridCol w:w="23"/>
        <w:gridCol w:w="170"/>
        <w:gridCol w:w="594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94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adverse results or delays in our preclinical studies and clinical trials;</w:t>
            </w:r>
          </w:p>
        </w:tc>
      </w:tr>
    </w:tbl>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134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9243" w:type="dxa"/>
        <w:jc w:val="left"/>
        <w:tblInd w:w="0" w:type="dxa"/>
        <w:tblCellMar>
          <w:top w:w="0" w:type="dxa"/>
          <w:left w:w="0" w:type="dxa"/>
          <w:bottom w:w="0" w:type="dxa"/>
          <w:right w:w="0" w:type="dxa"/>
        </w:tblCellMar>
      </w:tblPr>
      <w:tblGrid>
        <w:gridCol w:w="23"/>
        <w:gridCol w:w="170"/>
        <w:gridCol w:w="90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05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decision to initiate a clinical trial, not to initiate a clinical trial, or to terminate an existing clinical trial;</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adverse regulatory decisions, including failure to receive marketing approval for our current and any future product candidates;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laws or regulations applicable to our current and any future product candidates, including but not limited to clinical trial requirements for approvals;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failure to obtain coverage and adequate reimbursement of our current and any future product candidates, if approved;</w:t>
            </w:r>
          </w:p>
        </w:tc>
      </w:tr>
    </w:tbl>
    <w:tbl>
      <w:tblPr>
        <w:tblW w:w="5238" w:type="dxa"/>
        <w:jc w:val="left"/>
        <w:tblInd w:w="0" w:type="dxa"/>
        <w:tblCellMar>
          <w:top w:w="0" w:type="dxa"/>
          <w:left w:w="0" w:type="dxa"/>
          <w:bottom w:w="0" w:type="dxa"/>
          <w:right w:w="0" w:type="dxa"/>
        </w:tblCellMar>
      </w:tblPr>
      <w:tblGrid>
        <w:gridCol w:w="23"/>
        <w:gridCol w:w="170"/>
        <w:gridCol w:w="504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04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on the structure of healthcare payment systems;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changes to our relationship with any manufacturers, suppliers, licensors, future collaborators or other strategic partners;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inability to obtain adequate product supply for any approved drug product or inability to do so at acceptable prices;</w:t>
            </w:r>
          </w:p>
        </w:tc>
      </w:tr>
    </w:tbl>
    <w:tbl>
      <w:tblPr>
        <w:tblW w:w="4443" w:type="dxa"/>
        <w:jc w:val="left"/>
        <w:tblInd w:w="0" w:type="dxa"/>
        <w:tblCellMar>
          <w:top w:w="0" w:type="dxa"/>
          <w:left w:w="0" w:type="dxa"/>
          <w:bottom w:w="0" w:type="dxa"/>
          <w:right w:w="0" w:type="dxa"/>
        </w:tblCellMar>
      </w:tblPr>
      <w:tblGrid>
        <w:gridCol w:w="23"/>
        <w:gridCol w:w="170"/>
        <w:gridCol w:w="42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25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inability to establish collaborations if needed;</w:t>
            </w:r>
          </w:p>
        </w:tc>
      </w:tr>
    </w:tbl>
    <w:tbl>
      <w:tblPr>
        <w:tblW w:w="6678" w:type="dxa"/>
        <w:jc w:val="left"/>
        <w:tblInd w:w="0" w:type="dxa"/>
        <w:tblCellMar>
          <w:top w:w="0" w:type="dxa"/>
          <w:left w:w="0" w:type="dxa"/>
          <w:bottom w:w="0" w:type="dxa"/>
          <w:right w:w="0" w:type="dxa"/>
        </w:tblCellMar>
      </w:tblPr>
      <w:tblGrid>
        <w:gridCol w:w="23"/>
        <w:gridCol w:w="170"/>
        <w:gridCol w:w="64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48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failure to commercialize our current and any future product candidates;</w:t>
            </w:r>
          </w:p>
        </w:tc>
      </w:tr>
    </w:tbl>
    <w:tbl>
      <w:tblPr>
        <w:tblW w:w="6003" w:type="dxa"/>
        <w:jc w:val="left"/>
        <w:tblInd w:w="0" w:type="dxa"/>
        <w:tblCellMar>
          <w:top w:w="0" w:type="dxa"/>
          <w:left w:w="0" w:type="dxa"/>
          <w:bottom w:w="0" w:type="dxa"/>
          <w:right w:w="0" w:type="dxa"/>
        </w:tblCellMar>
      </w:tblPr>
      <w:tblGrid>
        <w:gridCol w:w="23"/>
        <w:gridCol w:w="170"/>
        <w:gridCol w:w="58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81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additions or departures of key scientific or management personnel;</w:t>
            </w:r>
          </w:p>
        </w:tc>
      </w:tr>
    </w:tbl>
    <w:tbl>
      <w:tblPr>
        <w:tblW w:w="9378" w:type="dxa"/>
        <w:jc w:val="left"/>
        <w:tblInd w:w="0" w:type="dxa"/>
        <w:tblCellMar>
          <w:top w:w="0" w:type="dxa"/>
          <w:left w:w="0" w:type="dxa"/>
          <w:bottom w:w="0" w:type="dxa"/>
          <w:right w:w="0" w:type="dxa"/>
        </w:tblCellMar>
      </w:tblPr>
      <w:tblGrid>
        <w:gridCol w:w="23"/>
        <w:gridCol w:w="170"/>
        <w:gridCol w:w="91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18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unanticipated serious safety concerns related to the use of our current and any future product candidates;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introduction of new products or services offered by us or our competitors, or the release or publication of clinical trial results from competing product candidates;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announcements of significant acquisitions, strategic partnerships, joint ventures, or capital commitments by us or our competitors;</w:t>
            </w:r>
          </w:p>
        </w:tc>
      </w:tr>
    </w:tbl>
    <w:tbl>
      <w:tblPr>
        <w:tblW w:w="4008" w:type="dxa"/>
        <w:jc w:val="left"/>
        <w:tblInd w:w="0" w:type="dxa"/>
        <w:tblCellMar>
          <w:top w:w="0" w:type="dxa"/>
          <w:left w:w="0" w:type="dxa"/>
          <w:bottom w:w="0" w:type="dxa"/>
          <w:right w:w="0" w:type="dxa"/>
        </w:tblCellMar>
      </w:tblPr>
      <w:tblGrid>
        <w:gridCol w:w="23"/>
        <w:gridCol w:w="170"/>
        <w:gridCol w:w="38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81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effectively manage our growth;</w:t>
            </w:r>
          </w:p>
        </w:tc>
      </w:tr>
    </w:tbl>
    <w:tbl>
      <w:tblPr>
        <w:tblW w:w="5448" w:type="dxa"/>
        <w:jc w:val="left"/>
        <w:tblInd w:w="0" w:type="dxa"/>
        <w:tblCellMar>
          <w:top w:w="0" w:type="dxa"/>
          <w:left w:w="0" w:type="dxa"/>
          <w:bottom w:w="0" w:type="dxa"/>
          <w:right w:w="0" w:type="dxa"/>
        </w:tblCellMar>
      </w:tblPr>
      <w:tblGrid>
        <w:gridCol w:w="23"/>
        <w:gridCol w:w="170"/>
        <w:gridCol w:w="52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25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actual or anticipated variations in quarterly operating results;</w:t>
            </w:r>
          </w:p>
        </w:tc>
      </w:tr>
    </w:tbl>
    <w:tbl>
      <w:tblPr>
        <w:tblW w:w="1758" w:type="dxa"/>
        <w:jc w:val="left"/>
        <w:tblInd w:w="0" w:type="dxa"/>
        <w:tblCellMar>
          <w:top w:w="0" w:type="dxa"/>
          <w:left w:w="0" w:type="dxa"/>
          <w:bottom w:w="0" w:type="dxa"/>
          <w:right w:w="0" w:type="dxa"/>
        </w:tblCellMar>
      </w:tblPr>
      <w:tblGrid>
        <w:gridCol w:w="23"/>
        <w:gridCol w:w="170"/>
        <w:gridCol w:w="15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56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cash position;</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failure to meet the estimates and projections of the investment community or that we may otherwise provide to the public;</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publication of research reports about us or our industry or positive or negative recommendations or withdrawal of research coverage by securities analysts;</w:t>
            </w:r>
          </w:p>
        </w:tc>
      </w:tr>
    </w:tbl>
    <w:tbl>
      <w:tblPr>
        <w:tblW w:w="5013" w:type="dxa"/>
        <w:jc w:val="left"/>
        <w:tblInd w:w="0" w:type="dxa"/>
        <w:tblCellMar>
          <w:top w:w="0" w:type="dxa"/>
          <w:left w:w="0" w:type="dxa"/>
          <w:bottom w:w="0" w:type="dxa"/>
          <w:right w:w="0" w:type="dxa"/>
        </w:tblCellMar>
      </w:tblPr>
      <w:tblGrid>
        <w:gridCol w:w="23"/>
        <w:gridCol w:w="170"/>
        <w:gridCol w:w="48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82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the market valuations of similar companies;</w:t>
            </w:r>
          </w:p>
        </w:tc>
      </w:tr>
    </w:tbl>
    <w:tbl>
      <w:tblPr>
        <w:tblW w:w="3888" w:type="dxa"/>
        <w:jc w:val="left"/>
        <w:tblInd w:w="0" w:type="dxa"/>
        <w:tblCellMar>
          <w:top w:w="0" w:type="dxa"/>
          <w:left w:w="0" w:type="dxa"/>
          <w:bottom w:w="0" w:type="dxa"/>
          <w:right w:w="0" w:type="dxa"/>
        </w:tblCellMar>
      </w:tblPr>
      <w:tblGrid>
        <w:gridCol w:w="23"/>
        <w:gridCol w:w="170"/>
        <w:gridCol w:w="36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69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overall performance of the equity markets;</w:t>
            </w:r>
          </w:p>
        </w:tc>
      </w:tr>
    </w:tbl>
    <w:tbl>
      <w:tblPr>
        <w:tblW w:w="3528" w:type="dxa"/>
        <w:jc w:val="left"/>
        <w:tblInd w:w="0" w:type="dxa"/>
        <w:tblCellMar>
          <w:top w:w="0" w:type="dxa"/>
          <w:left w:w="0" w:type="dxa"/>
          <w:bottom w:w="0" w:type="dxa"/>
          <w:right w:w="0" w:type="dxa"/>
        </w:tblCellMar>
      </w:tblPr>
      <w:tblGrid>
        <w:gridCol w:w="23"/>
        <w:gridCol w:w="170"/>
        <w:gridCol w:w="333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33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issuances of debt or equity securities;</w:t>
            </w:r>
          </w:p>
        </w:tc>
      </w:tr>
    </w:tbl>
    <w:tbl>
      <w:tblPr>
        <w:tblW w:w="9168" w:type="dxa"/>
        <w:jc w:val="left"/>
        <w:tblInd w:w="0" w:type="dxa"/>
        <w:tblCellMar>
          <w:top w:w="0" w:type="dxa"/>
          <w:left w:w="0" w:type="dxa"/>
          <w:bottom w:w="0" w:type="dxa"/>
          <w:right w:w="0" w:type="dxa"/>
        </w:tblCellMar>
      </w:tblPr>
      <w:tblGrid>
        <w:gridCol w:w="23"/>
        <w:gridCol w:w="170"/>
        <w:gridCol w:w="89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97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sales of our ADSs by us or our shareholders in the future, or the perception that such sales may occur;</w:t>
            </w:r>
          </w:p>
        </w:tc>
      </w:tr>
    </w:tbl>
    <w:tbl>
      <w:tblPr>
        <w:tblW w:w="2673" w:type="dxa"/>
        <w:jc w:val="left"/>
        <w:tblInd w:w="0" w:type="dxa"/>
        <w:tblCellMar>
          <w:top w:w="0" w:type="dxa"/>
          <w:left w:w="0" w:type="dxa"/>
          <w:bottom w:w="0" w:type="dxa"/>
          <w:right w:w="0" w:type="dxa"/>
        </w:tblCellMar>
      </w:tblPr>
      <w:tblGrid>
        <w:gridCol w:w="23"/>
        <w:gridCol w:w="170"/>
        <w:gridCol w:w="24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48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trading volume of our ADSs;</w:t>
            </w:r>
          </w:p>
        </w:tc>
      </w:tr>
    </w:tbl>
    <w:tbl>
      <w:tblPr>
        <w:tblW w:w="3078" w:type="dxa"/>
        <w:jc w:val="left"/>
        <w:tblInd w:w="0" w:type="dxa"/>
        <w:tblCellMar>
          <w:top w:w="0" w:type="dxa"/>
          <w:left w:w="0" w:type="dxa"/>
          <w:bottom w:w="0" w:type="dxa"/>
          <w:right w:w="0" w:type="dxa"/>
        </w:tblCellMar>
      </w:tblPr>
      <w:tblGrid>
        <w:gridCol w:w="23"/>
        <w:gridCol w:w="170"/>
        <w:gridCol w:w="28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88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changes in accounting practices;</w:t>
            </w:r>
          </w:p>
        </w:tc>
      </w:tr>
    </w:tbl>
    <w:tbl>
      <w:tblPr>
        <w:tblW w:w="3588" w:type="dxa"/>
        <w:jc w:val="left"/>
        <w:tblInd w:w="0" w:type="dxa"/>
        <w:tblCellMar>
          <w:top w:w="0" w:type="dxa"/>
          <w:left w:w="0" w:type="dxa"/>
          <w:bottom w:w="0" w:type="dxa"/>
          <w:right w:w="0" w:type="dxa"/>
        </w:tblCellMar>
      </w:tblPr>
      <w:tblGrid>
        <w:gridCol w:w="23"/>
        <w:gridCol w:w="170"/>
        <w:gridCol w:w="33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39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ineffectiveness of our internal controls;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disputes or other developments relating to proprietary rights, including patents, litigation matters, and our ability to obtain patent protection for our technologies;</w:t>
            </w:r>
          </w:p>
        </w:tc>
      </w:tr>
    </w:tbl>
    <w:tbl>
      <w:tblPr>
        <w:tblW w:w="5478" w:type="dxa"/>
        <w:jc w:val="left"/>
        <w:tblInd w:w="0" w:type="dxa"/>
        <w:tblCellMar>
          <w:top w:w="0" w:type="dxa"/>
          <w:left w:w="0" w:type="dxa"/>
          <w:bottom w:w="0" w:type="dxa"/>
          <w:right w:w="0" w:type="dxa"/>
        </w:tblCellMar>
      </w:tblPr>
      <w:tblGrid>
        <w:gridCol w:w="23"/>
        <w:gridCol w:w="170"/>
        <w:gridCol w:w="52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28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significant lawsuits, including patent or shareholder litigation;</w:t>
            </w:r>
          </w:p>
        </w:tc>
      </w:tr>
    </w:tbl>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135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general political and economic conditions, including as a result of bank failures, the COVID 19 pandemic or the Russia/Ukraine conflict; and</w:t>
            </w:r>
          </w:p>
        </w:tc>
      </w:tr>
    </w:tbl>
    <w:tbl>
      <w:tblPr>
        <w:tblW w:w="5613" w:type="dxa"/>
        <w:jc w:val="left"/>
        <w:tblInd w:w="0" w:type="dxa"/>
        <w:tblCellMar>
          <w:top w:w="0" w:type="dxa"/>
          <w:left w:w="0" w:type="dxa"/>
          <w:bottom w:w="0" w:type="dxa"/>
          <w:right w:w="0" w:type="dxa"/>
        </w:tblCellMar>
      </w:tblPr>
      <w:tblGrid>
        <w:gridCol w:w="23"/>
        <w:gridCol w:w="170"/>
        <w:gridCol w:w="54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42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events or factors, many of which are beyond our control.</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the stock market in general,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ADSs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 xml:space="preserve">Although the audit report included in this Annual Report is prepared by auditors who are currently subject to inspection by the Public Company Accounting Oversight Board (“PCAOB”), there is no guarantee that future audit reports will be prepared by auditors that are subject to inspection by the PCAOB and, as such, future investors may be deprived of such inspections, which could result in limitations or restrictions to our access of the U.S. capital markets. Furthermore, trading in our securities may be prohibited under the Holding Foreign Companies Accountable Act (“HFCA Act”) or the Accelerating Holding Foreign Companies Accountable Act (“AHFCA Act”) if the SEC subsequently identifies that our audit work is performed by an auditor that the PCAOB is unable to inspect or investigate completely, and as a result, U.S. national securities exchanges, such as the Nasdaq, may delist our securities.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part of a continued regulatory focus in the United States on access to audit and other information, the United States passed the HFCA Act in December 2020. The HFCA Act requires the SEC to identify issuers whose audit work is performed by auditors that the PCAOB is unable to inspect or investigate completely because of a restriction imposed by a non-U.S. authority in the auditor’s local jurisdiction. The HFCA Act also requires public companies identified by the SEC to certify that they are neither owned nor controlled by a foreign government, and make certain additional disclosures in their SEC filings.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HFCA Act also provides that if an auditor of a U.S. listed company’s financial statements is not subject for three consecutive “non-inspection years” after the HFCA Act becomes effective, the SEC must prohibit the securities of such issuer from being traded on a U.S. national securities exchange. However, in June 2021, the U.S. Senate passed the AHFCA Act which amends the HFCA Act and require the SEC to prohibit an issuer’s securities from trading on any U.S. stock exchanges if its auditor is subject to two “non-inspection years” instead of three. On February 4, 2022, the U.S. House of Representatives passed the America Creating Opportunities for Manufacturing, Pre-Eminence in Technology, and Economic Strength Act of 2022, which contained, among other things, an identical provision. In December 2021, the PCAOB issued a report on its determination that it is unable to inspect or investigate completely PCAOB-registered accounting firms headquartered in Mainland China and in Hong Kong. Also, in December 2021, the SEC adopted final amendments to its rules implementing the HFCA Act and established procedures to identify issuers and prohibit the trading of the securities of certain registrants as required by the HFCA Act. This rule stated that only the principal accountant, as defined by Rule 2-05 of Regulation S-X and PCAOB AS 1205, is “deemed ‘retained’ for purposes of Section 104(i) of the Sarbanes-Oxley Act and the Commission’s determination of whether the registrant should be a Commission Identified Issuer.” In December 2022, the PCAOB vacated its determination that it was unable to inspect and investigate PCAOB-registered public accounting firms in Mainland China and Hong Kong. As a result, until such time as the PCAOB issues a new determination, the SEC has determined that there are no issuers currently at risk of having their securities subject to a trading prohibition under the HFCA Act. However, while vacating those determinations, the PCAOB noted that, should it encounter any impediment to conducting an inspection or investigation of auditors in Mainland China or Hong Kong as a result of a position taken by any authority there, the PCAOB would act to immediately issue a new determination.</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136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have retained PricewaterhouseCoopers LLP as our independent registered public accounting firm. PricewaterhouseCoopers LLP is headquartered in the United States, is registered with the PCAOB and is an auditor of companies that are both registered with the SEC and publicly traded in the United States. As a result, the HFCA Act does not currently apply to us. However, if our operations fundamentally change in a way that requires our independent registered public accounting firm to be located in China in order to comply with the standards of the PCAOB regarding auditors then the HFCA Act would apply to us. Such a restriction would negatively impact our ability to raise capital. We view the likelihood to be remote that our operations will fundamentally change, as to require our auditor to be located in China. Additionally, it is possible that in the future Congress could amend the HFCA Act or the SEC could modify its regulations to apply the restrictions, including trading prohibitions and delisting, under the HFCA Act in situations in which an independent registered public accounting firm in China performs part of the audit such as in our current situation. There are currently no such proposals.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Further, while we understand that there has been dialogue among the CSRC, the SEC and the PCAOB regarding the inspection of PCAOB-registered accounting firms in China, there can be no assurance that, in the future, we will be able to comply with requirements imposed by U.S. regulators. The market price of our ADSs could be adversely affected as a result of anticipated negative impacts of these executive or legislative actions upon, as well as negative investor sentiment towards, companies with operations in China that are listed in the United States, regardless of whether these executive or legislative actions are implemented and regardless of our actual operating performance.</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have identified material weaknesses in our internal control over financial reporting and may identify additional material weaknesses in the future or fail to maintain effective internal control over financial reporting, which may result in material misstatements of our consolidated financial statements or cause us to fail to meet our periodic reporting obligations.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have identified material weaknesses in our internal control over financial reporting.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These material weaknesses are as follows: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did not design and maintain an effective control environment commensurate with our financial reporting requirements as we lacked a sufficient complement of professionals commensurate with our financial reporting requirements.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did not design and maintain effective controls to ensure adequate segregation of duties within our financial reporting function, including controls related to the procurement and payroll processes, journal entries and account reconciliations. Specifically, certain personnel have incompatible duties including the ability to (i) generate and approve invoices and authorize disbursements; (ii) add employees or modify employee data in the payroll system and authorize payments; (iii) create and post manual journal entries without an independent review; and (iv) prepare and review account reconciliations.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did not design and maintain effective controls over certain information technology (“IT”) general controls for information systems that are relevant to the preparation of our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and (iii) computer operations controls to ensure that processing of data and data backups and recovery are monitored.</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These material weaknesses did not result in any misstatements to the consolidated financial statements. However, these material weaknesses could result in a misstatement of substantially all of our accounts or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137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disclosures that would result in a material misstatement to the annual or interim consolidated financial statements that would not be prevented or detected.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working to remediate the material weaknesses as efficiently and effectively as possible and full remediation may go beyond December 31, 2023. At this time, we cannot provide an estimate of costs expected to be incurred in connection with implementing this remediation plan; however, these remediation measures will be time consuming, will result in us incurring significant costs, and will place significant demands on our financial and operational resources.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Although we have begun to implement measures to address the material weaknesses, the implementation of these measures may not fully address the material weaknesses and deficiencies in our internal control over financial reporting. Further, in the future we may determine that we have additional material weaknesses. Our failure to remediate the material weaknesses or failure to identify and address any other material weaknesses that may be identified in the future could result in material misstatements to our financial statements and could also impair our ability to comply with applicable financial reporting requirements and related regulatory filings on a timely basis, which could cause investors to lose confidence in our reported financial information, which may result in volatility in and a decline in the market price of our securities. See Part II. Item 9A. “Controls and Procedures— Management’s Plan to Remediate the Material Weakness”.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Our principal shareholders and management own a significant percentage of our voting securities and will be able to exert significant control over matters subject to shareholder approval.</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of March 15, 2023, our executive officers, directors, five percent shareholders and their affiliates beneficially owned approximately 54% of the voting power of our outstanding share capital. Therefore, these shareholders will have the ability to influence us through their ownership positions. These shareholders may be able to determine all matters requiring shareholder approval. For example, these shareholders, acting together, may be able to control elections of directors, issuances of equity, including to our employees under equity incentive plans, amendments of our organizational documents, or approval of any merger, amalgamation, sale of assets or other major corporate transaction. These shareholders’ interests may not always coincide with our corporate interests or the interests of other shareholders, and these shareholders may exercise their voting and other rights in a manner with which you may not agree or that may not be in the best interests of our other shareholders. This may prevent or discourage unsolicited acquisition proposals or offers for our ADSs that you may believe are in your best interest as a holder of our ADSs.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A significant portion of our total outstanding shares are restricted from immediate resale, but may be sold into the market in the near future. This could cause the market price of our ADSs to drop significantly, even if our business is doing well.</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Sales of a substantial number of our ADSs in the public market could occur at any time. If our shareholders sell, or the market perceives that our shareholders intend to sell, substantial amounts of our ADSs in the public market, the market price of our ADSs could decline significantly.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of December 31, 2022, 77,544,741 ordinary shares will be available for sale in the public market beginning on August 1, 2023, following the expiration of lock-up agreements entered into by substantially all of our shareholders in connection with the IPO. Jefferies LLC and SVB Securities LLC may agree to release these shareholders from their lock-up agreements at any time and without notice, which would allow for earlier sales of ordinary shares (through ADSs) in the public market. Sales of a substantial number of such shares upon expiration of the lock-up agreements, the perception that such sales may occur, or early release of restrictions in the lock-up agreements, could cause the market price of our ADSs to fall or make it more difficult for our securityholders to sell their ADSs at a time and price that they deem appropriate.</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138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promptly following the completion of our IPO, we filed a registration statement registering the issuance of approximately 22,099,376 ordinary shares (which may be in the form of ADSs) subject to options or other equity awards issued or reserved for future issuance under our equity incentive plans. Shares (or ADSs) registered under this registration statement are available for sale in the public market subject to vesting arrangements and exercise of options, the lock-up agreements described above and, in the case of our affiliates, the restrictions of Rule 144 under the Securities Act.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Additionally, the holders of an aggregate of 67,018,087 of our ordinary shares, or their transferees, have rights, subject to some conditions, to require us to file one or more registration statements covering their shares (or ADSs representing such shares) or to include their shares (or ADSs representing such shares) in registration statements that we may file for ourselves or other shareholders. If we were to register the resale of these shares or ADSs, they could be freely sold in the public market. If these additional shares or ADSs are sold, or if it is perceived that they will be sold, in the public market, the trading price of our ADSs could decline.</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Holders of our ADSs have fewer rights than our shareholders and must act through the depositary to exercise their rights.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Holders of our ADSs do not have the same rights as our shareholders and may only exercise their voting rights with respect to the underlying ordinary shares in accordance with the provisions of the deposit agreement. Holders of the ADSs will appoint the depositary or its nominee as their representative to exercise the voting rights attaching to the ordinary shares represented by the ADSs. When a general meeting is convened, if you hold ADSs, you may not receive sufficient notice of a shareholders’ meeting to permit you to withdraw the ordinary shares underlying your ADSs to allow you to vote with respect to any specific matter. We will take all commercially reasonable efforts to cause the depositary to extend voting rights to you in a timely manner, but we cannot assure you that you will receive voting materials in time to instruct the depositary to vote, and it is possible that you,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you may not be able to exercise your right to vote and you may lack recourse if your ADSs are not voted as you request. In addition, in your capacity as an ADS holder, you will not be able to call a shareholders’ meeting.</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ADS holders may not be entitled to a jury trial with respect to claims arising under the deposit agreement, which could result in less favorable outcomes to the plaintiff(s) in any such action.</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 deposit agreement governing the ADSs representing our ordinary shares provides that holders and beneficial owners of ADSs irrevocably waive the right to a trial by jury in any legal proceeding arising out of or relating to the deposit agreement, our ordinary shares or the ADSs or the transactions contemplated thereby, including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in New York,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our ordinary shares and the ADSs and the transactions contemplated thereby. In addition, New York courts will not enforce a jury trial waiver provision in order to bar a viable setoff or counterclaim sounding in fraud or one which is based on a creditor’s negligence in failing to liquidate collateral upon a guarantor’s demand, or in the case of an intentional tort claim (as opposed to a contract dispute), none of which we believe are applicable in the case of the deposit agreement, our ordinary shares or the ADSs or the transactions contemplated thereby. No condition, stipulation or provision of the deposit agreement or ADSs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139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serves as a waiver by any holder or beneficial owner of ADSs or by us or the depositary of compliance with any provision of the federal securities laws. If you or any other holder or beneficial owner of ADSs brings a claim against us or the depositary in connection with matters arising under the deposit agreement, our ordinary shares or the ADSs or the transactions contemplated thereby,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augur different results than a trial by jury would have had, including results that could be less favorable to the plaintiff(s) in any such action, depending on, among other things, the nature of the claims, the judge or justice hearing such claims, and the venue of the hearing.</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You may not receive distributions on our ordinary shares represented by the ADSs or any value for them if it is illegal or impractical to make them available to holders of ADSs.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Although we do not have any present plans to declare or pay any dividends on our ordinary shares, in the event we declare and pay any dividends, 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register under U.S. securities laws any offering of ADSs, ordinary shares or other securities received through such distributions. We also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Your right to participate in any future rights offerings may be limited, which may cause dilution to your holdings.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or an exemption from the registration requirements is available. Also, under the deposit agreement, the depositary bank will not make rights available to you unless the rights and any related securities are registered under the Securities Act or are otherwise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you may be unable to participate in our rights offerings and may experience dilution in your holdings.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Because we do not anticipate paying any cash dividends on our ADSs in the foreseeable future, capital appreciation, if any, will be your sole source of gains and you may never receive a return on your investment.</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We have never declared or paid a dividend on our ordinary shares in the past, and we currently intend to retain our future earnings, if any, to fund the development and growth of our business. Therefore, you should not rely on an investment in our ADSs to provide dividend income. Our board of directors has complete discretion as to whether to distribute dividends, subject to certain restrictions under Cayman Islands law, including that our company may only pay dividends out of profits or out of the credit standing in our share premium account, and provided always that in no circumstances may a dividend be paid if it would result in our inability to pay our debts as they fall due in the ordinary course of business. In addition, our shareholders may, subject to our memorandum and articles of association, by ordinary resolution declare a dividend, but no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140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As a result, capital appreciation, if any, on our ADSs will be your sole source of gains for the foreseeable future.</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are subject to tax in the Cayman Islands and the United States.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a Cayman Islands corporation as of the date of this Annual Report. We are treated as an exempted company for Cayman Islands tax purposes. We are also treated as a U.S. corporation subject to U.S. federal income tax pursuant to Section 7874 of the Code, and are subject to U.S. federal income tax on our worldwide income. As a result, we are subject to tax both in the Cayman Islands and the United States, which could have a material adverse effect on our financial condition and results of operations.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It is unlikely that we will pay any dividends on our ordinary shares or ADSs in the foreseeable future. However, dividends received by “non-U.S. holders” will be subject to U.S. withholding tax. In addition, because the ordinary shares or ADSs are treated as shares of a U.S. domestic corporation, the U.S. gift, estate and generation-skipping transfer tax rules generally apply to a non-U.S. holder of ordinary shares or ADSs.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Each holder or prospective holder of our ordinary shares or ADSs should seek tax advice from an independent tax advisor based on such holder’s particular circumstances.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Our ability to use our NOLs carryforwards and certain other tax attributes may be limited.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of December 31, 2022, we had $66.4 million of U.S. federal NOLs and $74.6 million of state NOLs. U.S. federal NOL carryforwards totaling $66.4 million can be carried forward indefinitely under current law. State NOL carryforwards totaling $74.6 million will begin to expire in 2037, unless previously utilized. As of December 31, 2022, we also had aggregate U.S. federal and state R&amp;D credits of approximately $0.6 million and $0.3 million, respectively. U.S. federal R&amp;D credits carryforwards begin to expire in 2029 unless previously utilized. The state R&amp;D credit carryforwards do not expire. Our NOL carryforwards and R&amp;D credits are subject to review and possible adjustment by the U.S. and state tax authorities.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under Sections 382 and 383 of the Code, and corresponding provisions of state law, if a corporation undergoes an “ownership change,” which is generally defined as a greater than 50 percentage point change (by value) in its equity ownership over a three-year period, the corporation’s ability to use its pre-change NOL carryforwards, R&amp;D credits and certain other tax attributes to offset its post-change income or taxes may be limited. This could limit the amount of NOLs, R&amp;D credit carryforwards or other applicable tax attributes that we can utilize annually to offset future taxable income or tax liabilities. Subsequent ownership changes and changes to the U.S. tax rules in respect of the utilization of NOLs, R&amp;D credits and other applicable tax attributes carried forward may further affect the limitation in future years. In addition, at the state level, there may be periods during which the use of NOLs is suspended or otherwise limited, which could accelerate or permanently increase state taxes owed. As a result, we may be unable to use all or a material portion of our NOL carryforwards and other tax attributes, which could adversely affect our future cash flows. We have not undertaken a study under Section 382 of the Code, and it is possible that we have previously undergone one or more ownership changes so that our use of NOLs is subject to limitation. We may experience ownership changes in the future as a result of subsequent shifts in our share ownership, including as a result of our IPO. As a result, if we earn net taxable income,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141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will incur significantly increased costs as a result of operating as a company whose ADSs are publicly traded in the United States, and our management will be required to devote substantial time to new compliance initiatives.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a public company in the United States, we will incur significant legal, accounting and other expenses that we did not incur previously. These expenses will likely be even more significant after we no longer qualify as an emerging growth company and/or a smaller reporting company. The Sarbanes-Oxley Act, the Dodd-Frank Wall Street Reform and Consumer Protection Act (the “Dodd-Frank Act”), the listing requirements of Nasdaq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senior management personnel or members for our board of directors.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Pursuant to Section 404 of the Sarbanes-Oxley Act, beginning with our annual report on Form 10-K for the fiscal year ended December 31, 2023, we will be required to furnish a report by our senior management on our internal control over financial reporting. However, while we remain an emerging growth company or a smaller reporting company with less than $100 million in annual revenues, we will not be required to include an attestation report on internal controls over financial reporting issued by our independent registered public accounting firm. To prepare for eventual compliance with Section 404, we will be engaged in a process to document and evaluate our internal controls over financial reporting, which is both costly and challenging. In this regard, we will need to continue to dedicate internal resources, potentially engage outside consultants and adopt a detailed work plan to assess and document the adequacy of internal controls over financial reporting, continue steps to improve control processes as appropriate, validate through testing that controls are functioning as documented and implement a continuous reporting and improvement process for internal controls over financial reporting. Despite our efforts, there is a risk that we will not be able to conclude, within the prescribed time frame or at all, that our internal controls over financial reporting is effective as required by Section 404.</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are an emerging growth company and a smaller reporting company, and the reduced reporting requirements applicable to emerging growth companies and smaller reporting companies may make our ADSs less attractive to investors.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We are an “emerging growth company”, as defined in the JOBS Act. For as long as we continue to be an emerging growth company, we may take advantage of certain exemptions from various public company reporting requirements that are applicable to other public companies that are not emerging growth companies, including not being required to have our internal control over financial reporting audited by our independent registered public accounting firm under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may take advantage of these exemptions until December 31, 2028, the last day of the fiscal year ending after the fifth anniversary of our IPO or until we are no longer an emerging growth company, whichever is earlier. We will cease to be an emerging growth company prior to the end of such five-year period if certain earlier events occur, including if we become a “large accelerated filer” as defined in Rule 12b-2 under the Exchange Act, our annual gross revenues equal or exceed $1.235 billion or we issue more than $1.0 billion of non-convertible debt in any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142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three-year period prior to such time. Accordingly, the information contained herein may be different than the information you receive from other public companies in which you hold stock.</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the JOBS Act provides that an emerging growth company can take advantage of an extended transition period for complying with certain new or revised accounting standards until those standards would otherwise apply to private companies. We have elected to avail ourselves of this exemption from new or revised accounting standards, and therefore we will not be subject to the same requirements to adopt new or revised accounting standards as other public companies that are not emerging growth companies.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ADSs held by non-affiliates is less than $250.0 million measured on the last business day of our second fiscal quarter, or our annual revenue is less than $100.0 million during the most recently completed fiscal year and our ADSs held by non-affiliates is less than $700.0 million measured on the last business day of our second fiscal quarter.</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Since shareholder rights under Cayman Islands law differ from those under U.S. law, you may have difficulty protecting your shareholder rights.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an exempted company limited by shares incorporated under the laws of the Cayman Islands. Our corporate affairs are governed by our memorandum and articles of association, the Companies Act (as amended) of the Cayman Islands and the common law of the Cayman Islands. The rights of shareholders to take action against our directors, actions by our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Shareholders of Cayman Islands exempted companies like us have no general rights under Cayman Islands law to inspect corporate records, other than the memorandum and articles of association and any special resolutions passed by such companies, and the registers of mortgages and charges of such companies. The Registrar of Companies of the Cayman Islands shall make available the list of the names of the current directors of the Company (and where applicable the current alternate directors of the Company) for inspection by any person upon payment of a fee by such person. Our directors have discretion under our post-offering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Certain corporate governance practices in the Cayman Islands, which is our home country, differ significantly from requirements for companies incorporated in other jurisdictions such as the United States. Currently, we do not plan to rely on home country practice with respect to any corporate governance matter. However, if we choose to follow home country practice in the future, our shareholders may be afforded less protection than they otherwise would under rules and regulations applicable to U.S. domestic issuers.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143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a result of all of the above, public shareholders may have more difficulty in protecting their interests in the face of actions taken by our management, members of our board of directors or our controlling shareholders than they would as public shareholders of a company incorporated in the United States.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Provisions in our amended and restated memorandum and articles of association may prevent or frustrate attempts by our shareholders to change our management and hinder efforts to acquire a controlling interest in us, and the market price of our ADSs may be lower as a result.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There are provisions in our amended and restated memorandum and articles of association that may make it difficult for a third party to acquire, or attempt to acquire, control of our company, even if a change of control was considered favorable by you and other shareholders. For example, our board of directors will have the authority to issue up to 100,000,000 shares of an additional class or classes of shares, which could include preference shares. The board of directors can fix the price, rights, preferences, privileges, and restrictions of the other classes of shares without any further vote or action by our shareholders. The issuance of such shares may delay or prevent a change of control transaction. As a result, the market price of our ADSs and the voting and other rights of our shareholders may be adversely affected. An issuance of other classes of shares may result in the loss of voting control to other shareholders.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charter documents will also contain other provisions that could have an anti-takeover effect, including:</w:t>
      </w:r>
    </w:p>
    <w:tbl>
      <w:tblPr>
        <w:tblW w:w="6033" w:type="dxa"/>
        <w:jc w:val="left"/>
        <w:tblInd w:w="0" w:type="dxa"/>
        <w:tblCellMar>
          <w:top w:w="0" w:type="dxa"/>
          <w:left w:w="0" w:type="dxa"/>
          <w:bottom w:w="0" w:type="dxa"/>
          <w:right w:w="0" w:type="dxa"/>
        </w:tblCellMar>
      </w:tblPr>
      <w:tblGrid>
        <w:gridCol w:w="23"/>
        <w:gridCol w:w="170"/>
        <w:gridCol w:w="58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84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only one of our three classes of directors will be elected each year;</w:t>
            </w:r>
          </w:p>
        </w:tc>
      </w:tr>
    </w:tbl>
    <w:tbl>
      <w:tblPr>
        <w:tblW w:w="5703" w:type="dxa"/>
        <w:jc w:val="left"/>
        <w:tblInd w:w="0" w:type="dxa"/>
        <w:tblCellMar>
          <w:top w:w="0" w:type="dxa"/>
          <w:left w:w="0" w:type="dxa"/>
          <w:bottom w:w="0" w:type="dxa"/>
          <w:right w:w="0" w:type="dxa"/>
        </w:tblCellMar>
      </w:tblPr>
      <w:tblGrid>
        <w:gridCol w:w="23"/>
        <w:gridCol w:w="170"/>
        <w:gridCol w:w="55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51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shareholders will be entitled to remove directors only for cause;</w:t>
            </w:r>
          </w:p>
        </w:tc>
      </w:tr>
    </w:tbl>
    <w:tbl>
      <w:tblPr>
        <w:tblW w:w="6558" w:type="dxa"/>
        <w:jc w:val="left"/>
        <w:tblInd w:w="0" w:type="dxa"/>
        <w:tblCellMar>
          <w:top w:w="0" w:type="dxa"/>
          <w:left w:w="0" w:type="dxa"/>
          <w:bottom w:w="0" w:type="dxa"/>
          <w:right w:w="0" w:type="dxa"/>
        </w:tblCellMar>
      </w:tblPr>
      <w:tblGrid>
        <w:gridCol w:w="23"/>
        <w:gridCol w:w="170"/>
        <w:gridCol w:w="63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36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shareholders will not be permitted to take actions by written consent;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shareholders must give advance notice to nominate directors or submit proposals for consideration at annual general meetings.</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These provisions could discourage potential acquisition proposals and could delay or prevent a change of control transaction. They could also have the effect of discouraging others from making tender offers, including transactions that may be in your best interests. These provisions may also prevent changes in our management or limit the price that investors are willing to pay for our ADSs.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You may be subject to limitations on transfers of your ADSs.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Your ADSs are transferable on the books of the depositary. However, the depositary may close its transfer books at any time or from time to time when deemed necessary or advisable by it in good faith in connection with the performance of its duties or at our reasonable written request, subject in all cases to compliance with applicable U.S. securities laws.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General Risk Factors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will incur significantly increased costs as a result of operating as a public company, and our management will be required to devote substantial time to new compliance initiatives.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As a public company, we will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Act was enacted and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144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included significant corporate governance and executive compensation related provisions that require the SEC to adopt additional rules and regulations in these areas, such as “say on pay” and proxy access. Emerging growth companies and smaller reporting companies are exempted from certain of these requirements, but we may be required to implement these requirements sooner than budgeted or planned and thereby incur unexpected expenses. Shareholder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Failure to build our finance infrastructure and improve our accounting systems and controls could impair our ability to comply with the financial reporting and internal controls requirements for publicly traded companies.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December 31, 2023, we must perform system and process evaluation and testing of our internal controls over financial reporting to allow management to report on the effectiveness of our internal controls over financial reporting in our annual report for that year, as required by Section 404 of the Sarbanes-Oxley Act. Prior to our IPO, we have never been required to test our internal controls within a specified period and, as a result, we may experience difficulty in meeting these reporting requirements in a timely manner.</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anticipate that the process of building our accounting and financial functions and infrastructure will require significant additional professional fees, internal costs and management efforts. We expect that we will need to implement a new internal system to combine and streamline the management of our financial, accounting, human resources and other functions. However, such a system would likely require us to complete many processes and procedures for the effective use of the system or to run our business using the system, which may result in substantial costs.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If we are not able to comply with the requirements of Section 404 of the Sarbanes-Oxley Act in a timely manner, or if we are unable to maintain proper and effective internal controls, we may not be able to produce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145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timely and accurate financial statements. If we cannot provide reliable financial reports or prevent fraud, our business and results of operations could be harmed, investors could lose confidence in our reported financial information, the market price of our ADSs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If we are unable to maintain effective internal controls, our business, financial position and results of operations could be adversely affected.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a public company, beginning with our annual report on Form 10-K for the fiscal year ending December 31, 2023, we will be subject to the requirements of Section 404 of the Sarbanes-Oxley Act, which require annual management assessments of the effectiveness of our internal control over financial reporting.</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These reporting and other obligations place significant demands on our management and administrative and operational resources, including accounting resources.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Our disclosure controls and procedures may not prevent or detect all errors or acts of fraud.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subject to the periodic reporting requirements of the Exchange Act. We designed our disclosure controls and procedures to reasonably ensure that information we must disclose in reports we file or submit pursuant to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Future changes in financial accounting standards or practices may cause adverse and unexpected revenue fluctuations and adversely affect our reported results of operations.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146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intend to invest resources to comply with evolving standards, and this investment may result in increased general and administrative expenses and a diversion of management time and attention from business activities to compliance activities. See Part II. Item 7. “Management’s Discussion and Analysis of Financial Condition and Results of Operations—Recent Accounting Pronouncements.”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If equity research analysts do not publish research or reports, or publish unfavorable research or reports, about us, our business or our market, the price and trading volume of our ADSs could decline.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trading market for our ADSs will be influenced by the research and reports that equity research analysts publish about us and our business. We do not currently have and may never obtain research coverage by equity research analysts. Equity research analysts may elect not to provide research coverage of our ADSs, and such lack of research coverage may adversely affect the market price of our ADSs. In the event we do have equity research analyst coverage, we will not have any control over the analysts or the content and opinions included in their reports. The price of our ADSs could decline if one or more equity research analysts downgrade our ADSs or issue other unfavorable commentary or research about us. If one or more equity research analysts cease coverage of us or fail to publish reports on us regularly, demand for our ADSs could decrease, which in turn could cause the trading price or trading volume of our ADSs to decline.</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could be subject to securities class action litigation.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We or the third parties upon whom we depend may be adversely affected by earthquakes, fires or other natural disasters and our business continuity and disaster recovery plans may not adequately protect us from a serious disaster.</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headquarters and main research facility are located near San Francisco, California, which in the past has experienced severe earthquakes and fires. If these earthquakes, fires, other natural disasters, terrorism and similar unforeseen events beyond our control prevented us from using all or a significant portion of our headquarters or research facility,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ability to conduct our clinical trials, our development plans and business.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If we fail to comply with environmental, health and safety laws and regulations, we could become subject to fines or penalties or incur costs that could have a material adverse effect on the success of our business.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147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exceed our resources. We also could incur significant costs associated with civil or criminal fines and penalties.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Our failure to meet Nasdaq’s continued listing requirements could result in a delisting of our ADSs.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If we fail to satisfy the continued listing requirements of Nasdaq, such as the corporate governance requirements or the minimum closing bid price requirement, Nasdaq may take steps to delist our ADSs. Such a delisting would likely have a negative effect on the price of our ADSs and would impair your ability to sell or purchase our ADSs when you wish to do so. In the event of a delisting, any action taken by us to restore compliance with listing requirements may not allow our ADSs to become listed again, stabilize the market price or improve the liquidity of our ADSs, prevent our ADSs from dropping below the Nasdaq minimum bid price requirement or prevent future non-compliance with the listing requirements of Nasdaq.</w:t>
      </w:r>
    </w:p>
    <w:p>
      <w:pPr>
        <w:pStyle w:val="TextBody"/>
        <w:spacing w:before="0" w:after="240"/>
        <w:ind w:left="0" w:right="0" w:hanging="0"/>
        <w:rPr/>
      </w:pPr>
      <w:r>
        <w:rPr/>
        <w:t>​</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148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Item 1B. Unresolved Staff Comments.</w:t>
      </w:r>
      <w:bookmarkStart w:id="5" w:name="Item1B_Unresolved_Staff_Comments"/>
      <w:bookmarkEnd w:id="5"/>
    </w:p>
    <w:p>
      <w:pPr>
        <w:pStyle w:val="TextBody"/>
        <w:spacing w:before="0" w:after="240"/>
        <w:ind w:left="0" w:right="0" w:hanging="0"/>
        <w:rPr>
          <w:rFonts w:ascii="Arial;Helvetica;sans-serif" w:hAnsi="Arial;Helvetica;sans-serif"/>
          <w:sz w:val="20"/>
        </w:rPr>
      </w:pPr>
      <w:r>
        <w:rPr>
          <w:rFonts w:ascii="Arial;Helvetica;sans-serif" w:hAnsi="Arial;Helvetica;sans-serif"/>
          <w:sz w:val="20"/>
        </w:rPr>
        <w:t>None.</w:t>
      </w:r>
    </w:p>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Item 2. Properties.</w:t>
      </w:r>
      <w:bookmarkStart w:id="6" w:name="Item2_Properties"/>
      <w:bookmarkEnd w:id="6"/>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principal executive office is located in South San Francisco, California where we lease a total of approximately 500 square feet of office space that we use for our administrative and other activities. The lease for this office space renews automatically at the end of each calendar month, unless or until we provide notice of our intent not to renew the lease. We entered into a new sublease agreement to rent approximately 4,100 square feet of office space in South San Francisco, California, which lease expires in October 2023. We also have a development and operations office located in Shanghai, China where we lease a total of approximately 5,900 square feet of office space. This lease expires on September 15, 2023, and we may request to renew it. We believe that our facilities are sufficient to meet our current needs and that suitable additional space will be available as and when needed.</w:t>
      </w:r>
    </w:p>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Item 3. Legal Proceedings.</w:t>
      </w:r>
      <w:bookmarkStart w:id="7" w:name="Item3_Legal_Proceedings"/>
      <w:bookmarkEnd w:id="7"/>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To the best of our knowledge, we are not currently the subject of any material governmental investigation, private lawsuit or other legal proceeding. From time to time, we may be involved in legal and regulatory proceedings or investigations concerning matters that arise in the ordinary course of our business and that could result in significant fines or penalties, have an adverse impact on our reputation, business and financial condition or results of operations and divert the attention of our management from the operation of our business.</w:t>
      </w:r>
    </w:p>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Item 4. Mine Safety Disclosures.</w:t>
      </w:r>
      <w:bookmarkStart w:id="8" w:name="Item4_Mine_Safety_Disclosures"/>
      <w:bookmarkEnd w:id="8"/>
    </w:p>
    <w:p>
      <w:pPr>
        <w:pStyle w:val="TextBody"/>
        <w:spacing w:before="0" w:after="240"/>
        <w:ind w:left="0" w:right="0" w:hanging="0"/>
        <w:rPr>
          <w:rFonts w:ascii="Arial;Helvetica;sans-serif" w:hAnsi="Arial;Helvetica;sans-serif"/>
          <w:sz w:val="20"/>
        </w:rPr>
      </w:pPr>
      <w:r>
        <w:rPr>
          <w:rFonts w:ascii="Arial;Helvetica;sans-serif" w:hAnsi="Arial;Helvetica;sans-serif"/>
          <w:sz w:val="20"/>
        </w:rPr>
        <w:t>None.</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PART II</w:t>
      </w:r>
    </w:p>
    <w:p>
      <w:pPr>
        <w:pStyle w:val="TextBody"/>
        <w:spacing w:before="0" w:after="240"/>
        <w:ind w:left="0" w:right="0" w:hanging="0"/>
        <w:rPr>
          <w:rFonts w:ascii="Arial;Helvetica;sans-serif" w:hAnsi="Arial;Helvetica;sans-serif"/>
          <w:sz w:val="20"/>
        </w:rPr>
      </w:pPr>
      <w:r>
        <w:rPr>
          <w:rFonts w:ascii="Arial;Helvetica;sans-serif" w:hAnsi="Arial;Helvetica;sans-serif"/>
          <w:b/>
          <w:sz w:val="20"/>
        </w:rPr>
        <w:t xml:space="preserve">Item 5. Market for Registrant’s Common Equity, Related Stockholder Matters and Issuer Purchases of </w:t>
      </w:r>
      <w:bookmarkStart w:id="9" w:name="Item5_Market_for_Registrant"/>
      <w:bookmarkEnd w:id="9"/>
      <w:r>
        <w:rPr>
          <w:rFonts w:ascii="Arial;Helvetica;sans-serif" w:hAnsi="Arial;Helvetica;sans-serif"/>
          <w:b/>
          <w:sz w:val="20"/>
        </w:rPr>
        <w:t>Equity Securities.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Market Information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ADSs have been listed on the Nasdaq Global Market under the symbol “GPCR” since February 3, 2023. Prior to this date, there was no public market for our ADSs.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Holders of Ordinary Shares</w:t>
      </w:r>
    </w:p>
    <w:p>
      <w:pPr>
        <w:pStyle w:val="TextBody"/>
        <w:spacing w:before="0" w:after="240"/>
        <w:ind w:left="0" w:right="0" w:hanging="0"/>
        <w:rPr>
          <w:rFonts w:ascii="Arial;Helvetica;sans-serif" w:hAnsi="Arial;Helvetica;sans-serif"/>
          <w:sz w:val="20"/>
          <w:highlight w:val="white"/>
        </w:rPr>
      </w:pPr>
      <w:r>
        <w:rPr>
          <w:rFonts w:ascii="Arial;Helvetica;sans-serif" w:hAnsi="Arial;Helvetica;sans-serif"/>
          <w:sz w:val="20"/>
          <w:highlight w:val="white"/>
        </w:rPr>
        <w:t>As of March 15, 2023 there were 63 holders of record of our ordinary shares. The actual number of shareholders is greater than this number of record holders and includes shareholders who are beneficial owners but whose shares are held in street name by brokers and other nominees. JPMorgan Chase Bank, N.A. is the depositary for our ADSs.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Dividend Policy</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149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have never declared or paid dividends on our ordinary shares. We currently expect to retain all future earnings for use in the operation and expansion of our business and do not anticipate paying cash dividends in the foreseeable future. The declaration, amount and payment of any dividends in the future will be determined by our board of directors, in its discretion, and will depend on a number of factors, including our earnings, capital requirements, overall financial condition and contractual, legal, tax and regulatory restrictions. If we elect to pay such dividends in the future, we may reduce or discontinue entirely the payment of such dividends at any time. If we pay any dividends, ADS holders will generally have the right to receive the dividends paid on the underlying ordinary shares, subject to the terms of the deposit agreement by and among us, the depositary and the holders and beneficial owners of ADSs, including the fees and expenses payable thereunder.</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Securities Authorized for Issuance under Equity Compensation Plans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Information about our equity compensation plans is incorporated by reference to Part III, Item 12 of this Annual Report on Form 10-K.</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Unregistered Sales of Equity Securities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In April 2022, we issued and sold an aggregate of 8,155,272 Series B redeemable convertible preferred shares, $0.0001 par value (“Series B preferred shares”), for an aggregate consideration of $33.0 million to certain investors. The offers, sales and issuances of the Series B preferred shares were deemed to be exempt from registration under the Securities Act, in reliance on Section 4(a)(2) (or were deemed to be exempt from registration under the Securities Act in reliance on Section 4(a)(2) or Regulation D promulgated thereunder) in that the issuance of securities to the accredited investors did not involve a public offering. The recipients of the Series B preferred shares were each an accredited investor under Rule 501 of Regulation D and acquired the securities for investment only and not with a view to or for sale in connection with any distribution thereof. Each issued and outstanding Series B preferred share was automatically converted into one ordinary share upon the closing of our IPO on February 7, 2023.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During the year ended December 31, 2022, we granted options to purchase an aggregate of 4,218,372 ordinary shares to employees, senior management, non-employee directors and consultants at exercise prices ranging from $2.60 to $3.36 per share under our 2019 Equity Incentive Plan, as amended.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offers, sales and issuances of the options were deemed to be exempt from registration under the Securities Act in reliance on either Rule 701, in that the transactions were under compensatory benefit plans and contracts relating to compensation as provided under Rule 701 or Section 4(a)(2), for transactions by an issuer not involving a public offering.</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Use of Proceeds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On February 2, 2023, the registration statement on Form S-1 (Registration No. 333-269200) for our IPO of our ADSs was declared effective by the SEC. On February 7, 2023, we closed our IPO and 12,351,000 ADSs, each representing three ordinary shares, were issued and sold at a public offering price of $15.00 per ADS (including the underwriters’ exercise in full of their option to purchase up to 1,611,000 additional ADSs). We raised approximately $185.3 million in aggregate offering proceeds.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Jefferies LLC, SVB Securities LLC, Guggenheim Securities, LLC, and BMO Capital Markets Corp. acted as representatives of the underwriters for the offering. We compensated the underwriters of our IPO underwriting discounts and commissions totaling $13.0 million and incurred approximately $5.6 million in estimated offering costs, thus our net offering proceeds, after deducting underwriting discounts and commissions and estimated offering expenses, were approximately $166.7 million. No payments for such expenses were made directly or indirectly to (i) any of our officers or directors or their associates, (ii) any persons owning 10% or more of any class of our equity securities or (iii) any of our affiliates.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150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There has been no material change in the expected use of the net proceeds from our IPO as described in our final prospectus filed with the SEC on February 6, 2023 pursuant to Rule 424(b)(4).</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Purchases of Equity Securities by the Issuer</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None.</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 xml:space="preserve">Taxation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following is a discussion of the material Cayman Islands, PRC and U.S. federal income tax considerations that may be relevant to an investment decision by a potential investor with respect to our ADSs or ordinary shares. This summary should not be considered a comprehensive description of all the tax considerations that may be relevant to the decisions to acquire ADSs or ordinary shares.</w:t>
      </w:r>
    </w:p>
    <w:p>
      <w:pPr>
        <w:pStyle w:val="TextBody"/>
        <w:spacing w:before="0" w:after="240"/>
        <w:ind w:left="0" w:right="0" w:hanging="0"/>
        <w:rPr>
          <w:rFonts w:ascii="Arial;Helvetica;sans-serif" w:hAnsi="Arial;Helvetica;sans-serif"/>
          <w:sz w:val="20"/>
          <w:u w:val="single"/>
        </w:rPr>
      </w:pPr>
      <w:r>
        <w:rPr>
          <w:rFonts w:ascii="Arial;Helvetica;sans-serif" w:hAnsi="Arial;Helvetica;sans-serif"/>
          <w:sz w:val="20"/>
          <w:u w:val="single"/>
        </w:rPr>
        <w:t>Material Cayman Taxation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Regardless of the application of Section 7874 of the Code (as discussed below), we are also treated as a Cayman corporation for Cayman tax purposes. However, we are not subject to income or capital gains tax under the current laws of the Cayman Islands. We believe there are no other taxes likely to be material to us levied by the government of the Cayman Islands. We are and are expected to continue to be a Cayman Islands corporation as of the date of this Annual Report. We are treated as an exempted company for Cayman Islands tax purposes. </w:t>
      </w:r>
    </w:p>
    <w:p>
      <w:pPr>
        <w:pStyle w:val="TextBody"/>
        <w:spacing w:before="0" w:after="240"/>
        <w:ind w:left="0" w:right="0" w:hanging="0"/>
        <w:rPr>
          <w:rFonts w:ascii="Arial;Helvetica;sans-serif" w:hAnsi="Arial;Helvetica;sans-serif"/>
          <w:sz w:val="20"/>
          <w:u w:val="single"/>
        </w:rPr>
      </w:pPr>
      <w:r>
        <w:rPr>
          <w:rFonts w:ascii="Arial;Helvetica;sans-serif" w:hAnsi="Arial;Helvetica;sans-serif"/>
          <w:sz w:val="20"/>
          <w:u w:val="single"/>
        </w:rPr>
        <w:t>Material PRC Taxation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We are a holding company incorporated in the Cayman Islands.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Under the EIT Law and its implementation rules, an enterprise established outside of China with a “de facto management body” within China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SAT Circular 82, which provides certain specific criteria for determining whether the “de facto management body” of a Chinese-controlled enterprise that is incorporated offshore is located in China. Although this circular only applies to offshore enterprises controlled by Chinese enterprises or Chinese enterprise groups, not those controlled by Chinese individuals or foreigners, the criteria set forth in the circular may reflect the State Administration of Taxation’s general position on how the “de facto management body” text should be applied in determining the tax resident status of all offshore enterprises. According to SAT Circular 82, all offshore enterprises controlled by a Chinese enterprise or a Chinese enterprise will be regarded as a Chinese tax resident by virtue of having its “de facto management body” in China only if all of the following conditions are met: </w:t>
      </w:r>
    </w:p>
    <w:tbl>
      <w:tblPr>
        <w:tblW w:w="6753" w:type="dxa"/>
        <w:jc w:val="left"/>
        <w:tblInd w:w="0" w:type="dxa"/>
        <w:tblCellMar>
          <w:top w:w="0" w:type="dxa"/>
          <w:left w:w="0" w:type="dxa"/>
          <w:bottom w:w="0" w:type="dxa"/>
          <w:right w:w="0" w:type="dxa"/>
        </w:tblCellMar>
      </w:tblPr>
      <w:tblGrid>
        <w:gridCol w:w="23"/>
        <w:gridCol w:w="185"/>
        <w:gridCol w:w="6545"/>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rFonts w:ascii="Arial;Helvetica;sans-serif" w:hAnsi="Arial;Helvetica;sans-serif"/>
                <w:sz w:val="20"/>
              </w:rPr>
            </w:pPr>
            <w:r>
              <w:rPr>
                <w:rFonts w:ascii="Arial;Helvetica;sans-serif" w:hAnsi="Arial;Helvetica;sans-serif"/>
                <w:sz w:val="20"/>
              </w:rPr>
              <w:t>(i)</w:t>
            </w:r>
          </w:p>
        </w:tc>
        <w:tc>
          <w:tcPr>
            <w:tcW w:w="654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primary location of the day-to-day operational management is in China; </w:t>
            </w:r>
          </w:p>
        </w:tc>
      </w:tr>
    </w:tbl>
    <w:tbl>
      <w:tblPr>
        <w:tblW w:w="10205" w:type="dxa"/>
        <w:jc w:val="left"/>
        <w:tblInd w:w="0" w:type="dxa"/>
        <w:tblCellMar>
          <w:top w:w="0" w:type="dxa"/>
          <w:left w:w="0" w:type="dxa"/>
          <w:bottom w:w="0" w:type="dxa"/>
          <w:right w:w="0" w:type="dxa"/>
        </w:tblCellMar>
      </w:tblPr>
      <w:tblGrid>
        <w:gridCol w:w="23"/>
        <w:gridCol w:w="214"/>
        <w:gridCol w:w="9968"/>
      </w:tblGrid>
      <w:tr>
        <w:trPr/>
        <w:tc>
          <w:tcPr>
            <w:tcW w:w="23"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rFonts w:ascii="Arial;Helvetica;sans-serif" w:hAnsi="Arial;Helvetica;sans-serif"/>
                <w:sz w:val="20"/>
              </w:rPr>
            </w:pPr>
            <w:r>
              <w:rPr>
                <w:rFonts w:ascii="Arial;Helvetica;sans-serif" w:hAnsi="Arial;Helvetica;sans-serif"/>
                <w:sz w:val="20"/>
              </w:rPr>
              <w:t>(ii)</w:t>
            </w:r>
          </w:p>
        </w:tc>
        <w:tc>
          <w:tcPr>
            <w:tcW w:w="9968"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decisions relating to the enterprise’s financial and human resource matters are made or are subject to approval by organizations or personnel in China; </w:t>
            </w:r>
          </w:p>
        </w:tc>
      </w:tr>
    </w:tbl>
    <w:tbl>
      <w:tblPr>
        <w:tblW w:w="10205" w:type="dxa"/>
        <w:jc w:val="left"/>
        <w:tblInd w:w="0" w:type="dxa"/>
        <w:tblCellMar>
          <w:top w:w="0" w:type="dxa"/>
          <w:left w:w="0" w:type="dxa"/>
          <w:bottom w:w="0" w:type="dxa"/>
          <w:right w:w="0" w:type="dxa"/>
        </w:tblCellMar>
      </w:tblPr>
      <w:tblGrid>
        <w:gridCol w:w="23"/>
        <w:gridCol w:w="256"/>
        <w:gridCol w:w="9926"/>
      </w:tblGrid>
      <w:tr>
        <w:trPr/>
        <w:tc>
          <w:tcPr>
            <w:tcW w:w="2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rFonts w:ascii="Arial;Helvetica;sans-serif" w:hAnsi="Arial;Helvetica;sans-serif"/>
                <w:sz w:val="20"/>
              </w:rPr>
            </w:pPr>
            <w:r>
              <w:rPr>
                <w:rFonts w:ascii="Arial;Helvetica;sans-serif" w:hAnsi="Arial;Helvetica;sans-serif"/>
                <w:sz w:val="20"/>
              </w:rPr>
              <w:t>(iii)</w:t>
            </w:r>
          </w:p>
        </w:tc>
        <w:tc>
          <w:tcPr>
            <w:tcW w:w="9926"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enterprise’s primary assets, accounting books and records, company seals, and board and shareholder resolutions, are located or maintained in China; and </w:t>
            </w:r>
          </w:p>
        </w:tc>
      </w:tr>
    </w:tbl>
    <w:tbl>
      <w:tblPr>
        <w:tblW w:w="7818" w:type="dxa"/>
        <w:jc w:val="left"/>
        <w:tblInd w:w="0" w:type="dxa"/>
        <w:tblCellMar>
          <w:top w:w="0" w:type="dxa"/>
          <w:left w:w="0" w:type="dxa"/>
          <w:bottom w:w="0" w:type="dxa"/>
          <w:right w:w="0" w:type="dxa"/>
        </w:tblCellMar>
      </w:tblPr>
      <w:tblGrid>
        <w:gridCol w:w="23"/>
        <w:gridCol w:w="290"/>
        <w:gridCol w:w="7505"/>
      </w:tblGrid>
      <w:tr>
        <w:trPr/>
        <w:tc>
          <w:tcPr>
            <w:tcW w:w="23"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rFonts w:ascii="Arial;Helvetica;sans-serif" w:hAnsi="Arial;Helvetica;sans-serif"/>
                <w:sz w:val="20"/>
              </w:rPr>
            </w:pPr>
            <w:r>
              <w:rPr>
                <w:rFonts w:ascii="Arial;Helvetica;sans-serif" w:hAnsi="Arial;Helvetica;sans-serif"/>
                <w:sz w:val="20"/>
              </w:rPr>
              <w:t>(iv)</w:t>
            </w:r>
          </w:p>
        </w:tc>
        <w:tc>
          <w:tcPr>
            <w:tcW w:w="750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at least 50% of voting board members or senior executives habitually reside in China. </w:t>
            </w:r>
          </w:p>
        </w:tc>
      </w:tr>
    </w:tbl>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We believe that neither we nor any of its subsidiaries outside of China is a Chinese resident enterprise for Chinese tax purposes. We are not controlled by a Chinese enterprise or Chinese enterprise group, and we do not believe that we meet all of the conditions above. We are a company incorporated outside China. As a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151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holding company, a majority of assets are located, and our records (including the resolutions of its board of directors and the resolutions of its shareholders) are maintained, outside China. For the same reasons, we believe our other subsidiaries outside of China are also not Chinese resident enterprises for Chinese tax purposes. However, the tax resident status of an enterprise is subject to determination by the Chinese tax authorities and uncertainties remain with respect to the interpretation of the term “de facto management body.”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If the Chinese tax authorities determine that we are a Chinese resident enterprise for Enterprise Income Tax (“EIT”), purposes, we may be required to withhold tax at a rate of 10% on dividends we pay to our shareholders, including holders of our ADSs, that are non-resident enterprises. In addition, non-resident enterprise shareholders (including our ADS holders) may be subject to a 10% Chinese withholding tax on gains realized on the sale or other disposition of ordinary shares or ADSs, if such income is treated as sourced from within China. Furthermore, gains derived by our non-Chinese individual shareholders from the sale of our ordinary shares and ADSs may be subject to a 20% Chinese withholding tax. It is unclear whether our non-Chinese individual shareholders (including our ADS holders) would be subject to any Chinese tax (including withholding tax) on dividends received by such non-Chinese individual shareholders in the event we are determined to be a Chinese resident enterprise. If any Chinese tax were to apply to dividends realized by non-Chinese individuals, it will generally apply at a rate of 20%. The Chinese tax liability may be reduced under applicable tax treaties. However, it is unclear whether our non-Chinese shareholders would be able to claim the benefits of any tax treaty between their country of tax residence and China in the event that we are treated as a Chinese resident enterprise.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See Part I, Item 1A. “Risk Factors - Risks Related to Doing Business in China and Our International Operations-If we are classified as a China resident enterprise for China income tax purposes, such classification could result in unfavorable tax consequences to us and our non-Chinese shareholders or ADS holders.” </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Pursuant to the EIT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Chinese-sourced income at a rate of 10%. Pursuant to the Arrangement between Mainland China and the Hong Kong Special Administrative Region for the Avoidance of Double Taxation and Tax Evasion on Income, the tax rate in respect to dividends paid by a Chinese enterprise to a Hong Kong enterprise is reduced to 5% from a standard rate of 10% if the Hong Kong enterprise directly holds at least 25% of the Chinese enterprise. Pursuant to the Notice of the State Administration of Taxation on the Issues concerning the Application of the Dividend Clauses of Tax Agreements (“SAT Circular 81”), a Hong Kong resident enterprise must meet the following conditions, among others, in order to enjoy the reduced tax rate: (i) it must directly own the required percentage of equity interests and voting rights in the Chinese resident enterprise; and (ii) it must have directly owned such percentage in the Chinese resident enterprise throughout the 12 months prior to receiving the dividends. Additionally, China has started an anti-tax treaty shopping practice since the issuance of Circular 601 in 2009. On February 3, 2018, the State Administration of Taxation released the Announcement on Issues concerning the “Beneficial Owner” in Tax Treaties (“PN9”), which provides guidelines in determining a beneficial owner qualification under dividends, interest and royalty articles of tax treaties. Chinese tax authorities in general often scrutinize fact patterns case by case in determining foreign shareholders’ qualifications for a reduced treaty withholding tax rate, especially against foreign companies that are perceived as being conduits or lacking commercial substance. Furthermore, according to the Administrative Measures for Non-Resident Enterprises to Enjoy Treatments under Tax Treaties, which became effective in January 2020, where non-resident enterprises judge by themselves that they meet the conditions for entitlement to reduced tax rate according to tax treaties, they may enjoy such entitlement after reporting required information to competent tax authorities provided that they shall collect and retain relevant documents for future reference and inspections. Accordingly, our ShouTi Hong Kong Ltd. subsidiary may be able to enjoy the 5% tax rate for the dividends it receives from its Chinese incorporated subsidiaries if they satisfy the conditions prescribed under SAT Circular 81, PN9 and other relevant tax rules and regulations and complete the necessary government formalities. However, according to SAT Circular 81, if the relevant tax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152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authorities determine our transactions or arrangements are for the primary purpose of enjoying a favorable tax treatment, the relevant tax authorities may adjust the favorable tax rate on dividends in the future.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If our Cayman Islands holding company, Structure Therapeutics Inc., is not deemed to be a Chinese resident enterprise, holders of our ordinary shares and ADSs who are not Chinese residents will not be subject to Chinese income tax on dividends distributed by us. With respect to gains realized from the sale or other disposition of the shares or ADSs, there is a possibility that a Chinese tax authority may impose an income tax under the indirect transfer rules set out under the Announcement of the State Administration of Taxation on Several Issues Concerning the Enterprise Income Tax on Indirect Property Transfer by Non-Resident Enterprises (“SAT Circular 7”), except that such transaction could fall under the safe harbor thereunder. See Part I, Item 1A. “Risk Factors - Risks Related to Doing Business in China and Our International Operations-We and our shareholders face uncertainties in China with respect to indirect transfers of equity interests in China resident enterprises.”</w:t>
      </w:r>
    </w:p>
    <w:p>
      <w:pPr>
        <w:pStyle w:val="TextBody"/>
        <w:spacing w:before="0" w:after="240"/>
        <w:ind w:left="0" w:right="0" w:hanging="0"/>
        <w:rPr>
          <w:rFonts w:ascii="Arial;Helvetica;sans-serif" w:hAnsi="Arial;Helvetica;sans-serif"/>
          <w:sz w:val="20"/>
          <w:u w:val="single"/>
        </w:rPr>
      </w:pPr>
      <w:r>
        <w:rPr>
          <w:rFonts w:ascii="Arial;Helvetica;sans-serif" w:hAnsi="Arial;Helvetica;sans-serif"/>
          <w:sz w:val="20"/>
          <w:u w:val="single"/>
        </w:rPr>
        <w:t>Material U.S. Federal Income Tax Consequences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The following is a summary of the material U.S. federal income tax consequences to U.S. holders and non-U.S. holders (each, as defined below) of the acquisition, ownership and disposition of our ordinary shares or ADSs. This discussion is not a complete analysis of all potential U.S. federal income tax consequences relating thereto, and does not address the potential application of the Medicare contribution tax or the alternative minimum tax, the impact of special tax accounting rules under Section 451(b) of the Code, any estate or gift tax consequences or any tax consequences arising under any state, local or foreign tax laws, or any other U.S. federal tax laws. This discussion is based on the Code, Treasury Regulations promulgated thereunder, judicial decisions and published rulings and administrative pronouncements of the U.S. Internal Revenue Service (the “IRS”), all as in effect as of the date of this Annual Report. These authorities are subject to change and to differing interpretations,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This discussion is limited to holders who hold our ordinary shares or ADSs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 </w:t>
      </w:r>
    </w:p>
    <w:tbl>
      <w:tblPr>
        <w:tblW w:w="6048" w:type="dxa"/>
        <w:jc w:val="left"/>
        <w:tblInd w:w="0" w:type="dxa"/>
        <w:tblCellMar>
          <w:top w:w="0" w:type="dxa"/>
          <w:left w:w="0" w:type="dxa"/>
          <w:bottom w:w="0" w:type="dxa"/>
          <w:right w:w="0" w:type="dxa"/>
        </w:tblCellMar>
      </w:tblPr>
      <w:tblGrid>
        <w:gridCol w:w="23"/>
        <w:gridCol w:w="200"/>
        <w:gridCol w:w="5825"/>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582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certain former citizens or long-term residents of the United States; </w:t>
            </w:r>
          </w:p>
        </w:tc>
      </w:tr>
    </w:tbl>
    <w:tbl>
      <w:tblPr>
        <w:tblW w:w="6018" w:type="dxa"/>
        <w:jc w:val="left"/>
        <w:tblInd w:w="0" w:type="dxa"/>
        <w:tblCellMar>
          <w:top w:w="0" w:type="dxa"/>
          <w:left w:w="0" w:type="dxa"/>
          <w:bottom w:w="0" w:type="dxa"/>
          <w:right w:w="0" w:type="dxa"/>
        </w:tblCellMar>
      </w:tblPr>
      <w:tblGrid>
        <w:gridCol w:w="23"/>
        <w:gridCol w:w="200"/>
        <w:gridCol w:w="5795"/>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579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partnerships or other pass-through entities (and investors therein); </w:t>
            </w:r>
          </w:p>
        </w:tc>
      </w:tr>
    </w:tbl>
    <w:tbl>
      <w:tblPr>
        <w:tblW w:w="3138" w:type="dxa"/>
        <w:jc w:val="left"/>
        <w:tblInd w:w="0" w:type="dxa"/>
        <w:tblCellMar>
          <w:top w:w="0" w:type="dxa"/>
          <w:left w:w="0" w:type="dxa"/>
          <w:bottom w:w="0" w:type="dxa"/>
          <w:right w:w="0" w:type="dxa"/>
        </w:tblCellMar>
      </w:tblPr>
      <w:tblGrid>
        <w:gridCol w:w="23"/>
        <w:gridCol w:w="200"/>
        <w:gridCol w:w="2915"/>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2915" w:type="dxa"/>
            <w:tcBorders/>
            <w:shd w:fill="auto" w:val="clear"/>
            <w:vAlign w:val="center"/>
          </w:tcPr>
          <w:p>
            <w:pPr>
              <w:pStyle w:val="TableContents"/>
              <w:spacing w:before="0" w:after="283"/>
              <w:rPr>
                <w:caps w:val="false"/>
                <w:smallCaps w:val="false"/>
              </w:rPr>
            </w:pPr>
            <w:r>
              <w:rPr>
                <w:caps w:val="false"/>
                <w:smallCaps w:val="false"/>
              </w:rPr>
              <w:t>“</w:t>
            </w:r>
            <w:r>
              <w:rPr>
                <w:rFonts w:ascii="Arial;Helvetica;sans-serif" w:hAnsi="Arial;Helvetica;sans-serif"/>
                <w:b w:val="false"/>
                <w:i w:val="false"/>
                <w:caps w:val="false"/>
                <w:smallCaps w:val="false"/>
                <w:sz w:val="20"/>
              </w:rPr>
              <w:t xml:space="preserve">controlled foreign corporations”; </w:t>
            </w:r>
          </w:p>
        </w:tc>
      </w:tr>
    </w:tbl>
    <w:tbl>
      <w:tblPr>
        <w:tblW w:w="3873" w:type="dxa"/>
        <w:jc w:val="left"/>
        <w:tblInd w:w="0" w:type="dxa"/>
        <w:tblCellMar>
          <w:top w:w="0" w:type="dxa"/>
          <w:left w:w="0" w:type="dxa"/>
          <w:bottom w:w="0" w:type="dxa"/>
          <w:right w:w="0" w:type="dxa"/>
        </w:tblCellMar>
      </w:tblPr>
      <w:tblGrid>
        <w:gridCol w:w="23"/>
        <w:gridCol w:w="200"/>
        <w:gridCol w:w="3650"/>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3650" w:type="dxa"/>
            <w:tcBorders/>
            <w:shd w:fill="auto" w:val="clear"/>
            <w:vAlign w:val="center"/>
          </w:tcPr>
          <w:p>
            <w:pPr>
              <w:pStyle w:val="TableContents"/>
              <w:spacing w:before="0" w:after="283"/>
              <w:rPr>
                <w:caps w:val="false"/>
                <w:smallCaps w:val="false"/>
              </w:rPr>
            </w:pPr>
            <w:r>
              <w:rPr>
                <w:caps w:val="false"/>
                <w:smallCaps w:val="false"/>
              </w:rPr>
              <w:t>“</w:t>
            </w:r>
            <w:r>
              <w:rPr>
                <w:rFonts w:ascii="Arial;Helvetica;sans-serif" w:hAnsi="Arial;Helvetica;sans-serif"/>
                <w:b w:val="false"/>
                <w:i w:val="false"/>
                <w:caps w:val="false"/>
                <w:smallCaps w:val="false"/>
                <w:sz w:val="20"/>
              </w:rPr>
              <w:t xml:space="preserve">passive foreign investment companies”; </w:t>
            </w:r>
          </w:p>
        </w:tc>
      </w:tr>
    </w:tbl>
    <w:tbl>
      <w:tblPr>
        <w:tblW w:w="6543" w:type="dxa"/>
        <w:jc w:val="left"/>
        <w:tblInd w:w="0" w:type="dxa"/>
        <w:tblCellMar>
          <w:top w:w="0" w:type="dxa"/>
          <w:left w:w="0" w:type="dxa"/>
          <w:bottom w:w="0" w:type="dxa"/>
          <w:right w:w="0" w:type="dxa"/>
        </w:tblCellMar>
      </w:tblPr>
      <w:tblGrid>
        <w:gridCol w:w="23"/>
        <w:gridCol w:w="200"/>
        <w:gridCol w:w="6320"/>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632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corporations that accumulate earnings to avoid U.S. federal income tax; </w:t>
            </w:r>
          </w:p>
        </w:tc>
      </w:tr>
    </w:tbl>
    <w:tbl>
      <w:tblPr>
        <w:tblW w:w="9888" w:type="dxa"/>
        <w:jc w:val="left"/>
        <w:tblInd w:w="0" w:type="dxa"/>
        <w:tblCellMar>
          <w:top w:w="0" w:type="dxa"/>
          <w:left w:w="0" w:type="dxa"/>
          <w:bottom w:w="0" w:type="dxa"/>
          <w:right w:w="0" w:type="dxa"/>
        </w:tblCellMar>
      </w:tblPr>
      <w:tblGrid>
        <w:gridCol w:w="23"/>
        <w:gridCol w:w="200"/>
        <w:gridCol w:w="9665"/>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66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banks, financial institutions, investment funds, insurance companies, brokers, dealers, or traders in securities; </w:t>
            </w:r>
          </w:p>
        </w:tc>
      </w:tr>
    </w:tbl>
    <w:tbl>
      <w:tblPr>
        <w:tblW w:w="5373" w:type="dxa"/>
        <w:jc w:val="left"/>
        <w:tblInd w:w="0" w:type="dxa"/>
        <w:tblCellMar>
          <w:top w:w="0" w:type="dxa"/>
          <w:left w:w="0" w:type="dxa"/>
          <w:bottom w:w="0" w:type="dxa"/>
          <w:right w:w="0" w:type="dxa"/>
        </w:tblCellMar>
      </w:tblPr>
      <w:tblGrid>
        <w:gridCol w:w="23"/>
        <w:gridCol w:w="200"/>
        <w:gridCol w:w="5150"/>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515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tax-exempt organizations and governmental organizations; </w:t>
            </w:r>
          </w:p>
        </w:tc>
      </w:tr>
    </w:tbl>
    <w:tbl>
      <w:tblPr>
        <w:tblW w:w="2868" w:type="dxa"/>
        <w:jc w:val="left"/>
        <w:tblInd w:w="0" w:type="dxa"/>
        <w:tblCellMar>
          <w:top w:w="0" w:type="dxa"/>
          <w:left w:w="0" w:type="dxa"/>
          <w:bottom w:w="0" w:type="dxa"/>
          <w:right w:w="0" w:type="dxa"/>
        </w:tblCellMar>
      </w:tblPr>
      <w:tblGrid>
        <w:gridCol w:w="23"/>
        <w:gridCol w:w="200"/>
        <w:gridCol w:w="2645"/>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264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tax-qualified retirement plans; </w:t>
            </w:r>
          </w:p>
        </w:tc>
      </w:tr>
    </w:tbl>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153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persons who acquire our ordinary shares or ADSs through the exercise of an option or otherwise as compensation; </w:t>
            </w:r>
          </w:p>
        </w:tc>
      </w:tr>
    </w:tbl>
    <w:tbl>
      <w:tblPr>
        <w:tblW w:w="9603" w:type="dxa"/>
        <w:jc w:val="left"/>
        <w:tblInd w:w="0" w:type="dxa"/>
        <w:tblCellMar>
          <w:top w:w="0" w:type="dxa"/>
          <w:left w:w="0" w:type="dxa"/>
          <w:bottom w:w="0" w:type="dxa"/>
          <w:right w:w="0" w:type="dxa"/>
        </w:tblCellMar>
      </w:tblPr>
      <w:tblGrid>
        <w:gridCol w:w="23"/>
        <w:gridCol w:w="200"/>
        <w:gridCol w:w="9380"/>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38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persons that own, or have owned, actually or constructively, more than 5% of our ordinary shares or ADSs; </w:t>
            </w:r>
          </w:p>
        </w:tc>
      </w:tr>
    </w:tbl>
    <w:tbl>
      <w:tblPr>
        <w:tblW w:w="5133" w:type="dxa"/>
        <w:jc w:val="left"/>
        <w:tblInd w:w="0" w:type="dxa"/>
        <w:tblCellMar>
          <w:top w:w="0" w:type="dxa"/>
          <w:left w:w="0" w:type="dxa"/>
          <w:bottom w:w="0" w:type="dxa"/>
          <w:right w:w="0" w:type="dxa"/>
        </w:tblCellMar>
      </w:tblPr>
      <w:tblGrid>
        <w:gridCol w:w="23"/>
        <w:gridCol w:w="200"/>
        <w:gridCol w:w="4910"/>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491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persons who have elected to mark securities to market; </w:t>
            </w:r>
          </w:p>
        </w:tc>
      </w:tr>
    </w:tbl>
    <w:tbl>
      <w:tblPr>
        <w:tblW w:w="2148" w:type="dxa"/>
        <w:jc w:val="left"/>
        <w:tblInd w:w="0" w:type="dxa"/>
        <w:tblCellMar>
          <w:top w:w="0" w:type="dxa"/>
          <w:left w:w="0" w:type="dxa"/>
          <w:bottom w:w="0" w:type="dxa"/>
          <w:right w:w="0" w:type="dxa"/>
        </w:tblCellMar>
      </w:tblPr>
      <w:tblGrid>
        <w:gridCol w:w="23"/>
        <w:gridCol w:w="200"/>
        <w:gridCol w:w="1925"/>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192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U.S. expatriates; and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persons holding our ordinary shares or ADSs as part of a hedging or conversion transaction or straddle, or a constructive sale, or other risk reduction strategy or integrated investment. </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THIS DISCUSSION IS FOR INFORMATIONAL PURPOSES ONLY AND IS NOT TAX ADVICE. PROSPECTIVE INVESTORS SHOULD CONSULT THEIR TAX ADVISORS REGARDING THE PARTICULAR U.S. FEDERAL INCOME TAX CONSEQUENCES TO THEM OF ACQUIRING, OWNING AND DISPOSING OF OUR ORDINARY SHARES OR ADSS, AS WELL AS ANY TAX CONSEQUENCES ARISING UNDER ANY STATE, LOCAL OR FOREIGN TAX LAWS AND ANY OTHER U.S. FEDERAL TAX LAWS.</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Definition of U.S. Holder and Non-U.S. Holder</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A U.S. holder is any U.S. person that is a beneficial owner of our ordinary shares or ADSs. A U.S. person, for U.S. federal income tax purposes, is any of the following: </w:t>
      </w:r>
    </w:p>
    <w:tbl>
      <w:tblPr>
        <w:tblW w:w="4788" w:type="dxa"/>
        <w:jc w:val="left"/>
        <w:tblInd w:w="0" w:type="dxa"/>
        <w:tblCellMar>
          <w:top w:w="0" w:type="dxa"/>
          <w:left w:w="0" w:type="dxa"/>
          <w:bottom w:w="0" w:type="dxa"/>
          <w:right w:w="0" w:type="dxa"/>
        </w:tblCellMar>
      </w:tblPr>
      <w:tblGrid>
        <w:gridCol w:w="23"/>
        <w:gridCol w:w="200"/>
        <w:gridCol w:w="4565"/>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456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 individual citizen or resident of the United States;</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corporation created or organized under the laws of the United States, any state thereof, or the District of Columbia;</w:t>
            </w:r>
          </w:p>
        </w:tc>
      </w:tr>
    </w:tbl>
    <w:tbl>
      <w:tblPr>
        <w:tblW w:w="8538" w:type="dxa"/>
        <w:jc w:val="left"/>
        <w:tblInd w:w="0" w:type="dxa"/>
        <w:tblCellMar>
          <w:top w:w="0" w:type="dxa"/>
          <w:left w:w="0" w:type="dxa"/>
          <w:bottom w:w="0" w:type="dxa"/>
          <w:right w:w="0" w:type="dxa"/>
        </w:tblCellMar>
      </w:tblPr>
      <w:tblGrid>
        <w:gridCol w:w="23"/>
        <w:gridCol w:w="200"/>
        <w:gridCol w:w="8315"/>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831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 estate, the income of which is subject to U.S. federal income tax regardless of its source; or</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For purposes of this discussion, a non-U.S. holder is any beneficial owner of our ordinary shares or ADSs that is not a “U.S. person” nor a partnership (including any entity or arrangement treated as a partnership) for U.S. federal income tax purposes.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If an entity or arrangement that is classified as a partnership for U.S. federal income tax purposes holds our ordinary shares or ADSs, the U.S. federal income tax treatment of a partner in the partnership will generally depend on the status of the partner and the activities of the partnership. Partnerships holding our ordinary shares or ADSs and the partners in such partnerships are urged to consult their tax advisors about the particular U.S. federal income tax consequences to them of holding and disposing of our ordinary shares or ADSs.</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Tax Classification of the Company as a U.S. Domestic Corporation</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For U.S. federal income tax purposes, a corporation is generally considered to be a tax resident in the jurisdiction of its organization or incorporation. Accordingly, under the generally applicable U.S. federal income tax rules, the Company, which is incorporated under the laws of the Cayman Islands, would be classified as a non-U.S. corporation (and, therefore, not a U.S. tax resident) for U.S. federal income tax purposes. However, Section 7874 of the Code provides an exception to this general rule, under which a non-</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154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U.S. incorporated entity may, in certain circumstances, be treated as a U.S. corporation for U.S. federal income tax purposes. These rules are complex and there is limited guidance regarding their application. A number of significant and complicated U.S. federal income tax consequences may result from such classification, and this summary does not attempt to describe all such U.S. federal income tax consequences. Section 7874 of the Code and the Treasury Regulations promulgated thereunder do not address all the possible tax consequences that arise from the Company being treated as a U.S. domestic corporation for U.S. federal income tax purposes. Accordingly, there may be additional or unforeseen U.S. federal income tax consequences to the Company that are not discussed in this summary.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Under such rules, even though the Company is organized as a Cayman Islands corporation, it will be treated as a U.S. domestic corporation for U.S. federal income tax purposes as a result of the Company’s prior acquisition of a United States target corporation and application of the so-called “inversion” rules under Section 7874 of the Code. As such, the Company will be subject to U.S. federal income tax as if it were organized under the laws of the United States or a state thereof, and its dividends will be treated as dividends from a U.S. corporation. In addition, the Company will be required to file a U.S. federal income tax return annually with the IRS. It is anticipated that such U.S. tax treatment will continue indefinitely and that our ordinary shares and ADSs will be treated indefinitely as shares in a U.S. domestic corporation for U.S. federal income tax purposes. The Company’s status as a domestic corporation for U.S. federal income tax purposes has implications for all shareholders, although only the application to U.S. Holders is discussed in this summary.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remaining discussion contained in this section titled “Material U.S. Federal Income Tax Considerations” section assumes that the Company will be treated as a domestic corporation for all U.S. federal income tax purposes.</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 xml:space="preserve">Tax Considerations for U.S. Holders </w:t>
      </w:r>
    </w:p>
    <w:p>
      <w:pPr>
        <w:pStyle w:val="TextBody"/>
        <w:spacing w:before="0" w:after="240"/>
        <w:ind w:left="0" w:right="0" w:hanging="0"/>
        <w:rPr>
          <w:rFonts w:ascii="Arial;Helvetica;sans-serif" w:hAnsi="Arial;Helvetica;sans-serif"/>
          <w:sz w:val="20"/>
          <w:u w:val="single"/>
        </w:rPr>
      </w:pPr>
      <w:r>
        <w:rPr>
          <w:rFonts w:ascii="Arial;Helvetica;sans-serif" w:hAnsi="Arial;Helvetica;sans-serif"/>
          <w:sz w:val="20"/>
          <w:u w:val="single"/>
        </w:rPr>
        <w:t>Distributions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It is unlikely that we will pay any dividends on our ordinary shares or ADSs in the foreseeable future. If we make cash or other property distributions on our ordinary shares or ADSs,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ordinary shares or ADSs, but not below zero. Any excess will be treated as gain realized on the sale or other disposition of our ordinary shares and will be treated as described under “-Sale or Redemption” below. Distributions constituting dividend income to U.S. holders that are individuals may qualify for reduced rates applicable to qualified dividend income. Distributions constituting dividend income to U.S. holders that are U.S. corporations may qualify for the dividends received deduction. </w:t>
      </w:r>
    </w:p>
    <w:p>
      <w:pPr>
        <w:pStyle w:val="TextBody"/>
        <w:spacing w:before="0" w:after="240"/>
        <w:ind w:left="0" w:right="0" w:hanging="0"/>
        <w:rPr>
          <w:rFonts w:ascii="Arial;Helvetica;sans-serif" w:hAnsi="Arial;Helvetica;sans-serif"/>
          <w:sz w:val="20"/>
          <w:u w:val="single"/>
        </w:rPr>
      </w:pPr>
      <w:r>
        <w:rPr>
          <w:rFonts w:ascii="Arial;Helvetica;sans-serif" w:hAnsi="Arial;Helvetica;sans-serif"/>
          <w:sz w:val="20"/>
          <w:u w:val="single"/>
        </w:rPr>
        <w:t xml:space="preserve">Sale or Redemption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A U.S. holder will generally recognize capital gain or loss on a sale, exchange, redemption (other than a redemption that is treated as a distribution) or other disposition of our ordinary shares or ADSs equal to the difference between the amount realized upon the disposition and the U.S. holder’s adjusted tax basis in the shares so disposed. Such capital gain or loss will be a long-term capital gain or loss if the U.S. holder’s holding period for the shares disposed of exceeds one year at the time of disposition. Long-term capital gains of non-corporate taxpayers are generally taxed at a lower maximum marginal tax rate than the maximum marginal tax rate applicable to ordinary income. The deductibility of net capital losses by individuals and corporations is subject to limitations. </w:t>
      </w:r>
    </w:p>
    <w:p>
      <w:pPr>
        <w:pStyle w:val="TextBody"/>
        <w:spacing w:before="0" w:after="240"/>
        <w:ind w:left="0" w:right="0" w:hanging="0"/>
        <w:rPr>
          <w:rFonts w:ascii="Arial;Helvetica;sans-serif" w:hAnsi="Arial;Helvetica;sans-serif"/>
          <w:sz w:val="20"/>
          <w:u w:val="single"/>
        </w:rPr>
      </w:pPr>
      <w:r>
        <w:rPr>
          <w:rFonts w:ascii="Arial;Helvetica;sans-serif" w:hAnsi="Arial;Helvetica;sans-serif"/>
          <w:sz w:val="20"/>
          <w:u w:val="single"/>
        </w:rPr>
        <w:t>Foreign Currency</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 amount of any distribution paid to a U.S. holder in foreign currency, or the amount of proceeds paid in foreign currency on the sale, exchange or other taxable disposition of our ordinary shares or ADSs, generally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155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will be equal to the U.S. dollar value of such foreign currency based on the exchange rate applicable on the date of receipt (regardless of whether such foreign currency is converted into U.S. dollars at that time). A U.S. holder will have a basis in the foreign currency equal to its U.S. dollar value on the date of receipt. Any U.S. holder who converts or otherwise disposes of the foreign currency after the date of receipt may have a foreign currency exchange gain or loss that would be treated as ordinary income or loss, and generally will be U.S. source income or loss for foreign tax credit purposes. Different rules apply to U.S. holders who use the accrual method of tax accounting. Each U.S. holder should consult its own tax advisors concerning issues related to foreign currency. </w:t>
      </w:r>
    </w:p>
    <w:p>
      <w:pPr>
        <w:pStyle w:val="TextBody"/>
        <w:spacing w:before="0" w:after="240"/>
        <w:ind w:left="0" w:right="0" w:hanging="0"/>
        <w:rPr>
          <w:rFonts w:ascii="Arial;Helvetica;sans-serif" w:hAnsi="Arial;Helvetica;sans-serif"/>
          <w:sz w:val="20"/>
          <w:u w:val="single"/>
        </w:rPr>
      </w:pPr>
      <w:r>
        <w:rPr>
          <w:rFonts w:ascii="Arial;Helvetica;sans-serif" w:hAnsi="Arial;Helvetica;sans-serif"/>
          <w:sz w:val="20"/>
          <w:u w:val="single"/>
        </w:rPr>
        <w:t>Information Reporting and Backup Withholding</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Information returns will be filed with the IRS in connection with payments of dividends and the proceeds from a sale or other disposition of ordinary shares or ADSs payable to a U.S. Holder. Certain U.S. holders may be subject to backup withholding with respect to the payment of dividends and certain payments of proceeds on the sale or redemption of ordinary shares or ADSs unless such U.S. holder provides proof of an applicable exemption or a correct taxpayer identification number (usually with an IRS Form W-9), and otherwise comply with applicable requirements of the backup withholding rules.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Backup withholding is not an additional tax. Any amount withheld under the backup withholding rules from a payment to a U.S. holder is allowable as a credit against such U.S. holder’s U.S. federal income tax, which may entitle the U.S. holder to a refund, provided that the U.S. holder timely provides the required information to the IRS. Moreover, certain penalties may be imposed by the IRS on a U.S. holder who is required to furnish information but does not do so in the proper manner.</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Non-U.S. Holders</w:t>
      </w:r>
    </w:p>
    <w:p>
      <w:pPr>
        <w:pStyle w:val="TextBody"/>
        <w:spacing w:before="0" w:after="240"/>
        <w:ind w:left="0" w:right="0" w:hanging="0"/>
        <w:rPr>
          <w:rFonts w:ascii="Arial;Helvetica;sans-serif" w:hAnsi="Arial;Helvetica;sans-serif"/>
          <w:sz w:val="20"/>
          <w:u w:val="single"/>
        </w:rPr>
      </w:pPr>
      <w:r>
        <w:rPr>
          <w:rFonts w:ascii="Arial;Helvetica;sans-serif" w:hAnsi="Arial;Helvetica;sans-serif"/>
          <w:sz w:val="20"/>
          <w:u w:val="single"/>
        </w:rPr>
        <w:t>Distributions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It is unlikely that we will pay any dividends on our ordinary shares or ADSs in the foreseeable future. If we make cash or other property distributions on our ordinary shares or ADSs,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ordinary shares, but not below zero. Any excess will be treated as gain realized on the sale or other disposition of our ordinary shares and will be treated as described under “-Gain On Sale or Redemption” below.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Subject to the discussion below regarding effectively connected income, any dividend income paid to a non-U.S. holder of our ordinary shares or ADSs generally will be subject to U.S. federal withholding tax at a rate of 30% of the gross amount of the dividends, or such lower rate specified by an applicable income tax treaty. To receive the benefit of a reduced treaty rate, a non-U.S. holder must furnish us or our paying agent a valid IRS Form W-8BEN or IRS Form W-8BEN-E (or applicable successor form) including a U.S. taxpayer identification number and certifying such holder’s qualification for the reduced rate. This certification must be provided to us or our paying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Non-U.S. holders that do not provide the required certification on a timely basis, but that qualify for a reduced treaty rate, may obtain a refund of any excess amounts withheld by timely filing an appropriate claim for refund with the IRS. </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If a non-U.S. holder holds our ordinary shares in connection with the conduct of a trade or business in the United States, and dividends paid on our ordinary shares or ADSs are effectively connected with such holder’s U.S. trade or business (and are attributable to such holder’s permanent establishment in the United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156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States if required by an applicable tax treaty), the non-U.S. holder will be exempt from U.S. federal withholding tax. To claim the exemption, the non-U.S. holder must generally furnish a valid IRS Form W-8ECI (or applicable successor form) to the applicable withholding agent.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However, any such effectively connected dividends paid on our ordinary shares or ADSs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these rules and any applicable income tax treaties that may provide for different rules.</w:t>
      </w:r>
    </w:p>
    <w:p>
      <w:pPr>
        <w:pStyle w:val="TextBody"/>
        <w:spacing w:before="0" w:after="240"/>
        <w:ind w:left="0" w:right="0" w:hanging="0"/>
        <w:rPr>
          <w:rFonts w:ascii="Arial;Helvetica;sans-serif" w:hAnsi="Arial;Helvetica;sans-serif"/>
          <w:sz w:val="20"/>
          <w:u w:val="single"/>
        </w:rPr>
      </w:pPr>
      <w:r>
        <w:rPr>
          <w:rFonts w:ascii="Arial;Helvetica;sans-serif" w:hAnsi="Arial;Helvetica;sans-serif"/>
          <w:sz w:val="20"/>
          <w:u w:val="single"/>
        </w:rPr>
        <w:t>Sale or Redemption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Subject to the discussion below regarding backup withholding and Sections 1471 to 1474 of the Code (“FATCA”), a non-U.S. holder generally will not be subject to U.S. federal income tax on any gain realized on the sale or other disposition of our ordinary shares or ADSs, unless: </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gain is effectively connected with the non-U.S. holder’s conduct of a trade or business in the United States, and if required by an applicable income tax treaty, is attributable to a permanent establishment maintained by the non-U.S. holder in the United States;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non-U.S. holder is a nonresident alien individual present in the United States for 183 days or more during the taxable year of the disposition, and certain other requirements are met; or </w:t>
            </w:r>
          </w:p>
        </w:tc>
      </w:tr>
    </w:tbl>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pPr>
            <w:r>
              <w:rPr/>
              <w:t>◾</w:t>
            </w:r>
          </w:p>
        </w:tc>
        <w:tc>
          <w:tcPr>
            <w:tcW w:w="998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ordinary shares or ADSs constitute a “United States real property interest” by reason of our status as a United States real property holding corporation, for U.S. federal income tax purposes at any time within the shorter of the five-year period preceding the disposition or the non-U.S. holder’s holding period for our ordinary shares or ADSs, and our ordinary shares or ADSs, as applicable, are not regularly traded on an established securities market during the calendar year in which the sale or other disposition occurs. </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A non-U.S. holder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 </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Determining whether we are a United States real property holding corporation in the third bullet point above depends on the fair market value of our U.S. real property interests relative to the fair market value of our other trade or business assets and our foreign real property interests. We believe that we are not currently and do not anticipate becoming a United States real property holding corporation for U.S. federal income tax purposes but cannot give assurance that we are not or will not become a United States real property holding corporation. Even if we are or were to become a United States real property holding corporation, gain arising from the sale or other taxable disposition by a non-U.S. holder of our ordinary shares or ADSs will not be subject to U.S. federal income tax on transfers of United States real property holding corporation shares if the ordinary shares or ADSs are “regularly traded,” as defined by applicable Treasury Regulations, on an established securities market, and such non-U.S. holder owned, actually and constructively, 5% or less of the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157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ordinary shares or ADSs, as applicable, throughout the shorter of, the five-year period ending on the date of the sale or other taxable disposition or, the Non-U.S. holder’s holding period. We do not expect that our ordinary shares will be treated as regularly traded on an established securities market, and there can be no assurance that our ADSs will qualify or continue to qualify as regularly traded on an established securities market. If any gain on a non-U.S. holder’s disposition is taxable because we are a United States real property holding corporation and our ordinary shares or ADSs are not treated as regularly traded on an established securities market, the non-U.S. holder will be taxed on such disposition generally in the same manner as gain that is effectively connected with the conduct of a U.S. trade or business (subject to the provisions under an applicable income tax treaty), except that the branch profits tax generally will not apply.</w:t>
      </w:r>
    </w:p>
    <w:p>
      <w:pPr>
        <w:pStyle w:val="TextBody"/>
        <w:spacing w:before="0" w:after="240"/>
        <w:ind w:left="0" w:right="0" w:hanging="0"/>
        <w:rPr>
          <w:rFonts w:ascii="Arial;Helvetica;sans-serif" w:hAnsi="Arial;Helvetica;sans-serif"/>
          <w:sz w:val="20"/>
          <w:u w:val="single"/>
        </w:rPr>
      </w:pPr>
      <w:r>
        <w:rPr>
          <w:rFonts w:ascii="Arial;Helvetica;sans-serif" w:hAnsi="Arial;Helvetica;sans-serif"/>
          <w:sz w:val="20"/>
          <w:u w:val="single"/>
        </w:rPr>
        <w:t xml:space="preserve">Information Reporting and Backup Withholding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Annual reports are required to be filed with the IRS and provided to each non-U.S. holder indicating the amount of dividends on our ordinary shares or ADSs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generally will not apply to payments to a non-U.S. holder of dividends on or the gross proceeds of a disposition of our ordinary shares or ADSs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 </w:t>
      </w:r>
    </w:p>
    <w:p>
      <w:pPr>
        <w:pStyle w:val="TextBody"/>
        <w:spacing w:before="0" w:after="240"/>
        <w:ind w:left="0" w:right="0" w:hanging="0"/>
        <w:rPr>
          <w:rFonts w:ascii="Arial;Helvetica;sans-serif" w:hAnsi="Arial;Helvetica;sans-serif"/>
          <w:sz w:val="20"/>
          <w:u w:val="single"/>
        </w:rPr>
      </w:pPr>
      <w:r>
        <w:rPr>
          <w:rFonts w:ascii="Arial;Helvetica;sans-serif" w:hAnsi="Arial;Helvetica;sans-serif"/>
          <w:sz w:val="20"/>
          <w:u w:val="single"/>
        </w:rPr>
        <w:t>Withholding on Foreign Entities or Accounts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FATCA applies to dividends paid on our ordinary shares and ADSs. Proposed regulations issued by the Treasury Department (on which taxpayers are entitled to rely until final regulations are issued) eliminate the federal withholding tax of 30% imposed by FATCA to gross proceeds of a sale or other disposition of our ordinary shares or ADSs. Prospective investors are encouraged to consult with their own tax advisors regarding the possible implications of this FATCA on their investment in our ordinary shares or ADSs.</w:t>
      </w:r>
    </w:p>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Item 6. [Reserved]</w:t>
      </w:r>
    </w:p>
    <w:p>
      <w:pPr>
        <w:pStyle w:val="TextBody"/>
        <w:spacing w:before="0" w:after="0"/>
        <w:ind w:left="0" w:right="0" w:hanging="0"/>
        <w:rPr/>
      </w:pPr>
      <w:bookmarkStart w:id="10" w:name="Item6_Reserved"/>
      <w:bookmarkEnd w:id="10"/>
      <w:r>
        <w:rPr/>
        <w:t>​</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158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Item 7. Management’s Discussion and Analysis of Financial Condition and Results of Operations.</w:t>
      </w:r>
      <w:bookmarkStart w:id="11" w:name="Item7_MDA"/>
      <w:bookmarkEnd w:id="11"/>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You should carefully read, consider, and evaluate the following discussion and analysis of our financial condition and results of operations together with our consolidated financial statements and the related notes included in Part II. Item 8 “Financial Statements and Supplementary Data” of this Annual Report on Form 10-K (“Annual Report”). This discussion and other parts of this Annual Report contain forward-looking statements that involve risks and uncertainties, such as statements of our plans, objectives, expectations and intentions, which are based on the beliefs of our management, as well as assumptions made by, and information currently available to, our management. Our actual results could differ materially from those discussed in these forward-looking statements. Please also see the section titled “Cautionary Note Regarding Forward-Looking Statements.” Factors that could cause or contribute to such differences include, but are not limited to, those discussed in Part I. Item 1A. “Risk Factors.”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 xml:space="preserve">Overview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a clinical stage global biopharmaceutical company aiming to develop and deliver novel oral therapeutics to treat a wide range of chronic diseases with unmet medical need. Our differentiated technology platform leverages structure-based drug discovery and computational chemistry expertise and enables us to develop oral small molecule therapeutics for the treatment of various diseases including those impacting the metabolic, cardiovascular, and pulmonary systems. In February 2023, we completed our Initial Public Offering (“IPO”) for net proceeds of $166.7 million.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initial focus is on G-protein coupled receptors (“GPCRs”) as a therapeutic target class. GPCRs regulate numerous diverse physiological and pathological processes, and approximately one in every three marketed medicines targets GPCR-associated pathways. By leveraging our world-class GPCR know-how, we aim to design differentiated small molecule therapies to overcome the limitations of biologics and peptide therapies targeting this family of receptors. We are developing GSBR-1290, our oral small molecule product candidate targeting the validated GLP-1R for the treatment of type 2 diabetes mellitus (“T2DM”) and obesity. We completed our Phase 1 single ascending dose (“SAD”) study of GSBR-1290 in September 2022. GSBR-1290 was generally well tolerated and demonstrated dose-dependent pharmacokinetic (“PK”) and pharmacodynamic (“PD”) activity. We submitted an investigational new drug (“IND”) application to the U.S. Food and Drug Administration (“FDA”) to support initiation of a Phase 1b study in T2DM and obesity and received FDA allowance in September 2022. We initiated the Phase 1b multiple ascending dose (“MAD”) study in January 2023 and completed dosing in healthy overweight subjects in March 2023. We plan to submit a protocol amendment to the FDA to transition to a Phase 2a proof-of-concept study in T2DM and obesity in the second half of 2023. We expect to report topline data for the Phase 1b study and Phase 2a study with the expected initiation in the second half of 2023. Beyond GSBR-1290, we are developing next generation GLP-1R candidates, including dual GLP-1R/GIPR agonists, each designed with customized properties to achieve additional benefit. In September 2022, we completed a Phase 1 SAD and MAD study evaluating ANPA-0073, our small molecule product candidate targeting APJR. ANPA-0073 was generally well tolerated in healthy human volunteers. ANPA-0073 is in development for the treatment of patients with idiopathic pulmonary fibrosis (“IPF”) and pulmonary arterial hypertension (“PAH”). We expect to conduct additional preclinical studies to be followed by a Phase 1 formulation bridging PK study in Australia. Moreover, we are advancing a differentiated LPA1R antagonist for the treatment of IPF. We selected a development candidate in January 2023 and expect to initiate a first-in-human study in 2024.</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159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advancing a robust pipeline of small molecule therapeutic candidates for chronic diseases with unmet medical need.</w:t>
      </w:r>
    </w:p>
    <w:p>
      <w:pPr>
        <w:pStyle w:val="TextBody"/>
        <w:spacing w:before="0" w:after="240"/>
        <w:ind w:left="0" w:right="0" w:hanging="0"/>
        <w:jc w:val="center"/>
        <w:rPr/>
      </w:pPr>
      <w:r>
        <w:rPr/>
        <w:drawing>
          <wp:inline distT="0" distB="0" distL="0" distR="0">
            <wp:extent cx="5791200" cy="1943100"/>
            <wp:effectExtent l="0" t="0" r="0" b="0"/>
            <wp:docPr id="5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2" descr=""/>
                    <pic:cNvPicPr>
                      <a:picLocks noChangeAspect="1" noChangeArrowheads="1"/>
                    </pic:cNvPicPr>
                  </pic:nvPicPr>
                  <pic:blipFill>
                    <a:blip r:embed="rId43"/>
                    <a:stretch>
                      <a:fillRect/>
                    </a:stretch>
                  </pic:blipFill>
                  <pic:spPr bwMode="auto">
                    <a:xfrm>
                      <a:off x="0" y="0"/>
                      <a:ext cx="5791200" cy="1943100"/>
                    </a:xfrm>
                    <a:prstGeom prst="rect">
                      <a:avLst/>
                    </a:prstGeom>
                  </pic:spPr>
                </pic:pic>
              </a:graphicData>
            </a:graphic>
          </wp:inline>
        </w:drawing>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outsource clinical drug manufacturing, storage, distribution and quality testing to third-party manufacturers. We believe this strategy allows us to maintain a more efficient infrastructure by eliminating the need for us to invest in our own manufacturing facilities, equipment and personnel while also enabling us to focus our expertise and resources on the design and development of our product candidates. As our development programs progress and we build new process efficiencies, we expect to continually evaluate this strategy with the objective of satisfying demand for registration trials and, if approved, the manufacture, sale and distribution of commercial products.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a Cayman Islands exempted company incorporated with limited liability. We were initially formed as a Delaware limited liability company in 2016 under the name ShouTi Inc., and reorganized as a Cayman Islands exempted company in February 2019. Our primary activities to date have included organizing and staffing our company, business and scientific planning, raising capital, conducting research and development activities, entering into strategic and corporate structuring transactions, enabling manufacturing activities in support of our product candidate development efforts, and establishing our intellectual property portfolio, and providing general and administrative support for these activities. We do not have any product candidates approved for sale and have not generated any revenue from our products. Since our inception, we have incurred net operating losses and negative cash flows from operations. We had net losses of $51.3 million and $38.0 million in the years ended December 31, 2022 and 2021, respectively. As of December 31, 2022, we had an accumulated deficit of $117.0 million. As of December 31, 2022, we have financed our operations primarily through the private placement of equity securities and have received aggregate gross proceeds of approximately $198.0 million, and have cash, cash equivalents and short-term investments of $90.8 million. On February 7, 2023, we completed our initial public offering (“IPO”) of our American depositary shares (“ADSs”), in which we issued and sold an aggregate of 12,351,000 ADSs (inclusive of 1,611,000 ADSs purs</w:t>
      </w:r>
      <w:r>
        <w:rPr>
          <w:rFonts w:ascii="Arial;Helvetica;sans-serif" w:hAnsi="Arial;Helvetica;sans-serif"/>
          <w:sz w:val="20"/>
          <w:highlight w:val="white"/>
        </w:rPr>
        <w:t>uant to the exercise by the underwriters of their option) at a price of $15.00 per ADS for net cash proceeds of approximately $</w:t>
      </w:r>
      <w:r>
        <w:rPr>
          <w:rFonts w:ascii="Arial;Helvetica;sans-serif" w:hAnsi="Arial;Helvetica;sans-serif"/>
          <w:sz w:val="20"/>
        </w:rPr>
        <w:t>166.7</w:t>
      </w:r>
      <w:r>
        <w:rPr>
          <w:rFonts w:ascii="Arial;Helvetica;sans-serif" w:hAnsi="Arial;Helvetica;sans-serif"/>
          <w:sz w:val="20"/>
          <w:highlight w:val="white"/>
        </w:rPr>
        <w:t xml:space="preserve"> million, net of underwriting discounts and commissions and estimated offering costs. </w:t>
      </w:r>
      <w:r>
        <w:rPr>
          <w:rFonts w:ascii="Arial;Helvetica;sans-serif" w:hAnsi="Arial;Helvetica;sans-serif"/>
          <w:sz w:val="20"/>
        </w:rPr>
        <w:t>Upon the closing of the IPO, all outstanding shares of redeemable convertible preferred shares automatically converted into 67,018,087 ordinary shares. Subsequent to the closing of the IPO, there were no shares of redeemable convertible preferred shares outstanding.</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Based on our current business plan, we estimate that our existing cash, cash equivalents and short-term investments, together with the net proceeds from our IPO, will be sufficient to fund our projected operations through at least 2025. We have based this estimate on assumptions that may prove to be wrong, and we may exhaust our available capital resources sooner than we expect.</w:t>
      </w:r>
    </w:p>
    <w:p>
      <w:pPr>
        <w:pStyle w:val="TextBody"/>
        <w:spacing w:before="0" w:after="0"/>
        <w:ind w:left="0" w:right="0" w:hanging="0"/>
        <w:rPr>
          <w:rFonts w:ascii="Arial;Helvetica;sans-serif" w:hAnsi="Arial;Helvetica;sans-serif"/>
          <w:sz w:val="20"/>
        </w:rPr>
      </w:pPr>
      <w:bookmarkStart w:id="12" w:name="_Hlk127808626"/>
      <w:bookmarkEnd w:id="12"/>
      <w:r>
        <w:rPr>
          <w:rFonts w:ascii="Arial;Helvetica;sans-serif" w:hAnsi="Arial;Helvetica;sans-serif"/>
          <w:sz w:val="20"/>
        </w:rPr>
        <w:t xml:space="preserve">We expect to continue to incur significant and increasing expenses and operating losses for the foreseeable future, particularly if and as we continue to invest in our research and development activities and initiate additional clinical trials, expand our product pipeline, hire additional personnel and invest in and grow our business, maintain, expand and protect our intellectual property portfolio, and seek regulatory approvals for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160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and commercialize any approved product candidates. In addition, following the closing of our IPO, we expect to incur additional costs associated with operating as a public company, including significant legal, audit, accounting, regulatory, consulting, and tax-related services associated with being a public company, compliance with Nasdaq listing and Securities Exchange Commission (“SEC”) requirements, director and officer insurance premiums and investor relations costs that we did not incur as a private company. As a result, we will need substantial additional capital to develop our product candidates and fund operations for the foreseeable future. Moreover, we may in the future seek to acquire or invest in additional businesses, products, or technologies that we believe could complement or enhance our product, enhance our technical capabilities or otherwise offer growth opportunities, although we currently have no agreements or understandings with respect to any such acquisitions or investments. Until such time as we can generate significant revenue from our products, if ever, we expect to finance our operations through the public or private sale of equity, government or private party grants, debt financings or other capital sources, including potential collaborations with other companies or other strategic transactions. If we are unable to obtain additional funding, we could be forced to delay, reduce or eliminate some or all of our research and development programs, product portfolio expansion or any commercialization efforts, which could adversely affect our business prospects, or we may be unable to continue operations. If we raise funds through strategic collaborations or other similar arrangements with third-parties, we may have to relinquish valuable rights to our platform technology, future revenue streams, research programs or product candidates or may have to grant licenses on terms that may not be favorable to us and/or may reduce the value of our ordinary shares. Our ability to raise additional funds may be adversely impacted by potential worsening global economic conditions and disruptions to and volatility in the credit and financial markets in the United States and worldwide resulting from the ongoing COVID-19 pandemic or other events. Because of the numerous risks and uncertainties associated with product development, we cannot predict the timing or amount of increased expenses or when or if we will be able to achieve or maintain profitability.</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Impact of the COVID-19 Pandemic and Other Macroeconomic Factors</w:t>
      </w:r>
    </w:p>
    <w:p>
      <w:pPr>
        <w:pStyle w:val="TextBody"/>
        <w:spacing w:before="0" w:after="240"/>
        <w:ind w:left="0" w:right="0" w:hanging="0"/>
        <w:rPr>
          <w:rFonts w:ascii="Arial;Helvetica;sans-serif" w:hAnsi="Arial;Helvetica;sans-serif"/>
          <w:sz w:val="20"/>
        </w:rPr>
      </w:pPr>
      <w:bookmarkStart w:id="13" w:name="_Hlk127808944"/>
      <w:bookmarkEnd w:id="13"/>
      <w:r>
        <w:rPr>
          <w:rFonts w:ascii="Arial;Helvetica;sans-serif" w:hAnsi="Arial;Helvetica;sans-serif"/>
          <w:sz w:val="20"/>
        </w:rPr>
        <w:t>In December 2019, a novel strain of coronavirus (including its variants, “COVID-19”), was reported in China. Since then, COVID-19 has spread globally. The spread of COVID-19 from China to other countries has resulted in the World Health Organization (“WHO”) declaring the outbreak of COVID-19 as a pandemic. Many countries around the world had imposed quarantines and restrictions on travel and mass gatherings to slow the spread of the virus and had closed non-essential businesses. If local jurisdictions continue to put restrictions in place, our ability to continue to operate our business may also be limited. Such events may result in a period of business, supply and research activities’ disruption, and in reduced operations, any of which could materially affect our business, financial condition and results of operations.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To date, we have experienced delays in our patient enrollment and our supply chain as a direct result of COVID 19 on our suppliers’ ability to timely manufacture and ship certain supplies such as reagents and other lab consumables. However, we cannot, at this time, predict the specific extent, duration or full impact that the COVID 19 pandemic will continue to have on our financial condition and operations, including our ongoing and planned preclinical studies and clinical trials. While the pandemic appears to have waned, there may be significant uncertainty resulting from any changes with regards to COVID-19 infections, along with the impact of other macroeconomic factors such as inflation, supply chain issues, rising interest rates, future bank failures and the impact of the Russian/Ukraine conflict. The impact of related responses and disruptions caused by the COVID-19 pandemic as well as prevailing macroeconomic factors has and may in the future More specifically, the COVID 19 pandemic could disrupt the supply chain and the manufacture or shipment of drug substances and finished drug products for our product candidates for use in our research, preclinical studies and clinical trials, impede our clinical trial initiation and recruitment and the ability of patients to continue in clinical trials and cause delays in the FDA’s review and approval processes, any of which could delay our preclinical studies and clinical trials and increase our development costs.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In addition, the spread of COVID 19, which has caused a broad impact globally, and other macroeconomic factors, may materially affect us economically. While the potential economic impact brought by, and the duration of, any continuing impact of COVID 19 and the impact of macroeconomic factors may be difficult to assess or predict, a widespread pandemic, actual or anticipated changes in interest rates and economic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161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inflation, current and future bank failures and the impact of the Russian/Ukraine conflict has caused higher prices of supplies, declines in global confidence and could result in significant disruption of global financial markets, reducing our ability to access capital, which could in the future negatively affect our liquidity, or make any necessary financing more costly or more dilutive. In addition, a recession or market correction resulting from the spread of COVID 19 and such macroeconomic factors could materially affect our business. Possible effects of COVID-19 may also include absenteeism in our labor workforce and unavailability of products and supplies used in operations.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Lhotse Collaboration Agreement with Schrödinger, LLC</w:t>
      </w:r>
    </w:p>
    <w:p>
      <w:pPr>
        <w:pStyle w:val="TextBody"/>
        <w:spacing w:before="0" w:after="240"/>
        <w:ind w:left="0" w:right="0" w:hanging="0"/>
        <w:rPr>
          <w:rFonts w:ascii="Arial;Helvetica;sans-serif" w:hAnsi="Arial;Helvetica;sans-serif"/>
          <w:sz w:val="20"/>
        </w:rPr>
      </w:pPr>
      <w:bookmarkStart w:id="14" w:name="_Hlk127809118"/>
      <w:bookmarkEnd w:id="14"/>
      <w:r>
        <w:rPr>
          <w:rFonts w:ascii="Arial;Helvetica;sans-serif" w:hAnsi="Arial;Helvetica;sans-serif"/>
          <w:sz w:val="20"/>
        </w:rPr>
        <w:t>In October 2020, Lhotse Bio, Inc., our wholly-owned subsidiary, entered into a Collaboration Agreement (the “Lhotse-Schrödinger Agreement”) with Schrödinger, LLC (“Schrödinger”) to discover and develop novel, orally bioavailable, small molecule inhibitors of LPA1R. Under the Lhotse-Schrödinger Agreement, Schrödinger is obligated to provide computational modeling and design support, including by using its technology platform to perform virtual screens, and Lhotse is obligated to provide day-to-day chemistry and biology support. Pursuant to the Lhotse-Schrödinger Agreement, a joint steering committee comprised of representatives from both parties oversees the research performed under the agreement. During the term of the Lhotse-Schrödinger Agreement and for a specified period thereafter while Lhotse is engaged in active development of any compound having activity against LPA1R that is discovered or developed under the Lhotse-Schrödinger Agreement, Schrödinger is obligated to work exclusively with Lhotse on the design, research, development and commercialization of compounds that inhibit LPA1R. Lhotse will solely own the research results, work product, inventions and other intellectual property generated under the Lhotse-Schrödinger Agreement that are directed to LPA1R.</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Under the Lhotse-Schrödinger Agreement, Lhotse is obligated to pay Schrödinger a quarterly active program payment in the low six digits for each successive three-month period during which Schrödinger continues to perform research work as agreed by the parties, and as of December 31, 2022, we have paid to Schrödinger an aggregate of $0.8 million. If Lhotse develops and commercializes a product containing a compound (a “Collaboration Compound”), that is discovered or developed under the Lhotse-Schrödinger Agreement (a “Collaboration Product”), Lhotse is obligated to pay Schrödinger development and regulatory milestone payments of up to an aggregate of $17.0 million, regardless of the number of Collaboration Products that reach such milestones. Lhotse will also be obligated to pay Schrödinger tiered royalties on a Collaboration Product-by-Collaboration Product basis equal to low single digit percentages on aggregate worldwide net sales of Collaboration Products, subject to specified reductions and offsets. Lhotse’s obligation to pay royalties to Schrödinger will expire on a Collaboration Product-by-Collaboration Product and country-by-country basis on the later of (i) the expiration of the last-to-expire Lhotse patent claim covering the composition of matter of the Collaboration Compound contained in such Collaboration Product in such country, (ii) the expiration of regulatory, pediatric, orphan drug, or data exclusivity with respect to such Collaboration Product in such country, and (iii) ten years after the first commercial sale of such Collaboration Product in such country (the “Royalty Term”).</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Unless terminated earlier, the Lhotse-Schrödinger Agreement will continue for three years, subject to extension by mutual written agreement of the parties. Either party may terminate the Lhotse-Schrödinger Agreement for the other party’s uncured material breach, subject to certain notice and cure periods, or for the other party’s bankruptcy or insolvency. Lhotse’s obligation to make milestone and royalty payments (subject to the Royalty Term) to Schrödinger continues after the expiration or termination of the Lhotse-Schrödinger Agreement.</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162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Components of Our Results of Operations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Operating Expenses</w:t>
      </w:r>
    </w:p>
    <w:p>
      <w:pPr>
        <w:pStyle w:val="TextBody"/>
        <w:spacing w:before="0" w:after="240"/>
        <w:ind w:left="0" w:right="0" w:hanging="0"/>
        <w:rPr>
          <w:rFonts w:ascii="Arial;Helvetica;sans-serif" w:hAnsi="Arial;Helvetica;sans-serif"/>
          <w:i/>
          <w:sz w:val="20"/>
        </w:rPr>
      </w:pPr>
      <w:bookmarkStart w:id="15" w:name="_Hlk127809786"/>
      <w:bookmarkEnd w:id="15"/>
      <w:r>
        <w:rPr>
          <w:rFonts w:ascii="Arial;Helvetica;sans-serif" w:hAnsi="Arial;Helvetica;sans-serif"/>
          <w:i/>
          <w:sz w:val="20"/>
        </w:rPr>
        <w:t>Research and Development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research and development activities primarily consist of discovery, engineering and research associated with our product candidates under development, including preclinical studies and clinical studies. Research and development expenses include personnel-related costs for our management, including salaries, bonuses, benefits and share-based compensation expenses, consulting services, clinical trial expenses, regulatory expenses, publications, and allocated overhead expenses, including rent, equipment, depreciation, information technology costs and utilities.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focusing substantially all of our resources on the development of our product candidates and the discovery of new product candidates through our structure-based drug discovery platform. At this time, we cannot reasonably estimate or know the nature, timing and estimated costs of the efforts that will be necessary to complete the development of our product candidates. The duration, costs and timing of clinical trials and development of our product candidates will depend on a variety of factors, including:</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scope, rate of progress, expense and results of our clinical trials and preclinical studies and other research and development activities;</w:t>
            </w:r>
          </w:p>
        </w:tc>
      </w:tr>
    </w:tbl>
    <w:tbl>
      <w:tblPr>
        <w:tblW w:w="4893" w:type="dxa"/>
        <w:jc w:val="left"/>
        <w:tblInd w:w="0" w:type="dxa"/>
        <w:tblCellMar>
          <w:top w:w="0" w:type="dxa"/>
          <w:left w:w="0" w:type="dxa"/>
          <w:bottom w:w="0" w:type="dxa"/>
          <w:right w:w="0" w:type="dxa"/>
        </w:tblCellMar>
      </w:tblPr>
      <w:tblGrid>
        <w:gridCol w:w="23"/>
        <w:gridCol w:w="170"/>
        <w:gridCol w:w="470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70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phases of development of our product candidates;</w:t>
            </w:r>
          </w:p>
        </w:tc>
      </w:tr>
    </w:tbl>
    <w:tbl>
      <w:tblPr>
        <w:tblW w:w="3783" w:type="dxa"/>
        <w:jc w:val="left"/>
        <w:tblInd w:w="0" w:type="dxa"/>
        <w:tblCellMar>
          <w:top w:w="0" w:type="dxa"/>
          <w:left w:w="0" w:type="dxa"/>
          <w:bottom w:w="0" w:type="dxa"/>
          <w:right w:w="0" w:type="dxa"/>
        </w:tblCellMar>
      </w:tblPr>
      <w:tblGrid>
        <w:gridCol w:w="23"/>
        <w:gridCol w:w="170"/>
        <w:gridCol w:w="359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59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number of trials required for approval;</w:t>
            </w:r>
          </w:p>
        </w:tc>
      </w:tr>
    </w:tbl>
    <w:tbl>
      <w:tblPr>
        <w:tblW w:w="3753" w:type="dxa"/>
        <w:jc w:val="left"/>
        <w:tblInd w:w="0" w:type="dxa"/>
        <w:tblCellMar>
          <w:top w:w="0" w:type="dxa"/>
          <w:left w:w="0" w:type="dxa"/>
          <w:bottom w:w="0" w:type="dxa"/>
          <w:right w:w="0" w:type="dxa"/>
        </w:tblCellMar>
      </w:tblPr>
      <w:tblGrid>
        <w:gridCol w:w="23"/>
        <w:gridCol w:w="170"/>
        <w:gridCol w:w="35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56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number of sites included in our trials;</w:t>
            </w:r>
          </w:p>
        </w:tc>
      </w:tr>
    </w:tbl>
    <w:tbl>
      <w:tblPr>
        <w:tblW w:w="4263" w:type="dxa"/>
        <w:jc w:val="left"/>
        <w:tblInd w:w="0" w:type="dxa"/>
        <w:tblCellMar>
          <w:top w:w="0" w:type="dxa"/>
          <w:left w:w="0" w:type="dxa"/>
          <w:bottom w:w="0" w:type="dxa"/>
          <w:right w:w="0" w:type="dxa"/>
        </w:tblCellMar>
      </w:tblPr>
      <w:tblGrid>
        <w:gridCol w:w="23"/>
        <w:gridCol w:w="170"/>
        <w:gridCol w:w="40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07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countries in which our trials are conducted;</w:t>
            </w:r>
          </w:p>
        </w:tc>
      </w:tr>
    </w:tbl>
    <w:tbl>
      <w:tblPr>
        <w:tblW w:w="2148" w:type="dxa"/>
        <w:jc w:val="left"/>
        <w:tblInd w:w="0" w:type="dxa"/>
        <w:tblCellMar>
          <w:top w:w="0" w:type="dxa"/>
          <w:left w:w="0" w:type="dxa"/>
          <w:bottom w:w="0" w:type="dxa"/>
          <w:right w:w="0" w:type="dxa"/>
        </w:tblCellMar>
      </w:tblPr>
      <w:tblGrid>
        <w:gridCol w:w="23"/>
        <w:gridCol w:w="170"/>
        <w:gridCol w:w="19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95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per subject trial costs;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uncertainties in clinical trial enrollment rates or design and drop-out/discontinuation rates, especially in light of the ongoing COVID-19 pandemic;</w:t>
            </w:r>
          </w:p>
        </w:tc>
      </w:tr>
    </w:tbl>
    <w:tbl>
      <w:tblPr>
        <w:tblW w:w="4353" w:type="dxa"/>
        <w:jc w:val="left"/>
        <w:tblInd w:w="0" w:type="dxa"/>
        <w:tblCellMar>
          <w:top w:w="0" w:type="dxa"/>
          <w:left w:w="0" w:type="dxa"/>
          <w:bottom w:w="0" w:type="dxa"/>
          <w:right w:w="0" w:type="dxa"/>
        </w:tblCellMar>
      </w:tblPr>
      <w:tblGrid>
        <w:gridCol w:w="23"/>
        <w:gridCol w:w="170"/>
        <w:gridCol w:w="41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16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significant and changing government regulation;</w:t>
            </w:r>
          </w:p>
        </w:tc>
      </w:tr>
    </w:tbl>
    <w:tbl>
      <w:tblPr>
        <w:tblW w:w="4563" w:type="dxa"/>
        <w:jc w:val="left"/>
        <w:tblInd w:w="0" w:type="dxa"/>
        <w:tblCellMar>
          <w:top w:w="0" w:type="dxa"/>
          <w:left w:w="0" w:type="dxa"/>
          <w:bottom w:w="0" w:type="dxa"/>
          <w:right w:w="0" w:type="dxa"/>
        </w:tblCellMar>
      </w:tblPr>
      <w:tblGrid>
        <w:gridCol w:w="23"/>
        <w:gridCol w:w="170"/>
        <w:gridCol w:w="43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37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timing and receipt of any regulatory approvals;</w:t>
            </w:r>
          </w:p>
        </w:tc>
      </w:tr>
    </w:tbl>
    <w:tbl>
      <w:tblPr>
        <w:tblW w:w="6573" w:type="dxa"/>
        <w:jc w:val="left"/>
        <w:tblInd w:w="0" w:type="dxa"/>
        <w:tblCellMar>
          <w:top w:w="0" w:type="dxa"/>
          <w:left w:w="0" w:type="dxa"/>
          <w:bottom w:w="0" w:type="dxa"/>
          <w:right w:w="0" w:type="dxa"/>
        </w:tblCellMar>
      </w:tblPr>
      <w:tblGrid>
        <w:gridCol w:w="23"/>
        <w:gridCol w:w="170"/>
        <w:gridCol w:w="63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38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FDA’s, or other regulatory authority’s influence on clinical trial design;</w:t>
            </w:r>
          </w:p>
        </w:tc>
      </w:tr>
    </w:tbl>
    <w:tbl>
      <w:tblPr>
        <w:tblW w:w="7098" w:type="dxa"/>
        <w:jc w:val="left"/>
        <w:tblInd w:w="0" w:type="dxa"/>
        <w:tblCellMar>
          <w:top w:w="0" w:type="dxa"/>
          <w:left w:w="0" w:type="dxa"/>
          <w:bottom w:w="0" w:type="dxa"/>
          <w:right w:w="0" w:type="dxa"/>
        </w:tblCellMar>
      </w:tblPr>
      <w:tblGrid>
        <w:gridCol w:w="23"/>
        <w:gridCol w:w="170"/>
        <w:gridCol w:w="69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90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making arrangements with third-party contract research organizations (“CROs”);</w:t>
            </w:r>
          </w:p>
        </w:tc>
      </w:tr>
    </w:tbl>
    <w:tbl>
      <w:tblPr>
        <w:tblW w:w="5493" w:type="dxa"/>
        <w:jc w:val="left"/>
        <w:tblInd w:w="0" w:type="dxa"/>
        <w:tblCellMar>
          <w:top w:w="0" w:type="dxa"/>
          <w:left w:w="0" w:type="dxa"/>
          <w:bottom w:w="0" w:type="dxa"/>
          <w:right w:w="0" w:type="dxa"/>
        </w:tblCellMar>
      </w:tblPr>
      <w:tblGrid>
        <w:gridCol w:w="23"/>
        <w:gridCol w:w="170"/>
        <w:gridCol w:w="530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30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and timing of manufacturing our product candidates;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commercializing product candidates, if and when approved, whether alone or in collaboration with others; the extent to which we establish additional strategic arrangements;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obtaining and maintaining patent and trade secret protection and regulatory exclusivity for our product candidates; and</w:t>
            </w:r>
          </w:p>
        </w:tc>
      </w:tr>
    </w:tbl>
    <w:tbl>
      <w:tblPr>
        <w:tblW w:w="4878" w:type="dxa"/>
        <w:jc w:val="left"/>
        <w:tblInd w:w="0" w:type="dxa"/>
        <w:tblCellMar>
          <w:top w:w="0" w:type="dxa"/>
          <w:left w:w="0" w:type="dxa"/>
          <w:bottom w:w="0" w:type="dxa"/>
          <w:right w:w="0" w:type="dxa"/>
        </w:tblCellMar>
      </w:tblPr>
      <w:tblGrid>
        <w:gridCol w:w="23"/>
        <w:gridCol w:w="170"/>
        <w:gridCol w:w="46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68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retention of key research and development personnel.</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A change in the outcome of any of these variables with respect to the development of a product candidate could significantly change the costs, timing and viability associated with the development of that product candidate. For example, if the FDA, or an applicable foreign authority, were to require us to conduct clinical trials beyond those that we currently anticipate will be required for the completion of clinical development of our product candidates, or if we experience significant delays in enrollment in any of our clinical trials, we could be required to expend significant additional financial resources and time on the completion of clinical development. Furthermore, we are unable to predict when or if our product candidates will receive regulatory approval with any certainty.</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163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expect our research and development expenses to continue to account for a significant portion of our operating expenses, and to increase substantially during the next several years as we seek to complete preclinical studies, initiate and/or complete clinical trials, identify new product candidates and potentially pursue regulatory approval of our product candidates.</w:t>
      </w:r>
    </w:p>
    <w:p>
      <w:pPr>
        <w:pStyle w:val="TextBody"/>
        <w:spacing w:before="0" w:after="240"/>
        <w:ind w:left="0" w:right="0" w:hanging="0"/>
        <w:rPr>
          <w:rFonts w:ascii="Arial;Helvetica;sans-serif" w:hAnsi="Arial;Helvetica;sans-serif"/>
          <w:i/>
          <w:sz w:val="20"/>
        </w:rPr>
      </w:pPr>
      <w:bookmarkStart w:id="16" w:name="_Hlk127809916"/>
      <w:bookmarkEnd w:id="16"/>
      <w:r>
        <w:rPr>
          <w:rFonts w:ascii="Arial;Helvetica;sans-serif" w:hAnsi="Arial;Helvetica;sans-serif"/>
          <w:i/>
          <w:sz w:val="20"/>
        </w:rPr>
        <w:t>General and Administrative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general and administrative expenses consist primarily of personnel-related costs for personnel in executive, legal, finance and other administrative functions, including salaries, bonuses, benefits and share-based compensation expenses, professional fees for legal, consulting, accounting and tax services, allocated overhead expenses, including rent, equipment, depreciation, information technology costs and utilities, and other general operating expenses not otherwise classified as research and development expenses.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expect our general and administrative expenses will increase during the next several years as we increase our headcount and expand our infrastructure to support our operations, particularly as a public company. Additionally, in connection with being a public company, we anticipate significant increased expenses related to legal, audit, accounting, regulatory, consulting, and tax-related services, compliance with SEC rules and regulations and Nasdaq listing requirements, director and officer insurance premiums and investor relations costs. Our general and administrative expenses may fluctuate from period to period as we continue to grow.</w:t>
      </w:r>
    </w:p>
    <w:p>
      <w:pPr>
        <w:pStyle w:val="TextBody"/>
        <w:spacing w:before="0" w:after="240"/>
        <w:ind w:left="0" w:right="0" w:hanging="0"/>
        <w:rPr>
          <w:rFonts w:ascii="Arial;Helvetica;sans-serif" w:hAnsi="Arial;Helvetica;sans-serif"/>
          <w:b w:val="false"/>
          <w:i/>
          <w:sz w:val="20"/>
        </w:rPr>
      </w:pPr>
      <w:r>
        <w:rPr>
          <w:rFonts w:ascii="Arial;Helvetica;sans-serif" w:hAnsi="Arial;Helvetica;sans-serif"/>
          <w:b w:val="false"/>
          <w:i/>
          <w:sz w:val="20"/>
        </w:rPr>
        <w:t>Interest and Other Income (Expense), Net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Interest and other income (expense), net primarily consists of interest income earned on our cash, cash equivalents and short-term investments, including accretion and amortization of discounts and premiums on short-term investments, foreign currency exchange gains and losses and interest expense for the amortization of debt issuance costs.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Results of Operations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Comparison of the Years Ended December 31, 2022 and 2021</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following table summarizes our consolidated results of operations for the periods indicated (in thousands):</w:t>
      </w:r>
    </w:p>
    <w:tbl>
      <w:tblPr>
        <w:tblW w:w="6387" w:type="dxa"/>
        <w:jc w:val="left"/>
        <w:tblInd w:w="0" w:type="dxa"/>
        <w:tblCellMar>
          <w:top w:w="0" w:type="dxa"/>
          <w:left w:w="0" w:type="dxa"/>
          <w:bottom w:w="0" w:type="dxa"/>
          <w:right w:w="0" w:type="dxa"/>
        </w:tblCellMar>
      </w:tblPr>
      <w:tblGrid>
        <w:gridCol w:w="3646"/>
        <w:gridCol w:w="326"/>
        <w:gridCol w:w="211"/>
        <w:gridCol w:w="811"/>
        <w:gridCol w:w="326"/>
        <w:gridCol w:w="211"/>
        <w:gridCol w:w="856"/>
      </w:tblGrid>
      <w:tr>
        <w:trPr/>
        <w:tc>
          <w:tcPr>
            <w:tcW w:w="3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315210" cy="175260"/>
                      <wp:effectExtent l="0" t="0" r="0" b="0"/>
                      <wp:wrapNone/>
                      <wp:docPr id="57" name="Frame15"/>
                      <a:graphic xmlns:a="http://schemas.openxmlformats.org/drawingml/2006/main">
                        <a:graphicData uri="http://schemas.microsoft.com/office/word/2010/wordprocessingShape">
                          <wps:wsp>
                            <wps:cNvSpPr txBox="1"/>
                            <wps:spPr>
                              <a:xfrm>
                                <a:off x="0" y="0"/>
                                <a:ext cx="2315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58" name="Frame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33985" cy="175260"/>
                      <wp:effectExtent l="0" t="0" r="0" b="0"/>
                      <wp:wrapNone/>
                      <wp:docPr id="59" name="Frame1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14985" cy="175260"/>
                      <wp:effectExtent l="0" t="0" r="0" b="0"/>
                      <wp:wrapNone/>
                      <wp:docPr id="60" name="Frame18"/>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61" name="Frame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62" name="Frame2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543560" cy="175260"/>
                      <wp:effectExtent l="0" t="0" r="0" b="0"/>
                      <wp:wrapNone/>
                      <wp:docPr id="63" name="Frame21"/>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64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81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85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r>
      <w:tr>
        <w:trPr/>
        <w:tc>
          <w:tcPr>
            <w:tcW w:w="36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415" w:type="dxa"/>
            <w:gridSpan w:val="5"/>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YEAR ENDED </w:t>
            </w:r>
          </w:p>
        </w:tc>
      </w:tr>
      <w:tr>
        <w:trPr/>
        <w:tc>
          <w:tcPr>
            <w:tcW w:w="36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1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6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2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1"/>
              <w:ind w:left="0" w:right="0" w:hanging="0"/>
              <w:rPr/>
            </w:pPr>
            <w:r>
              <w:rPr/>
              <w:t>    </w:t>
            </w:r>
          </w:p>
        </w:tc>
        <w:tc>
          <w:tcPr>
            <w:tcW w:w="106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364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Operating expenses:</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pPr>
            <w:r>
              <w:rPr/>
              <w:t>  </w:t>
            </w:r>
          </w:p>
        </w:tc>
      </w:tr>
      <w:tr>
        <w:trPr/>
        <w:tc>
          <w:tcPr>
            <w:tcW w:w="364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Research and development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1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36,193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29,111</w:t>
            </w:r>
          </w:p>
        </w:tc>
      </w:tr>
      <w:tr>
        <w:trPr/>
        <w:tc>
          <w:tcPr>
            <w:tcW w:w="364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General and administrative</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16,368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8,585</w:t>
            </w:r>
          </w:p>
        </w:tc>
      </w:tr>
      <w:tr>
        <w:trPr/>
        <w:tc>
          <w:tcPr>
            <w:tcW w:w="364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operating expenses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52,561</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37,696</w:t>
            </w:r>
          </w:p>
        </w:tc>
      </w:tr>
      <w:tr>
        <w:trPr/>
        <w:tc>
          <w:tcPr>
            <w:tcW w:w="364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(52,561)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(37,696)</w:t>
            </w:r>
          </w:p>
        </w:tc>
      </w:tr>
      <w:tr>
        <w:trPr/>
        <w:tc>
          <w:tcPr>
            <w:tcW w:w="364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Interest and other income (expense), net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1,257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(122)</w:t>
            </w:r>
          </w:p>
        </w:tc>
      </w:tr>
      <w:tr>
        <w:trPr/>
        <w:tc>
          <w:tcPr>
            <w:tcW w:w="364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Loss before provision for income taxes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(51,304)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(37,818)</w:t>
            </w:r>
          </w:p>
        </w:tc>
      </w:tr>
      <w:tr>
        <w:trPr/>
        <w:tc>
          <w:tcPr>
            <w:tcW w:w="364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Provision for income taxes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17</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231</w:t>
            </w:r>
          </w:p>
        </w:tc>
      </w:tr>
      <w:tr>
        <w:trPr/>
        <w:tc>
          <w:tcPr>
            <w:tcW w:w="364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(51,321)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(38,049)</w:t>
            </w:r>
          </w:p>
        </w:tc>
      </w:tr>
      <w:tr>
        <w:trPr/>
        <w:tc>
          <w:tcPr>
            <w:tcW w:w="364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Research and Development Expenses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Research and development expenses increased by $7.1 million, or 24%, to $36.2 million during the year ended December 31, 2022, compared to $29.1 million during the year ended December 31, 2021. The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164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increase in research and development expenses was primarily due to increases in employee related expenses, consulting and laboratory expenses, as we increased our staffing and development efforts.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following table summarizes our research and development expenses for the periods indicated (in thousands):</w:t>
      </w:r>
    </w:p>
    <w:tbl>
      <w:tblPr>
        <w:tblW w:w="6312" w:type="dxa"/>
        <w:jc w:val="left"/>
        <w:tblInd w:w="0" w:type="dxa"/>
        <w:tblCellMar>
          <w:top w:w="0" w:type="dxa"/>
          <w:left w:w="0" w:type="dxa"/>
          <w:bottom w:w="0" w:type="dxa"/>
          <w:right w:w="0" w:type="dxa"/>
        </w:tblCellMar>
      </w:tblPr>
      <w:tblGrid>
        <w:gridCol w:w="3811"/>
        <w:gridCol w:w="326"/>
        <w:gridCol w:w="211"/>
        <w:gridCol w:w="691"/>
        <w:gridCol w:w="326"/>
        <w:gridCol w:w="211"/>
        <w:gridCol w:w="736"/>
      </w:tblGrid>
      <w:tr>
        <w:trPr/>
        <w:tc>
          <w:tcPr>
            <w:tcW w:w="3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419985" cy="175260"/>
                      <wp:effectExtent l="0" t="0" r="0" b="0"/>
                      <wp:wrapNone/>
                      <wp:docPr id="64" name="Frame22"/>
                      <a:graphic xmlns:a="http://schemas.openxmlformats.org/drawingml/2006/main">
                        <a:graphicData uri="http://schemas.microsoft.com/office/word/2010/wordprocessingShape">
                          <wps:wsp>
                            <wps:cNvSpPr txBox="1"/>
                            <wps:spPr>
                              <a:xfrm>
                                <a:off x="0" y="0"/>
                                <a:ext cx="2419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65" name="Frame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66" name="Frame2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38785" cy="175260"/>
                      <wp:effectExtent l="0" t="0" r="0" b="0"/>
                      <wp:wrapNone/>
                      <wp:docPr id="67" name="Frame2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68" name="Frame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69" name="Frame2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67360" cy="175260"/>
                      <wp:effectExtent l="0" t="0" r="0" b="0"/>
                      <wp:wrapNone/>
                      <wp:docPr id="70" name="Frame28"/>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81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69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73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r>
      <w:tr>
        <w:trPr/>
        <w:tc>
          <w:tcPr>
            <w:tcW w:w="3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75" w:type="dxa"/>
            <w:gridSpan w:val="5"/>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YEAR ENDED </w:t>
            </w:r>
          </w:p>
        </w:tc>
      </w:tr>
      <w:tr>
        <w:trPr/>
        <w:tc>
          <w:tcPr>
            <w:tcW w:w="3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7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8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1"/>
              <w:ind w:left="0" w:right="0" w:hanging="0"/>
              <w:rPr/>
            </w:pPr>
            <w:r>
              <w:rPr/>
              <w:t>    </w:t>
            </w:r>
          </w:p>
        </w:tc>
        <w:tc>
          <w:tcPr>
            <w:tcW w:w="9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38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Product candidate:</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736" w:type="dxa"/>
            <w:tcBorders/>
            <w:shd w:fill="CCEEFF" w:val="clear"/>
            <w:vAlign w:val="center"/>
          </w:tcPr>
          <w:p>
            <w:pPr>
              <w:pStyle w:val="TableContents"/>
              <w:spacing w:before="0" w:after="1"/>
              <w:ind w:left="0" w:right="0" w:hanging="0"/>
              <w:jc w:val="right"/>
              <w:rPr/>
            </w:pPr>
            <w:r>
              <w:rPr/>
              <w:t>  </w:t>
            </w:r>
          </w:p>
        </w:tc>
      </w:tr>
      <w:tr>
        <w:trPr/>
        <w:tc>
          <w:tcPr>
            <w:tcW w:w="38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ANPA</w:t>
              <w:noBreakHyphen/>
              <w:t>0073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9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3,383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3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7,251</w:t>
            </w:r>
          </w:p>
        </w:tc>
      </w:tr>
      <w:tr>
        <w:trPr/>
        <w:tc>
          <w:tcPr>
            <w:tcW w:w="38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GSBR</w:t>
              <w:noBreakHyphen/>
              <w:t>1290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18,791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11,697</w:t>
            </w:r>
          </w:p>
        </w:tc>
      </w:tr>
      <w:tr>
        <w:trPr/>
        <w:tc>
          <w:tcPr>
            <w:tcW w:w="38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LTSE</w:t>
              <w:noBreakHyphen/>
              <w:t>2578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4,936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4,585</w:t>
            </w:r>
          </w:p>
        </w:tc>
      </w:tr>
      <w:tr>
        <w:trPr/>
        <w:tc>
          <w:tcPr>
            <w:tcW w:w="38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9,083</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5,578</w:t>
            </w:r>
          </w:p>
        </w:tc>
      </w:tr>
      <w:tr>
        <w:trPr/>
        <w:tc>
          <w:tcPr>
            <w:tcW w:w="38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research and development expenses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36,193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29,111</w:t>
            </w:r>
          </w:p>
        </w:tc>
      </w:tr>
      <w:tr>
        <w:trPr/>
        <w:tc>
          <w:tcPr>
            <w:tcW w:w="38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3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General and Administrative Expenses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General and administrative expenses increased by $7.8 million, or 91%, to $16.4 million during the year ended December 31, 2022, compared to $8.6 million during the year ended December 31, 2021. The increase in general and administrative expenses was primarily due to increases in employee related expenses and professional services as we expanded our infrastructure to drive and support the growth in our operations to prepare to become a publicly-traded company.</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Interest and Other Income (Expense), Net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Interest and other income (expense), net, increased by $1.4 million to an income of $1.3 million during the year ended December 31, 2022, compared to an expense of $0.1 million during the year ended December 31, 2021. The increase in interest and other income, net, was primarily due to an increase in interest income from higher interest rates.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Liquidity and Capital Resources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Since we were reorganized as a Cayman Islands exempted company in February 2019 through December 31, 2022, we have funded our operations primarily with an aggregate of $198.0 million in gross cash proceeds from the sale of redeemable convertible preferred shares. As of December 31, 2022, we had cash, cash equivalents and short-term investments of $90.8 million and an accumulated deficit of $117.0 million.</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Redeemable Convertible Preferred Shares</w:t>
      </w:r>
    </w:p>
    <w:p>
      <w:pPr>
        <w:pStyle w:val="TextBody"/>
        <w:spacing w:before="0" w:after="240"/>
        <w:ind w:left="400" w:right="0" w:hanging="0"/>
        <w:rPr>
          <w:rFonts w:ascii="Arial;Helvetica;sans-serif" w:hAnsi="Arial;Helvetica;sans-serif"/>
          <w:i/>
          <w:sz w:val="20"/>
        </w:rPr>
      </w:pPr>
      <w:r>
        <w:rPr>
          <w:rFonts w:ascii="Arial;Helvetica;sans-serif" w:hAnsi="Arial;Helvetica;sans-serif"/>
          <w:i/>
          <w:sz w:val="20"/>
        </w:rPr>
        <w:t>Series A Redeemable Convertible Preferred Shares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April 2019, we entered into a Series A redeemable convertible preferred shares purchase agreement (the “Series A Purchase Agreement”), with certain investors to issue and sell 9,600,000 shares of Series A redeemable convertible preferred shares at $1.6667 per share (the “Series A Purchase Price”), for total gross proceeds of $16.0 million.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Series A Purchase Agreement also provided for the issuance and sale to the investors of an additional 9,600,000 shares of Series A redeemable convertible preferred shares at the Series A Purchase Price upon achieving certain milestone conditions (the “Series A Milestone Closing”).</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issuance of Series A redeemable convertible preferred shares was recorded at the amount of proceeds received less issuance costs and the amounts allocated to the Series A Milestone Closing liability.</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165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Series A Milestone Closing occurred on December 9, 2019, and we issued 9,600,000 shares of Series A redeemable convertible preferred shares at the Series A Purchase Price for gross proceeds of $16.0 million.</w:t>
      </w:r>
    </w:p>
    <w:p>
      <w:pPr>
        <w:pStyle w:val="TextBody"/>
        <w:spacing w:before="0" w:after="240"/>
        <w:ind w:left="400" w:right="0" w:hanging="0"/>
        <w:rPr>
          <w:rFonts w:ascii="Arial;Helvetica;sans-serif" w:hAnsi="Arial;Helvetica;sans-serif"/>
          <w:i/>
          <w:sz w:val="20"/>
        </w:rPr>
      </w:pPr>
      <w:r>
        <w:rPr>
          <w:rFonts w:ascii="Arial;Helvetica;sans-serif" w:hAnsi="Arial;Helvetica;sans-serif"/>
          <w:i/>
          <w:sz w:val="20"/>
        </w:rPr>
        <w:t>Series A+ Redeemable Convertible Preferred Shares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March 2020, we entered into a Series A+ redeemable convertible preferred shares purchase agreement with certain investors to issue and sell 12,799,681 shares of Series A+ redeemable convertible preferred shares at $2.0313 per share, for total gross proceeds of $26.0 million.</w:t>
      </w:r>
    </w:p>
    <w:p>
      <w:pPr>
        <w:pStyle w:val="TextBody"/>
        <w:spacing w:before="0" w:after="240"/>
        <w:ind w:left="400" w:right="0" w:hanging="0"/>
        <w:rPr>
          <w:rFonts w:ascii="Arial;Helvetica;sans-serif" w:hAnsi="Arial;Helvetica;sans-serif"/>
          <w:i/>
          <w:sz w:val="20"/>
        </w:rPr>
      </w:pPr>
      <w:r>
        <w:rPr>
          <w:rFonts w:ascii="Arial;Helvetica;sans-serif" w:hAnsi="Arial;Helvetica;sans-serif"/>
          <w:i/>
          <w:sz w:val="20"/>
        </w:rPr>
        <w:t>Series B Redeemable Convertible Preferred Shares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July 2021, we entered into a Series B redeemable convertible preferred shares purchase agreement with certain investors to issue and sell 24,701,732 shares of Series B redeemable convertible preferred shares at $4.0483 per share, for total gross proceeds of $100.0 million.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April 2022, we issued an additional 8,155,272 shares of our Series B redeemable convertible preferred shares for total gross proceeds of $33.0 million, also at $4.0483 per share.</w:t>
      </w:r>
    </w:p>
    <w:p>
      <w:pPr>
        <w:pStyle w:val="TextBody"/>
        <w:spacing w:before="0" w:after="240"/>
        <w:ind w:left="400" w:right="0" w:hanging="0"/>
        <w:rPr>
          <w:rFonts w:ascii="Arial;Helvetica;sans-serif" w:hAnsi="Arial;Helvetica;sans-serif"/>
          <w:i/>
          <w:sz w:val="20"/>
        </w:rPr>
      </w:pPr>
      <w:r>
        <w:rPr>
          <w:rFonts w:ascii="Arial;Helvetica;sans-serif" w:hAnsi="Arial;Helvetica;sans-serif"/>
          <w:i/>
          <w:sz w:val="20"/>
        </w:rPr>
        <w:t>Series B-1 Redeemable Convertible Preferred Shares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In March 2021, Basecamp Bio, Inc. (“Basecamp Bio”), our wholly owned subsidiary incorporated in February 2021, entered into a purchase agreement with certain investors to issue and sell 9,000,000 shares of its Series Seed redeemable convertible preferred shares at a price of $1.00 per share for total gross proceeds of $9.0 million. Of the 9,000,000 shares of Series Seed redeemable convertible preferred shares issued, 2,000,000 shares were issued to us and the remaining 7,000,000 shares were issued to other existing investors in Structure Therapeutics.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December 2021, we acquired the 7,000,000 Series Seed redeemable convertible preferred shares of Basecamp Bio held by the other investors in exchange for 2,161,402 shares of our Series B-1 redeemable convertible preferred stock, with Basecamp Bio becoming a wholly owned subsidiary again.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Upon the closing of our IPO, all outstanding shares of redeemable convertible preferred stock automatically converted into 67,018,087 ordinary shares.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Funding Requirements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of December 31, 2022, we financed our operations primarily through the private placement of equity securities and have received aggregate gross proceeds of approximately $198.0 million as of December 31, 2022. Since our inception, we have incurred net operating losses and negative cash flows from operations. We had net losses of $51.3 million and $38.0 million in the years ended December 31, 2022 and 2021, respectively. As of December 31, 2022, we had an accumulated deficit of $117.0 million. In February 2023, we completed our IPO for net proceeds of $166.7 million. Our primary activities to date have included organizing and staffing our company, business and scientific planning, raising capital, conducting research and development activities, entering into strategic and corporate structuring transactions, enabling manufacturing activities in support of our product candidate development efforts, establishing our intellectual property portfolio, and providing general and administrative support for these activities.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of December 31, 2022, we had cash, cash equivalents and short-term investments of $90.8 million. Based on our current business plan, we believe that our existing cash, cash equivalents and short-term investments, together with the net proceeds from our IPO, will be sufficient to fund our projected operations for the next 12 months from the date of the issuance of our consolidated financial statements. We have based this estimate on assumptions that may prove to be wrong, and we may exhaust our available capital resources sooner than we expect.</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166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To date, we have not generated any revenue from our products. We do not expect to generate any significant product revenue until we successfully develop and obtain regulatory approval for and commercialize our product candidates, and we do not know when, or if, either will occur. We expect to continue to incur significant and increasing expenses and operating losses for the foreseeable future, particularly if and as we continue to invest in our research and development activities and initiate additional clinical trials, expand our product pipeline, hire additional personnel and invest in and grow our business, maintain, expand and protect our intellectual property portfolio, and seek regulatory approvals for and commercialize any approved product candidates. In addition, following the closing of our IPO, we expect to incur additional costs associated with operating as a public company, including significant legal, audit, accounting, regulatory, tax-related, director and officer insurance, investor relations and other expenses that we did not incur as a private company. Moreover, we may in the future seek to acquire or invest in additional businesses, products, or technologies that we believe could complement or enhance our product, enhance our technical capabilities or otherwise offer growth opportunities, although we currently have no agreements or understandings with respect to any such acquisitions or investments. We are subject to the risks typically related to the development of new product candidates, and it may encounter unforeseen expenses, difficulties, complications, delays and other unknown factors that may adversely affect our business.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will need substantial additional capital to develop our product candidates and fund operations for the foreseeable future. Our future capital requirements will depend on many factors, including:</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scope, timing, rate of progress and costs of our preclinical development activities, laboratory testing and clinical trials for our product candidates;</w:t>
            </w:r>
          </w:p>
        </w:tc>
      </w:tr>
    </w:tbl>
    <w:tbl>
      <w:tblPr>
        <w:tblW w:w="5763" w:type="dxa"/>
        <w:jc w:val="left"/>
        <w:tblInd w:w="0" w:type="dxa"/>
        <w:tblCellMar>
          <w:top w:w="0" w:type="dxa"/>
          <w:left w:w="0" w:type="dxa"/>
          <w:bottom w:w="0" w:type="dxa"/>
          <w:right w:w="0" w:type="dxa"/>
        </w:tblCellMar>
      </w:tblPr>
      <w:tblGrid>
        <w:gridCol w:w="23"/>
        <w:gridCol w:w="170"/>
        <w:gridCol w:w="55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57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number and scope of clinical programs we decide to pursue;</w:t>
            </w:r>
          </w:p>
        </w:tc>
      </w:tr>
    </w:tbl>
    <w:tbl>
      <w:tblPr>
        <w:tblW w:w="9348" w:type="dxa"/>
        <w:jc w:val="left"/>
        <w:tblInd w:w="0" w:type="dxa"/>
        <w:tblCellMar>
          <w:top w:w="0" w:type="dxa"/>
          <w:left w:w="0" w:type="dxa"/>
          <w:bottom w:w="0" w:type="dxa"/>
          <w:right w:w="0" w:type="dxa"/>
        </w:tblCellMar>
      </w:tblPr>
      <w:tblGrid>
        <w:gridCol w:w="23"/>
        <w:gridCol w:w="170"/>
        <w:gridCol w:w="91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15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timing and outcome of preparing for and undergoing regulatory review of our product candidates;</w:t>
            </w:r>
          </w:p>
        </w:tc>
      </w:tr>
    </w:tbl>
    <w:tbl>
      <w:tblPr>
        <w:tblW w:w="5493" w:type="dxa"/>
        <w:jc w:val="left"/>
        <w:tblInd w:w="0" w:type="dxa"/>
        <w:tblCellMar>
          <w:top w:w="0" w:type="dxa"/>
          <w:left w:w="0" w:type="dxa"/>
          <w:bottom w:w="0" w:type="dxa"/>
          <w:right w:w="0" w:type="dxa"/>
        </w:tblCellMar>
      </w:tblPr>
      <w:tblGrid>
        <w:gridCol w:w="23"/>
        <w:gridCol w:w="170"/>
        <w:gridCol w:w="530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30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and timing of manufacturing our product candidates;</w:t>
            </w:r>
          </w:p>
        </w:tc>
      </w:tr>
    </w:tbl>
    <w:tbl>
      <w:tblPr>
        <w:tblW w:w="9918" w:type="dxa"/>
        <w:jc w:val="left"/>
        <w:tblInd w:w="0" w:type="dxa"/>
        <w:tblCellMar>
          <w:top w:w="0" w:type="dxa"/>
          <w:left w:w="0" w:type="dxa"/>
          <w:bottom w:w="0" w:type="dxa"/>
          <w:right w:w="0" w:type="dxa"/>
        </w:tblCellMar>
      </w:tblPr>
      <w:tblGrid>
        <w:gridCol w:w="23"/>
        <w:gridCol w:w="170"/>
        <w:gridCol w:w="972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72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 and timing associated with commercializing our product candidates, if they receive marketing approval;</w:t>
            </w:r>
          </w:p>
        </w:tc>
      </w:tr>
    </w:tbl>
    <w:tbl>
      <w:tblPr>
        <w:tblW w:w="7758" w:type="dxa"/>
        <w:jc w:val="left"/>
        <w:tblInd w:w="0" w:type="dxa"/>
        <w:tblCellMar>
          <w:top w:w="0" w:type="dxa"/>
          <w:left w:w="0" w:type="dxa"/>
          <w:bottom w:w="0" w:type="dxa"/>
          <w:right w:w="0" w:type="dxa"/>
        </w:tblCellMar>
      </w:tblPr>
      <w:tblGrid>
        <w:gridCol w:w="23"/>
        <w:gridCol w:w="170"/>
        <w:gridCol w:w="75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56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extent to which we acquire or in-license other product candidates and technologies;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costs of preparing, filing and prosecuting patent applications, maintaining and enforcing our intellectual property rights and defending intellectual property-related claims;</w:t>
            </w:r>
          </w:p>
        </w:tc>
      </w:tr>
    </w:tbl>
    <w:tbl>
      <w:tblPr>
        <w:tblW w:w="6993" w:type="dxa"/>
        <w:jc w:val="left"/>
        <w:tblInd w:w="0" w:type="dxa"/>
        <w:tblCellMar>
          <w:top w:w="0" w:type="dxa"/>
          <w:left w:w="0" w:type="dxa"/>
          <w:bottom w:w="0" w:type="dxa"/>
          <w:right w:w="0" w:type="dxa"/>
        </w:tblCellMar>
      </w:tblPr>
      <w:tblGrid>
        <w:gridCol w:w="23"/>
        <w:gridCol w:w="170"/>
        <w:gridCol w:w="680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80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establish and maintain collaborations on favorable terms, if at all;</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efforts to enhance operational systems and our ability to attract, hire and retain qualified personnel, including personnel to support the development of our product candidates and, ultimately, the sale of our products, following FDA approval;</w:t>
            </w:r>
          </w:p>
        </w:tc>
      </w:tr>
    </w:tbl>
    <w:tbl>
      <w:tblPr>
        <w:tblW w:w="6738" w:type="dxa"/>
        <w:jc w:val="left"/>
        <w:tblInd w:w="0" w:type="dxa"/>
        <w:tblCellMar>
          <w:top w:w="0" w:type="dxa"/>
          <w:left w:w="0" w:type="dxa"/>
          <w:bottom w:w="0" w:type="dxa"/>
          <w:right w:w="0" w:type="dxa"/>
        </w:tblCellMar>
      </w:tblPr>
      <w:tblGrid>
        <w:gridCol w:w="23"/>
        <w:gridCol w:w="170"/>
        <w:gridCol w:w="654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54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implementation of operational, financial and management systems;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of geopolitical and macroeconomic events, including the COVID 19 pandemic, future bank failures and the Russia/Ukraine conflict, on U.S. and global economic conditions that may impact our ability to access capital on terms acceptable, or at all.</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A change in the outcome of any of these or other variables with respect to the development of our product candidates could significantly change the costs and timing associated with the development of that product candidate. Furthermore, our business plans may change in the future, and we will continue to require additional capital to meet operational needs and capital requirements associated with such plans.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your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167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ownership interest may be diluted, and the terms of these securities may include liquidation or other preferences and anti-dilution protections that could adversely affect your rights as a holder of our ADSs. Additional debt or preferred equity financing, if available, may involve agreements that include restrictive covenants that may limit our ability to take specific actions, such as incurring debt, making capital expenditures or declaring dividends, which could adversely impact our ability to conduct our business, and may require the issuance of warrants, which could potentially dilute your ownership interest. If we raise funds through strategic collaborations or other similar arrangements with third-parties, we may have to relinquish valuable rights to our platform technology, future revenue streams, research programs or product candidates or may have to grant licenses on terms that may not be favorable to us and/or may reduce the value of our ordinary shares.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ability to raise additional funds may be adversely impacted by potential worsening global economic conditions and disruptions to and volatility in the credit and financial markets in the United States and worldwide resulting from the ongoing COVID-19 pandemic or other events such as actual or anticipated changes in interest rates and economic inflation and the impact of the Russian/Ukraine conflict. If we are unable to obtain additional funding, or funding on acceptable terms, we could be forced to delay, reduce or eliminate some or all of our research and development programs, product portfolio expansion or any commercialization efforts, which could adversely affect our business prospects, or we may be unable to continue operations. Because of the numerous risks and uncertainties associated with product development, we cannot predict the timing or amount of increased expenses or when or if we will be able to achieve or maintain profitability.</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Summary Statements of Cash Flows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following table sets forth the primary sources and uses of cash for the periods presented below (in thousands):</w:t>
      </w:r>
    </w:p>
    <w:tbl>
      <w:tblPr>
        <w:tblW w:w="7527" w:type="dxa"/>
        <w:jc w:val="center"/>
        <w:tblInd w:w="0" w:type="dxa"/>
        <w:tblCellMar>
          <w:top w:w="0" w:type="dxa"/>
          <w:left w:w="0" w:type="dxa"/>
          <w:bottom w:w="0" w:type="dxa"/>
          <w:right w:w="0" w:type="dxa"/>
        </w:tblCellMar>
      </w:tblPr>
      <w:tblGrid>
        <w:gridCol w:w="4786"/>
        <w:gridCol w:w="326"/>
        <w:gridCol w:w="211"/>
        <w:gridCol w:w="811"/>
        <w:gridCol w:w="326"/>
        <w:gridCol w:w="211"/>
        <w:gridCol w:w="856"/>
      </w:tblGrid>
      <w:tr>
        <w:trPr/>
        <w:tc>
          <w:tcPr>
            <w:tcW w:w="47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3039110" cy="175260"/>
                      <wp:effectExtent l="0" t="0" r="0" b="0"/>
                      <wp:wrapNone/>
                      <wp:docPr id="71" name="Frame29"/>
                      <a:graphic xmlns:a="http://schemas.openxmlformats.org/drawingml/2006/main">
                        <a:graphicData uri="http://schemas.microsoft.com/office/word/2010/wordprocessingShape">
                          <wps:wsp>
                            <wps:cNvSpPr txBox="1"/>
                            <wps:spPr>
                              <a:xfrm>
                                <a:off x="0" y="0"/>
                                <a:ext cx="3039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72" name="Frame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73" name="Frame3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14985" cy="175260"/>
                      <wp:effectExtent l="0" t="0" r="0" b="0"/>
                      <wp:wrapNone/>
                      <wp:docPr id="74" name="Frame32"/>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3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43560" cy="175260"/>
                      <wp:effectExtent l="0" t="0" r="0" b="0"/>
                      <wp:wrapNone/>
                      <wp:docPr id="77" name="Frame35"/>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78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81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85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r>
      <w:tr>
        <w:trPr/>
        <w:tc>
          <w:tcPr>
            <w:tcW w:w="47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15" w:type="dxa"/>
            <w:gridSpan w:val="5"/>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YEAR ENDED </w:t>
            </w:r>
          </w:p>
        </w:tc>
      </w:tr>
      <w:tr>
        <w:trPr/>
        <w:tc>
          <w:tcPr>
            <w:tcW w:w="47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1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478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2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1"/>
              <w:ind w:left="0" w:right="0" w:hanging="0"/>
              <w:rPr/>
            </w:pPr>
            <w:r>
              <w:rPr/>
              <w:t>​</w:t>
            </w:r>
          </w:p>
        </w:tc>
        <w:tc>
          <w:tcPr>
            <w:tcW w:w="106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478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Net cash (used in) provided by:</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pPr>
            <w:r>
              <w:rPr/>
              <w:t>  </w:t>
            </w:r>
          </w:p>
        </w:tc>
      </w:tr>
      <w:tr>
        <w:trPr/>
        <w:tc>
          <w:tcPr>
            <w:tcW w:w="478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Operating activities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1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(46,120)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(32,160)</w:t>
            </w:r>
          </w:p>
        </w:tc>
      </w:tr>
      <w:tr>
        <w:trPr/>
        <w:tc>
          <w:tcPr>
            <w:tcW w:w="478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Investing activities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(62,108)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17,859</w:t>
            </w:r>
          </w:p>
        </w:tc>
      </w:tr>
      <w:tr>
        <w:trPr/>
        <w:tc>
          <w:tcPr>
            <w:tcW w:w="478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Financing activities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29,014</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103,254</w:t>
            </w:r>
          </w:p>
        </w:tc>
      </w:tr>
      <w:tr>
        <w:trPr/>
        <w:tc>
          <w:tcPr>
            <w:tcW w:w="478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Net (decrease) increase in cash and cash equivalents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(79,214)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88,953</w:t>
            </w:r>
          </w:p>
        </w:tc>
      </w:tr>
      <w:tr>
        <w:trPr/>
        <w:tc>
          <w:tcPr>
            <w:tcW w:w="478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Cash Flows Used in Operating Activities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During the year ended December 31, 2022, net cash used in operating activities was $46.1 million, consisting primarily of a net loss of $51.3 million, partially offset by non-cash charges of $2.2 million and a decrease in net operating assets of $3.0 million. The cash used in operations was primarily due to the increase in net loss from the increase in operating expenses as we invest in our research and development efforts and prepared to become a publicly-traded company. Non-cash charges consisted primarily of share-based compensation. The decrease in net operating assets was primarily due to increases in accounts payable and accrued expenses and other current liabilities.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During the year ended December 31, 2021, net cash used in operating activities was $32.2 million, consisting primarily of a net loss of  $38.0 million, partially offset by non-cash charges of  $1.8 million and a decrease in net operating assets of  $4.0 million. The cash used in operations was primarily due to the increase in net loss from the increase in operating expenses as we invest in our research and development efforts. Non-cash charges consisted primarily of share-based compensation. The decrease in net operating assets is primarily due to increases in accrued expenses and other current liabilities and accounts payable, partially offset by an increase in prepaid expenses and other current assets.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168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Cash Flows (Used in) Provided by Investing Activities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During the year ended December 31, 2022, net cash used in investing activities was $62.1 million, consisting primarily of net purchases of short-term investments.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During the year ended December 31, 2021, net cash provided by investing activities was $17.9 million, consisting primarily of net maturities of short-term investments of  $19.1 million, partially offset by purchases of property and equipment of  $1.2 million.</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Cash Flows Provided by Financing Activities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During the year ended December 31, 2022, net cash provided by financing activities was $29.0 million, consisting primarily of net proceeds from the issuance of our Series B redeemable convertible preferred shares, partially offset by payments of deferred offering costs.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During the year ended December 31, 2021, net cash provided by financing activities was $103.3 million, consisting primarily of net proceeds from the issuance of our Series B redeemable convertible preferred shares and Series Seed redeemable convertible preferred shares of Basecamp Bio.</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Contractual Obligations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of December 31, 2022, our contractual obligations consist of facilities lease payments totaling $0.3 million through October 31, 2023.</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Critical Accounting Policies and Significant Judgments and Estimates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financial statements have been prepared in accordance with U.S. Generally Accepted Accounting Principles (“GAAP”). The preparation of our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knowledge of current events and actions we may undertake in the future and on various other factors that we believe are reasonable under the circumstances, the results of which form the basis for making judgments about the carrying value of assets and liabilities that are not readily apparent from other sources. Actual results may materially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 For more detail on our significant accounting policies, refer to Note 2 to our consolidated financial statements included in Part II. Item 8 “Financial Statements and Supplementary Data” of this Annual Report.</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Share-Based Compensation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use a fair value-based method to account for all share-based compensation arrangements with employees and non-employees, including share options and share awards. Our determination of the fair value of share options on the date of grant utilizes the Black-Scholes option pricing model.</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recognize the fair value of the options granted on a straight-line basis over the period during which an optionee is required to provide services in exchange for the option award, known as the requisite service period, which usually is the vesting period. We account for forfeitures as they occur.</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Estimates of the fair value of equity awards as of the grant date using valuation models such as the Black-Scholes option pricing model are affected by assumptions with a number of complex variables. Changes in certain assumptions can materially affect the fair value and ultimately the amount of share-based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169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compensation expense recognized. These inputs are subjective and generally require significant analysis and judgment to develop. The assumptions are as follows:</w:t>
      </w:r>
    </w:p>
    <w:tbl>
      <w:tblPr>
        <w:tblW w:w="8388" w:type="dxa"/>
        <w:jc w:val="left"/>
        <w:tblInd w:w="0" w:type="dxa"/>
        <w:tblCellMar>
          <w:top w:w="0" w:type="dxa"/>
          <w:left w:w="0" w:type="dxa"/>
          <w:bottom w:w="0" w:type="dxa"/>
          <w:right w:w="0" w:type="dxa"/>
        </w:tblCellMar>
      </w:tblPr>
      <w:tblGrid>
        <w:gridCol w:w="23"/>
        <w:gridCol w:w="170"/>
        <w:gridCol w:w="81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195" w:type="dxa"/>
            <w:tcBorders/>
            <w:shd w:fill="auto" w:val="clear"/>
            <w:vAlign w:val="center"/>
          </w:tcPr>
          <w:p>
            <w:pPr>
              <w:pStyle w:val="TableContents"/>
              <w:spacing w:before="0" w:after="283"/>
              <w:rPr/>
            </w:pPr>
            <w:r>
              <w:rPr>
                <w:rFonts w:ascii="Arial;Helvetica;sans-serif" w:hAnsi="Arial;Helvetica;sans-serif"/>
                <w:b w:val="false"/>
                <w:i/>
                <w:sz w:val="20"/>
              </w:rPr>
              <w:t>Fair Value of Ordinary Shares—</w:t>
            </w:r>
            <w:r>
              <w:rPr>
                <w:rFonts w:ascii="Arial;Helvetica;sans-serif" w:hAnsi="Arial;Helvetica;sans-serif"/>
                <w:b w:val="false"/>
                <w:i w:val="false"/>
                <w:caps w:val="false"/>
                <w:smallCaps w:val="false"/>
                <w:sz w:val="20"/>
              </w:rPr>
              <w:t>see the subsection titled “—Ordinary Shares Valuation” below.</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val="false"/>
                <w:i/>
                <w:sz w:val="20"/>
              </w:rPr>
              <w:t>Expected Term</w:t>
            </w:r>
            <w:r>
              <w:rPr>
                <w:caps w:val="false"/>
                <w:smallCaps w:val="false"/>
              </w:rPr>
              <w:t>—</w:t>
            </w:r>
            <w:r>
              <w:rPr>
                <w:rFonts w:ascii="Arial;Helvetica;sans-serif" w:hAnsi="Arial;Helvetica;sans-serif"/>
                <w:b w:val="false"/>
                <w:i w:val="false"/>
                <w:caps w:val="false"/>
                <w:smallCaps w:val="false"/>
                <w:sz w:val="20"/>
              </w:rPr>
              <w:t>The expected term represents the period that the share-based awards are expected to be outstanding. The expected term is calculated using the simplified method which is used when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val="false"/>
                <w:i/>
                <w:sz w:val="20"/>
              </w:rPr>
              <w:t>Expected Volatility</w:t>
            </w:r>
            <w:r>
              <w:rPr>
                <w:caps w:val="false"/>
                <w:smallCaps w:val="false"/>
              </w:rPr>
              <w:t>—</w:t>
            </w:r>
            <w:r>
              <w:rPr>
                <w:rFonts w:ascii="Arial;Helvetica;sans-serif" w:hAnsi="Arial;Helvetica;sans-serif"/>
                <w:b w:val="false"/>
                <w:i w:val="false"/>
                <w:caps w:val="false"/>
                <w:smallCaps w:val="false"/>
                <w:sz w:val="20"/>
              </w:rPr>
              <w:t>For all share options granted to date, we estimated the volatility data based on a study of publicly traded industry peer companies as we did not have any trading history for our ordinary shares. For purposes of identifying these peer companies, we considered the industry, stage of development, size and financial leverage of potential comparable companies. For each grant, we measured historical volatility over a period equivalent to the expected term. We will continue to apply this process until a sufficient amount of historical information regarding the volatility of our own share price becomes available.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val="false"/>
                <w:i/>
                <w:sz w:val="20"/>
              </w:rPr>
              <w:t>Risk-Free Interest Rate</w:t>
            </w:r>
            <w:r>
              <w:rPr>
                <w:caps w:val="false"/>
                <w:smallCaps w:val="false"/>
              </w:rPr>
              <w:t>—</w:t>
            </w:r>
            <w:r>
              <w:rPr>
                <w:rFonts w:ascii="Arial;Helvetica;sans-serif" w:hAnsi="Arial;Helvetica;sans-serif"/>
                <w:b w:val="false"/>
                <w:i w:val="false"/>
                <w:caps w:val="false"/>
                <w:smallCaps w:val="false"/>
                <w:sz w:val="20"/>
              </w:rPr>
              <w:t>The risk-free interest rate is based on the U.S. Treasury yield in effect at the time of the grant for zero-coupon U.S. Treasury notes with remaining terms similar to the expected term of the options.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val="false"/>
                <w:i/>
                <w:sz w:val="20"/>
              </w:rPr>
              <w:t>Expected Dividend Yield</w:t>
            </w:r>
            <w:r>
              <w:rPr>
                <w:caps w:val="false"/>
                <w:smallCaps w:val="false"/>
              </w:rPr>
              <w:t>—</w:t>
            </w:r>
            <w:r>
              <w:rPr>
                <w:rFonts w:ascii="Arial;Helvetica;sans-serif" w:hAnsi="Arial;Helvetica;sans-serif"/>
                <w:b w:val="false"/>
                <w:i w:val="false"/>
                <w:caps w:val="false"/>
                <w:smallCaps w:val="false"/>
                <w:sz w:val="20"/>
              </w:rPr>
              <w:t>We assumed the expected dividend to be zero as we have never paid dividends and have no current plans to do so.</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See Note 11 to our audited consolidated financial statements included in Part II. Item 8 “Financial Statements and Supplementary Data” of this Annual Report for information concerning certain of the specific assumptions we used in applying the Black-Scholes option pricing model to determine the estimated fair value of our stock options granted in the years ended December 31, 2022 and 2021.</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Ordinary Shares Valuation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Prior to the completion of our IPO, the estimated fair value of the ordinary shares underlying our share options and share awards was determined at each grant date by our board of directors, with input from management and an independent third-party valuation firm. All options to purchase shares of our ordinary shares are intended to be exercisable at a price per share not less than the per-share fair value of our ordinary shares underlying those options on the date of grant.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the absence of a public trading market for our ordinary shares, on each grant date, we develop an estimate of the fair value of our ordinary shares based on the information known to us on the date of grant, upon a review of any recent events and their potential impact on the estimated fair value per share of the ordinary shares, and in part on contemporaneous input from an independent third-party valuation firm. Our estimate of fair value is reviewed and approved by our board of directors.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We determined our valuations of our ordinary shares in accordance with the guidelines outlined in the American Institute of Certified Public Accountants Practice Aid, </w:t>
      </w:r>
      <w:r>
        <w:rPr>
          <w:rFonts w:ascii="Arial;Helvetica;sans-serif" w:hAnsi="Arial;Helvetica;sans-serif"/>
          <w:i/>
          <w:sz w:val="20"/>
        </w:rPr>
        <w:t>Valuation of Privately-Held-Company Equity Securities Issued as Compensation</w:t>
      </w:r>
      <w:r>
        <w:rPr>
          <w:rFonts w:ascii="Arial;Helvetica;sans-serif" w:hAnsi="Arial;Helvetica;sans-serif"/>
          <w:sz w:val="20"/>
        </w:rPr>
        <w:t xml:space="preserve"> (the “Practice Aid”). We based the assumptions used to determine the estimated fair value of our ordinary shares on numerous objective and subjective factors, combined with management judgment, including:</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most recently available valuations of our ordinary shares performed by an independent third-party valuation firm;</w:t>
            </w:r>
          </w:p>
        </w:tc>
      </w:tr>
    </w:tbl>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170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7368" w:type="dxa"/>
        <w:jc w:val="left"/>
        <w:tblInd w:w="0" w:type="dxa"/>
        <w:tblCellMar>
          <w:top w:w="0" w:type="dxa"/>
          <w:left w:w="0" w:type="dxa"/>
          <w:bottom w:w="0" w:type="dxa"/>
          <w:right w:w="0" w:type="dxa"/>
        </w:tblCellMar>
      </w:tblPr>
      <w:tblGrid>
        <w:gridCol w:w="23"/>
        <w:gridCol w:w="170"/>
        <w:gridCol w:w="71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17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prices at which we sold shares of our redeemable convertible preferred shares;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rights, preferences and privileges of our redeemable convertible preferred shares relative to those of our ordinary shares;</w:t>
            </w:r>
          </w:p>
        </w:tc>
      </w:tr>
    </w:tbl>
    <w:tbl>
      <w:tblPr>
        <w:tblW w:w="5973" w:type="dxa"/>
        <w:jc w:val="left"/>
        <w:tblInd w:w="0" w:type="dxa"/>
        <w:tblCellMar>
          <w:top w:w="0" w:type="dxa"/>
          <w:left w:w="0" w:type="dxa"/>
          <w:bottom w:w="0" w:type="dxa"/>
          <w:right w:w="0" w:type="dxa"/>
        </w:tblCellMar>
      </w:tblPr>
      <w:tblGrid>
        <w:gridCol w:w="23"/>
        <w:gridCol w:w="170"/>
        <w:gridCol w:w="57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78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lack of marketability of our common shares as a private company;</w:t>
            </w:r>
          </w:p>
        </w:tc>
      </w:tr>
    </w:tbl>
    <w:tbl>
      <w:tblPr>
        <w:tblW w:w="8163" w:type="dxa"/>
        <w:jc w:val="left"/>
        <w:tblInd w:w="0" w:type="dxa"/>
        <w:tblCellMar>
          <w:top w:w="0" w:type="dxa"/>
          <w:left w:w="0" w:type="dxa"/>
          <w:bottom w:w="0" w:type="dxa"/>
          <w:right w:w="0" w:type="dxa"/>
        </w:tblCellMar>
      </w:tblPr>
      <w:tblGrid>
        <w:gridCol w:w="23"/>
        <w:gridCol w:w="170"/>
        <w:gridCol w:w="79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97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stage of development and business strategy, and material risks related to our business;</w:t>
            </w:r>
          </w:p>
        </w:tc>
      </w:tr>
    </w:tbl>
    <w:tbl>
      <w:tblPr>
        <w:tblW w:w="8418" w:type="dxa"/>
        <w:jc w:val="left"/>
        <w:tblInd w:w="0" w:type="dxa"/>
        <w:tblCellMar>
          <w:top w:w="0" w:type="dxa"/>
          <w:left w:w="0" w:type="dxa"/>
          <w:bottom w:w="0" w:type="dxa"/>
          <w:right w:w="0" w:type="dxa"/>
        </w:tblCellMar>
      </w:tblPr>
      <w:tblGrid>
        <w:gridCol w:w="23"/>
        <w:gridCol w:w="170"/>
        <w:gridCol w:w="822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22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financial condition and operating results, including our levels of available capital resources;</w:t>
            </w:r>
          </w:p>
        </w:tc>
      </w:tr>
    </w:tbl>
    <w:tbl>
      <w:tblPr>
        <w:tblW w:w="4878" w:type="dxa"/>
        <w:jc w:val="left"/>
        <w:tblInd w:w="0" w:type="dxa"/>
        <w:tblCellMar>
          <w:top w:w="0" w:type="dxa"/>
          <w:left w:w="0" w:type="dxa"/>
          <w:bottom w:w="0" w:type="dxa"/>
          <w:right w:w="0" w:type="dxa"/>
        </w:tblCellMar>
      </w:tblPr>
      <w:tblGrid>
        <w:gridCol w:w="23"/>
        <w:gridCol w:w="170"/>
        <w:gridCol w:w="46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68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progress of our research and development efforts;</w:t>
            </w:r>
          </w:p>
        </w:tc>
      </w:tr>
    </w:tbl>
    <w:tbl>
      <w:tblPr>
        <w:tblW w:w="5688" w:type="dxa"/>
        <w:jc w:val="left"/>
        <w:tblInd w:w="0" w:type="dxa"/>
        <w:tblCellMar>
          <w:top w:w="0" w:type="dxa"/>
          <w:left w:w="0" w:type="dxa"/>
          <w:bottom w:w="0" w:type="dxa"/>
          <w:right w:w="0" w:type="dxa"/>
        </w:tblCellMar>
      </w:tblPr>
      <w:tblGrid>
        <w:gridCol w:w="23"/>
        <w:gridCol w:w="170"/>
        <w:gridCol w:w="54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49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hiring of key personnel and the experience of management;</w:t>
            </w:r>
          </w:p>
        </w:tc>
      </w:tr>
    </w:tbl>
    <w:tbl>
      <w:tblPr>
        <w:tblW w:w="6963" w:type="dxa"/>
        <w:jc w:val="left"/>
        <w:tblInd w:w="0" w:type="dxa"/>
        <w:tblCellMar>
          <w:top w:w="0" w:type="dxa"/>
          <w:left w:w="0" w:type="dxa"/>
          <w:bottom w:w="0" w:type="dxa"/>
          <w:right w:w="0" w:type="dxa"/>
        </w:tblCellMar>
      </w:tblPr>
      <w:tblGrid>
        <w:gridCol w:w="23"/>
        <w:gridCol w:w="170"/>
        <w:gridCol w:w="67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77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likelihood of achieving a liquidity event given prevailing market conditions;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external market conditions affecting the pharmaceutical and biotechnology industry and trends within the industry; and</w:t>
            </w:r>
          </w:p>
        </w:tc>
      </w:tr>
    </w:tbl>
    <w:tbl>
      <w:tblPr>
        <w:tblW w:w="4248" w:type="dxa"/>
        <w:jc w:val="left"/>
        <w:tblInd w:w="0" w:type="dxa"/>
        <w:tblCellMar>
          <w:top w:w="0" w:type="dxa"/>
          <w:left w:w="0" w:type="dxa"/>
          <w:bottom w:w="0" w:type="dxa"/>
          <w:right w:w="0" w:type="dxa"/>
        </w:tblCellMar>
      </w:tblPr>
      <w:tblGrid>
        <w:gridCol w:w="23"/>
        <w:gridCol w:w="170"/>
        <w:gridCol w:w="40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05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valuation of comparable public companies.</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For all options granted through December 31, 2022, our board determined the enterprise value based on the Market Approach, Option Pricing Method (“OPM”) and Probability Weighted Expected Return Method (“PWERM”) or a weighted combination of the OPM and PWERM methods. Under the Market Approach, we estimate the value based upon our prior sales of preferred stock to unrelated third parties. We then apply these derived multiples or values to our financial metrics to estimate our market value. The allocation of these enterprise values to each part of our capital structure, including our ordinary shares, was done based on the OPM. The OPM treats the rights of the holders of preferred and ordinary shares as equivalent to call options on any value of the enterprise above certain break points of value based upon the liquidation preferences of the holders of preferred shares, as well as their rights to participation and conversion. Thus, the estimated value of the ordinary share can be determined by estimating the value of its portion of each of these call option rights. The OPM derives the implied equity value of a company from a recent transaction involving our own securities issued on an arms-length basis. Under the PWERM, the value is estimated based upon analysis of future values for the enterprise under varying scenarios, and probabilities are ascribed to these scenarios based on expected future outcomes.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Subsequent to our IPO, the fair value of our ordinary shares is determined based on our closing market price of the Company’s ADS, which each represents three ordinary shares.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Accrued Research and Development Expenses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have entered into various agreements with contract manufacturing organizations (“CMOs”) and CROs. Our research and development accruals are estimated based on the level of services performed, progress of the studies, including the phase or completion of events, and contracted costs. The estimated costs of research and development provided, but not yet invoiced, are included in other current liabilities on the balance sheets. If the actual timing of the performance of services or the level of effort varies from the original estimates, we will adjust the accrual accordingly. Payments made to CMOs and CROs under these arrangements in advance of the performance of the related services are recorded as prepaid expenses and other current assets on the balance sheets until the services are rendered. To date, our estimated accruals have not differed materially from the actual costs.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Redeemable Convertible Preferred Shares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We record all shares of our redeemable convertible preferred shares at their respective fair values on the dates of issuance, net of issuance costs. The fair value of Series B-1 redeemable convertible preferred shares issued in the Basecamp Bio share exchange agreement was estimated using various fair value measures of classes of preferred stock calculated as part of the valuation of our ordinary shares. In the event of the voluntary or involuntary liquidation, dissolution or winding up of our company, or a liquidation event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171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such as a merger, acquisition and sale of all or substantially all of our assets, each of which we refer to as a deemed liquidation event, proceeds will be distributed in accordance with the liquidation preferences set forth in our amended and restated memorandum and articles of association unless the holders of redeemable convertible preferred shares have converted their redeemable convertible preferred shares into ordinary shares. Therefore, the redeemable convertible preferred shares are recorded in mezzanine equity on our balance sheets as events triggering the liquidation preferences are not solely within our control. We made an accounting policy election to recognize changes in the redemption value of redeemable convertible preferred shares immediately as they occur and adjust the carrying value of redeemable convertible preferred shares to equal its redemption value at the end of each reporting period.</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JOBS Act Accounting Election and Smaller Reporting Company Status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certain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consolidated financial statements may not be comparable to companies that comply with new or revised accounting pronouncements as of public company effective dates.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ordinary shares held by non-affiliates is less than $250.0 million measured on the last business day of our second fiscal quarter, or our annual revenue is less than $100.0 million during the most recently completed fiscal year and our ordinary shares held by non-affiliates is less than $700.0 million measured on the last business day of our second fiscal quarter.</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Recent Accounting Pronouncements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See “Recent Accounting Pronouncements” in Note 2 to our consolidated financial statements included in Part II. Item 8 “Financial Statements and Supplementary Data” of this Annual Report for additional information.</w:t>
      </w:r>
    </w:p>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Item 7A. Quantitative and Qualitative Disclosures About Market Risk.</w:t>
      </w:r>
      <w:bookmarkStart w:id="17" w:name="Item7A_Quantitative_and_Qualitative"/>
      <w:bookmarkEnd w:id="17"/>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Interest Rate Sensitivity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market risk inherent in our financial instruments and in our financial position represents the potential loss arising from adverse changes in interest rates. As of December 31, 2022, we had cash, cash equivalents and short-term investments of $90.8 million, consisting of interest-bearing money market funds, U.S. government bonds, U.S. government agency bonds and corporate debt securities, for which the fair value would be affected by changes in the general level of U.S. interest rates. However, due to the short-term maturities and the low-risk profile of our cash equivalents, we do not believe that a hypothetical 10% increase or decrease in the relative value of interest rates would have a material effect on our consolidated financial statements included in Part II, Item 8 “Financial Statements and Supplementary Data” of this Annual Report.</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Foreign Currency Risk</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Our business is primarily conducted in U.S. dollars. Transactions conducted in foreign currencies have not had, and are not expected to have, a material effect on our results of operations, financial position or cash flows. Our operating expenses in countries outside the United States, are payable in foreign currencies and </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172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therefore expose us to currency risk. We do not believe that a hypothetical 10% increase or decrease in the relative value of the U.S. dollar to other currencies would have had a material effect on our consolidated financial statements included in Part II, Item 8 “Financial Statements and Supplementary Data” of this Annual Report. We do not currently maintain a program to hedge exposures to non-U.S. dollar currencies.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Credit Risk</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maintain our cash, cash equivalents and short-term investments with several financial institutions, primarily in the United States, and our current deposits are in excess of insured limits. We believe these institutions have sufficient assets and liquidity to conduct their operations in the ordinary course of business with little or no credit risk to us. We have not experienced any losses on our deposits of cash, cash equivalents and short-term investments to date.</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Effects of Inflation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Inflation generally affects us by increasing our cost of labor and in the future our clinical trial costs. We do not believe that inflation has had a material effect on our consolidated financial statements included elsewhere in this Annual Report.</w:t>
      </w:r>
    </w:p>
    <w:p>
      <w:pPr>
        <w:pStyle w:val="TextBody"/>
        <w:spacing w:before="0" w:after="0"/>
        <w:ind w:left="0" w:right="0" w:hanging="0"/>
        <w:rPr/>
      </w:pPr>
      <w:r>
        <w:rPr/>
        <w:t>​</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173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Item 8. Financial Statements and Supplementary Data</w:t>
      </w:r>
    </w:p>
    <w:p>
      <w:pPr>
        <w:pStyle w:val="TextBody"/>
        <w:spacing w:before="0" w:after="240"/>
        <w:ind w:left="0" w:right="0" w:hanging="0"/>
        <w:jc w:val="center"/>
        <w:rPr/>
      </w:pPr>
      <w:bookmarkStart w:id="18" w:name="Item8_Financial_Statements"/>
      <w:bookmarkEnd w:id="18"/>
      <w:r>
        <w:rPr/>
        <w:t>​</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STRUCTURE THERAPEUTICS INC.</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INDEX TO FINANCIAL STATEMENTS</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Years Ended December 31, 2022 and 2021</w:t>
      </w:r>
    </w:p>
    <w:tbl>
      <w:tblPr>
        <w:tblW w:w="10205" w:type="dxa"/>
        <w:jc w:val="center"/>
        <w:tblInd w:w="0" w:type="dxa"/>
        <w:tblCellMar>
          <w:top w:w="0" w:type="dxa"/>
          <w:left w:w="0" w:type="dxa"/>
          <w:bottom w:w="0" w:type="dxa"/>
          <w:right w:w="0" w:type="dxa"/>
        </w:tblCellMar>
      </w:tblPr>
      <w:tblGrid>
        <w:gridCol w:w="9323"/>
        <w:gridCol w:w="266"/>
        <w:gridCol w:w="616"/>
      </w:tblGrid>
      <w:tr>
        <w:trPr/>
        <w:tc>
          <w:tcPr>
            <w:tcW w:w="93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920105" cy="175260"/>
                      <wp:effectExtent l="0" t="0" r="0" b="0"/>
                      <wp:wrapNone/>
                      <wp:docPr id="78" name="Frame36"/>
                      <a:graphic xmlns:a="http://schemas.openxmlformats.org/drawingml/2006/main">
                        <a:graphicData uri="http://schemas.microsoft.com/office/word/2010/wordprocessingShape">
                          <wps:wsp>
                            <wps:cNvSpPr txBox="1"/>
                            <wps:spPr>
                              <a:xfrm>
                                <a:off x="0" y="0"/>
                                <a:ext cx="5920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91160" cy="175260"/>
                      <wp:effectExtent l="0" t="0" r="0" b="0"/>
                      <wp:wrapNone/>
                      <wp:docPr id="79" name="Frame37"/>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9323"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26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616"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r>
      <w:tr>
        <w:trPr/>
        <w:tc>
          <w:tcPr>
            <w:tcW w:w="9323"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rPr/>
            </w:pPr>
            <w:r>
              <w:rPr/>
              <w:t>   </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20"/>
              </w:rPr>
            </w:pPr>
            <w:r>
              <w:rPr>
                <w:rFonts w:ascii="Arial;Helvetica;sans-serif" w:hAnsi="Arial;Helvetica;sans-serif"/>
                <w:b/>
                <w:sz w:val="20"/>
              </w:rPr>
              <w:t>Page</w:t>
            </w:r>
          </w:p>
        </w:tc>
      </w:tr>
      <w:tr>
        <w:trPr/>
        <w:tc>
          <w:tcPr>
            <w:tcW w:w="9323" w:type="dxa"/>
            <w:tcBorders/>
            <w:shd w:fill="auto" w:val="clear"/>
            <w:vAlign w:val="center"/>
          </w:tcPr>
          <w:p>
            <w:pPr>
              <w:pStyle w:val="TableContents"/>
              <w:pBdr/>
              <w:spacing w:before="0" w:after="0"/>
              <w:ind w:left="0" w:right="0" w:hanging="0"/>
              <w:rPr/>
            </w:pPr>
            <w:hyperlink w:anchor="Audit_Report">
              <w:r>
                <w:rPr>
                  <w:rStyle w:val="InternetLink"/>
                  <w:rFonts w:ascii="Arial;Helvetica;sans-serif" w:hAnsi="Arial;Helvetica;sans-serif"/>
                  <w:b w:val="false"/>
                  <w:i w:val="false"/>
                  <w:caps w:val="false"/>
                  <w:smallCaps w:val="false"/>
                  <w:color w:val="0000FF"/>
                  <w:sz w:val="20"/>
                  <w:u w:val="single"/>
                </w:rPr>
                <w:t>Report of Independent Registered Public Accounting Firm</w:t>
              </w:r>
            </w:hyperlink>
            <w:r>
              <w:rPr>
                <w:rFonts w:ascii="Arial;Helvetica;sans-serif" w:hAnsi="Arial;Helvetica;sans-serif"/>
                <w:sz w:val="20"/>
              </w:rPr>
              <w:t xml:space="preserve"> (PCAOB ID 238)</w:t>
            </w:r>
          </w:p>
        </w:tc>
        <w:tc>
          <w:tcPr>
            <w:tcW w:w="266" w:type="dxa"/>
            <w:tcBorders/>
            <w:shd w:fill="auto" w:val="clear"/>
            <w:vAlign w:val="center"/>
          </w:tcPr>
          <w:p>
            <w:pPr>
              <w:pStyle w:val="TableContents"/>
              <w:spacing w:before="0" w:after="0"/>
              <w:ind w:left="0" w:right="0" w:hanging="0"/>
              <w:rPr/>
            </w:pPr>
            <w:r>
              <w:rPr/>
              <w:t>​</w:t>
            </w:r>
          </w:p>
        </w:tc>
        <w:tc>
          <w:tcPr>
            <w:tcW w:w="616" w:type="dxa"/>
            <w:tcBorders>
              <w:top w:val="single" w:sz="2" w:space="0" w:color="000000"/>
            </w:tcBorders>
            <w:shd w:fill="auto" w:val="clear"/>
            <w:tcMar>
              <w:top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175</w:t>
            </w:r>
          </w:p>
        </w:tc>
      </w:tr>
      <w:tr>
        <w:trPr/>
        <w:tc>
          <w:tcPr>
            <w:tcW w:w="9323" w:type="dxa"/>
            <w:tcBorders/>
            <w:shd w:fill="auto" w:val="clear"/>
            <w:vAlign w:val="center"/>
          </w:tcPr>
          <w:p>
            <w:pPr>
              <w:pStyle w:val="TableContents"/>
              <w:pBdr/>
              <w:spacing w:before="0" w:after="0"/>
              <w:ind w:left="0" w:right="0" w:hanging="0"/>
              <w:rPr>
                <w:rFonts w:ascii="Arial;Helvetica;sans-serif" w:hAnsi="Arial;Helvetica;sans-serif"/>
                <w:b/>
                <w:sz w:val="20"/>
              </w:rPr>
            </w:pPr>
            <w:r>
              <w:rPr>
                <w:rFonts w:ascii="Arial;Helvetica;sans-serif" w:hAnsi="Arial;Helvetica;sans-serif"/>
                <w:b/>
                <w:sz w:val="20"/>
              </w:rPr>
              <w:t>Consolidated Financial Statements</w:t>
            </w:r>
          </w:p>
        </w:tc>
        <w:tc>
          <w:tcPr>
            <w:tcW w:w="266"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pPr>
            <w:r>
              <w:rPr/>
              <w:t>​</w:t>
            </w:r>
          </w:p>
        </w:tc>
      </w:tr>
      <w:tr>
        <w:trPr/>
        <w:tc>
          <w:tcPr>
            <w:tcW w:w="9323" w:type="dxa"/>
            <w:tcBorders/>
            <w:shd w:fill="auto" w:val="clear"/>
            <w:vAlign w:val="center"/>
          </w:tcPr>
          <w:p>
            <w:pPr>
              <w:pStyle w:val="TableContents"/>
              <w:pBdr/>
              <w:spacing w:before="0" w:after="0"/>
              <w:ind w:left="0" w:right="0" w:hanging="0"/>
              <w:rPr/>
            </w:pPr>
            <w:hyperlink w:anchor="Balance_Sheets">
              <w:r>
                <w:rPr>
                  <w:rStyle w:val="InternetLink"/>
                  <w:rFonts w:ascii="Arial;Helvetica;sans-serif" w:hAnsi="Arial;Helvetica;sans-serif"/>
                  <w:b w:val="false"/>
                  <w:i w:val="false"/>
                  <w:caps w:val="false"/>
                  <w:smallCaps w:val="false"/>
                  <w:color w:val="0000FF"/>
                  <w:sz w:val="20"/>
                  <w:u w:val="single"/>
                </w:rPr>
                <w:t>Consolidated Balance Sheets</w:t>
              </w:r>
            </w:hyperlink>
          </w:p>
        </w:tc>
        <w:tc>
          <w:tcPr>
            <w:tcW w:w="266"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176</w:t>
            </w:r>
          </w:p>
        </w:tc>
      </w:tr>
      <w:tr>
        <w:trPr/>
        <w:tc>
          <w:tcPr>
            <w:tcW w:w="9323" w:type="dxa"/>
            <w:tcBorders/>
            <w:shd w:fill="auto" w:val="clear"/>
            <w:vAlign w:val="center"/>
          </w:tcPr>
          <w:p>
            <w:pPr>
              <w:pStyle w:val="TableContents"/>
              <w:pBdr/>
              <w:spacing w:before="0" w:after="0"/>
              <w:ind w:left="0" w:right="0" w:hanging="0"/>
              <w:rPr/>
            </w:pPr>
            <w:hyperlink w:anchor="SOCI">
              <w:r>
                <w:rPr>
                  <w:rStyle w:val="InternetLink"/>
                  <w:rFonts w:ascii="Arial;Helvetica;sans-serif" w:hAnsi="Arial;Helvetica;sans-serif"/>
                  <w:b w:val="false"/>
                  <w:i w:val="false"/>
                  <w:caps w:val="false"/>
                  <w:smallCaps w:val="false"/>
                  <w:color w:val="0000FF"/>
                  <w:sz w:val="20"/>
                  <w:u w:val="single"/>
                </w:rPr>
                <w:t>Consolidated Statements of Operations and Comprehensive Loss</w:t>
              </w:r>
            </w:hyperlink>
          </w:p>
        </w:tc>
        <w:tc>
          <w:tcPr>
            <w:tcW w:w="266"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177</w:t>
            </w:r>
          </w:p>
        </w:tc>
      </w:tr>
      <w:tr>
        <w:trPr/>
        <w:tc>
          <w:tcPr>
            <w:tcW w:w="9323" w:type="dxa"/>
            <w:tcBorders/>
            <w:shd w:fill="auto" w:val="clear"/>
            <w:vAlign w:val="center"/>
          </w:tcPr>
          <w:p>
            <w:pPr>
              <w:pStyle w:val="TableContents"/>
              <w:pBdr/>
              <w:spacing w:before="0" w:after="0"/>
              <w:ind w:left="0" w:right="0" w:hanging="0"/>
              <w:rPr/>
            </w:pPr>
            <w:hyperlink w:anchor="Equity_Statement">
              <w:r>
                <w:rPr>
                  <w:rStyle w:val="InternetLink"/>
                  <w:rFonts w:ascii="Arial;Helvetica;sans-serif" w:hAnsi="Arial;Helvetica;sans-serif"/>
                  <w:b w:val="false"/>
                  <w:i w:val="false"/>
                  <w:caps w:val="false"/>
                  <w:smallCaps w:val="false"/>
                  <w:color w:val="0000FF"/>
                  <w:sz w:val="20"/>
                  <w:u w:val="single"/>
                </w:rPr>
                <w:t>Consolidated Statements of Redeemable Convertible Preferred Shares, Redeemable Noncontrolling Interest and Shareholders’ Deficit</w:t>
              </w:r>
            </w:hyperlink>
          </w:p>
        </w:tc>
        <w:tc>
          <w:tcPr>
            <w:tcW w:w="266"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178</w:t>
            </w:r>
          </w:p>
        </w:tc>
      </w:tr>
      <w:tr>
        <w:trPr/>
        <w:tc>
          <w:tcPr>
            <w:tcW w:w="9323" w:type="dxa"/>
            <w:tcBorders/>
            <w:shd w:fill="auto" w:val="clear"/>
            <w:vAlign w:val="center"/>
          </w:tcPr>
          <w:p>
            <w:pPr>
              <w:pStyle w:val="TableContents"/>
              <w:pBdr/>
              <w:spacing w:before="0" w:after="0"/>
              <w:ind w:left="0" w:right="0" w:hanging="0"/>
              <w:rPr/>
            </w:pPr>
            <w:hyperlink w:anchor="SOCF">
              <w:r>
                <w:rPr>
                  <w:rStyle w:val="InternetLink"/>
                  <w:rFonts w:ascii="Arial;Helvetica;sans-serif" w:hAnsi="Arial;Helvetica;sans-serif"/>
                  <w:b w:val="false"/>
                  <w:i w:val="false"/>
                  <w:caps w:val="false"/>
                  <w:smallCaps w:val="false"/>
                  <w:color w:val="0000FF"/>
                  <w:sz w:val="20"/>
                  <w:u w:val="single"/>
                </w:rPr>
                <w:t>Consolidated Statements of Cash Flows</w:t>
              </w:r>
            </w:hyperlink>
          </w:p>
        </w:tc>
        <w:tc>
          <w:tcPr>
            <w:tcW w:w="266"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179</w:t>
            </w:r>
          </w:p>
        </w:tc>
      </w:tr>
      <w:tr>
        <w:trPr/>
        <w:tc>
          <w:tcPr>
            <w:tcW w:w="9323" w:type="dxa"/>
            <w:tcBorders/>
            <w:shd w:fill="auto" w:val="clear"/>
            <w:vAlign w:val="center"/>
          </w:tcPr>
          <w:p>
            <w:pPr>
              <w:pStyle w:val="TableContents"/>
              <w:pBdr/>
              <w:spacing w:before="0" w:after="0"/>
              <w:ind w:left="0" w:right="0" w:hanging="0"/>
              <w:rPr/>
            </w:pPr>
            <w:hyperlink w:anchor="Notes_to_FSs">
              <w:r>
                <w:rPr>
                  <w:rStyle w:val="InternetLink"/>
                  <w:rFonts w:ascii="Arial;Helvetica;sans-serif" w:hAnsi="Arial;Helvetica;sans-serif"/>
                  <w:b w:val="false"/>
                  <w:i w:val="false"/>
                  <w:caps w:val="false"/>
                  <w:smallCaps w:val="false"/>
                  <w:color w:val="0000FF"/>
                  <w:sz w:val="20"/>
                  <w:u w:val="single"/>
                </w:rPr>
                <w:t>Notes to Consolidated Financial Statements</w:t>
              </w:r>
            </w:hyperlink>
          </w:p>
        </w:tc>
        <w:tc>
          <w:tcPr>
            <w:tcW w:w="266" w:type="dxa"/>
            <w:tcBorders/>
            <w:shd w:fill="auto" w:val="clear"/>
            <w:vAlign w:val="center"/>
          </w:tcPr>
          <w:p>
            <w:pPr>
              <w:pStyle w:val="TableContents"/>
              <w:spacing w:before="0" w:after="0"/>
              <w:ind w:left="0" w:right="0" w:hanging="0"/>
              <w:rPr/>
            </w:pPr>
            <w:r>
              <w:rPr/>
              <w:t>​</w:t>
            </w:r>
          </w:p>
        </w:tc>
        <w:tc>
          <w:tcPr>
            <w:tcW w:w="61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180</w:t>
            </w:r>
          </w:p>
        </w:tc>
      </w:tr>
      <w:tr>
        <w:trPr/>
        <w:tc>
          <w:tcPr>
            <w:tcW w:w="9323" w:type="dxa"/>
            <w:tcBorders>
              <w:bottom w:val="single" w:sz="2" w:space="0" w:color="000000"/>
            </w:tcBorders>
            <w:shd w:fill="auto" w:val="clear"/>
            <w:tcMar>
              <w:bottom w:w="28" w:type="dxa"/>
            </w:tcMar>
            <w:vAlign w:val="center"/>
          </w:tcPr>
          <w:p>
            <w:pPr>
              <w:pStyle w:val="TableContents"/>
              <w:pBdr/>
              <w:spacing w:before="0" w:after="0"/>
              <w:ind w:left="0" w:right="0" w:hanging="0"/>
              <w:rPr/>
            </w:pPr>
            <w:r>
              <w:rPr/>
              <w:t>​</w:t>
            </w:r>
          </w:p>
        </w:tc>
        <w:tc>
          <w:tcPr>
            <w:tcW w:w="26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174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REPORT OF INDEPENDENT REGISTERED PUBLIC ACCOUNTING FIRM</w:t>
      </w:r>
      <w:bookmarkStart w:id="19" w:name="Audit_Report"/>
      <w:bookmarkEnd w:id="19"/>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To the Board of Directors and Shareholders of Structure Therapeutics Inc.</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Opinion on the Financial Statements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have audited the accompanying consolidated balance sheets of Structure Therapeutics Inc. and its subsidiaries (the “Company”) as of December 31, 2022 and 2021, and the related consolidated statements of operations and comprehensive loss, of redeemable convertible preferred shares, redeemable noncontrolling interest and shareholders’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Basis for Opinion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/s/ PricewaterhouseCoopers LLP</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San Jose, California </w:t>
        <w:br/>
        <w:t>March 30, 2023</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have served as the Company’s auditor since 2020.</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175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Arial;Helvetica;sans-serif" w:hAnsi="Arial;Helvetica;sans-serif"/>
          <w:b/>
          <w:sz w:val="20"/>
        </w:rPr>
      </w:pPr>
      <w:r>
        <w:rPr>
          <w:rFonts w:ascii="Arial;Helvetica;sans-serif" w:hAnsi="Arial;Helvetica;sans-serif"/>
          <w:b/>
          <w:sz w:val="20"/>
        </w:rPr>
        <w:t>STRUCTURE THERAPEUTICS INC.</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CONSOLIDATED BALANCE SHEETS</w:t>
      </w:r>
      <w:bookmarkStart w:id="20" w:name="Balance_Sheets"/>
      <w:bookmarkEnd w:id="20"/>
    </w:p>
    <w:p>
      <w:pPr>
        <w:pStyle w:val="TextBody"/>
        <w:spacing w:before="0" w:after="200"/>
        <w:ind w:left="0" w:right="0" w:hanging="0"/>
        <w:jc w:val="center"/>
        <w:rPr>
          <w:rFonts w:ascii="Arial;Helvetica;sans-serif" w:hAnsi="Arial;Helvetica;sans-serif"/>
          <w:b/>
          <w:i/>
          <w:sz w:val="20"/>
        </w:rPr>
      </w:pPr>
      <w:r>
        <w:rPr>
          <w:rFonts w:ascii="Arial;Helvetica;sans-serif" w:hAnsi="Arial;Helvetica;sans-serif"/>
          <w:b/>
          <w:i/>
          <w:sz w:val="20"/>
        </w:rPr>
        <w:t>(IN THOUSANDS, EXCEPT PER SHARE AMOUNTS)</w:t>
      </w:r>
    </w:p>
    <w:tbl>
      <w:tblPr>
        <w:tblW w:w="10205" w:type="dxa"/>
        <w:jc w:val="center"/>
        <w:tblInd w:w="0" w:type="dxa"/>
        <w:tblCellMar>
          <w:top w:w="0" w:type="dxa"/>
          <w:left w:w="0" w:type="dxa"/>
          <w:bottom w:w="0" w:type="dxa"/>
          <w:right w:w="0" w:type="dxa"/>
        </w:tblCellMar>
      </w:tblPr>
      <w:tblGrid>
        <w:gridCol w:w="7415"/>
        <w:gridCol w:w="326"/>
        <w:gridCol w:w="211"/>
        <w:gridCol w:w="870"/>
        <w:gridCol w:w="326"/>
        <w:gridCol w:w="211"/>
        <w:gridCol w:w="846"/>
      </w:tblGrid>
      <w:tr>
        <w:trPr/>
        <w:tc>
          <w:tcPr>
            <w:tcW w:w="74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708525" cy="175260"/>
                      <wp:effectExtent l="0" t="0" r="0" b="0"/>
                      <wp:wrapNone/>
                      <wp:docPr id="80" name="Frame38"/>
                      <a:graphic xmlns:a="http://schemas.openxmlformats.org/drawingml/2006/main">
                        <a:graphicData uri="http://schemas.microsoft.com/office/word/2010/wordprocessingShape">
                          <wps:wsp>
                            <wps:cNvSpPr txBox="1"/>
                            <wps:spPr>
                              <a:xfrm>
                                <a:off x="0" y="0"/>
                                <a:ext cx="47085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2" name="Frame4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52450" cy="175260"/>
                      <wp:effectExtent l="0" t="0" r="0" b="0"/>
                      <wp:wrapNone/>
                      <wp:docPr id="83" name="Frame41"/>
                      <a:graphic xmlns:a="http://schemas.openxmlformats.org/drawingml/2006/main">
                        <a:graphicData uri="http://schemas.microsoft.com/office/word/2010/wordprocessingShape">
                          <wps:wsp>
                            <wps:cNvSpPr txBox="1"/>
                            <wps:spPr>
                              <a:xfrm>
                                <a:off x="0" y="0"/>
                                <a:ext cx="5524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4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37210" cy="175260"/>
                      <wp:effectExtent l="0" t="0" r="0" b="0"/>
                      <wp:wrapNone/>
                      <wp:docPr id="86" name="Frame44"/>
                      <a:graphic xmlns:a="http://schemas.openxmlformats.org/drawingml/2006/main">
                        <a:graphicData uri="http://schemas.microsoft.com/office/word/2010/wordprocessingShape">
                          <wps:wsp>
                            <wps:cNvSpPr txBox="1"/>
                            <wps:spPr>
                              <a:xfrm>
                                <a:off x="0" y="0"/>
                                <a:ext cx="537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415"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1"/>
              <w:ind w:left="0" w:right="0" w:hanging="0"/>
              <w:jc w:val="center"/>
              <w:rPr/>
            </w:pPr>
            <w:r>
              <w:rPr/>
              <w:t>​</w:t>
            </w:r>
          </w:p>
        </w:tc>
        <w:tc>
          <w:tcPr>
            <w:tcW w:w="870" w:type="dxa"/>
            <w:tcBorders>
              <w:top w:val="single" w:sz="2" w:space="0" w:color="000000"/>
            </w:tcBorders>
            <w:shd w:fill="auto" w:val="clear"/>
            <w:tcMar>
              <w:top w:w="28" w:type="dxa"/>
            </w:tcMar>
            <w:vAlign w:val="center"/>
          </w:tcPr>
          <w:p>
            <w:pPr>
              <w:pStyle w:val="TableContents"/>
              <w:spacing w:before="0" w:after="1"/>
              <w:ind w:left="0" w:right="0" w:hanging="0"/>
              <w:jc w:val="center"/>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jc w:val="center"/>
              <w:rPr/>
            </w:pPr>
            <w:r>
              <w:rPr/>
              <w:t>​</w:t>
            </w:r>
          </w:p>
        </w:tc>
        <w:tc>
          <w:tcPr>
            <w:tcW w:w="211" w:type="dxa"/>
            <w:tcBorders>
              <w:top w:val="single" w:sz="2" w:space="0" w:color="000000"/>
            </w:tcBorders>
            <w:shd w:fill="auto" w:val="clear"/>
            <w:tcMar>
              <w:top w:w="28" w:type="dxa"/>
            </w:tcMar>
            <w:vAlign w:val="center"/>
          </w:tcPr>
          <w:p>
            <w:pPr>
              <w:pStyle w:val="TableContents"/>
              <w:spacing w:before="0" w:after="1"/>
              <w:ind w:left="0" w:right="0" w:hanging="0"/>
              <w:jc w:val="center"/>
              <w:rPr/>
            </w:pPr>
            <w:r>
              <w:rPr/>
              <w:t>​</w:t>
            </w:r>
          </w:p>
        </w:tc>
        <w:tc>
          <w:tcPr>
            <w:tcW w:w="846" w:type="dxa"/>
            <w:tcBorders>
              <w:top w:val="single" w:sz="2" w:space="0" w:color="000000"/>
            </w:tcBorders>
            <w:shd w:fill="auto" w:val="clear"/>
            <w:tcMar>
              <w:top w:w="28" w:type="dxa"/>
            </w:tcMar>
            <w:vAlign w:val="center"/>
          </w:tcPr>
          <w:p>
            <w:pPr>
              <w:pStyle w:val="TableContents"/>
              <w:spacing w:before="0" w:after="1"/>
              <w:ind w:left="0" w:right="0" w:hanging="0"/>
              <w:jc w:val="center"/>
              <w:rPr/>
            </w:pPr>
            <w:r>
              <w:rPr/>
              <w:t>​</w:t>
            </w:r>
          </w:p>
        </w:tc>
      </w:tr>
      <w:tr>
        <w:trPr/>
        <w:tc>
          <w:tcPr>
            <w:tcW w:w="741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64"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7415"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8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1"/>
              <w:ind w:left="0" w:right="0" w:hanging="0"/>
              <w:rPr/>
            </w:pPr>
            <w:r>
              <w:rPr/>
              <w:t>​</w:t>
            </w:r>
          </w:p>
        </w:tc>
        <w:tc>
          <w:tcPr>
            <w:tcW w:w="105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7415" w:type="dxa"/>
            <w:tcBorders/>
            <w:shd w:fill="CCEEFF" w:val="clear"/>
            <w:vAlign w:val="center"/>
          </w:tcPr>
          <w:p>
            <w:pPr>
              <w:pStyle w:val="TableContents"/>
              <w:spacing w:before="0" w:after="1"/>
              <w:ind w:left="0" w:right="0" w:hanging="0"/>
              <w:rPr>
                <w:rFonts w:ascii="Arial;Helvetica;sans-serif" w:hAnsi="Arial;Helvetica;sans-serif"/>
                <w:b/>
                <w:sz w:val="20"/>
              </w:rPr>
            </w:pPr>
            <w:r>
              <w:rPr>
                <w:rFonts w:ascii="Arial;Helvetica;sans-serif" w:hAnsi="Arial;Helvetica;sans-serif"/>
                <w:b/>
                <w:sz w:val="20"/>
              </w:rPr>
              <w:t>Assets</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870"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846" w:type="dxa"/>
            <w:tcBorders/>
            <w:shd w:fill="CCEEFF" w:val="clear"/>
            <w:vAlign w:val="center"/>
          </w:tcPr>
          <w:p>
            <w:pPr>
              <w:pStyle w:val="TableContents"/>
              <w:spacing w:before="0" w:after="1"/>
              <w:ind w:left="0" w:right="0" w:hanging="0"/>
              <w:jc w:val="right"/>
              <w:rPr/>
            </w:pPr>
            <w:r>
              <w:rPr/>
              <w:t>  </w:t>
            </w:r>
          </w:p>
        </w:tc>
      </w:tr>
      <w:tr>
        <w:trPr/>
        <w:tc>
          <w:tcPr>
            <w:tcW w:w="7415"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Current assets:</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870"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846" w:type="dxa"/>
            <w:tcBorders/>
            <w:shd w:fill="auto" w:val="clear"/>
            <w:vAlign w:val="center"/>
          </w:tcPr>
          <w:p>
            <w:pPr>
              <w:pStyle w:val="TableContents"/>
              <w:spacing w:before="0" w:after="1"/>
              <w:ind w:left="0" w:right="0" w:hanging="0"/>
              <w:jc w:val="right"/>
              <w:rPr/>
            </w:pPr>
            <w:r>
              <w:rPr/>
              <w:t>  </w:t>
            </w:r>
          </w:p>
        </w:tc>
      </w:tr>
      <w:tr>
        <w:trPr/>
        <w:tc>
          <w:tcPr>
            <w:tcW w:w="7415"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Cash and cash equivalents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70"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26,091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4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105,305</w:t>
            </w:r>
          </w:p>
        </w:tc>
      </w:tr>
      <w:tr>
        <w:trPr/>
        <w:tc>
          <w:tcPr>
            <w:tcW w:w="7415"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Short-term investments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64,750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2,002</w:t>
            </w:r>
          </w:p>
        </w:tc>
      </w:tr>
      <w:tr>
        <w:trPr/>
        <w:tc>
          <w:tcPr>
            <w:tcW w:w="7415"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Prepaid expenses and other current assets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7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2,248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1,943</w:t>
            </w:r>
          </w:p>
        </w:tc>
      </w:tr>
      <w:tr>
        <w:trPr/>
        <w:tc>
          <w:tcPr>
            <w:tcW w:w="7415"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current assets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93,089</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109,250</w:t>
            </w:r>
          </w:p>
        </w:tc>
      </w:tr>
      <w:tr>
        <w:trPr/>
        <w:tc>
          <w:tcPr>
            <w:tcW w:w="7415"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Property and equipment, net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70"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1,031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4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1,185</w:t>
            </w:r>
          </w:p>
        </w:tc>
      </w:tr>
      <w:tr>
        <w:trPr/>
        <w:tc>
          <w:tcPr>
            <w:tcW w:w="7415"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Operating right-of-use assets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262</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609</w:t>
            </w:r>
          </w:p>
        </w:tc>
      </w:tr>
      <w:tr>
        <w:trPr/>
        <w:tc>
          <w:tcPr>
            <w:tcW w:w="7415"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Other non-current assets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7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3,463</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111</w:t>
            </w:r>
          </w:p>
        </w:tc>
      </w:tr>
      <w:tr>
        <w:trPr/>
        <w:tc>
          <w:tcPr>
            <w:tcW w:w="7415"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assets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7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97,845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4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111,155</w:t>
            </w:r>
          </w:p>
        </w:tc>
      </w:tr>
      <w:tr>
        <w:trPr/>
        <w:tc>
          <w:tcPr>
            <w:tcW w:w="7415" w:type="dxa"/>
            <w:tcBorders/>
            <w:shd w:fill="CCEEFF" w:val="clear"/>
            <w:vAlign w:val="center"/>
          </w:tcPr>
          <w:p>
            <w:pPr>
              <w:pStyle w:val="TableContents"/>
              <w:spacing w:before="0" w:after="1"/>
              <w:ind w:left="0" w:right="0" w:hanging="0"/>
              <w:rPr>
                <w:rFonts w:ascii="Arial;Helvetica;sans-serif" w:hAnsi="Arial;Helvetica;sans-serif"/>
                <w:b/>
                <w:sz w:val="20"/>
              </w:rPr>
            </w:pPr>
            <w:r>
              <w:rPr>
                <w:rFonts w:ascii="Arial;Helvetica;sans-serif" w:hAnsi="Arial;Helvetica;sans-serif"/>
                <w:b/>
                <w:sz w:val="20"/>
              </w:rPr>
              <w:t>Liabilities, redeemable convertible preferred shares and shareholders’ deficit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70"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46" w:type="dxa"/>
            <w:tcBorders/>
            <w:shd w:fill="CCEEFF" w:val="clear"/>
            <w:vAlign w:val="center"/>
          </w:tcPr>
          <w:p>
            <w:pPr>
              <w:pStyle w:val="TableContents"/>
              <w:spacing w:before="0" w:after="1"/>
              <w:ind w:left="0" w:right="0" w:hanging="0"/>
              <w:jc w:val="right"/>
              <w:rPr/>
            </w:pPr>
            <w:r>
              <w:rPr/>
              <w:t>  </w:t>
            </w:r>
          </w:p>
        </w:tc>
      </w:tr>
      <w:tr>
        <w:trPr/>
        <w:tc>
          <w:tcPr>
            <w:tcW w:w="7415"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Current liabilities: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6" w:type="dxa"/>
            <w:tcBorders/>
            <w:shd w:fill="auto" w:val="clear"/>
            <w:vAlign w:val="center"/>
          </w:tcPr>
          <w:p>
            <w:pPr>
              <w:pStyle w:val="TableContents"/>
              <w:spacing w:before="0" w:after="1"/>
              <w:ind w:left="0" w:right="0" w:hanging="0"/>
              <w:jc w:val="right"/>
              <w:rPr/>
            </w:pPr>
            <w:r>
              <w:rPr/>
              <w:t>  </w:t>
            </w:r>
          </w:p>
        </w:tc>
      </w:tr>
      <w:tr>
        <w:trPr/>
        <w:tc>
          <w:tcPr>
            <w:tcW w:w="7415"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Accounts payable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70"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6,009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4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3,484</w:t>
            </w:r>
          </w:p>
        </w:tc>
      </w:tr>
      <w:tr>
        <w:trPr/>
        <w:tc>
          <w:tcPr>
            <w:tcW w:w="7415"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Accrued expenses and other current liabilities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6,741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4,825</w:t>
            </w:r>
          </w:p>
        </w:tc>
      </w:tr>
      <w:tr>
        <w:trPr/>
        <w:tc>
          <w:tcPr>
            <w:tcW w:w="7415"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Operating lease liabilities, current portion</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7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260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349</w:t>
            </w:r>
          </w:p>
        </w:tc>
      </w:tr>
      <w:tr>
        <w:trPr/>
        <w:tc>
          <w:tcPr>
            <w:tcW w:w="7415"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current liabilities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13,010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8,658</w:t>
            </w:r>
          </w:p>
        </w:tc>
      </w:tr>
      <w:tr>
        <w:trPr/>
        <w:tc>
          <w:tcPr>
            <w:tcW w:w="7415"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Operating lease liabilities, net of current portion</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7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272</w:t>
            </w:r>
          </w:p>
        </w:tc>
      </w:tr>
      <w:tr>
        <w:trPr/>
        <w:tc>
          <w:tcPr>
            <w:tcW w:w="7415"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liabilities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13,010</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8,930</w:t>
            </w:r>
          </w:p>
        </w:tc>
      </w:tr>
      <w:tr>
        <w:trPr/>
        <w:tc>
          <w:tcPr>
            <w:tcW w:w="7415"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Commitments and contingencies (Note 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70"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46" w:type="dxa"/>
            <w:tcBorders/>
            <w:shd w:fill="CCEEFF" w:val="clear"/>
            <w:vAlign w:val="center"/>
          </w:tcPr>
          <w:p>
            <w:pPr>
              <w:pStyle w:val="TableContents"/>
              <w:spacing w:before="0" w:after="1"/>
              <w:ind w:left="0" w:right="0" w:hanging="0"/>
              <w:jc w:val="right"/>
              <w:rPr/>
            </w:pPr>
            <w:r>
              <w:rPr/>
              <w:t>  </w:t>
            </w:r>
          </w:p>
        </w:tc>
      </w:tr>
      <w:tr>
        <w:trPr/>
        <w:tc>
          <w:tcPr>
            <w:tcW w:w="7415"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Series A redeemable convertible preferred shares – $0.0001 par value, 19,200 shares authorized, issued and outstanding as of December 31, 2022 and 2021 (liquidation preference of $32,001 as of December 31, 2022 and 2021)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32,001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32,001</w:t>
            </w:r>
          </w:p>
        </w:tc>
      </w:tr>
      <w:tr>
        <w:trPr/>
        <w:tc>
          <w:tcPr>
            <w:tcW w:w="7415"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Series A+ redeemable convertible preferred shares – $0.0001 par value, 12,800 shares authorized, issued and outstanding as of December 31, 2022 and 2021 (liquidation preference of $26,000 as of December 31, 2022 and 2021)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70"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26,000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4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26,000</w:t>
            </w:r>
          </w:p>
        </w:tc>
      </w:tr>
      <w:tr>
        <w:trPr/>
        <w:tc>
          <w:tcPr>
            <w:tcW w:w="7415"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Series B redeemable convertible preferred stock – $0.0001 par value, 32,857 and 24,702 shares authorized, issued and outstanding as of December 31, 2022 and 2021, respectively (liquidation preference of $133,015 and $100,000 as of December 31, 2022 and 2021, respectively)</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133,015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100,000</w:t>
            </w:r>
          </w:p>
        </w:tc>
      </w:tr>
      <w:tr>
        <w:trPr/>
        <w:tc>
          <w:tcPr>
            <w:tcW w:w="7415"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Series B</w:t>
              <w:noBreakHyphen/>
              <w:t>1 redeemable convertible preferred stock – $0.0001 par value, 2,161 shares authorized, issued and outstanding as of December 31, 2022 and 2021 (liquidation preference of $7,000 as of December 31, 2022 and 2021)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70"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8,959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4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8,959</w:t>
            </w:r>
          </w:p>
        </w:tc>
      </w:tr>
      <w:tr>
        <w:trPr/>
        <w:tc>
          <w:tcPr>
            <w:tcW w:w="7415"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Shareholders’ deficit: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6" w:type="dxa"/>
            <w:tcBorders/>
            <w:shd w:fill="auto" w:val="clear"/>
            <w:vAlign w:val="center"/>
          </w:tcPr>
          <w:p>
            <w:pPr>
              <w:pStyle w:val="TableContents"/>
              <w:spacing w:before="0" w:after="1"/>
              <w:ind w:left="0" w:right="0" w:hanging="0"/>
              <w:jc w:val="right"/>
              <w:rPr/>
            </w:pPr>
            <w:r>
              <w:rPr/>
              <w:t>  </w:t>
            </w:r>
          </w:p>
        </w:tc>
      </w:tr>
      <w:tr>
        <w:trPr/>
        <w:tc>
          <w:tcPr>
            <w:tcW w:w="7415"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Ordinary shares – $0.0001 par value; 432,982 and 441,137 shares authorized as of December 31, 2022 and 2021, respectively; 10,527 and 10,894 shares issued and outstanding as of December 31, 2022 and 2021, respectively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70"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4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w:t>
            </w:r>
          </w:p>
        </w:tc>
      </w:tr>
      <w:tr>
        <w:trPr/>
        <w:tc>
          <w:tcPr>
            <w:tcW w:w="7415"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Additional paid-in capital</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0"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1,921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46" w:type="dxa"/>
            <w:tcBorders/>
            <w:shd w:fill="auto" w:val="clear"/>
            <w:vAlign w:val="center"/>
          </w:tcPr>
          <w:p>
            <w:pPr>
              <w:pStyle w:val="TableContents"/>
              <w:spacing w:before="0" w:after="1"/>
              <w:ind w:left="0" w:right="0" w:hanging="0"/>
              <w:jc w:val="right"/>
              <w:rPr/>
            </w:pPr>
            <w:r>
              <w:rPr/>
              <w:t>—</w:t>
            </w:r>
          </w:p>
        </w:tc>
      </w:tr>
      <w:tr>
        <w:trPr/>
        <w:tc>
          <w:tcPr>
            <w:tcW w:w="7415"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Accumulated other comprehensive loss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70"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46" w:type="dxa"/>
            <w:tcBorders/>
            <w:shd w:fill="CCEEFF" w:val="clear"/>
            <w:vAlign w:val="center"/>
          </w:tcPr>
          <w:p>
            <w:pPr>
              <w:pStyle w:val="TableContents"/>
              <w:spacing w:before="0" w:after="1"/>
              <w:ind w:left="0" w:right="0" w:hanging="0"/>
              <w:jc w:val="right"/>
              <w:rPr/>
            </w:pPr>
            <w:r>
              <w:rPr/>
              <w:t>—</w:t>
            </w:r>
          </w:p>
        </w:tc>
      </w:tr>
      <w:tr>
        <w:trPr/>
        <w:tc>
          <w:tcPr>
            <w:tcW w:w="7415"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Accumulated deficit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7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(116,952)</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(64,736)</w:t>
            </w:r>
          </w:p>
        </w:tc>
      </w:tr>
      <w:tr>
        <w:trPr/>
        <w:tc>
          <w:tcPr>
            <w:tcW w:w="7415"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shareholders’ deficit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7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(115,140)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(64,735)</w:t>
            </w:r>
          </w:p>
        </w:tc>
      </w:tr>
      <w:tr>
        <w:trPr/>
        <w:tc>
          <w:tcPr>
            <w:tcW w:w="7415"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liabilities, redeemable convertible preferred shares and shareholders’ deficit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70"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97,845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4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111,155</w:t>
            </w:r>
          </w:p>
        </w:tc>
      </w:tr>
      <w:tr>
        <w:trPr/>
        <w:tc>
          <w:tcPr>
            <w:tcW w:w="741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7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4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r>
    </w:tbl>
    <w:p>
      <w:pPr>
        <w:pStyle w:val="TextBody"/>
        <w:spacing w:before="12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consolidated financial statements.</w:t>
      </w:r>
    </w:p>
    <w:p>
      <w:pPr>
        <w:pStyle w:val="TextBody"/>
        <w:spacing w:before="0" w:after="240"/>
        <w:ind w:left="0" w:right="0" w:hanging="0"/>
        <w:rPr/>
      </w:pPr>
      <w:r>
        <w:rPr/>
        <w:t>​</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176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STRUCTURE THERAPEUTICS INC.</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CONSOLIDATED STATEMENTS OF OPERATIONS AND COMPREHENSIVE LOSS</w:t>
      </w:r>
      <w:bookmarkStart w:id="21" w:name="SOCI"/>
      <w:bookmarkEnd w:id="21"/>
    </w:p>
    <w:p>
      <w:pPr>
        <w:pStyle w:val="TextBody"/>
        <w:spacing w:before="0" w:after="240"/>
        <w:ind w:left="0" w:right="0" w:hanging="0"/>
        <w:jc w:val="center"/>
        <w:rPr>
          <w:rFonts w:ascii="Arial;Helvetica;sans-serif" w:hAnsi="Arial;Helvetica;sans-serif"/>
          <w:b/>
          <w:i/>
          <w:sz w:val="20"/>
        </w:rPr>
      </w:pPr>
      <w:r>
        <w:rPr>
          <w:rFonts w:ascii="Arial;Helvetica;sans-serif" w:hAnsi="Arial;Helvetica;sans-serif"/>
          <w:b/>
          <w:i/>
          <w:sz w:val="20"/>
        </w:rPr>
        <w:t>(IN THOUSANDS, EXCEPT PER SHARE AMOUNTS)</w:t>
      </w:r>
    </w:p>
    <w:tbl>
      <w:tblPr>
        <w:tblW w:w="10205" w:type="dxa"/>
        <w:jc w:val="center"/>
        <w:tblInd w:w="0" w:type="dxa"/>
        <w:tblCellMar>
          <w:top w:w="0" w:type="dxa"/>
          <w:left w:w="0" w:type="dxa"/>
          <w:bottom w:w="0" w:type="dxa"/>
          <w:right w:w="0" w:type="dxa"/>
        </w:tblCellMar>
      </w:tblPr>
      <w:tblGrid>
        <w:gridCol w:w="7332"/>
        <w:gridCol w:w="326"/>
        <w:gridCol w:w="211"/>
        <w:gridCol w:w="853"/>
        <w:gridCol w:w="352"/>
        <w:gridCol w:w="227"/>
        <w:gridCol w:w="904"/>
      </w:tblGrid>
      <w:tr>
        <w:trPr/>
        <w:tc>
          <w:tcPr>
            <w:tcW w:w="73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655820" cy="175260"/>
                      <wp:effectExtent l="0" t="0" r="0" b="0"/>
                      <wp:wrapNone/>
                      <wp:docPr id="87" name="Frame45"/>
                      <a:graphic xmlns:a="http://schemas.openxmlformats.org/drawingml/2006/main">
                        <a:graphicData uri="http://schemas.microsoft.com/office/word/2010/wordprocessingShape">
                          <wps:wsp>
                            <wps:cNvSpPr txBox="1"/>
                            <wps:spPr>
                              <a:xfrm>
                                <a:off x="0" y="0"/>
                                <a:ext cx="4655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4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41655" cy="175260"/>
                      <wp:effectExtent l="0" t="0" r="0" b="0"/>
                      <wp:wrapNone/>
                      <wp:docPr id="90" name="Frame48"/>
                      <a:graphic xmlns:a="http://schemas.openxmlformats.org/drawingml/2006/main">
                        <a:graphicData uri="http://schemas.microsoft.com/office/word/2010/wordprocessingShape">
                          <wps:wsp>
                            <wps:cNvSpPr txBox="1"/>
                            <wps:spPr>
                              <a:xfrm>
                                <a:off x="0" y="0"/>
                                <a:ext cx="5416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23520" cy="175260"/>
                      <wp:effectExtent l="0" t="0" r="0" b="0"/>
                      <wp:wrapNone/>
                      <wp:docPr id="91" name="Frame49"/>
                      <a:graphic xmlns:a="http://schemas.openxmlformats.org/drawingml/2006/main">
                        <a:graphicData uri="http://schemas.microsoft.com/office/word/2010/wordprocessingShape">
                          <wps:wsp>
                            <wps:cNvSpPr txBox="1"/>
                            <wps:spPr>
                              <a:xfrm>
                                <a:off x="0" y="0"/>
                                <a:ext cx="2235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4145" cy="175260"/>
                      <wp:effectExtent l="0" t="0" r="0" b="0"/>
                      <wp:wrapNone/>
                      <wp:docPr id="92" name="Frame50"/>
                      <a:graphic xmlns:a="http://schemas.openxmlformats.org/drawingml/2006/main">
                        <a:graphicData uri="http://schemas.microsoft.com/office/word/2010/wordprocessingShape">
                          <wps:wsp>
                            <wps:cNvSpPr txBox="1"/>
                            <wps:spPr>
                              <a:xfrm>
                                <a:off x="0" y="0"/>
                                <a:ext cx="1441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74040" cy="175260"/>
                      <wp:effectExtent l="0" t="0" r="0" b="0"/>
                      <wp:wrapNone/>
                      <wp:docPr id="93" name="Frame51"/>
                      <a:graphic xmlns:a="http://schemas.openxmlformats.org/drawingml/2006/main">
                        <a:graphicData uri="http://schemas.microsoft.com/office/word/2010/wordprocessingShape">
                          <wps:wsp>
                            <wps:cNvSpPr txBox="1"/>
                            <wps:spPr>
                              <a:xfrm>
                                <a:off x="0" y="0"/>
                                <a:ext cx="5740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332"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853"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c>
          <w:tcPr>
            <w:tcW w:w="352"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227"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904"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r>
      <w:tr>
        <w:trPr/>
        <w:tc>
          <w:tcPr>
            <w:tcW w:w="733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2336"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YEAR ENDED DECEMBER 31, </w:t>
            </w:r>
          </w:p>
        </w:tc>
      </w:tr>
      <w:tr>
        <w:trPr/>
        <w:tc>
          <w:tcPr>
            <w:tcW w:w="7332"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85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52" w:type="dxa"/>
            <w:tcBorders/>
            <w:shd w:fill="auto" w:val="clear"/>
            <w:vAlign w:val="center"/>
          </w:tcPr>
          <w:p>
            <w:pPr>
              <w:pStyle w:val="TableContents"/>
              <w:spacing w:before="0" w:after="0"/>
              <w:ind w:left="0" w:right="0" w:hanging="0"/>
              <w:rPr/>
            </w:pPr>
            <w:r>
              <w:rPr/>
              <w:t>    </w:t>
            </w:r>
          </w:p>
        </w:tc>
        <w:tc>
          <w:tcPr>
            <w:tcW w:w="11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7332"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Operating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53" w:type="dxa"/>
            <w:tcBorders/>
            <w:shd w:fill="CCEEFF" w:val="clear"/>
            <w:vAlign w:val="center"/>
          </w:tcPr>
          <w:p>
            <w:pPr>
              <w:pStyle w:val="TableContents"/>
              <w:spacing w:before="0" w:after="0"/>
              <w:ind w:left="0" w:right="0" w:hanging="0"/>
              <w:jc w:val="right"/>
              <w:rPr/>
            </w:pPr>
            <w:r>
              <w:rPr/>
              <w:t>  </w:t>
            </w:r>
          </w:p>
        </w:tc>
        <w:tc>
          <w:tcPr>
            <w:tcW w:w="352"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w:t>
            </w:r>
          </w:p>
        </w:tc>
        <w:tc>
          <w:tcPr>
            <w:tcW w:w="904" w:type="dxa"/>
            <w:tcBorders/>
            <w:shd w:fill="CCEEFF" w:val="clear"/>
            <w:vAlign w:val="center"/>
          </w:tcPr>
          <w:p>
            <w:pPr>
              <w:pStyle w:val="TableContents"/>
              <w:spacing w:before="0" w:after="0"/>
              <w:ind w:left="0" w:right="0" w:hanging="0"/>
              <w:jc w:val="right"/>
              <w:rPr/>
            </w:pPr>
            <w:r>
              <w:rPr/>
              <w:t>  </w:t>
            </w:r>
          </w:p>
        </w:tc>
      </w:tr>
      <w:tr>
        <w:trPr/>
        <w:tc>
          <w:tcPr>
            <w:tcW w:w="7332"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Research and development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53"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36,193</w:t>
            </w:r>
          </w:p>
        </w:tc>
        <w:tc>
          <w:tcPr>
            <w:tcW w:w="352"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04"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29,111</w:t>
            </w:r>
          </w:p>
        </w:tc>
      </w:tr>
      <w:tr>
        <w:trPr/>
        <w:tc>
          <w:tcPr>
            <w:tcW w:w="7332"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5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16,368</w:t>
            </w:r>
          </w:p>
        </w:tc>
        <w:tc>
          <w:tcPr>
            <w:tcW w:w="352" w:type="dxa"/>
            <w:tcBorders/>
            <w:shd w:fill="CCEEFF" w:val="clear"/>
            <w:vAlign w:val="center"/>
          </w:tcPr>
          <w:p>
            <w:pPr>
              <w:pStyle w:val="TableContents"/>
              <w:spacing w:before="0" w:after="0"/>
              <w:ind w:left="0" w:right="0" w:hanging="0"/>
              <w:rPr/>
            </w:pPr>
            <w:r>
              <w:rPr/>
              <w:t>​</w:t>
            </w:r>
          </w:p>
        </w:tc>
        <w:tc>
          <w:tcPr>
            <w:tcW w:w="22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8,585</w:t>
            </w:r>
          </w:p>
        </w:tc>
      </w:tr>
      <w:tr>
        <w:trPr/>
        <w:tc>
          <w:tcPr>
            <w:tcW w:w="7332"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 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53"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52,561</w:t>
            </w:r>
          </w:p>
        </w:tc>
        <w:tc>
          <w:tcPr>
            <w:tcW w:w="352"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 </w:t>
            </w:r>
          </w:p>
        </w:tc>
        <w:tc>
          <w:tcPr>
            <w:tcW w:w="904"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37,696</w:t>
            </w:r>
          </w:p>
        </w:tc>
      </w:tr>
      <w:tr>
        <w:trPr/>
        <w:tc>
          <w:tcPr>
            <w:tcW w:w="7332"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Loss from operations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53"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(52,561)</w:t>
            </w:r>
          </w:p>
        </w:tc>
        <w:tc>
          <w:tcPr>
            <w:tcW w:w="352"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 </w:t>
            </w:r>
          </w:p>
        </w:tc>
        <w:tc>
          <w:tcPr>
            <w:tcW w:w="904"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(37,696)</w:t>
            </w:r>
          </w:p>
        </w:tc>
      </w:tr>
      <w:tr>
        <w:trPr/>
        <w:tc>
          <w:tcPr>
            <w:tcW w:w="7332"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Interest and other income (expense), net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5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1,257</w:t>
            </w:r>
          </w:p>
        </w:tc>
        <w:tc>
          <w:tcPr>
            <w:tcW w:w="352" w:type="dxa"/>
            <w:tcBorders/>
            <w:shd w:fill="auto" w:val="clear"/>
            <w:vAlign w:val="center"/>
          </w:tcPr>
          <w:p>
            <w:pPr>
              <w:pStyle w:val="TableContents"/>
              <w:spacing w:before="0" w:after="0"/>
              <w:ind w:left="0" w:right="0" w:hanging="0"/>
              <w:rPr/>
            </w:pPr>
            <w:r>
              <w:rPr/>
              <w:t>​</w:t>
            </w:r>
          </w:p>
        </w:tc>
        <w:tc>
          <w:tcPr>
            <w:tcW w:w="22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(122)</w:t>
            </w:r>
          </w:p>
        </w:tc>
      </w:tr>
      <w:tr>
        <w:trPr/>
        <w:tc>
          <w:tcPr>
            <w:tcW w:w="7332"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Loss before provision for income taxes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53"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(51,304)</w:t>
            </w:r>
          </w:p>
        </w:tc>
        <w:tc>
          <w:tcPr>
            <w:tcW w:w="352"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 </w:t>
            </w:r>
          </w:p>
        </w:tc>
        <w:tc>
          <w:tcPr>
            <w:tcW w:w="904"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(37,818)</w:t>
            </w:r>
          </w:p>
        </w:tc>
      </w:tr>
      <w:tr>
        <w:trPr/>
        <w:tc>
          <w:tcPr>
            <w:tcW w:w="7332"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Provision for income taxes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5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w:t>
            </w:r>
          </w:p>
        </w:tc>
        <w:tc>
          <w:tcPr>
            <w:tcW w:w="352" w:type="dxa"/>
            <w:tcBorders/>
            <w:shd w:fill="auto" w:val="clear"/>
            <w:vAlign w:val="center"/>
          </w:tcPr>
          <w:p>
            <w:pPr>
              <w:pStyle w:val="TableContents"/>
              <w:spacing w:before="0" w:after="0"/>
              <w:ind w:left="0" w:right="0" w:hanging="0"/>
              <w:rPr/>
            </w:pPr>
            <w:r>
              <w:rPr/>
              <w:t>​</w:t>
            </w:r>
          </w:p>
        </w:tc>
        <w:tc>
          <w:tcPr>
            <w:tcW w:w="22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231</w:t>
            </w:r>
          </w:p>
        </w:tc>
      </w:tr>
      <w:tr>
        <w:trPr/>
        <w:tc>
          <w:tcPr>
            <w:tcW w:w="7332"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Net loss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53"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(51,321)</w:t>
            </w:r>
          </w:p>
        </w:tc>
        <w:tc>
          <w:tcPr>
            <w:tcW w:w="352"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 </w:t>
            </w:r>
          </w:p>
        </w:tc>
        <w:tc>
          <w:tcPr>
            <w:tcW w:w="904"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(38,049)</w:t>
            </w:r>
          </w:p>
        </w:tc>
      </w:tr>
      <w:tr>
        <w:trPr/>
        <w:tc>
          <w:tcPr>
            <w:tcW w:w="7332"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Less: Accretion of redeemable convertible preferred shares to their redemption value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53"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(1,515)</w:t>
            </w:r>
          </w:p>
        </w:tc>
        <w:tc>
          <w:tcPr>
            <w:tcW w:w="352" w:type="dxa"/>
            <w:tcBorders/>
            <w:shd w:fill="auto" w:val="clear"/>
            <w:vAlign w:val="center"/>
          </w:tcPr>
          <w:p>
            <w:pPr>
              <w:pStyle w:val="TableContents"/>
              <w:spacing w:before="0" w:after="0"/>
              <w:ind w:left="0" w:right="0" w:hanging="0"/>
              <w:rPr/>
            </w:pPr>
            <w:r>
              <w:rPr/>
              <w:t>​</w:t>
            </w:r>
          </w:p>
        </w:tc>
        <w:tc>
          <w:tcPr>
            <w:tcW w:w="227" w:type="dxa"/>
            <w:tcBorders/>
            <w:shd w:fill="auto" w:val="clear"/>
            <w:vAlign w:val="center"/>
          </w:tcPr>
          <w:p>
            <w:pPr>
              <w:pStyle w:val="TableContents"/>
              <w:spacing w:before="0" w:after="0"/>
              <w:ind w:left="0" w:right="0" w:hanging="0"/>
              <w:rPr/>
            </w:pPr>
            <w:r>
              <w:rPr/>
              <w:t> </w:t>
            </w:r>
          </w:p>
        </w:tc>
        <w:tc>
          <w:tcPr>
            <w:tcW w:w="904"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(3,757)</w:t>
            </w:r>
          </w:p>
        </w:tc>
      </w:tr>
      <w:tr>
        <w:trPr/>
        <w:tc>
          <w:tcPr>
            <w:tcW w:w="7332"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Less: Excess of the fair value of the consideration paid over the carrying value of redeemable noncontrolling interest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5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52" w:type="dxa"/>
            <w:tcBorders/>
            <w:shd w:fill="CCEEFF" w:val="clear"/>
            <w:vAlign w:val="center"/>
          </w:tcPr>
          <w:p>
            <w:pPr>
              <w:pStyle w:val="TableContents"/>
              <w:spacing w:before="0" w:after="0"/>
              <w:ind w:left="0" w:right="0" w:hanging="0"/>
              <w:rPr/>
            </w:pPr>
            <w:r>
              <w:rPr/>
              <w:t>​</w:t>
            </w:r>
          </w:p>
        </w:tc>
        <w:tc>
          <w:tcPr>
            <w:tcW w:w="22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(1,959)</w:t>
            </w:r>
          </w:p>
        </w:tc>
      </w:tr>
      <w:tr>
        <w:trPr/>
        <w:tc>
          <w:tcPr>
            <w:tcW w:w="7332"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Net loss attributable to ordinary shareholders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5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(52,836)</w:t>
            </w:r>
          </w:p>
        </w:tc>
        <w:tc>
          <w:tcPr>
            <w:tcW w:w="352" w:type="dxa"/>
            <w:tcBorders/>
            <w:shd w:fill="auto" w:val="clear"/>
            <w:vAlign w:val="center"/>
          </w:tcPr>
          <w:p>
            <w:pPr>
              <w:pStyle w:val="TableContents"/>
              <w:spacing w:before="0" w:after="0"/>
              <w:ind w:left="0" w:right="0" w:hanging="0"/>
              <w:rPr/>
            </w:pPr>
            <w:r>
              <w:rPr/>
              <w:t>​</w:t>
            </w:r>
          </w:p>
        </w:tc>
        <w:tc>
          <w:tcPr>
            <w:tcW w:w="227"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0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(43,765)</w:t>
            </w:r>
          </w:p>
        </w:tc>
      </w:tr>
      <w:tr>
        <w:trPr/>
        <w:tc>
          <w:tcPr>
            <w:tcW w:w="7332"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Net loss per share attributable to ordinary shareholders, basic and diluted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5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(5.51)</w:t>
            </w:r>
          </w:p>
        </w:tc>
        <w:tc>
          <w:tcPr>
            <w:tcW w:w="352" w:type="dxa"/>
            <w:tcBorders/>
            <w:shd w:fill="CCEEFF" w:val="clear"/>
            <w:vAlign w:val="center"/>
          </w:tcPr>
          <w:p>
            <w:pPr>
              <w:pStyle w:val="TableContents"/>
              <w:spacing w:before="0" w:after="0"/>
              <w:ind w:left="0" w:right="0" w:hanging="0"/>
              <w:rPr/>
            </w:pPr>
            <w:r>
              <w:rPr/>
              <w:t>​</w:t>
            </w:r>
          </w:p>
        </w:tc>
        <w:tc>
          <w:tcPr>
            <w:tcW w:w="227"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0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(5.38)</w:t>
            </w:r>
          </w:p>
        </w:tc>
      </w:tr>
      <w:tr>
        <w:trPr/>
        <w:tc>
          <w:tcPr>
            <w:tcW w:w="7332"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Weighted-average ordinary shares used in computing net loss per share attributable to ordinary shareholders, basic and diluted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85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9,584</w:t>
            </w:r>
          </w:p>
        </w:tc>
        <w:tc>
          <w:tcPr>
            <w:tcW w:w="352" w:type="dxa"/>
            <w:tcBorders/>
            <w:shd w:fill="auto" w:val="clear"/>
            <w:vAlign w:val="center"/>
          </w:tcPr>
          <w:p>
            <w:pPr>
              <w:pStyle w:val="TableContents"/>
              <w:spacing w:before="0" w:after="0"/>
              <w:ind w:left="0" w:right="0" w:hanging="0"/>
              <w:rPr/>
            </w:pPr>
            <w:r>
              <w:rPr/>
              <w:t>​</w:t>
            </w:r>
          </w:p>
        </w:tc>
        <w:tc>
          <w:tcPr>
            <w:tcW w:w="227"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90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8,141</w:t>
            </w:r>
          </w:p>
        </w:tc>
      </w:tr>
      <w:tr>
        <w:trPr/>
        <w:tc>
          <w:tcPr>
            <w:tcW w:w="7332"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Other comprehensive loss: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53" w:type="dxa"/>
            <w:tcBorders/>
            <w:shd w:fill="CCEEFF" w:val="clear"/>
            <w:vAlign w:val="center"/>
          </w:tcPr>
          <w:p>
            <w:pPr>
              <w:pStyle w:val="TableContents"/>
              <w:spacing w:before="0" w:after="0"/>
              <w:ind w:left="0" w:right="0" w:hanging="0"/>
              <w:jc w:val="right"/>
              <w:rPr/>
            </w:pPr>
            <w:r>
              <w:rPr/>
              <w:t>  </w:t>
            </w:r>
          </w:p>
        </w:tc>
        <w:tc>
          <w:tcPr>
            <w:tcW w:w="352" w:type="dxa"/>
            <w:tcBorders/>
            <w:shd w:fill="CCEEFF" w:val="clear"/>
            <w:vAlign w:val="center"/>
          </w:tcPr>
          <w:p>
            <w:pPr>
              <w:pStyle w:val="TableContents"/>
              <w:spacing w:before="0" w:after="0"/>
              <w:ind w:left="0" w:right="0" w:hanging="0"/>
              <w:rPr/>
            </w:pPr>
            <w:r>
              <w:rPr/>
              <w:t>​</w:t>
            </w:r>
          </w:p>
        </w:tc>
        <w:tc>
          <w:tcPr>
            <w:tcW w:w="227" w:type="dxa"/>
            <w:tcBorders/>
            <w:shd w:fill="CCEEFF" w:val="clear"/>
            <w:vAlign w:val="center"/>
          </w:tcPr>
          <w:p>
            <w:pPr>
              <w:pStyle w:val="TableContents"/>
              <w:spacing w:before="0" w:after="0"/>
              <w:ind w:left="0" w:right="0" w:hanging="0"/>
              <w:rPr/>
            </w:pPr>
            <w:r>
              <w:rPr/>
              <w:t> </w:t>
            </w:r>
          </w:p>
        </w:tc>
        <w:tc>
          <w:tcPr>
            <w:tcW w:w="904" w:type="dxa"/>
            <w:tcBorders/>
            <w:shd w:fill="CCEEFF" w:val="clear"/>
            <w:vAlign w:val="center"/>
          </w:tcPr>
          <w:p>
            <w:pPr>
              <w:pStyle w:val="TableContents"/>
              <w:spacing w:before="0" w:after="0"/>
              <w:ind w:left="0" w:right="0" w:hanging="0"/>
              <w:jc w:val="right"/>
              <w:rPr/>
            </w:pPr>
            <w:r>
              <w:rPr/>
              <w:t>  </w:t>
            </w:r>
          </w:p>
        </w:tc>
      </w:tr>
      <w:tr>
        <w:trPr/>
        <w:tc>
          <w:tcPr>
            <w:tcW w:w="7332"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Unrealized (loss) gain on investments, net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5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(110)</w:t>
            </w:r>
          </w:p>
        </w:tc>
        <w:tc>
          <w:tcPr>
            <w:tcW w:w="352" w:type="dxa"/>
            <w:tcBorders/>
            <w:shd w:fill="auto" w:val="clear"/>
            <w:vAlign w:val="center"/>
          </w:tcPr>
          <w:p>
            <w:pPr>
              <w:pStyle w:val="TableContents"/>
              <w:spacing w:before="0" w:after="0"/>
              <w:ind w:left="0" w:right="0" w:hanging="0"/>
              <w:rPr/>
            </w:pPr>
            <w:r>
              <w:rPr/>
              <w:t>​</w:t>
            </w:r>
          </w:p>
        </w:tc>
        <w:tc>
          <w:tcPr>
            <w:tcW w:w="22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w:t>
            </w:r>
          </w:p>
        </w:tc>
      </w:tr>
      <w:tr>
        <w:trPr/>
        <w:tc>
          <w:tcPr>
            <w:tcW w:w="7332"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 other comprehensive (loss) gain</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5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(110)</w:t>
            </w:r>
          </w:p>
        </w:tc>
        <w:tc>
          <w:tcPr>
            <w:tcW w:w="352" w:type="dxa"/>
            <w:tcBorders/>
            <w:shd w:fill="CCEEFF" w:val="clear"/>
            <w:vAlign w:val="center"/>
          </w:tcPr>
          <w:p>
            <w:pPr>
              <w:pStyle w:val="TableContents"/>
              <w:spacing w:before="0" w:after="0"/>
              <w:ind w:left="0" w:right="0" w:hanging="0"/>
              <w:rPr/>
            </w:pPr>
            <w:r>
              <w:rPr/>
              <w:t>​</w:t>
            </w:r>
          </w:p>
        </w:tc>
        <w:tc>
          <w:tcPr>
            <w:tcW w:w="22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w:t>
            </w:r>
          </w:p>
        </w:tc>
      </w:tr>
      <w:tr>
        <w:trPr/>
        <w:tc>
          <w:tcPr>
            <w:tcW w:w="7332"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Comprehensive loss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5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(51,431)</w:t>
            </w:r>
          </w:p>
        </w:tc>
        <w:tc>
          <w:tcPr>
            <w:tcW w:w="352" w:type="dxa"/>
            <w:tcBorders/>
            <w:shd w:fill="auto" w:val="clear"/>
            <w:vAlign w:val="center"/>
          </w:tcPr>
          <w:p>
            <w:pPr>
              <w:pStyle w:val="TableContents"/>
              <w:spacing w:before="0" w:after="0"/>
              <w:ind w:left="0" w:right="0" w:hanging="0"/>
              <w:rPr/>
            </w:pPr>
            <w:r>
              <w:rPr/>
              <w:t>​</w:t>
            </w:r>
          </w:p>
        </w:tc>
        <w:tc>
          <w:tcPr>
            <w:tcW w:w="227"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0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(38,048)</w:t>
            </w:r>
          </w:p>
        </w:tc>
      </w:tr>
      <w:tr>
        <w:trPr/>
        <w:tc>
          <w:tcPr>
            <w:tcW w:w="733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5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5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2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0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40"/>
        <w:ind w:left="0" w:right="0" w:hanging="0"/>
        <w:jc w:val="center"/>
        <w:rPr/>
      </w:pPr>
      <w:r>
        <w:rPr/>
        <w:t>​</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consolidated financial statements.</w:t>
      </w:r>
    </w:p>
    <w:p>
      <w:pPr>
        <w:pStyle w:val="TextBody"/>
        <w:spacing w:before="240" w:after="0"/>
        <w:ind w:left="0" w:right="0" w:hanging="0"/>
        <w:jc w:val="center"/>
        <w:rPr>
          <w:rFonts w:ascii="Arial;Helvetica;sans-serif" w:hAnsi="Arial;Helvetica;sans-serif"/>
          <w:sz w:val="20"/>
        </w:rPr>
      </w:pPr>
      <w:r>
        <w:rPr>
          <w:rFonts w:ascii="Arial;Helvetica;sans-serif" w:hAnsi="Arial;Helvetica;sans-serif"/>
          <w:sz w:val="20"/>
        </w:rPr>
        <w:t>177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Arial;Helvetica;sans-serif" w:hAnsi="Arial;Helvetica;sans-serif"/>
          <w:b/>
          <w:sz w:val="20"/>
        </w:rPr>
      </w:pPr>
      <w:r>
        <w:rPr>
          <w:rFonts w:ascii="Arial;Helvetica;sans-serif" w:hAnsi="Arial;Helvetica;sans-serif"/>
          <w:b/>
          <w:sz w:val="20"/>
        </w:rPr>
        <w:t>STRUCTURE THERAPEUTICS INC.</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CONSOLIDATED STATEMENTS OF REDEEMABLE CONVERTIBLE PREFERRED SHARES, REDEEMABLE NONCONTROLLING INTEREST</w:t>
      </w:r>
      <w:bookmarkStart w:id="22" w:name="Equity_Statement"/>
      <w:bookmarkEnd w:id="22"/>
      <w:r>
        <w:rPr>
          <w:rFonts w:ascii="Arial;Helvetica;sans-serif" w:hAnsi="Arial;Helvetica;sans-serif"/>
          <w:b/>
          <w:sz w:val="20"/>
        </w:rPr>
        <w:t xml:space="preserve"> AND SHAREHOLDERS’ DEFICIT</w:t>
      </w:r>
    </w:p>
    <w:p>
      <w:pPr>
        <w:pStyle w:val="TextBody"/>
        <w:spacing w:before="0" w:after="200"/>
        <w:ind w:left="0" w:right="0" w:hanging="0"/>
        <w:jc w:val="center"/>
        <w:rPr>
          <w:rFonts w:ascii="Arial;Helvetica;sans-serif" w:hAnsi="Arial;Helvetica;sans-serif"/>
          <w:b/>
          <w:i/>
          <w:sz w:val="20"/>
        </w:rPr>
      </w:pPr>
      <w:r>
        <w:rPr>
          <w:rFonts w:ascii="Arial;Helvetica;sans-serif" w:hAnsi="Arial;Helvetica;sans-serif"/>
          <w:b/>
          <w:i/>
          <w:sz w:val="20"/>
        </w:rPr>
        <w:t>(IN THOUSANDS)</w:t>
      </w:r>
    </w:p>
    <w:tbl>
      <w:tblPr>
        <w:tblW w:w="17000" w:type="dxa"/>
        <w:jc w:val="center"/>
        <w:tblInd w:w="0" w:type="dxa"/>
        <w:tblCellMar>
          <w:top w:w="0" w:type="dxa"/>
          <w:left w:w="0" w:type="dxa"/>
          <w:bottom w:w="0" w:type="dxa"/>
          <w:right w:w="0" w:type="dxa"/>
        </w:tblCellMar>
      </w:tblPr>
      <w:tblGrid>
        <w:gridCol w:w="1081"/>
        <w:gridCol w:w="326"/>
        <w:gridCol w:w="556"/>
        <w:gridCol w:w="326"/>
        <w:gridCol w:w="166"/>
        <w:gridCol w:w="436"/>
        <w:gridCol w:w="326"/>
        <w:gridCol w:w="556"/>
        <w:gridCol w:w="326"/>
        <w:gridCol w:w="326"/>
        <w:gridCol w:w="436"/>
        <w:gridCol w:w="326"/>
        <w:gridCol w:w="556"/>
        <w:gridCol w:w="326"/>
        <w:gridCol w:w="326"/>
        <w:gridCol w:w="496"/>
        <w:gridCol w:w="326"/>
        <w:gridCol w:w="556"/>
        <w:gridCol w:w="326"/>
        <w:gridCol w:w="326"/>
        <w:gridCol w:w="376"/>
        <w:gridCol w:w="326"/>
        <w:gridCol w:w="474"/>
        <w:gridCol w:w="592"/>
        <w:gridCol w:w="326"/>
        <w:gridCol w:w="556"/>
        <w:gridCol w:w="326"/>
        <w:gridCol w:w="180"/>
        <w:gridCol w:w="376"/>
        <w:gridCol w:w="326"/>
        <w:gridCol w:w="213"/>
        <w:gridCol w:w="523"/>
        <w:gridCol w:w="326"/>
        <w:gridCol w:w="339"/>
        <w:gridCol w:w="712"/>
        <w:gridCol w:w="326"/>
        <w:gridCol w:w="219"/>
        <w:gridCol w:w="697"/>
        <w:gridCol w:w="326"/>
        <w:gridCol w:w="233"/>
        <w:gridCol w:w="803"/>
      </w:tblGrid>
      <w:tr>
        <w:trPr/>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85800" cy="175260"/>
                      <wp:effectExtent l="0" t="0" r="0" b="0"/>
                      <wp:wrapNone/>
                      <wp:docPr id="94" name="Frame52"/>
                      <a:graphic xmlns:a="http://schemas.openxmlformats.org/drawingml/2006/main">
                        <a:graphicData uri="http://schemas.microsoft.com/office/word/2010/wordprocessingShape">
                          <wps:wsp>
                            <wps:cNvSpPr txBox="1"/>
                            <wps:spPr>
                              <a:xfrm>
                                <a:off x="0" y="0"/>
                                <a:ext cx="6858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53060" cy="175260"/>
                      <wp:effectExtent l="0" t="0" r="0" b="0"/>
                      <wp:wrapNone/>
                      <wp:docPr id="96" name="Frame54"/>
                      <a:graphic xmlns:a="http://schemas.openxmlformats.org/drawingml/2006/main">
                        <a:graphicData uri="http://schemas.microsoft.com/office/word/2010/wordprocessingShape">
                          <wps:wsp>
                            <wps:cNvSpPr txBox="1"/>
                            <wps:spPr>
                              <a:xfrm>
                                <a:off x="0" y="0"/>
                                <a:ext cx="353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05410" cy="175260"/>
                      <wp:effectExtent l="0" t="0" r="0" b="0"/>
                      <wp:wrapNone/>
                      <wp:docPr id="98" name="Frame56"/>
                      <a:graphic xmlns:a="http://schemas.openxmlformats.org/drawingml/2006/main">
                        <a:graphicData uri="http://schemas.microsoft.com/office/word/2010/wordprocessingShape">
                          <wps:wsp>
                            <wps:cNvSpPr txBox="1"/>
                            <wps:spPr>
                              <a:xfrm>
                                <a:off x="0" y="0"/>
                                <a:ext cx="105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76860" cy="175260"/>
                      <wp:effectExtent l="0" t="0" r="0" b="0"/>
                      <wp:wrapNone/>
                      <wp:docPr id="99" name="Frame57"/>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353060" cy="175260"/>
                      <wp:effectExtent l="0" t="0" r="0" b="0"/>
                      <wp:wrapNone/>
                      <wp:docPr id="101" name="Frame59"/>
                      <a:graphic xmlns:a="http://schemas.openxmlformats.org/drawingml/2006/main">
                        <a:graphicData uri="http://schemas.microsoft.com/office/word/2010/wordprocessingShape">
                          <wps:wsp>
                            <wps:cNvSpPr txBox="1"/>
                            <wps:spPr>
                              <a:xfrm>
                                <a:off x="0" y="0"/>
                                <a:ext cx="353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76860" cy="175260"/>
                      <wp:effectExtent l="0" t="0" r="0" b="0"/>
                      <wp:wrapNone/>
                      <wp:docPr id="104" name="Frame62"/>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53060" cy="175260"/>
                      <wp:effectExtent l="0" t="0" r="0" b="0"/>
                      <wp:wrapNone/>
                      <wp:docPr id="106" name="Frame64"/>
                      <a:graphic xmlns:a="http://schemas.openxmlformats.org/drawingml/2006/main">
                        <a:graphicData uri="http://schemas.microsoft.com/office/word/2010/wordprocessingShape">
                          <wps:wsp>
                            <wps:cNvSpPr txBox="1"/>
                            <wps:spPr>
                              <a:xfrm>
                                <a:off x="0" y="0"/>
                                <a:ext cx="353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14960" cy="175260"/>
                      <wp:effectExtent l="0" t="0" r="0" b="0"/>
                      <wp:wrapNone/>
                      <wp:docPr id="109" name="Frame67"/>
                      <a:graphic xmlns:a="http://schemas.openxmlformats.org/drawingml/2006/main">
                        <a:graphicData uri="http://schemas.microsoft.com/office/word/2010/wordprocessingShape">
                          <wps:wsp>
                            <wps:cNvSpPr txBox="1"/>
                            <wps:spPr>
                              <a:xfrm>
                                <a:off x="0" y="0"/>
                                <a:ext cx="314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353060" cy="175260"/>
                      <wp:effectExtent l="0" t="0" r="0" b="0"/>
                      <wp:wrapNone/>
                      <wp:docPr id="111" name="Frame69"/>
                      <a:graphic xmlns:a="http://schemas.openxmlformats.org/drawingml/2006/main">
                        <a:graphicData uri="http://schemas.microsoft.com/office/word/2010/wordprocessingShape">
                          <wps:wsp>
                            <wps:cNvSpPr txBox="1"/>
                            <wps:spPr>
                              <a:xfrm>
                                <a:off x="0" y="0"/>
                                <a:ext cx="353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7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38760" cy="175260"/>
                      <wp:effectExtent l="0" t="0" r="0" b="0"/>
                      <wp:wrapNone/>
                      <wp:docPr id="114" name="Frame72"/>
                      <a:graphic xmlns:a="http://schemas.openxmlformats.org/drawingml/2006/main">
                        <a:graphicData uri="http://schemas.microsoft.com/office/word/2010/wordprocessingShape">
                          <wps:wsp>
                            <wps:cNvSpPr txBox="1"/>
                            <wps:spPr>
                              <a:xfrm>
                                <a:off x="0" y="0"/>
                                <a:ext cx="238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7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300990" cy="175260"/>
                      <wp:effectExtent l="0" t="0" r="0" b="0"/>
                      <wp:wrapNone/>
                      <wp:docPr id="116" name="Frame74"/>
                      <a:graphic xmlns:a="http://schemas.openxmlformats.org/drawingml/2006/main">
                        <a:graphicData uri="http://schemas.microsoft.com/office/word/2010/wordprocessingShape">
                          <wps:wsp>
                            <wps:cNvSpPr txBox="1"/>
                            <wps:spPr>
                              <a:xfrm>
                                <a:off x="0" y="0"/>
                                <a:ext cx="300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375920" cy="175260"/>
                      <wp:effectExtent l="0" t="0" r="0" b="0"/>
                      <wp:wrapNone/>
                      <wp:docPr id="117" name="Frame75"/>
                      <a:graphic xmlns:a="http://schemas.openxmlformats.org/drawingml/2006/main">
                        <a:graphicData uri="http://schemas.microsoft.com/office/word/2010/wordprocessingShape">
                          <wps:wsp>
                            <wps:cNvSpPr txBox="1"/>
                            <wps:spPr>
                              <a:xfrm>
                                <a:off x="0" y="0"/>
                                <a:ext cx="3759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53060" cy="175260"/>
                      <wp:effectExtent l="0" t="0" r="0" b="0"/>
                      <wp:wrapNone/>
                      <wp:docPr id="119" name="Frame77"/>
                      <a:graphic xmlns:a="http://schemas.openxmlformats.org/drawingml/2006/main">
                        <a:graphicData uri="http://schemas.microsoft.com/office/word/2010/wordprocessingShape">
                          <wps:wsp>
                            <wps:cNvSpPr txBox="1"/>
                            <wps:spPr>
                              <a:xfrm>
                                <a:off x="0" y="0"/>
                                <a:ext cx="353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14300" cy="175260"/>
                      <wp:effectExtent l="0" t="0" r="0" b="0"/>
                      <wp:wrapNone/>
                      <wp:docPr id="121" name="Frame79"/>
                      <a:graphic xmlns:a="http://schemas.openxmlformats.org/drawingml/2006/main">
                        <a:graphicData uri="http://schemas.microsoft.com/office/word/2010/wordprocessingShape">
                          <wps:wsp>
                            <wps:cNvSpPr txBox="1"/>
                            <wps:spPr>
                              <a:xfrm>
                                <a:off x="0" y="0"/>
                                <a:ext cx="1143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38760" cy="175260"/>
                      <wp:effectExtent l="0" t="0" r="0" b="0"/>
                      <wp:wrapNone/>
                      <wp:docPr id="122" name="Frame80"/>
                      <a:graphic xmlns:a="http://schemas.openxmlformats.org/drawingml/2006/main">
                        <a:graphicData uri="http://schemas.microsoft.com/office/word/2010/wordprocessingShape">
                          <wps:wsp>
                            <wps:cNvSpPr txBox="1"/>
                            <wps:spPr>
                              <a:xfrm>
                                <a:off x="0" y="0"/>
                                <a:ext cx="238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5255" cy="175260"/>
                      <wp:effectExtent l="0" t="0" r="0" b="0"/>
                      <wp:wrapNone/>
                      <wp:docPr id="124" name="Frame82"/>
                      <a:graphic xmlns:a="http://schemas.openxmlformats.org/drawingml/2006/main">
                        <a:graphicData uri="http://schemas.microsoft.com/office/word/2010/wordprocessingShape">
                          <wps:wsp>
                            <wps:cNvSpPr txBox="1"/>
                            <wps:spPr>
                              <a:xfrm>
                                <a:off x="0" y="0"/>
                                <a:ext cx="135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32105" cy="175260"/>
                      <wp:effectExtent l="0" t="0" r="0" b="0"/>
                      <wp:wrapNone/>
                      <wp:docPr id="125" name="Frame83"/>
                      <a:graphic xmlns:a="http://schemas.openxmlformats.org/drawingml/2006/main">
                        <a:graphicData uri="http://schemas.microsoft.com/office/word/2010/wordprocessingShape">
                          <wps:wsp>
                            <wps:cNvSpPr txBox="1"/>
                            <wps:spPr>
                              <a:xfrm>
                                <a:off x="0" y="0"/>
                                <a:ext cx="332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5265" cy="175260"/>
                      <wp:effectExtent l="0" t="0" r="0" b="0"/>
                      <wp:wrapNone/>
                      <wp:docPr id="127" name="Frame85"/>
                      <a:graphic xmlns:a="http://schemas.openxmlformats.org/drawingml/2006/main">
                        <a:graphicData uri="http://schemas.microsoft.com/office/word/2010/wordprocessingShape">
                          <wps:wsp>
                            <wps:cNvSpPr txBox="1"/>
                            <wps:spPr>
                              <a:xfrm>
                                <a:off x="0" y="0"/>
                                <a:ext cx="2152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52120" cy="175260"/>
                      <wp:effectExtent l="0" t="0" r="0" b="0"/>
                      <wp:wrapNone/>
                      <wp:docPr id="128" name="Frame86"/>
                      <a:graphic xmlns:a="http://schemas.openxmlformats.org/drawingml/2006/main">
                        <a:graphicData uri="http://schemas.microsoft.com/office/word/2010/wordprocessingShape">
                          <wps:wsp>
                            <wps:cNvSpPr txBox="1"/>
                            <wps:spPr>
                              <a:xfrm>
                                <a:off x="0" y="0"/>
                                <a:ext cx="4521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9065" cy="175260"/>
                      <wp:effectExtent l="0" t="0" r="0" b="0"/>
                      <wp:wrapNone/>
                      <wp:docPr id="130" name="Frame88"/>
                      <a:graphic xmlns:a="http://schemas.openxmlformats.org/drawingml/2006/main">
                        <a:graphicData uri="http://schemas.microsoft.com/office/word/2010/wordprocessingShape">
                          <wps:wsp>
                            <wps:cNvSpPr txBox="1"/>
                            <wps:spPr>
                              <a:xfrm>
                                <a:off x="0" y="0"/>
                                <a:ext cx="1390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42595" cy="175260"/>
                      <wp:effectExtent l="0" t="0" r="0" b="0"/>
                      <wp:wrapNone/>
                      <wp:docPr id="131" name="Frame89"/>
                      <a:graphic xmlns:a="http://schemas.openxmlformats.org/drawingml/2006/main">
                        <a:graphicData uri="http://schemas.microsoft.com/office/word/2010/wordprocessingShape">
                          <wps:wsp>
                            <wps:cNvSpPr txBox="1"/>
                            <wps:spPr>
                              <a:xfrm>
                                <a:off x="0" y="0"/>
                                <a:ext cx="4425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47955" cy="175260"/>
                      <wp:effectExtent l="0" t="0" r="0" b="0"/>
                      <wp:wrapNone/>
                      <wp:docPr id="133" name="Frame91"/>
                      <a:graphic xmlns:a="http://schemas.openxmlformats.org/drawingml/2006/main">
                        <a:graphicData uri="http://schemas.microsoft.com/office/word/2010/wordprocessingShape">
                          <wps:wsp>
                            <wps:cNvSpPr txBox="1"/>
                            <wps:spPr>
                              <a:xfrm>
                                <a:off x="0" y="0"/>
                                <a:ext cx="147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0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09905" cy="175260"/>
                      <wp:effectExtent l="0" t="0" r="0" b="0"/>
                      <wp:wrapNone/>
                      <wp:docPr id="134" name="Frame92"/>
                      <a:graphic xmlns:a="http://schemas.openxmlformats.org/drawingml/2006/main">
                        <a:graphicData uri="http://schemas.microsoft.com/office/word/2010/wordprocessingShape">
                          <wps:wsp>
                            <wps:cNvSpPr txBox="1"/>
                            <wps:spPr>
                              <a:xfrm>
                                <a:off x="0" y="0"/>
                                <a:ext cx="5099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08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55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6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43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55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43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55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49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55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7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474"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592"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55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80"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7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213"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523"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3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712"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21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697"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233"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803"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10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5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5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5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rPr/>
            </w:pPr>
            <w:r>
              <w:rPr/>
              <w:t>    </w:t>
            </w:r>
          </w:p>
        </w:tc>
        <w:tc>
          <w:tcPr>
            <w:tcW w:w="3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474" w:type="dxa"/>
            <w:tcBorders/>
            <w:shd w:fill="auto" w:val="clear"/>
            <w:vAlign w:val="center"/>
          </w:tcPr>
          <w:p>
            <w:pPr>
              <w:pStyle w:val="TableContents"/>
              <w:spacing w:before="0" w:after="0"/>
              <w:ind w:left="0" w:right="0" w:hanging="0"/>
              <w:rPr/>
            </w:pPr>
            <w:r>
              <w:rPr/>
              <w:t>    </w:t>
            </w:r>
          </w:p>
        </w:tc>
        <w:tc>
          <w:tcPr>
            <w:tcW w:w="59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556" w:type="dxa"/>
            <w:tcBorders/>
            <w:shd w:fill="auto" w:val="clear"/>
            <w:vAlign w:val="center"/>
          </w:tcPr>
          <w:p>
            <w:pPr>
              <w:pStyle w:val="TableContents"/>
              <w:spacing w:before="0" w:after="0"/>
              <w:ind w:left="0" w:right="0" w:hanging="0"/>
              <w:jc w:val="center"/>
              <w:rPr/>
            </w:pPr>
            <w:r>
              <w:rPr/>
              <w:t>    </w:t>
            </w:r>
          </w:p>
        </w:tc>
        <w:tc>
          <w:tcPr>
            <w:tcW w:w="326" w:type="dxa"/>
            <w:tcBorders/>
            <w:shd w:fill="auto" w:val="clear"/>
            <w:vAlign w:val="center"/>
          </w:tcPr>
          <w:p>
            <w:pPr>
              <w:pStyle w:val="TableContents"/>
              <w:spacing w:before="0" w:after="0"/>
              <w:ind w:left="0" w:right="0" w:hanging="0"/>
              <w:jc w:val="center"/>
              <w:rPr/>
            </w:pPr>
            <w:r>
              <w:rPr/>
              <w:t>    </w:t>
            </w:r>
          </w:p>
        </w:tc>
        <w:tc>
          <w:tcPr>
            <w:tcW w:w="180"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13" w:type="dxa"/>
            <w:tcBorders/>
            <w:shd w:fill="auto" w:val="clear"/>
            <w:vAlign w:val="center"/>
          </w:tcPr>
          <w:p>
            <w:pPr>
              <w:pStyle w:val="TableContents"/>
              <w:spacing w:before="0" w:after="0"/>
              <w:ind w:left="0" w:right="0" w:hanging="0"/>
              <w:rPr/>
            </w:pPr>
            <w:r>
              <w:rPr/>
              <w:t> </w:t>
            </w:r>
          </w:p>
        </w:tc>
        <w:tc>
          <w:tcPr>
            <w:tcW w:w="52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051" w:type="dxa"/>
            <w:gridSpan w:val="2"/>
            <w:tcBorders/>
            <w:shd w:fill="auto" w:val="cle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ACCUMULATED</w:t>
            </w:r>
          </w:p>
        </w:tc>
        <w:tc>
          <w:tcPr>
            <w:tcW w:w="326" w:type="dxa"/>
            <w:tcBorders/>
            <w:shd w:fill="auto" w:val="clear"/>
            <w:vAlign w:val="center"/>
          </w:tcPr>
          <w:p>
            <w:pPr>
              <w:pStyle w:val="TableContents"/>
              <w:spacing w:before="0" w:after="0"/>
              <w:ind w:left="0" w:right="0" w:hanging="0"/>
              <w:jc w:val="center"/>
              <w:rPr/>
            </w:pPr>
            <w:r>
              <w:rPr/>
              <w:t>    </w:t>
            </w:r>
          </w:p>
        </w:tc>
        <w:tc>
          <w:tcPr>
            <w:tcW w:w="219" w:type="dxa"/>
            <w:tcBorders/>
            <w:shd w:fill="auto" w:val="clear"/>
            <w:vAlign w:val="center"/>
          </w:tcPr>
          <w:p>
            <w:pPr>
              <w:pStyle w:val="TableContents"/>
              <w:spacing w:before="0" w:after="0"/>
              <w:ind w:left="0" w:right="0" w:hanging="0"/>
              <w:rPr/>
            </w:pPr>
            <w:r>
              <w:rPr/>
              <w:t> </w:t>
            </w:r>
          </w:p>
        </w:tc>
        <w:tc>
          <w:tcPr>
            <w:tcW w:w="69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33" w:type="dxa"/>
            <w:tcBorders/>
            <w:shd w:fill="auto" w:val="clear"/>
            <w:vAlign w:val="center"/>
          </w:tcPr>
          <w:p>
            <w:pPr>
              <w:pStyle w:val="TableContents"/>
              <w:spacing w:before="0" w:after="0"/>
              <w:ind w:left="0" w:right="0" w:hanging="0"/>
              <w:rPr/>
            </w:pPr>
            <w:r>
              <w:rPr/>
              <w:t>​</w:t>
            </w:r>
          </w:p>
        </w:tc>
        <w:tc>
          <w:tcPr>
            <w:tcW w:w="803" w:type="dxa"/>
            <w:tcBorders/>
            <w:shd w:fill="auto" w:val="clear"/>
            <w:vAlign w:val="center"/>
          </w:tcPr>
          <w:p>
            <w:pPr>
              <w:pStyle w:val="TableContents"/>
              <w:spacing w:before="0" w:after="0"/>
              <w:ind w:left="0" w:right="0" w:hanging="0"/>
              <w:jc w:val="center"/>
              <w:rPr/>
            </w:pPr>
            <w:r>
              <w:rPr/>
              <w:t>​</w:t>
            </w:r>
          </w:p>
        </w:tc>
      </w:tr>
      <w:tr>
        <w:trPr/>
        <w:tc>
          <w:tcPr>
            <w:tcW w:w="10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6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66" w:type="dxa"/>
            <w:gridSpan w:val="2"/>
            <w:tcBorders/>
            <w:shd w:fill="auto" w:val="cle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REDEEMABLE </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80"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36" w:type="dxa"/>
            <w:gridSpan w:val="2"/>
            <w:tcBorders/>
            <w:shd w:fill="auto" w:val="cle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ADDITIONAL</w:t>
            </w:r>
          </w:p>
        </w:tc>
        <w:tc>
          <w:tcPr>
            <w:tcW w:w="326" w:type="dxa"/>
            <w:tcBorders/>
            <w:shd w:fill="auto" w:val="clear"/>
            <w:vAlign w:val="center"/>
          </w:tcPr>
          <w:p>
            <w:pPr>
              <w:pStyle w:val="TableContents"/>
              <w:spacing w:before="0" w:after="0"/>
              <w:ind w:left="0" w:right="0" w:hanging="0"/>
              <w:jc w:val="center"/>
              <w:rPr/>
            </w:pPr>
            <w:r>
              <w:rPr/>
              <w:t>​</w:t>
            </w:r>
          </w:p>
        </w:tc>
        <w:tc>
          <w:tcPr>
            <w:tcW w:w="1051" w:type="dxa"/>
            <w:gridSpan w:val="2"/>
            <w:tcBorders/>
            <w:shd w:fill="auto" w:val="clear"/>
            <w:vAlign w:val="center"/>
          </w:tcPr>
          <w:p>
            <w:pPr>
              <w:pStyle w:val="TableContents"/>
              <w:spacing w:before="0" w:after="0"/>
              <w:ind w:left="0" w:right="0" w:hanging="0"/>
              <w:jc w:val="center"/>
              <w:rPr/>
            </w:pPr>
            <w:r>
              <w:rPr/>
              <w:t> </w:t>
            </w:r>
            <w:r>
              <w:rPr>
                <w:rFonts w:ascii="Arial;Helvetica;sans-serif" w:hAnsi="Arial;Helvetica;sans-serif"/>
                <w:b/>
                <w:sz w:val="11"/>
              </w:rPr>
              <w:t>OTHER   </w:t>
            </w:r>
          </w:p>
        </w:tc>
        <w:tc>
          <w:tcPr>
            <w:tcW w:w="326" w:type="dxa"/>
            <w:tcBorders/>
            <w:shd w:fill="auto" w:val="clear"/>
            <w:vAlign w:val="center"/>
          </w:tcPr>
          <w:p>
            <w:pPr>
              <w:pStyle w:val="TableContents"/>
              <w:spacing w:before="0" w:after="0"/>
              <w:ind w:left="0" w:right="0" w:hanging="0"/>
              <w:jc w:val="center"/>
              <w:rPr/>
            </w:pPr>
            <w:r>
              <w:rPr/>
              <w:t>​</w:t>
            </w:r>
          </w:p>
        </w:tc>
        <w:tc>
          <w:tcPr>
            <w:tcW w:w="219" w:type="dxa"/>
            <w:tcBorders/>
            <w:shd w:fill="auto" w:val="clear"/>
            <w:vAlign w:val="center"/>
          </w:tcPr>
          <w:p>
            <w:pPr>
              <w:pStyle w:val="TableContents"/>
              <w:spacing w:before="0" w:after="0"/>
              <w:ind w:left="0" w:right="0" w:hanging="0"/>
              <w:rPr/>
            </w:pPr>
            <w:r>
              <w:rPr/>
              <w:t>​</w:t>
            </w:r>
          </w:p>
        </w:tc>
        <w:tc>
          <w:tcPr>
            <w:tcW w:w="69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gridSpan w:val="2"/>
            <w:tcBorders/>
            <w:shd w:fill="auto" w:val="cle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TOTAL</w:t>
            </w:r>
          </w:p>
        </w:tc>
      </w:tr>
      <w:tr>
        <w:trPr/>
        <w:tc>
          <w:tcPr>
            <w:tcW w:w="10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7394" w:type="dxa"/>
            <w:gridSpan w:val="19"/>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 xml:space="preserve">REDEEMABLE CONVERTIBLE PREFERRED SHARES </w:t>
            </w:r>
          </w:p>
        </w:tc>
        <w:tc>
          <w:tcPr>
            <w:tcW w:w="326" w:type="dxa"/>
            <w:tcBorders/>
            <w:shd w:fill="auto" w:val="clear"/>
            <w:vAlign w:val="center"/>
          </w:tcPr>
          <w:p>
            <w:pPr>
              <w:pStyle w:val="TableContents"/>
              <w:spacing w:before="0" w:after="0"/>
              <w:ind w:left="0" w:right="0" w:hanging="0"/>
              <w:jc w:val="center"/>
              <w:rPr/>
            </w:pPr>
            <w:r>
              <w:rPr/>
              <w:t>​</w:t>
            </w:r>
          </w:p>
        </w:tc>
        <w:tc>
          <w:tcPr>
            <w:tcW w:w="1066" w:type="dxa"/>
            <w:gridSpan w:val="2"/>
            <w:tcBorders/>
            <w:shd w:fill="auto" w:val="cle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NONCONTROLLING</w:t>
            </w:r>
          </w:p>
        </w:tc>
        <w:tc>
          <w:tcPr>
            <w:tcW w:w="326" w:type="dxa"/>
            <w:tcBorders/>
            <w:shd w:fill="auto" w:val="clear"/>
            <w:vAlign w:val="center"/>
          </w:tcPr>
          <w:p>
            <w:pPr>
              <w:pStyle w:val="TableContents"/>
              <w:spacing w:before="0" w:after="0"/>
              <w:ind w:left="0" w:right="0" w:hanging="0"/>
              <w:jc w:val="center"/>
              <w:rPr/>
            </w:pPr>
            <w:r>
              <w:rPr/>
              <w:t>​</w:t>
            </w:r>
          </w:p>
        </w:tc>
        <w:tc>
          <w:tcPr>
            <w:tcW w:w="1438" w:type="dxa"/>
            <w:gridSpan w:val="4"/>
            <w:tcBorders/>
            <w:shd w:fill="auto" w:val="cle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ORDINARY </w:t>
            </w:r>
          </w:p>
        </w:tc>
        <w:tc>
          <w:tcPr>
            <w:tcW w:w="326" w:type="dxa"/>
            <w:tcBorders/>
            <w:shd w:fill="auto" w:val="clear"/>
            <w:vAlign w:val="center"/>
          </w:tcPr>
          <w:p>
            <w:pPr>
              <w:pStyle w:val="TableContents"/>
              <w:spacing w:before="0" w:after="0"/>
              <w:ind w:left="0" w:right="0" w:hanging="0"/>
              <w:jc w:val="center"/>
              <w:rPr/>
            </w:pPr>
            <w:r>
              <w:rPr/>
              <w:t>​</w:t>
            </w:r>
          </w:p>
        </w:tc>
        <w:tc>
          <w:tcPr>
            <w:tcW w:w="736" w:type="dxa"/>
            <w:gridSpan w:val="2"/>
            <w:tcBorders/>
            <w:shd w:fill="auto" w:val="clear"/>
            <w:vAlign w:val="center"/>
          </w:tcPr>
          <w:p>
            <w:pPr>
              <w:pStyle w:val="TableContents"/>
              <w:spacing w:before="0" w:after="0"/>
              <w:ind w:left="0" w:right="0" w:hanging="0"/>
              <w:jc w:val="center"/>
              <w:rPr/>
            </w:pPr>
            <w:r>
              <w:rPr/>
              <w:t> </w:t>
            </w:r>
            <w:r>
              <w:rPr>
                <w:rFonts w:ascii="Arial;Helvetica;sans-serif" w:hAnsi="Arial;Helvetica;sans-serif"/>
                <w:b/>
                <w:sz w:val="11"/>
              </w:rPr>
              <w:t>PAID-IN  </w:t>
            </w:r>
          </w:p>
        </w:tc>
        <w:tc>
          <w:tcPr>
            <w:tcW w:w="326" w:type="dxa"/>
            <w:tcBorders/>
            <w:shd w:fill="auto" w:val="clear"/>
            <w:vAlign w:val="center"/>
          </w:tcPr>
          <w:p>
            <w:pPr>
              <w:pStyle w:val="TableContents"/>
              <w:spacing w:before="0" w:after="0"/>
              <w:ind w:left="0" w:right="0" w:hanging="0"/>
              <w:jc w:val="center"/>
              <w:rPr/>
            </w:pPr>
            <w:r>
              <w:rPr/>
              <w:t>​</w:t>
            </w:r>
          </w:p>
        </w:tc>
        <w:tc>
          <w:tcPr>
            <w:tcW w:w="1051" w:type="dxa"/>
            <w:gridSpan w:val="2"/>
            <w:tcBorders/>
            <w:shd w:fill="auto" w:val="cle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COMPREHENSIVE</w:t>
            </w:r>
          </w:p>
        </w:tc>
        <w:tc>
          <w:tcPr>
            <w:tcW w:w="326" w:type="dxa"/>
            <w:tcBorders/>
            <w:shd w:fill="auto" w:val="clear"/>
            <w:vAlign w:val="center"/>
          </w:tcPr>
          <w:p>
            <w:pPr>
              <w:pStyle w:val="TableContents"/>
              <w:spacing w:before="0" w:after="0"/>
              <w:ind w:left="0" w:right="0" w:hanging="0"/>
              <w:jc w:val="center"/>
              <w:rPr/>
            </w:pPr>
            <w:r>
              <w:rPr/>
              <w:t>​</w:t>
            </w:r>
          </w:p>
        </w:tc>
        <w:tc>
          <w:tcPr>
            <w:tcW w:w="916" w:type="dxa"/>
            <w:gridSpan w:val="2"/>
            <w:tcBorders/>
            <w:shd w:fill="auto" w:val="cle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ACCUMULATED</w:t>
            </w:r>
          </w:p>
        </w:tc>
        <w:tc>
          <w:tcPr>
            <w:tcW w:w="326" w:type="dxa"/>
            <w:tcBorders/>
            <w:shd w:fill="auto" w:val="clear"/>
            <w:vAlign w:val="center"/>
          </w:tcPr>
          <w:p>
            <w:pPr>
              <w:pStyle w:val="TableContents"/>
              <w:spacing w:before="0" w:after="0"/>
              <w:ind w:left="0" w:right="0" w:hanging="0"/>
              <w:jc w:val="center"/>
              <w:rPr/>
            </w:pPr>
            <w:r>
              <w:rPr/>
              <w:t>​</w:t>
            </w:r>
          </w:p>
        </w:tc>
        <w:tc>
          <w:tcPr>
            <w:tcW w:w="1036" w:type="dxa"/>
            <w:gridSpan w:val="2"/>
            <w:tcBorders/>
            <w:shd w:fill="auto" w:val="cle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SHAREHOLDERS’</w:t>
            </w:r>
          </w:p>
        </w:tc>
      </w:tr>
      <w:tr>
        <w:trPr/>
        <w:tc>
          <w:tcPr>
            <w:tcW w:w="10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48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SERIES A</w:t>
            </w:r>
          </w:p>
        </w:tc>
        <w:tc>
          <w:tcPr>
            <w:tcW w:w="326" w:type="dxa"/>
            <w:tcBorders/>
            <w:shd w:fill="auto" w:val="clear"/>
            <w:vAlign w:val="center"/>
          </w:tcPr>
          <w:p>
            <w:pPr>
              <w:pStyle w:val="TableContents"/>
              <w:spacing w:before="0" w:after="0"/>
              <w:ind w:left="0" w:right="0" w:hanging="0"/>
              <w:jc w:val="center"/>
              <w:rPr/>
            </w:pPr>
            <w:r>
              <w:rPr/>
              <w:t>​</w:t>
            </w:r>
          </w:p>
        </w:tc>
        <w:tc>
          <w:tcPr>
            <w:tcW w:w="164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SERIES A+</w:t>
            </w:r>
          </w:p>
        </w:tc>
        <w:tc>
          <w:tcPr>
            <w:tcW w:w="326" w:type="dxa"/>
            <w:tcBorders/>
            <w:shd w:fill="auto" w:val="clear"/>
            <w:vAlign w:val="center"/>
          </w:tcPr>
          <w:p>
            <w:pPr>
              <w:pStyle w:val="TableContents"/>
              <w:spacing w:before="0" w:after="0"/>
              <w:ind w:left="0" w:right="0" w:hanging="0"/>
              <w:jc w:val="center"/>
              <w:rPr/>
            </w:pPr>
            <w:r>
              <w:rPr/>
              <w:t>​</w:t>
            </w:r>
          </w:p>
        </w:tc>
        <w:tc>
          <w:tcPr>
            <w:tcW w:w="170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SERIES B</w:t>
            </w:r>
          </w:p>
        </w:tc>
        <w:tc>
          <w:tcPr>
            <w:tcW w:w="326" w:type="dxa"/>
            <w:tcBorders/>
            <w:shd w:fill="auto" w:val="clear"/>
            <w:vAlign w:val="center"/>
          </w:tcPr>
          <w:p>
            <w:pPr>
              <w:pStyle w:val="TableContents"/>
              <w:spacing w:before="0" w:after="0"/>
              <w:ind w:left="0" w:right="0" w:hanging="0"/>
              <w:jc w:val="center"/>
              <w:rPr/>
            </w:pPr>
            <w:r>
              <w:rPr/>
              <w:t>​</w:t>
            </w:r>
          </w:p>
        </w:tc>
        <w:tc>
          <w:tcPr>
            <w:tcW w:w="1584"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SERIES B-1</w:t>
            </w:r>
          </w:p>
        </w:tc>
        <w:tc>
          <w:tcPr>
            <w:tcW w:w="326" w:type="dxa"/>
            <w:tcBorders/>
            <w:shd w:fill="auto" w:val="clear"/>
            <w:vAlign w:val="center"/>
          </w:tcPr>
          <w:p>
            <w:pPr>
              <w:pStyle w:val="TableContents"/>
              <w:spacing w:before="0" w:after="0"/>
              <w:ind w:left="0" w:right="0" w:hanging="0"/>
              <w:jc w:val="center"/>
              <w:rPr/>
            </w:pPr>
            <w:r>
              <w:rPr/>
              <w:t>​</w:t>
            </w:r>
          </w:p>
        </w:tc>
        <w:tc>
          <w:tcPr>
            <w:tcW w:w="10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INTEREST</w:t>
            </w:r>
          </w:p>
        </w:tc>
        <w:tc>
          <w:tcPr>
            <w:tcW w:w="326" w:type="dxa"/>
            <w:tcBorders/>
            <w:shd w:fill="auto" w:val="clear"/>
            <w:vAlign w:val="center"/>
          </w:tcPr>
          <w:p>
            <w:pPr>
              <w:pStyle w:val="TableContents"/>
              <w:spacing w:before="0" w:after="0"/>
              <w:ind w:left="0" w:right="0" w:hanging="0"/>
              <w:jc w:val="center"/>
              <w:rPr/>
            </w:pPr>
            <w:r>
              <w:rPr/>
              <w:t>​</w:t>
            </w:r>
          </w:p>
        </w:tc>
        <w:tc>
          <w:tcPr>
            <w:tcW w:w="1438"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Arial;Helvetica;sans-serif" w:hAnsi="Arial;Helvetica;sans-serif"/>
                <w:b/>
                <w:sz w:val="11"/>
              </w:rPr>
              <w:t>SHARES</w:t>
            </w:r>
          </w:p>
        </w:tc>
        <w:tc>
          <w:tcPr>
            <w:tcW w:w="326" w:type="dxa"/>
            <w:tcBorders/>
            <w:shd w:fill="auto" w:val="clear"/>
            <w:vAlign w:val="center"/>
          </w:tcPr>
          <w:p>
            <w:pPr>
              <w:pStyle w:val="TableContents"/>
              <w:spacing w:before="0" w:after="0"/>
              <w:ind w:left="0" w:right="0" w:hanging="0"/>
              <w:jc w:val="center"/>
              <w:rPr/>
            </w:pPr>
            <w:r>
              <w:rPr/>
              <w:t>​</w:t>
            </w:r>
          </w:p>
        </w:tc>
        <w:tc>
          <w:tcPr>
            <w:tcW w:w="73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CAPITAL</w:t>
            </w:r>
          </w:p>
        </w:tc>
        <w:tc>
          <w:tcPr>
            <w:tcW w:w="326" w:type="dxa"/>
            <w:tcBorders/>
            <w:shd w:fill="auto" w:val="clear"/>
            <w:vAlign w:val="center"/>
          </w:tcPr>
          <w:p>
            <w:pPr>
              <w:pStyle w:val="TableContents"/>
              <w:spacing w:before="0" w:after="0"/>
              <w:ind w:left="0" w:right="0" w:hanging="0"/>
              <w:jc w:val="center"/>
              <w:rPr/>
            </w:pPr>
            <w:r>
              <w:rPr/>
              <w:t>​</w:t>
            </w:r>
          </w:p>
        </w:tc>
        <w:tc>
          <w:tcPr>
            <w:tcW w:w="10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LOSS</w:t>
            </w:r>
          </w:p>
        </w:tc>
        <w:tc>
          <w:tcPr>
            <w:tcW w:w="326" w:type="dxa"/>
            <w:tcBorders/>
            <w:shd w:fill="auto" w:val="clear"/>
            <w:vAlign w:val="center"/>
          </w:tcPr>
          <w:p>
            <w:pPr>
              <w:pStyle w:val="TableContents"/>
              <w:spacing w:before="0" w:after="0"/>
              <w:ind w:left="0" w:right="0" w:hanging="0"/>
              <w:jc w:val="center"/>
              <w:rPr/>
            </w:pPr>
            <w:r>
              <w:rPr/>
              <w:t>​</w:t>
            </w:r>
          </w:p>
        </w:tc>
        <w:tc>
          <w:tcPr>
            <w:tcW w:w="9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r>
              <w:rPr>
                <w:rFonts w:ascii="Arial;Helvetica;sans-serif" w:hAnsi="Arial;Helvetica;sans-serif"/>
                <w:b/>
                <w:sz w:val="11"/>
              </w:rPr>
              <w:t>DEFICIT</w:t>
            </w:r>
          </w:p>
        </w:tc>
        <w:tc>
          <w:tcPr>
            <w:tcW w:w="326" w:type="dxa"/>
            <w:tcBorders/>
            <w:shd w:fill="auto" w:val="clear"/>
            <w:vAlign w:val="center"/>
          </w:tcPr>
          <w:p>
            <w:pPr>
              <w:pStyle w:val="TableContents"/>
              <w:spacing w:before="0" w:after="0"/>
              <w:ind w:left="0" w:right="0" w:hanging="0"/>
              <w:jc w:val="center"/>
              <w:rPr/>
            </w:pPr>
            <w:r>
              <w:rPr/>
              <w:t>​</w:t>
            </w:r>
          </w:p>
        </w:tc>
        <w:tc>
          <w:tcPr>
            <w:tcW w:w="103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DEFICIT</w:t>
            </w:r>
          </w:p>
        </w:tc>
      </w:tr>
      <w:tr>
        <w:trPr/>
        <w:tc>
          <w:tcPr>
            <w:tcW w:w="10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326" w:type="dxa"/>
            <w:tcBorders/>
            <w:shd w:fill="auto" w:val="clear"/>
            <w:vAlign w:val="center"/>
          </w:tcPr>
          <w:p>
            <w:pPr>
              <w:pStyle w:val="TableContents"/>
              <w:spacing w:before="0" w:after="0"/>
              <w:ind w:left="0" w:right="0" w:hanging="0"/>
              <w:jc w:val="center"/>
              <w:rPr/>
            </w:pPr>
            <w:r>
              <w:rPr/>
              <w:t>​</w:t>
            </w:r>
          </w:p>
        </w:tc>
        <w:tc>
          <w:tcPr>
            <w:tcW w:w="6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AMOUNT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326" w:type="dxa"/>
            <w:tcBorders/>
            <w:shd w:fill="auto" w:val="clear"/>
            <w:vAlign w:val="center"/>
          </w:tcPr>
          <w:p>
            <w:pPr>
              <w:pStyle w:val="TableContents"/>
              <w:spacing w:before="0" w:after="0"/>
              <w:ind w:left="0" w:right="0" w:hanging="0"/>
              <w:jc w:val="center"/>
              <w:rPr/>
            </w:pPr>
            <w:r>
              <w:rPr/>
              <w:t>​</w:t>
            </w:r>
          </w:p>
        </w:tc>
        <w:tc>
          <w:tcPr>
            <w:tcW w:w="76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AMOUNT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326" w:type="dxa"/>
            <w:tcBorders/>
            <w:shd w:fill="auto" w:val="clear"/>
            <w:vAlign w:val="center"/>
          </w:tcPr>
          <w:p>
            <w:pPr>
              <w:pStyle w:val="TableContents"/>
              <w:spacing w:before="0" w:after="0"/>
              <w:ind w:left="0" w:right="0" w:hanging="0"/>
              <w:jc w:val="center"/>
              <w:rPr/>
            </w:pPr>
            <w:r>
              <w:rPr/>
              <w:t>​</w:t>
            </w:r>
          </w:p>
        </w:tc>
        <w:tc>
          <w:tcPr>
            <w:tcW w:w="8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AMOUNT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SHARES</w:t>
            </w:r>
          </w:p>
        </w:tc>
        <w:tc>
          <w:tcPr>
            <w:tcW w:w="326" w:type="dxa"/>
            <w:tcBorders/>
            <w:shd w:fill="auto" w:val="clear"/>
            <w:vAlign w:val="center"/>
          </w:tcPr>
          <w:p>
            <w:pPr>
              <w:pStyle w:val="TableContents"/>
              <w:spacing w:before="0" w:after="0"/>
              <w:ind w:left="0" w:right="0" w:hanging="0"/>
              <w:jc w:val="center"/>
              <w:rPr/>
            </w:pPr>
            <w:r>
              <w:rPr/>
              <w:t>​</w:t>
            </w:r>
          </w:p>
        </w:tc>
        <w:tc>
          <w:tcPr>
            <w:tcW w:w="7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AMOUNT</w:t>
            </w:r>
          </w:p>
        </w:tc>
        <w:tc>
          <w:tcPr>
            <w:tcW w:w="326" w:type="dxa"/>
            <w:tcBorders/>
            <w:shd w:fill="auto" w:val="clear"/>
            <w:vAlign w:val="center"/>
          </w:tcPr>
          <w:p>
            <w:pPr>
              <w:pStyle w:val="TableContents"/>
              <w:spacing w:before="0" w:after="0"/>
              <w:ind w:left="0" w:right="0" w:hanging="0"/>
              <w:jc w:val="center"/>
              <w:rPr/>
            </w:pPr>
            <w:r>
              <w:rPr/>
              <w:t>​</w:t>
            </w:r>
          </w:p>
        </w:tc>
        <w:tc>
          <w:tcPr>
            <w:tcW w:w="10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b/>
                <w:sz w:val="11"/>
              </w:rPr>
            </w:pPr>
            <w:r>
              <w:rPr>
                <w:rFonts w:ascii="Arial;Helvetica;sans-serif" w:hAnsi="Arial;Helvetica;sans-serif"/>
                <w:b/>
                <w:sz w:val="11"/>
              </w:rPr>
              <w:t>SHARES</w:t>
            </w:r>
          </w:p>
        </w:tc>
        <w:tc>
          <w:tcPr>
            <w:tcW w:w="326" w:type="dxa"/>
            <w:tcBorders/>
            <w:shd w:fill="auto" w:val="clear"/>
            <w:vAlign w:val="center"/>
          </w:tcPr>
          <w:p>
            <w:pPr>
              <w:pStyle w:val="TableContents"/>
              <w:spacing w:before="0" w:after="0"/>
              <w:ind w:left="0" w:right="0" w:hanging="0"/>
              <w:rPr/>
            </w:pPr>
            <w:r>
              <w:rPr/>
              <w:t>​</w:t>
            </w:r>
          </w:p>
        </w:tc>
        <w:tc>
          <w:tcPr>
            <w:tcW w:w="55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1"/>
              </w:rPr>
            </w:pPr>
            <w:r>
              <w:rPr>
                <w:rFonts w:ascii="Arial;Helvetica;sans-serif" w:hAnsi="Arial;Helvetica;sans-serif"/>
                <w:b/>
                <w:sz w:val="11"/>
              </w:rPr>
              <w:t>AMOUNT</w:t>
            </w:r>
          </w:p>
        </w:tc>
        <w:tc>
          <w:tcPr>
            <w:tcW w:w="326" w:type="dxa"/>
            <w:tcBorders/>
            <w:shd w:fill="auto" w:val="clear"/>
            <w:vAlign w:val="center"/>
          </w:tcPr>
          <w:p>
            <w:pPr>
              <w:pStyle w:val="TableContents"/>
              <w:spacing w:before="0" w:after="0"/>
              <w:ind w:left="0" w:right="0" w:hanging="0"/>
              <w:jc w:val="center"/>
              <w:rPr/>
            </w:pPr>
            <w:r>
              <w:rPr/>
              <w:t>​</w:t>
            </w:r>
          </w:p>
        </w:tc>
        <w:tc>
          <w:tcPr>
            <w:tcW w:w="73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5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03"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w:t>
            </w:r>
          </w:p>
        </w:tc>
      </w:tr>
      <w:tr>
        <w:trPr/>
        <w:tc>
          <w:tcPr>
            <w:tcW w:w="1081" w:type="dxa"/>
            <w:tcBorders/>
            <w:shd w:fill="CCEEFF" w:val="clear"/>
            <w:vAlign w:val="center"/>
          </w:tcPr>
          <w:p>
            <w:pPr>
              <w:pStyle w:val="TableContents"/>
              <w:spacing w:before="0" w:after="0"/>
              <w:ind w:left="0" w:right="0" w:hanging="0"/>
              <w:rPr>
                <w:rFonts w:ascii="Arial;Helvetica;sans-serif" w:hAnsi="Arial;Helvetica;sans-serif"/>
                <w:b/>
                <w:sz w:val="11"/>
              </w:rPr>
            </w:pPr>
            <w:r>
              <w:rPr>
                <w:rFonts w:ascii="Arial;Helvetica;sans-serif" w:hAnsi="Arial;Helvetica;sans-serif"/>
                <w:b/>
                <w:sz w:val="11"/>
              </w:rPr>
              <w:t>Balance at December 31, 2020</w:t>
            </w:r>
          </w:p>
        </w:tc>
        <w:tc>
          <w:tcPr>
            <w:tcW w:w="326" w:type="dxa"/>
            <w:tcBorders/>
            <w:shd w:fill="CCEEFF" w:val="clear"/>
            <w:vAlign w:val="center"/>
          </w:tcPr>
          <w:p>
            <w:pPr>
              <w:pStyle w:val="TableContents"/>
              <w:spacing w:before="0" w:after="0"/>
              <w:ind w:left="0" w:right="0" w:hanging="0"/>
              <w:jc w:val="center"/>
              <w:rPr/>
            </w:pPr>
            <w:r>
              <w:rPr/>
              <w:t>​</w:t>
            </w:r>
          </w:p>
        </w:tc>
        <w:tc>
          <w:tcPr>
            <w:tcW w:w="556"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19,200</w:t>
            </w:r>
          </w:p>
        </w:tc>
        <w:tc>
          <w:tcPr>
            <w:tcW w:w="326" w:type="dxa"/>
            <w:tcBorders/>
            <w:shd w:fill="CCEEFF" w:val="clear"/>
            <w:vAlign w:val="center"/>
          </w:tcPr>
          <w:p>
            <w:pPr>
              <w:pStyle w:val="TableContents"/>
              <w:spacing w:before="0" w:after="0"/>
              <w:ind w:left="0" w:right="0" w:hanging="0"/>
              <w:jc w:val="center"/>
              <w:rPr/>
            </w:pPr>
            <w:r>
              <w:rPr/>
              <w:t>​</w:t>
            </w:r>
          </w:p>
        </w:tc>
        <w:tc>
          <w:tcPr>
            <w:tcW w:w="166" w:type="dxa"/>
            <w:tcBorders/>
            <w:shd w:fill="CCEEFF"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436"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32,001</w:t>
            </w:r>
          </w:p>
        </w:tc>
        <w:tc>
          <w:tcPr>
            <w:tcW w:w="326" w:type="dxa"/>
            <w:tcBorders/>
            <w:shd w:fill="CCEEFF" w:val="clear"/>
            <w:vAlign w:val="center"/>
          </w:tcPr>
          <w:p>
            <w:pPr>
              <w:pStyle w:val="TableContents"/>
              <w:spacing w:before="0" w:after="0"/>
              <w:ind w:left="0" w:right="0" w:hanging="0"/>
              <w:jc w:val="center"/>
              <w:rPr/>
            </w:pPr>
            <w:r>
              <w:rPr/>
              <w:t>​</w:t>
            </w:r>
          </w:p>
        </w:tc>
        <w:tc>
          <w:tcPr>
            <w:tcW w:w="556"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12,800</w:t>
            </w:r>
          </w:p>
        </w:tc>
        <w:tc>
          <w:tcPr>
            <w:tcW w:w="32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436"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26,000</w:t>
            </w:r>
          </w:p>
        </w:tc>
        <w:tc>
          <w:tcPr>
            <w:tcW w:w="326" w:type="dxa"/>
            <w:tcBorders/>
            <w:shd w:fill="CCEEFF" w:val="clear"/>
            <w:vAlign w:val="center"/>
          </w:tcPr>
          <w:p>
            <w:pPr>
              <w:pStyle w:val="TableContents"/>
              <w:spacing w:before="0" w:after="0"/>
              <w:ind w:left="0" w:right="0" w:hanging="0"/>
              <w:jc w:val="center"/>
              <w:rPr/>
            </w:pPr>
            <w:r>
              <w:rPr/>
              <w:t>​</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4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3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474" w:type="dxa"/>
            <w:tcBorders/>
            <w:shd w:fill="CCEEFF"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5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556"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10,865</w:t>
            </w:r>
          </w:p>
        </w:tc>
        <w:tc>
          <w:tcPr>
            <w:tcW w:w="326" w:type="dxa"/>
            <w:tcBorders/>
            <w:shd w:fill="CCEEFF" w:val="clear"/>
            <w:vAlign w:val="center"/>
          </w:tcPr>
          <w:p>
            <w:pPr>
              <w:pStyle w:val="TableContents"/>
              <w:spacing w:before="0" w:after="0"/>
              <w:ind w:left="0" w:right="0" w:hanging="0"/>
              <w:jc w:val="center"/>
              <w:rPr/>
            </w:pPr>
            <w:r>
              <w:rPr/>
              <w:t>​</w:t>
            </w:r>
          </w:p>
        </w:tc>
        <w:tc>
          <w:tcPr>
            <w:tcW w:w="180" w:type="dxa"/>
            <w:tcBorders/>
            <w:shd w:fill="CCEEFF"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376"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w:t>
            </w:r>
          </w:p>
        </w:tc>
        <w:tc>
          <w:tcPr>
            <w:tcW w:w="326" w:type="dxa"/>
            <w:tcBorders/>
            <w:shd w:fill="CCEEFF" w:val="clear"/>
            <w:vAlign w:val="center"/>
          </w:tcPr>
          <w:p>
            <w:pPr>
              <w:pStyle w:val="TableContents"/>
              <w:spacing w:before="0" w:after="0"/>
              <w:ind w:left="0" w:right="0" w:hanging="0"/>
              <w:jc w:val="center"/>
              <w:rPr/>
            </w:pPr>
            <w:r>
              <w:rPr/>
              <w:t>​</w:t>
            </w:r>
          </w:p>
        </w:tc>
        <w:tc>
          <w:tcPr>
            <w:tcW w:w="213" w:type="dxa"/>
            <w:tcBorders/>
            <w:shd w:fill="CCEEFF"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523"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477</w:t>
            </w:r>
          </w:p>
        </w:tc>
        <w:tc>
          <w:tcPr>
            <w:tcW w:w="326" w:type="dxa"/>
            <w:tcBorders/>
            <w:shd w:fill="CCEEFF" w:val="clear"/>
            <w:vAlign w:val="center"/>
          </w:tcPr>
          <w:p>
            <w:pPr>
              <w:pStyle w:val="TableContents"/>
              <w:spacing w:before="0" w:after="0"/>
              <w:ind w:left="0" w:right="0" w:hanging="0"/>
              <w:jc w:val="center"/>
              <w:rPr/>
            </w:pPr>
            <w:r>
              <w:rPr/>
              <w:t>​</w:t>
            </w:r>
          </w:p>
        </w:tc>
        <w:tc>
          <w:tcPr>
            <w:tcW w:w="339" w:type="dxa"/>
            <w:tcBorders/>
            <w:shd w:fill="CCEEFF"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712"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w:t>
            </w:r>
          </w:p>
        </w:tc>
        <w:tc>
          <w:tcPr>
            <w:tcW w:w="326" w:type="dxa"/>
            <w:tcBorders/>
            <w:shd w:fill="CCEEFF" w:val="clear"/>
            <w:vAlign w:val="center"/>
          </w:tcPr>
          <w:p>
            <w:pPr>
              <w:pStyle w:val="TableContents"/>
              <w:spacing w:before="0" w:after="0"/>
              <w:ind w:left="0" w:right="0" w:hanging="0"/>
              <w:jc w:val="center"/>
              <w:rPr/>
            </w:pPr>
            <w:r>
              <w:rPr/>
              <w:t>​</w:t>
            </w:r>
          </w:p>
        </w:tc>
        <w:tc>
          <w:tcPr>
            <w:tcW w:w="219" w:type="dxa"/>
            <w:tcBorders/>
            <w:shd w:fill="CCEEFF"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697"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(22,946)</w:t>
            </w:r>
          </w:p>
        </w:tc>
        <w:tc>
          <w:tcPr>
            <w:tcW w:w="326" w:type="dxa"/>
            <w:tcBorders/>
            <w:shd w:fill="CCEEFF" w:val="clear"/>
            <w:vAlign w:val="center"/>
          </w:tcPr>
          <w:p>
            <w:pPr>
              <w:pStyle w:val="TableContents"/>
              <w:spacing w:before="0" w:after="0"/>
              <w:ind w:left="0" w:right="0" w:hanging="0"/>
              <w:jc w:val="center"/>
              <w:rPr/>
            </w:pPr>
            <w:r>
              <w:rPr/>
              <w:t>​</w:t>
            </w:r>
          </w:p>
        </w:tc>
        <w:tc>
          <w:tcPr>
            <w:tcW w:w="233" w:type="dxa"/>
            <w:tcBorders/>
            <w:shd w:fill="CCEEFF"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803"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(22,469)</w:t>
            </w:r>
          </w:p>
        </w:tc>
      </w:tr>
      <w:tr>
        <w:trPr/>
        <w:tc>
          <w:tcPr>
            <w:tcW w:w="1081" w:type="dxa"/>
            <w:tcBorders/>
            <w:shd w:fill="auto"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Issuance of Series B redeemable convertible preferred shares, net of issuance costs of $3,551</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6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24,702</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96,449</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74" w:type="dxa"/>
            <w:tcBorders/>
            <w:shd w:fill="auto" w:val="clear"/>
            <w:vAlign w:val="center"/>
          </w:tcPr>
          <w:p>
            <w:pPr>
              <w:pStyle w:val="TableContents"/>
              <w:spacing w:before="0" w:after="0"/>
              <w:ind w:left="0" w:right="0" w:hanging="0"/>
              <w:rPr/>
            </w:pPr>
            <w:r>
              <w:rPr/>
              <w:t> </w:t>
            </w:r>
          </w:p>
        </w:tc>
        <w:tc>
          <w:tcPr>
            <w:tcW w:w="5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0" w:type="dxa"/>
            <w:tcBorders/>
            <w:shd w:fill="auto" w:val="clear"/>
            <w:vAlign w:val="center"/>
          </w:tcPr>
          <w:p>
            <w:pPr>
              <w:pStyle w:val="TableContents"/>
              <w:spacing w:before="0" w:after="0"/>
              <w:ind w:left="0" w:right="0" w:hanging="0"/>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39" w:type="dxa"/>
            <w:tcBorders/>
            <w:shd w:fill="auto" w:val="clear"/>
            <w:vAlign w:val="center"/>
          </w:tcPr>
          <w:p>
            <w:pPr>
              <w:pStyle w:val="TableContents"/>
              <w:spacing w:before="0" w:after="0"/>
              <w:ind w:left="0" w:right="0" w:hanging="0"/>
              <w:rPr/>
            </w:pPr>
            <w:r>
              <w:rPr/>
              <w:t> </w:t>
            </w:r>
          </w:p>
        </w:tc>
        <w:tc>
          <w:tcPr>
            <w:tcW w:w="71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69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 </w:t>
            </w:r>
          </w:p>
        </w:tc>
        <w:tc>
          <w:tcPr>
            <w:tcW w:w="803" w:type="dxa"/>
            <w:tcBorders/>
            <w:shd w:fill="auto" w:val="clear"/>
            <w:vAlign w:val="center"/>
          </w:tcPr>
          <w:p>
            <w:pPr>
              <w:pStyle w:val="TableContents"/>
              <w:spacing w:before="0" w:after="0"/>
              <w:ind w:left="0" w:right="0" w:hanging="0"/>
              <w:jc w:val="right"/>
              <w:rPr/>
            </w:pPr>
            <w:r>
              <w:rPr/>
              <w:t>—</w:t>
            </w:r>
          </w:p>
        </w:tc>
      </w:tr>
      <w:tr>
        <w:trPr/>
        <w:tc>
          <w:tcPr>
            <w:tcW w:w="1081" w:type="dxa"/>
            <w:tcBorders/>
            <w:shd w:fill="CCEEFF"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Accretion of Series B redeemable convertible preferred shares to their redemption value</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6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3,551</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3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74" w:type="dxa"/>
            <w:tcBorders/>
            <w:shd w:fill="CCEEFF" w:val="clear"/>
            <w:vAlign w:val="center"/>
          </w:tcPr>
          <w:p>
            <w:pPr>
              <w:pStyle w:val="TableContents"/>
              <w:spacing w:before="0" w:after="0"/>
              <w:ind w:left="0" w:right="0" w:hanging="0"/>
              <w:rPr/>
            </w:pPr>
            <w:r>
              <w:rPr/>
              <w:t> </w:t>
            </w:r>
          </w:p>
        </w:tc>
        <w:tc>
          <w:tcPr>
            <w:tcW w:w="5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0" w:type="dxa"/>
            <w:tcBorders/>
            <w:shd w:fill="CCEEFF" w:val="clear"/>
            <w:vAlign w:val="center"/>
          </w:tcPr>
          <w:p>
            <w:pPr>
              <w:pStyle w:val="TableContents"/>
              <w:spacing w:before="0" w:after="0"/>
              <w:ind w:left="0" w:right="0" w:hanging="0"/>
              <w:rPr/>
            </w:pPr>
            <w:r>
              <w:rPr/>
              <w:t> </w:t>
            </w:r>
          </w:p>
        </w:tc>
        <w:tc>
          <w:tcPr>
            <w:tcW w:w="3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 </w:t>
            </w:r>
          </w:p>
        </w:tc>
        <w:tc>
          <w:tcPr>
            <w:tcW w:w="523"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(1,038)</w:t>
            </w:r>
          </w:p>
        </w:tc>
        <w:tc>
          <w:tcPr>
            <w:tcW w:w="326" w:type="dxa"/>
            <w:tcBorders/>
            <w:shd w:fill="CCEEFF" w:val="clear"/>
            <w:vAlign w:val="center"/>
          </w:tcPr>
          <w:p>
            <w:pPr>
              <w:pStyle w:val="TableContents"/>
              <w:spacing w:before="0" w:after="0"/>
              <w:ind w:left="0" w:right="0" w:hanging="0"/>
              <w:rPr/>
            </w:pPr>
            <w:r>
              <w:rPr/>
              <w:t>​</w:t>
            </w:r>
          </w:p>
        </w:tc>
        <w:tc>
          <w:tcPr>
            <w:tcW w:w="339" w:type="dxa"/>
            <w:tcBorders/>
            <w:shd w:fill="CCEEFF" w:val="clear"/>
            <w:vAlign w:val="center"/>
          </w:tcPr>
          <w:p>
            <w:pPr>
              <w:pStyle w:val="TableContents"/>
              <w:spacing w:before="0" w:after="0"/>
              <w:ind w:left="0" w:right="0" w:hanging="0"/>
              <w:rPr/>
            </w:pPr>
            <w:r>
              <w:rPr/>
              <w:t> </w:t>
            </w:r>
          </w:p>
        </w:tc>
        <w:tc>
          <w:tcPr>
            <w:tcW w:w="71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697"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(2,513)</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 </w:t>
            </w:r>
          </w:p>
        </w:tc>
        <w:tc>
          <w:tcPr>
            <w:tcW w:w="803"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(3,551)</w:t>
            </w:r>
          </w:p>
        </w:tc>
      </w:tr>
      <w:tr>
        <w:trPr/>
        <w:tc>
          <w:tcPr>
            <w:tcW w:w="1081" w:type="dxa"/>
            <w:tcBorders/>
            <w:shd w:fill="auto"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Issuance of Series Seed redeemable convertible preferred shares of Basecamp to noncontrolling interest holders, net of issuance costs of $91</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6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74" w:type="dxa"/>
            <w:tcBorders/>
            <w:shd w:fill="auto" w:val="clear"/>
            <w:vAlign w:val="center"/>
          </w:tcPr>
          <w:p>
            <w:pPr>
              <w:pStyle w:val="TableContents"/>
              <w:spacing w:before="0" w:after="0"/>
              <w:ind w:left="0" w:right="0" w:hanging="0"/>
              <w:rPr/>
            </w:pPr>
            <w:r>
              <w:rPr/>
              <w:t> </w:t>
            </w:r>
          </w:p>
        </w:tc>
        <w:tc>
          <w:tcPr>
            <w:tcW w:w="592"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6,909</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0" w:type="dxa"/>
            <w:tcBorders/>
            <w:shd w:fill="auto" w:val="clear"/>
            <w:vAlign w:val="center"/>
          </w:tcPr>
          <w:p>
            <w:pPr>
              <w:pStyle w:val="TableContents"/>
              <w:spacing w:before="0" w:after="0"/>
              <w:ind w:left="0" w:right="0" w:hanging="0"/>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 </w:t>
            </w:r>
          </w:p>
        </w:tc>
        <w:tc>
          <w:tcPr>
            <w:tcW w:w="52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39" w:type="dxa"/>
            <w:tcBorders/>
            <w:shd w:fill="auto" w:val="clear"/>
            <w:vAlign w:val="center"/>
          </w:tcPr>
          <w:p>
            <w:pPr>
              <w:pStyle w:val="TableContents"/>
              <w:spacing w:before="0" w:after="0"/>
              <w:ind w:left="0" w:right="0" w:hanging="0"/>
              <w:rPr/>
            </w:pPr>
            <w:r>
              <w:rPr/>
              <w:t> </w:t>
            </w:r>
          </w:p>
        </w:tc>
        <w:tc>
          <w:tcPr>
            <w:tcW w:w="71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69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 </w:t>
            </w:r>
          </w:p>
        </w:tc>
        <w:tc>
          <w:tcPr>
            <w:tcW w:w="803" w:type="dxa"/>
            <w:tcBorders/>
            <w:shd w:fill="auto" w:val="clear"/>
            <w:vAlign w:val="center"/>
          </w:tcPr>
          <w:p>
            <w:pPr>
              <w:pStyle w:val="TableContents"/>
              <w:spacing w:before="0" w:after="0"/>
              <w:ind w:left="0" w:right="0" w:hanging="0"/>
              <w:jc w:val="right"/>
              <w:rPr/>
            </w:pPr>
            <w:r>
              <w:rPr/>
              <w:t>—</w:t>
            </w:r>
          </w:p>
        </w:tc>
      </w:tr>
      <w:tr>
        <w:trPr/>
        <w:tc>
          <w:tcPr>
            <w:tcW w:w="1081" w:type="dxa"/>
            <w:tcBorders/>
            <w:shd w:fill="CCEEFF"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 xml:space="preserve">Accretion of Series Seed redeemable convertible preferred shares to their redemption value </w:t>
            </w:r>
          </w:p>
        </w:tc>
        <w:tc>
          <w:tcPr>
            <w:tcW w:w="326" w:type="dxa"/>
            <w:tcBorders/>
            <w:shd w:fill="CCEEFF" w:val="clear"/>
            <w:vAlign w:val="center"/>
          </w:tcPr>
          <w:p>
            <w:pPr>
              <w:pStyle w:val="TableContents"/>
              <w:spacing w:before="0" w:after="0"/>
              <w:ind w:left="0" w:right="0" w:hanging="0"/>
              <w:jc w:val="center"/>
              <w:rPr/>
            </w:pPr>
            <w:r>
              <w:rPr/>
              <w:t>​</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6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4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3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474" w:type="dxa"/>
            <w:tcBorders/>
            <w:shd w:fill="CCEEFF" w:val="clear"/>
            <w:vAlign w:val="center"/>
          </w:tcPr>
          <w:p>
            <w:pPr>
              <w:pStyle w:val="TableContents"/>
              <w:spacing w:before="0" w:after="0"/>
              <w:ind w:left="0" w:right="0" w:hanging="0"/>
              <w:rPr/>
            </w:pPr>
            <w:r>
              <w:rPr/>
              <w:t>​</w:t>
            </w:r>
          </w:p>
        </w:tc>
        <w:tc>
          <w:tcPr>
            <w:tcW w:w="592"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91</w:t>
            </w:r>
          </w:p>
        </w:tc>
        <w:tc>
          <w:tcPr>
            <w:tcW w:w="326" w:type="dxa"/>
            <w:tcBorders/>
            <w:shd w:fill="CCEEFF" w:val="clear"/>
            <w:vAlign w:val="center"/>
          </w:tcPr>
          <w:p>
            <w:pPr>
              <w:pStyle w:val="TableContents"/>
              <w:spacing w:before="0" w:after="0"/>
              <w:ind w:left="0" w:right="0" w:hanging="0"/>
              <w:jc w:val="center"/>
              <w:rPr/>
            </w:pPr>
            <w:r>
              <w:rPr/>
              <w:t>​</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180" w:type="dxa"/>
            <w:tcBorders/>
            <w:shd w:fill="CCEEFF" w:val="clear"/>
            <w:vAlign w:val="center"/>
          </w:tcPr>
          <w:p>
            <w:pPr>
              <w:pStyle w:val="TableContents"/>
              <w:spacing w:before="0" w:after="0"/>
              <w:ind w:left="0" w:right="0" w:hanging="0"/>
              <w:rPr/>
            </w:pPr>
            <w:r>
              <w:rPr/>
              <w:t>​</w:t>
            </w:r>
          </w:p>
        </w:tc>
        <w:tc>
          <w:tcPr>
            <w:tcW w:w="3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13" w:type="dxa"/>
            <w:tcBorders/>
            <w:shd w:fill="CCEEFF" w:val="clear"/>
            <w:vAlign w:val="center"/>
          </w:tcPr>
          <w:p>
            <w:pPr>
              <w:pStyle w:val="TableContents"/>
              <w:spacing w:before="0" w:after="0"/>
              <w:ind w:left="0" w:right="0" w:hanging="0"/>
              <w:rPr/>
            </w:pPr>
            <w:r>
              <w:rPr/>
              <w:t>​</w:t>
            </w:r>
          </w:p>
        </w:tc>
        <w:tc>
          <w:tcPr>
            <w:tcW w:w="52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339" w:type="dxa"/>
            <w:tcBorders/>
            <w:shd w:fill="CCEEFF" w:val="clear"/>
            <w:vAlign w:val="center"/>
          </w:tcPr>
          <w:p>
            <w:pPr>
              <w:pStyle w:val="TableContents"/>
              <w:spacing w:before="0" w:after="0"/>
              <w:ind w:left="0" w:right="0" w:hanging="0"/>
              <w:rPr/>
            </w:pPr>
            <w:r>
              <w:rPr/>
              <w:t>​</w:t>
            </w:r>
          </w:p>
        </w:tc>
        <w:tc>
          <w:tcPr>
            <w:tcW w:w="71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center"/>
              <w:rPr/>
            </w:pPr>
            <w:r>
              <w:rPr/>
              <w:t>​</w:t>
            </w:r>
          </w:p>
        </w:tc>
        <w:tc>
          <w:tcPr>
            <w:tcW w:w="219" w:type="dxa"/>
            <w:tcBorders/>
            <w:shd w:fill="CCEEFF" w:val="clear"/>
            <w:vAlign w:val="center"/>
          </w:tcPr>
          <w:p>
            <w:pPr>
              <w:pStyle w:val="TableContents"/>
              <w:spacing w:before="0" w:after="0"/>
              <w:ind w:left="0" w:right="0" w:hanging="0"/>
              <w:rPr/>
            </w:pPr>
            <w:r>
              <w:rPr/>
              <w:t>​</w:t>
            </w:r>
          </w:p>
        </w:tc>
        <w:tc>
          <w:tcPr>
            <w:tcW w:w="697"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(91)</w:t>
            </w:r>
          </w:p>
        </w:tc>
        <w:tc>
          <w:tcPr>
            <w:tcW w:w="326" w:type="dxa"/>
            <w:tcBorders/>
            <w:shd w:fill="CCEEFF" w:val="clear"/>
            <w:vAlign w:val="center"/>
          </w:tcPr>
          <w:p>
            <w:pPr>
              <w:pStyle w:val="TableContents"/>
              <w:spacing w:before="0" w:after="0"/>
              <w:ind w:left="0" w:right="0" w:hanging="0"/>
              <w:jc w:val="center"/>
              <w:rPr/>
            </w:pPr>
            <w:r>
              <w:rPr/>
              <w:t>​</w:t>
            </w:r>
          </w:p>
        </w:tc>
        <w:tc>
          <w:tcPr>
            <w:tcW w:w="233" w:type="dxa"/>
            <w:tcBorders/>
            <w:shd w:fill="CCEEFF" w:val="clear"/>
            <w:vAlign w:val="center"/>
          </w:tcPr>
          <w:p>
            <w:pPr>
              <w:pStyle w:val="TableContents"/>
              <w:spacing w:before="0" w:after="0"/>
              <w:ind w:left="0" w:right="0" w:hanging="0"/>
              <w:rPr/>
            </w:pPr>
            <w:r>
              <w:rPr/>
              <w:t>​</w:t>
            </w:r>
          </w:p>
        </w:tc>
        <w:tc>
          <w:tcPr>
            <w:tcW w:w="803"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(91)</w:t>
            </w:r>
          </w:p>
        </w:tc>
      </w:tr>
      <w:tr>
        <w:trPr/>
        <w:tc>
          <w:tcPr>
            <w:tcW w:w="1081" w:type="dxa"/>
            <w:tcBorders/>
            <w:shd w:fill="auto"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 xml:space="preserve">Issuance of Series B-1 redeemable convertible preferred shares in exchange of redeemable noncontrolling interest, net of issuance costs of $115 (including $1,959 representing the excess of the fair value of Series B-1 redeemable convertible preferred shares over the carrying amount of redeemable noncontrolling interest) </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6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2,161</w:t>
            </w:r>
          </w:p>
        </w:tc>
        <w:tc>
          <w:tcPr>
            <w:tcW w:w="3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376"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8,844</w:t>
            </w:r>
          </w:p>
        </w:tc>
        <w:tc>
          <w:tcPr>
            <w:tcW w:w="326" w:type="dxa"/>
            <w:tcBorders/>
            <w:shd w:fill="auto" w:val="clear"/>
            <w:vAlign w:val="center"/>
          </w:tcPr>
          <w:p>
            <w:pPr>
              <w:pStyle w:val="TableContents"/>
              <w:spacing w:before="0" w:after="0"/>
              <w:ind w:left="0" w:right="0" w:hanging="0"/>
              <w:jc w:val="center"/>
              <w:rPr/>
            </w:pPr>
            <w:r>
              <w:rPr/>
              <w:t>​</w:t>
            </w:r>
          </w:p>
        </w:tc>
        <w:tc>
          <w:tcPr>
            <w:tcW w:w="474" w:type="dxa"/>
            <w:tcBorders/>
            <w:shd w:fill="auto" w:val="clear"/>
            <w:vAlign w:val="center"/>
          </w:tcPr>
          <w:p>
            <w:pPr>
              <w:pStyle w:val="TableContents"/>
              <w:spacing w:before="0" w:after="0"/>
              <w:ind w:left="0" w:right="0" w:hanging="0"/>
              <w:rPr/>
            </w:pPr>
            <w:r>
              <w:rPr/>
              <w:t> </w:t>
            </w:r>
          </w:p>
        </w:tc>
        <w:tc>
          <w:tcPr>
            <w:tcW w:w="592"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(7,000)</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80" w:type="dxa"/>
            <w:tcBorders/>
            <w:shd w:fill="auto" w:val="clear"/>
            <w:vAlign w:val="center"/>
          </w:tcPr>
          <w:p>
            <w:pPr>
              <w:pStyle w:val="TableContents"/>
              <w:spacing w:before="0" w:after="0"/>
              <w:ind w:left="0" w:right="0" w:hanging="0"/>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3" w:type="dxa"/>
            <w:tcBorders/>
            <w:shd w:fill="auto" w:val="clear"/>
            <w:vAlign w:val="center"/>
          </w:tcPr>
          <w:p>
            <w:pPr>
              <w:pStyle w:val="TableContents"/>
              <w:spacing w:before="0" w:after="0"/>
              <w:ind w:left="0" w:right="0" w:hanging="0"/>
              <w:rPr/>
            </w:pPr>
            <w:r>
              <w:rPr/>
              <w:t> </w:t>
            </w:r>
          </w:p>
        </w:tc>
        <w:tc>
          <w:tcPr>
            <w:tcW w:w="523"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(937)</w:t>
            </w:r>
          </w:p>
        </w:tc>
        <w:tc>
          <w:tcPr>
            <w:tcW w:w="326" w:type="dxa"/>
            <w:tcBorders/>
            <w:shd w:fill="auto" w:val="clear"/>
            <w:vAlign w:val="center"/>
          </w:tcPr>
          <w:p>
            <w:pPr>
              <w:pStyle w:val="TableContents"/>
              <w:spacing w:before="0" w:after="0"/>
              <w:ind w:left="0" w:right="0" w:hanging="0"/>
              <w:jc w:val="center"/>
              <w:rPr/>
            </w:pPr>
            <w:r>
              <w:rPr/>
              <w:t>​</w:t>
            </w:r>
          </w:p>
        </w:tc>
        <w:tc>
          <w:tcPr>
            <w:tcW w:w="339" w:type="dxa"/>
            <w:tcBorders/>
            <w:shd w:fill="auto" w:val="clear"/>
            <w:vAlign w:val="center"/>
          </w:tcPr>
          <w:p>
            <w:pPr>
              <w:pStyle w:val="TableContents"/>
              <w:spacing w:before="0" w:after="0"/>
              <w:ind w:left="0" w:right="0" w:hanging="0"/>
              <w:rPr/>
            </w:pPr>
            <w:r>
              <w:rPr/>
              <w:t> </w:t>
            </w:r>
          </w:p>
        </w:tc>
        <w:tc>
          <w:tcPr>
            <w:tcW w:w="71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9" w:type="dxa"/>
            <w:tcBorders/>
            <w:shd w:fill="auto" w:val="clear"/>
            <w:vAlign w:val="center"/>
          </w:tcPr>
          <w:p>
            <w:pPr>
              <w:pStyle w:val="TableContents"/>
              <w:spacing w:before="0" w:after="0"/>
              <w:ind w:left="0" w:right="0" w:hanging="0"/>
              <w:rPr/>
            </w:pPr>
            <w:r>
              <w:rPr/>
              <w:t> </w:t>
            </w:r>
          </w:p>
        </w:tc>
        <w:tc>
          <w:tcPr>
            <w:tcW w:w="697"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(1,022)</w:t>
            </w:r>
          </w:p>
        </w:tc>
        <w:tc>
          <w:tcPr>
            <w:tcW w:w="326" w:type="dxa"/>
            <w:tcBorders/>
            <w:shd w:fill="auto" w:val="clear"/>
            <w:vAlign w:val="center"/>
          </w:tcPr>
          <w:p>
            <w:pPr>
              <w:pStyle w:val="TableContents"/>
              <w:spacing w:before="0" w:after="0"/>
              <w:ind w:left="0" w:right="0" w:hanging="0"/>
              <w:jc w:val="center"/>
              <w:rPr/>
            </w:pPr>
            <w:r>
              <w:rPr/>
              <w:t>​</w:t>
            </w:r>
          </w:p>
        </w:tc>
        <w:tc>
          <w:tcPr>
            <w:tcW w:w="233" w:type="dxa"/>
            <w:tcBorders/>
            <w:shd w:fill="auto" w:val="clear"/>
            <w:vAlign w:val="center"/>
          </w:tcPr>
          <w:p>
            <w:pPr>
              <w:pStyle w:val="TableContents"/>
              <w:spacing w:before="0" w:after="0"/>
              <w:ind w:left="0" w:right="0" w:hanging="0"/>
              <w:rPr/>
            </w:pPr>
            <w:r>
              <w:rPr/>
              <w:t>​</w:t>
            </w:r>
          </w:p>
        </w:tc>
        <w:tc>
          <w:tcPr>
            <w:tcW w:w="803"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(1,959)</w:t>
            </w:r>
          </w:p>
        </w:tc>
      </w:tr>
      <w:tr>
        <w:trPr/>
        <w:tc>
          <w:tcPr>
            <w:tcW w:w="1081" w:type="dxa"/>
            <w:tcBorders/>
            <w:shd w:fill="CCEEFF"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Accretion of Series B-1 redeemable convertible preferred shares to their redemption value</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6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326" w:type="dxa"/>
            <w:tcBorders/>
            <w:shd w:fill="CCEEFF" w:val="clear"/>
            <w:vAlign w:val="center"/>
          </w:tcPr>
          <w:p>
            <w:pPr>
              <w:pStyle w:val="TableContents"/>
              <w:spacing w:before="0" w:after="0"/>
              <w:ind w:left="0" w:right="0" w:hanging="0"/>
              <w:rPr/>
            </w:pPr>
            <w:r>
              <w:rPr/>
              <w:t>​</w:t>
            </w:r>
          </w:p>
        </w:tc>
        <w:tc>
          <w:tcPr>
            <w:tcW w:w="4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326" w:type="dxa"/>
            <w:tcBorders/>
            <w:shd w:fill="CCEEFF" w:val="clear"/>
            <w:vAlign w:val="center"/>
          </w:tcPr>
          <w:p>
            <w:pPr>
              <w:pStyle w:val="TableContents"/>
              <w:spacing w:before="0" w:after="0"/>
              <w:ind w:left="0" w:right="0" w:hanging="0"/>
              <w:rPr/>
            </w:pPr>
            <w:r>
              <w:rPr/>
              <w:t>​</w:t>
            </w:r>
          </w:p>
        </w:tc>
        <w:tc>
          <w:tcPr>
            <w:tcW w:w="376"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115</w:t>
            </w:r>
          </w:p>
        </w:tc>
        <w:tc>
          <w:tcPr>
            <w:tcW w:w="326" w:type="dxa"/>
            <w:tcBorders/>
            <w:shd w:fill="CCEEFF" w:val="clear"/>
            <w:vAlign w:val="center"/>
          </w:tcPr>
          <w:p>
            <w:pPr>
              <w:pStyle w:val="TableContents"/>
              <w:spacing w:before="0" w:after="0"/>
              <w:ind w:left="0" w:right="0" w:hanging="0"/>
              <w:rPr/>
            </w:pPr>
            <w:r>
              <w:rPr/>
              <w:t> </w:t>
            </w:r>
          </w:p>
        </w:tc>
        <w:tc>
          <w:tcPr>
            <w:tcW w:w="474" w:type="dxa"/>
            <w:tcBorders/>
            <w:shd w:fill="CCEEFF" w:val="clear"/>
            <w:vAlign w:val="center"/>
          </w:tcPr>
          <w:p>
            <w:pPr>
              <w:pStyle w:val="TableContents"/>
              <w:spacing w:before="0" w:after="0"/>
              <w:ind w:left="0" w:right="0" w:hanging="0"/>
              <w:rPr/>
            </w:pPr>
            <w:r>
              <w:rPr/>
              <w:t>​</w:t>
            </w:r>
          </w:p>
        </w:tc>
        <w:tc>
          <w:tcPr>
            <w:tcW w:w="5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80" w:type="dxa"/>
            <w:tcBorders/>
            <w:shd w:fill="CCEEFF" w:val="clear"/>
            <w:vAlign w:val="center"/>
          </w:tcPr>
          <w:p>
            <w:pPr>
              <w:pStyle w:val="TableContents"/>
              <w:spacing w:before="0" w:after="0"/>
              <w:ind w:left="0" w:right="0" w:hanging="0"/>
              <w:rPr/>
            </w:pPr>
            <w:r>
              <w:rPr/>
              <w:t>​</w:t>
            </w:r>
          </w:p>
        </w:tc>
        <w:tc>
          <w:tcPr>
            <w:tcW w:w="3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3" w:type="dxa"/>
            <w:tcBorders/>
            <w:shd w:fill="CCEEFF" w:val="clear"/>
            <w:vAlign w:val="center"/>
          </w:tcPr>
          <w:p>
            <w:pPr>
              <w:pStyle w:val="TableContents"/>
              <w:spacing w:before="0" w:after="0"/>
              <w:ind w:left="0" w:right="0" w:hanging="0"/>
              <w:rPr/>
            </w:pPr>
            <w:r>
              <w:rPr/>
              <w:t>​</w:t>
            </w:r>
          </w:p>
        </w:tc>
        <w:tc>
          <w:tcPr>
            <w:tcW w:w="52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339" w:type="dxa"/>
            <w:tcBorders/>
            <w:shd w:fill="CCEEFF" w:val="clear"/>
            <w:vAlign w:val="center"/>
          </w:tcPr>
          <w:p>
            <w:pPr>
              <w:pStyle w:val="TableContents"/>
              <w:spacing w:before="0" w:after="0"/>
              <w:ind w:left="0" w:right="0" w:hanging="0"/>
              <w:rPr/>
            </w:pPr>
            <w:r>
              <w:rPr/>
              <w:t>​</w:t>
            </w:r>
          </w:p>
        </w:tc>
        <w:tc>
          <w:tcPr>
            <w:tcW w:w="71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9" w:type="dxa"/>
            <w:tcBorders/>
            <w:shd w:fill="CCEEFF" w:val="clear"/>
            <w:vAlign w:val="center"/>
          </w:tcPr>
          <w:p>
            <w:pPr>
              <w:pStyle w:val="TableContents"/>
              <w:spacing w:before="0" w:after="0"/>
              <w:ind w:left="0" w:right="0" w:hanging="0"/>
              <w:rPr/>
            </w:pPr>
            <w:r>
              <w:rPr/>
              <w:t>​</w:t>
            </w:r>
          </w:p>
        </w:tc>
        <w:tc>
          <w:tcPr>
            <w:tcW w:w="697"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(115)</w:t>
            </w:r>
          </w:p>
        </w:tc>
        <w:tc>
          <w:tcPr>
            <w:tcW w:w="326" w:type="dxa"/>
            <w:tcBorders/>
            <w:shd w:fill="CCEEFF" w:val="clear"/>
            <w:vAlign w:val="center"/>
          </w:tcPr>
          <w:p>
            <w:pPr>
              <w:pStyle w:val="TableContents"/>
              <w:spacing w:before="0" w:after="0"/>
              <w:ind w:left="0" w:right="0" w:hanging="0"/>
              <w:rPr/>
            </w:pPr>
            <w:r>
              <w:rPr/>
              <w:t> </w:t>
            </w:r>
          </w:p>
        </w:tc>
        <w:tc>
          <w:tcPr>
            <w:tcW w:w="233" w:type="dxa"/>
            <w:tcBorders/>
            <w:shd w:fill="CCEEFF" w:val="clear"/>
            <w:vAlign w:val="center"/>
          </w:tcPr>
          <w:p>
            <w:pPr>
              <w:pStyle w:val="TableContents"/>
              <w:spacing w:before="0" w:after="0"/>
              <w:ind w:left="0" w:right="0" w:hanging="0"/>
              <w:rPr/>
            </w:pPr>
            <w:r>
              <w:rPr/>
              <w:t>​</w:t>
            </w:r>
          </w:p>
        </w:tc>
        <w:tc>
          <w:tcPr>
            <w:tcW w:w="803"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(115)</w:t>
            </w:r>
          </w:p>
        </w:tc>
      </w:tr>
      <w:tr>
        <w:trPr/>
        <w:tc>
          <w:tcPr>
            <w:tcW w:w="1081" w:type="dxa"/>
            <w:tcBorders/>
            <w:shd w:fill="auto"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Issuance of ordinary share upon exercise of vested share options</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6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474" w:type="dxa"/>
            <w:tcBorders/>
            <w:shd w:fill="auto" w:val="clear"/>
            <w:vAlign w:val="center"/>
          </w:tcPr>
          <w:p>
            <w:pPr>
              <w:pStyle w:val="TableContents"/>
              <w:spacing w:before="0" w:after="0"/>
              <w:ind w:left="0" w:right="0" w:hanging="0"/>
              <w:rPr/>
            </w:pPr>
            <w:r>
              <w:rPr/>
              <w:t>​</w:t>
            </w:r>
          </w:p>
        </w:tc>
        <w:tc>
          <w:tcPr>
            <w:tcW w:w="5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29</w:t>
            </w:r>
          </w:p>
        </w:tc>
        <w:tc>
          <w:tcPr>
            <w:tcW w:w="326" w:type="dxa"/>
            <w:tcBorders/>
            <w:shd w:fill="auto" w:val="clear"/>
            <w:vAlign w:val="center"/>
          </w:tcPr>
          <w:p>
            <w:pPr>
              <w:pStyle w:val="TableContents"/>
              <w:spacing w:before="0" w:after="0"/>
              <w:ind w:left="0" w:right="0" w:hanging="0"/>
              <w:rPr/>
            </w:pPr>
            <w:r>
              <w:rPr/>
              <w:t> </w:t>
            </w:r>
          </w:p>
        </w:tc>
        <w:tc>
          <w:tcPr>
            <w:tcW w:w="180"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3" w:type="dxa"/>
            <w:tcBorders/>
            <w:shd w:fill="auto" w:val="clear"/>
            <w:vAlign w:val="center"/>
          </w:tcPr>
          <w:p>
            <w:pPr>
              <w:pStyle w:val="TableContents"/>
              <w:spacing w:before="0" w:after="0"/>
              <w:ind w:left="0" w:right="0" w:hanging="0"/>
              <w:rPr/>
            </w:pPr>
            <w:r>
              <w:rPr/>
              <w:t>​</w:t>
            </w:r>
          </w:p>
        </w:tc>
        <w:tc>
          <w:tcPr>
            <w:tcW w:w="523"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11</w:t>
            </w:r>
          </w:p>
        </w:tc>
        <w:tc>
          <w:tcPr>
            <w:tcW w:w="326" w:type="dxa"/>
            <w:tcBorders/>
            <w:shd w:fill="auto" w:val="clear"/>
            <w:vAlign w:val="center"/>
          </w:tcPr>
          <w:p>
            <w:pPr>
              <w:pStyle w:val="TableContents"/>
              <w:spacing w:before="0" w:after="0"/>
              <w:ind w:left="0" w:right="0" w:hanging="0"/>
              <w:rPr/>
            </w:pPr>
            <w:r>
              <w:rPr/>
              <w:t> </w:t>
            </w:r>
          </w:p>
        </w:tc>
        <w:tc>
          <w:tcPr>
            <w:tcW w:w="339" w:type="dxa"/>
            <w:tcBorders/>
            <w:shd w:fill="auto" w:val="clear"/>
            <w:vAlign w:val="center"/>
          </w:tcPr>
          <w:p>
            <w:pPr>
              <w:pStyle w:val="TableContents"/>
              <w:spacing w:before="0" w:after="0"/>
              <w:ind w:left="0" w:right="0" w:hanging="0"/>
              <w:rPr/>
            </w:pPr>
            <w:r>
              <w:rPr/>
              <w:t>​</w:t>
            </w:r>
          </w:p>
        </w:tc>
        <w:tc>
          <w:tcPr>
            <w:tcW w:w="71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9" w:type="dxa"/>
            <w:tcBorders/>
            <w:shd w:fill="auto" w:val="clear"/>
            <w:vAlign w:val="center"/>
          </w:tcPr>
          <w:p>
            <w:pPr>
              <w:pStyle w:val="TableContents"/>
              <w:spacing w:before="0" w:after="0"/>
              <w:ind w:left="0" w:right="0" w:hanging="0"/>
              <w:rPr/>
            </w:pPr>
            <w:r>
              <w:rPr/>
              <w:t>​</w:t>
            </w:r>
          </w:p>
        </w:tc>
        <w:tc>
          <w:tcPr>
            <w:tcW w:w="69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33" w:type="dxa"/>
            <w:tcBorders/>
            <w:shd w:fill="auto" w:val="clear"/>
            <w:vAlign w:val="center"/>
          </w:tcPr>
          <w:p>
            <w:pPr>
              <w:pStyle w:val="TableContents"/>
              <w:spacing w:before="0" w:after="0"/>
              <w:ind w:left="0" w:right="0" w:hanging="0"/>
              <w:rPr/>
            </w:pPr>
            <w:r>
              <w:rPr/>
              <w:t>​</w:t>
            </w:r>
          </w:p>
        </w:tc>
        <w:tc>
          <w:tcPr>
            <w:tcW w:w="803"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11</w:t>
            </w:r>
          </w:p>
        </w:tc>
      </w:tr>
      <w:tr>
        <w:trPr/>
        <w:tc>
          <w:tcPr>
            <w:tcW w:w="1081" w:type="dxa"/>
            <w:tcBorders/>
            <w:shd w:fill="CCEEFF"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 xml:space="preserve">Share-based compensation expense </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6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326" w:type="dxa"/>
            <w:tcBorders/>
            <w:shd w:fill="CCEEFF" w:val="clear"/>
            <w:vAlign w:val="center"/>
          </w:tcPr>
          <w:p>
            <w:pPr>
              <w:pStyle w:val="TableContents"/>
              <w:spacing w:before="0" w:after="0"/>
              <w:ind w:left="0" w:right="0" w:hanging="0"/>
              <w:rPr/>
            </w:pPr>
            <w:r>
              <w:rPr/>
              <w:t>​</w:t>
            </w:r>
          </w:p>
        </w:tc>
        <w:tc>
          <w:tcPr>
            <w:tcW w:w="4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326" w:type="dxa"/>
            <w:tcBorders/>
            <w:shd w:fill="CCEEFF" w:val="clear"/>
            <w:vAlign w:val="center"/>
          </w:tcPr>
          <w:p>
            <w:pPr>
              <w:pStyle w:val="TableContents"/>
              <w:spacing w:before="0" w:after="0"/>
              <w:ind w:left="0" w:right="0" w:hanging="0"/>
              <w:rPr/>
            </w:pPr>
            <w:r>
              <w:rPr/>
              <w:t>​</w:t>
            </w:r>
          </w:p>
        </w:tc>
        <w:tc>
          <w:tcPr>
            <w:tcW w:w="3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474" w:type="dxa"/>
            <w:tcBorders/>
            <w:shd w:fill="CCEEFF" w:val="clear"/>
            <w:vAlign w:val="center"/>
          </w:tcPr>
          <w:p>
            <w:pPr>
              <w:pStyle w:val="TableContents"/>
              <w:spacing w:before="0" w:after="0"/>
              <w:ind w:left="0" w:right="0" w:hanging="0"/>
              <w:rPr/>
            </w:pPr>
            <w:r>
              <w:rPr/>
              <w:t>​</w:t>
            </w:r>
          </w:p>
        </w:tc>
        <w:tc>
          <w:tcPr>
            <w:tcW w:w="5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80" w:type="dxa"/>
            <w:tcBorders/>
            <w:shd w:fill="CCEEFF" w:val="clear"/>
            <w:vAlign w:val="center"/>
          </w:tcPr>
          <w:p>
            <w:pPr>
              <w:pStyle w:val="TableContents"/>
              <w:spacing w:before="0" w:after="0"/>
              <w:ind w:left="0" w:right="0" w:hanging="0"/>
              <w:rPr/>
            </w:pPr>
            <w:r>
              <w:rPr/>
              <w:t>​</w:t>
            </w:r>
          </w:p>
        </w:tc>
        <w:tc>
          <w:tcPr>
            <w:tcW w:w="3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3" w:type="dxa"/>
            <w:tcBorders/>
            <w:shd w:fill="CCEEFF" w:val="clear"/>
            <w:vAlign w:val="center"/>
          </w:tcPr>
          <w:p>
            <w:pPr>
              <w:pStyle w:val="TableContents"/>
              <w:spacing w:before="0" w:after="0"/>
              <w:ind w:left="0" w:right="0" w:hanging="0"/>
              <w:rPr/>
            </w:pPr>
            <w:r>
              <w:rPr/>
              <w:t>​</w:t>
            </w:r>
          </w:p>
        </w:tc>
        <w:tc>
          <w:tcPr>
            <w:tcW w:w="523"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1,487</w:t>
            </w:r>
          </w:p>
        </w:tc>
        <w:tc>
          <w:tcPr>
            <w:tcW w:w="326" w:type="dxa"/>
            <w:tcBorders/>
            <w:shd w:fill="CCEEFF" w:val="clear"/>
            <w:vAlign w:val="center"/>
          </w:tcPr>
          <w:p>
            <w:pPr>
              <w:pStyle w:val="TableContents"/>
              <w:spacing w:before="0" w:after="0"/>
              <w:ind w:left="0" w:right="0" w:hanging="0"/>
              <w:rPr/>
            </w:pPr>
            <w:r>
              <w:rPr/>
              <w:t> </w:t>
            </w:r>
          </w:p>
        </w:tc>
        <w:tc>
          <w:tcPr>
            <w:tcW w:w="339" w:type="dxa"/>
            <w:tcBorders/>
            <w:shd w:fill="CCEEFF" w:val="clear"/>
            <w:vAlign w:val="center"/>
          </w:tcPr>
          <w:p>
            <w:pPr>
              <w:pStyle w:val="TableContents"/>
              <w:spacing w:before="0" w:after="0"/>
              <w:ind w:left="0" w:right="0" w:hanging="0"/>
              <w:rPr/>
            </w:pPr>
            <w:r>
              <w:rPr/>
              <w:t>​</w:t>
            </w:r>
          </w:p>
        </w:tc>
        <w:tc>
          <w:tcPr>
            <w:tcW w:w="71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9" w:type="dxa"/>
            <w:tcBorders/>
            <w:shd w:fill="CCEEFF" w:val="clear"/>
            <w:vAlign w:val="center"/>
          </w:tcPr>
          <w:p>
            <w:pPr>
              <w:pStyle w:val="TableContents"/>
              <w:spacing w:before="0" w:after="0"/>
              <w:ind w:left="0" w:right="0" w:hanging="0"/>
              <w:rPr/>
            </w:pPr>
            <w:r>
              <w:rPr/>
              <w:t>​</w:t>
            </w:r>
          </w:p>
        </w:tc>
        <w:tc>
          <w:tcPr>
            <w:tcW w:w="69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33" w:type="dxa"/>
            <w:tcBorders/>
            <w:shd w:fill="CCEEFF" w:val="clear"/>
            <w:vAlign w:val="center"/>
          </w:tcPr>
          <w:p>
            <w:pPr>
              <w:pStyle w:val="TableContents"/>
              <w:spacing w:before="0" w:after="0"/>
              <w:ind w:left="0" w:right="0" w:hanging="0"/>
              <w:rPr/>
            </w:pPr>
            <w:r>
              <w:rPr/>
              <w:t>​</w:t>
            </w:r>
          </w:p>
        </w:tc>
        <w:tc>
          <w:tcPr>
            <w:tcW w:w="803"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1,487</w:t>
            </w:r>
          </w:p>
        </w:tc>
      </w:tr>
      <w:tr>
        <w:trPr/>
        <w:tc>
          <w:tcPr>
            <w:tcW w:w="1081" w:type="dxa"/>
            <w:tcBorders/>
            <w:shd w:fill="auto"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 xml:space="preserve">Unrealized gain on investments, net </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6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474" w:type="dxa"/>
            <w:tcBorders/>
            <w:shd w:fill="auto" w:val="clear"/>
            <w:vAlign w:val="center"/>
          </w:tcPr>
          <w:p>
            <w:pPr>
              <w:pStyle w:val="TableContents"/>
              <w:spacing w:before="0" w:after="0"/>
              <w:ind w:left="0" w:right="0" w:hanging="0"/>
              <w:rPr/>
            </w:pPr>
            <w:r>
              <w:rPr/>
              <w:t>​</w:t>
            </w:r>
          </w:p>
        </w:tc>
        <w:tc>
          <w:tcPr>
            <w:tcW w:w="5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80"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3" w:type="dxa"/>
            <w:tcBorders/>
            <w:shd w:fill="auto" w:val="clear"/>
            <w:vAlign w:val="center"/>
          </w:tcPr>
          <w:p>
            <w:pPr>
              <w:pStyle w:val="TableContents"/>
              <w:spacing w:before="0" w:after="0"/>
              <w:ind w:left="0" w:right="0" w:hanging="0"/>
              <w:rPr/>
            </w:pPr>
            <w:r>
              <w:rPr/>
              <w:t>​</w:t>
            </w:r>
          </w:p>
        </w:tc>
        <w:tc>
          <w:tcPr>
            <w:tcW w:w="52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339" w:type="dxa"/>
            <w:tcBorders/>
            <w:shd w:fill="auto" w:val="clear"/>
            <w:vAlign w:val="center"/>
          </w:tcPr>
          <w:p>
            <w:pPr>
              <w:pStyle w:val="TableContents"/>
              <w:spacing w:before="0" w:after="0"/>
              <w:ind w:left="0" w:right="0" w:hanging="0"/>
              <w:rPr/>
            </w:pPr>
            <w:r>
              <w:rPr/>
              <w:t>​</w:t>
            </w:r>
          </w:p>
        </w:tc>
        <w:tc>
          <w:tcPr>
            <w:tcW w:w="712"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w:t>
            </w:r>
          </w:p>
        </w:tc>
        <w:tc>
          <w:tcPr>
            <w:tcW w:w="326" w:type="dxa"/>
            <w:tcBorders/>
            <w:shd w:fill="auto" w:val="clear"/>
            <w:vAlign w:val="center"/>
          </w:tcPr>
          <w:p>
            <w:pPr>
              <w:pStyle w:val="TableContents"/>
              <w:spacing w:before="0" w:after="0"/>
              <w:ind w:left="0" w:right="0" w:hanging="0"/>
              <w:rPr/>
            </w:pPr>
            <w:r>
              <w:rPr/>
              <w:t> </w:t>
            </w:r>
          </w:p>
        </w:tc>
        <w:tc>
          <w:tcPr>
            <w:tcW w:w="219" w:type="dxa"/>
            <w:tcBorders/>
            <w:shd w:fill="auto" w:val="clear"/>
            <w:vAlign w:val="center"/>
          </w:tcPr>
          <w:p>
            <w:pPr>
              <w:pStyle w:val="TableContents"/>
              <w:spacing w:before="0" w:after="0"/>
              <w:ind w:left="0" w:right="0" w:hanging="0"/>
              <w:rPr/>
            </w:pPr>
            <w:r>
              <w:rPr/>
              <w:t>​</w:t>
            </w:r>
          </w:p>
        </w:tc>
        <w:tc>
          <w:tcPr>
            <w:tcW w:w="69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33" w:type="dxa"/>
            <w:tcBorders/>
            <w:shd w:fill="auto" w:val="clear"/>
            <w:vAlign w:val="center"/>
          </w:tcPr>
          <w:p>
            <w:pPr>
              <w:pStyle w:val="TableContents"/>
              <w:spacing w:before="0" w:after="0"/>
              <w:ind w:left="0" w:right="0" w:hanging="0"/>
              <w:rPr/>
            </w:pPr>
            <w:r>
              <w:rPr/>
              <w:t>​</w:t>
            </w:r>
          </w:p>
        </w:tc>
        <w:tc>
          <w:tcPr>
            <w:tcW w:w="803"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w:t>
            </w:r>
          </w:p>
        </w:tc>
      </w:tr>
      <w:tr>
        <w:trPr/>
        <w:tc>
          <w:tcPr>
            <w:tcW w:w="1081" w:type="dxa"/>
            <w:tcBorders/>
            <w:shd w:fill="CCEEFF"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Net loss</w:t>
            </w:r>
          </w:p>
        </w:tc>
        <w:tc>
          <w:tcPr>
            <w:tcW w:w="326" w:type="dxa"/>
            <w:tcBorders/>
            <w:shd w:fill="CCEEFF" w:val="clear"/>
            <w:vAlign w:val="center"/>
          </w:tcPr>
          <w:p>
            <w:pPr>
              <w:pStyle w:val="TableContents"/>
              <w:spacing w:before="0" w:after="0"/>
              <w:ind w:left="0" w:right="0" w:hanging="0"/>
              <w:rPr/>
            </w:pPr>
            <w:r>
              <w:rPr/>
              <w:t> </w:t>
            </w:r>
          </w:p>
        </w:tc>
        <w:tc>
          <w:tcPr>
            <w:tcW w:w="5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6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47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9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8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2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33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1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(38,049)</w:t>
            </w:r>
          </w:p>
        </w:tc>
        <w:tc>
          <w:tcPr>
            <w:tcW w:w="326" w:type="dxa"/>
            <w:tcBorders/>
            <w:shd w:fill="CCEEFF" w:val="clear"/>
            <w:vAlign w:val="center"/>
          </w:tcPr>
          <w:p>
            <w:pPr>
              <w:pStyle w:val="TableContents"/>
              <w:spacing w:before="0" w:after="0"/>
              <w:ind w:left="0" w:right="0" w:hanging="0"/>
              <w:rPr/>
            </w:pPr>
            <w:r>
              <w:rPr/>
              <w:t> </w:t>
            </w:r>
          </w:p>
        </w:tc>
        <w:tc>
          <w:tcPr>
            <w:tcW w:w="23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0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(38,049)</w:t>
            </w:r>
          </w:p>
        </w:tc>
      </w:tr>
      <w:tr>
        <w:trPr/>
        <w:tc>
          <w:tcPr>
            <w:tcW w:w="1081" w:type="dxa"/>
            <w:tcBorders/>
            <w:shd w:fill="auto" w:val="clear"/>
            <w:vAlign w:val="center"/>
          </w:tcPr>
          <w:p>
            <w:pPr>
              <w:pStyle w:val="TableContents"/>
              <w:spacing w:before="0" w:after="0"/>
              <w:ind w:left="0" w:right="0" w:hanging="0"/>
              <w:rPr>
                <w:rFonts w:ascii="Arial;Helvetica;sans-serif" w:hAnsi="Arial;Helvetica;sans-serif"/>
                <w:b/>
                <w:sz w:val="11"/>
              </w:rPr>
            </w:pPr>
            <w:r>
              <w:rPr>
                <w:rFonts w:ascii="Arial;Helvetica;sans-serif" w:hAnsi="Arial;Helvetica;sans-serif"/>
                <w:b/>
                <w:sz w:val="11"/>
              </w:rPr>
              <w:t>Balance at December 31, 2021</w:t>
            </w:r>
          </w:p>
        </w:tc>
        <w:tc>
          <w:tcPr>
            <w:tcW w:w="326" w:type="dxa"/>
            <w:tcBorders/>
            <w:shd w:fill="auto" w:val="clear"/>
            <w:vAlign w:val="center"/>
          </w:tcPr>
          <w:p>
            <w:pPr>
              <w:pStyle w:val="TableContents"/>
              <w:spacing w:before="0" w:after="0"/>
              <w:ind w:left="0" w:right="0" w:hanging="0"/>
              <w:rPr/>
            </w:pPr>
            <w:r>
              <w:rPr/>
              <w:t> </w:t>
            </w:r>
          </w:p>
        </w:tc>
        <w:tc>
          <w:tcPr>
            <w:tcW w:w="5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19,200</w:t>
            </w:r>
          </w:p>
        </w:tc>
        <w:tc>
          <w:tcPr>
            <w:tcW w:w="326" w:type="dxa"/>
            <w:tcBorders/>
            <w:shd w:fill="auto" w:val="clear"/>
            <w:vAlign w:val="center"/>
          </w:tcPr>
          <w:p>
            <w:pPr>
              <w:pStyle w:val="TableContents"/>
              <w:spacing w:before="0" w:after="0"/>
              <w:ind w:left="0" w:right="0" w:hanging="0"/>
              <w:rPr/>
            </w:pPr>
            <w:r>
              <w:rPr/>
              <w:t>​</w:t>
            </w:r>
          </w:p>
        </w:tc>
        <w:tc>
          <w:tcPr>
            <w:tcW w:w="166"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4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32,001</w:t>
            </w:r>
          </w:p>
        </w:tc>
        <w:tc>
          <w:tcPr>
            <w:tcW w:w="326" w:type="dxa"/>
            <w:tcBorders/>
            <w:shd w:fill="auto" w:val="clear"/>
            <w:vAlign w:val="center"/>
          </w:tcPr>
          <w:p>
            <w:pPr>
              <w:pStyle w:val="TableContents"/>
              <w:spacing w:before="0" w:after="0"/>
              <w:ind w:left="0" w:right="0" w:hanging="0"/>
              <w:rPr/>
            </w:pPr>
            <w:r>
              <w:rPr/>
              <w:t> </w:t>
            </w:r>
          </w:p>
        </w:tc>
        <w:tc>
          <w:tcPr>
            <w:tcW w:w="5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12,800</w:t>
            </w:r>
          </w:p>
        </w:tc>
        <w:tc>
          <w:tcPr>
            <w:tcW w:w="326" w:type="dxa"/>
            <w:tcBorders/>
            <w:shd w:fill="auto" w:val="clear"/>
            <w:vAlign w:val="center"/>
          </w:tcPr>
          <w:p>
            <w:pPr>
              <w:pStyle w:val="TableContents"/>
              <w:spacing w:before="0" w:after="0"/>
              <w:ind w:left="0" w:right="0" w:hanging="0"/>
              <w:rPr/>
            </w:pPr>
            <w:r>
              <w:rPr/>
              <w:t>​</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4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26,000</w:t>
            </w:r>
          </w:p>
        </w:tc>
        <w:tc>
          <w:tcPr>
            <w:tcW w:w="326" w:type="dxa"/>
            <w:tcBorders/>
            <w:shd w:fill="auto" w:val="clear"/>
            <w:vAlign w:val="center"/>
          </w:tcPr>
          <w:p>
            <w:pPr>
              <w:pStyle w:val="TableContents"/>
              <w:spacing w:before="0" w:after="0"/>
              <w:ind w:left="0" w:right="0" w:hanging="0"/>
              <w:rPr/>
            </w:pPr>
            <w:r>
              <w:rPr/>
              <w:t> </w:t>
            </w:r>
          </w:p>
        </w:tc>
        <w:tc>
          <w:tcPr>
            <w:tcW w:w="5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24,702</w:t>
            </w:r>
          </w:p>
        </w:tc>
        <w:tc>
          <w:tcPr>
            <w:tcW w:w="326" w:type="dxa"/>
            <w:tcBorders/>
            <w:shd w:fill="auto" w:val="clear"/>
            <w:vAlign w:val="center"/>
          </w:tcPr>
          <w:p>
            <w:pPr>
              <w:pStyle w:val="TableContents"/>
              <w:spacing w:before="0" w:after="0"/>
              <w:ind w:left="0" w:right="0" w:hanging="0"/>
              <w:rPr/>
            </w:pPr>
            <w:r>
              <w:rPr/>
              <w:t>​</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4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100,000</w:t>
            </w:r>
          </w:p>
        </w:tc>
        <w:tc>
          <w:tcPr>
            <w:tcW w:w="326" w:type="dxa"/>
            <w:tcBorders/>
            <w:shd w:fill="auto" w:val="clear"/>
            <w:vAlign w:val="center"/>
          </w:tcPr>
          <w:p>
            <w:pPr>
              <w:pStyle w:val="TableContents"/>
              <w:spacing w:before="0" w:after="0"/>
              <w:ind w:left="0" w:right="0" w:hanging="0"/>
              <w:rPr/>
            </w:pPr>
            <w:r>
              <w:rPr/>
              <w:t> </w:t>
            </w:r>
          </w:p>
        </w:tc>
        <w:tc>
          <w:tcPr>
            <w:tcW w:w="5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2,161</w:t>
            </w:r>
          </w:p>
        </w:tc>
        <w:tc>
          <w:tcPr>
            <w:tcW w:w="326" w:type="dxa"/>
            <w:tcBorders/>
            <w:shd w:fill="auto" w:val="clear"/>
            <w:vAlign w:val="center"/>
          </w:tcPr>
          <w:p>
            <w:pPr>
              <w:pStyle w:val="TableContents"/>
              <w:spacing w:before="0" w:after="0"/>
              <w:ind w:left="0" w:right="0" w:hanging="0"/>
              <w:rPr/>
            </w:pPr>
            <w:r>
              <w:rPr/>
              <w:t>​</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3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8,959</w:t>
            </w:r>
          </w:p>
        </w:tc>
        <w:tc>
          <w:tcPr>
            <w:tcW w:w="326" w:type="dxa"/>
            <w:tcBorders/>
            <w:shd w:fill="auto" w:val="clear"/>
            <w:vAlign w:val="center"/>
          </w:tcPr>
          <w:p>
            <w:pPr>
              <w:pStyle w:val="TableContents"/>
              <w:spacing w:before="0" w:after="0"/>
              <w:ind w:left="0" w:right="0" w:hanging="0"/>
              <w:rPr/>
            </w:pPr>
            <w:r>
              <w:rPr/>
              <w:t>​</w:t>
            </w:r>
          </w:p>
        </w:tc>
        <w:tc>
          <w:tcPr>
            <w:tcW w:w="474"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592"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10,894</w:t>
            </w:r>
          </w:p>
        </w:tc>
        <w:tc>
          <w:tcPr>
            <w:tcW w:w="326" w:type="dxa"/>
            <w:tcBorders/>
            <w:shd w:fill="auto" w:val="clear"/>
            <w:vAlign w:val="center"/>
          </w:tcPr>
          <w:p>
            <w:pPr>
              <w:pStyle w:val="TableContents"/>
              <w:spacing w:before="0" w:after="0"/>
              <w:ind w:left="0" w:right="0" w:hanging="0"/>
              <w:rPr/>
            </w:pPr>
            <w:r>
              <w:rPr/>
              <w:t>​</w:t>
            </w:r>
          </w:p>
        </w:tc>
        <w:tc>
          <w:tcPr>
            <w:tcW w:w="180"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3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w:t>
            </w:r>
          </w:p>
        </w:tc>
        <w:tc>
          <w:tcPr>
            <w:tcW w:w="326" w:type="dxa"/>
            <w:tcBorders/>
            <w:shd w:fill="auto" w:val="clear"/>
            <w:vAlign w:val="center"/>
          </w:tcPr>
          <w:p>
            <w:pPr>
              <w:pStyle w:val="TableContents"/>
              <w:spacing w:before="0" w:after="0"/>
              <w:ind w:left="0" w:right="0" w:hanging="0"/>
              <w:rPr/>
            </w:pPr>
            <w:r>
              <w:rPr/>
              <w:t>​</w:t>
            </w:r>
          </w:p>
        </w:tc>
        <w:tc>
          <w:tcPr>
            <w:tcW w:w="213"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523"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39"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712"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9"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69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(64,736)</w:t>
            </w:r>
          </w:p>
        </w:tc>
        <w:tc>
          <w:tcPr>
            <w:tcW w:w="326" w:type="dxa"/>
            <w:tcBorders/>
            <w:shd w:fill="auto" w:val="clear"/>
            <w:vAlign w:val="center"/>
          </w:tcPr>
          <w:p>
            <w:pPr>
              <w:pStyle w:val="TableContents"/>
              <w:spacing w:before="0" w:after="0"/>
              <w:ind w:left="0" w:right="0" w:hanging="0"/>
              <w:rPr/>
            </w:pPr>
            <w:r>
              <w:rPr/>
              <w:t>​</w:t>
            </w:r>
          </w:p>
        </w:tc>
        <w:tc>
          <w:tcPr>
            <w:tcW w:w="233"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80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(64,735)</w:t>
            </w:r>
          </w:p>
        </w:tc>
      </w:tr>
      <w:tr>
        <w:trPr/>
        <w:tc>
          <w:tcPr>
            <w:tcW w:w="1081" w:type="dxa"/>
            <w:tcBorders/>
            <w:shd w:fill="CCEEFF"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Issuance of Series B redeemable convertible preferred shares, net of issuance costs of $1,515</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6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8,155</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31,500</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3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74" w:type="dxa"/>
            <w:tcBorders/>
            <w:shd w:fill="CCEEFF" w:val="clear"/>
            <w:vAlign w:val="center"/>
          </w:tcPr>
          <w:p>
            <w:pPr>
              <w:pStyle w:val="TableContents"/>
              <w:spacing w:before="0" w:after="0"/>
              <w:ind w:left="0" w:right="0" w:hanging="0"/>
              <w:rPr/>
            </w:pPr>
            <w:r>
              <w:rPr/>
              <w:t> </w:t>
            </w:r>
          </w:p>
        </w:tc>
        <w:tc>
          <w:tcPr>
            <w:tcW w:w="5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80" w:type="dxa"/>
            <w:tcBorders/>
            <w:shd w:fill="CCEEFF" w:val="clear"/>
            <w:vAlign w:val="center"/>
          </w:tcPr>
          <w:p>
            <w:pPr>
              <w:pStyle w:val="TableContents"/>
              <w:spacing w:before="0" w:after="0"/>
              <w:ind w:left="0" w:right="0" w:hanging="0"/>
              <w:rPr/>
            </w:pPr>
            <w:r>
              <w:rPr/>
              <w:t> </w:t>
            </w:r>
          </w:p>
        </w:tc>
        <w:tc>
          <w:tcPr>
            <w:tcW w:w="3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 </w:t>
            </w:r>
          </w:p>
        </w:tc>
        <w:tc>
          <w:tcPr>
            <w:tcW w:w="52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39" w:type="dxa"/>
            <w:tcBorders/>
            <w:shd w:fill="CCEEFF" w:val="clear"/>
            <w:vAlign w:val="center"/>
          </w:tcPr>
          <w:p>
            <w:pPr>
              <w:pStyle w:val="TableContents"/>
              <w:spacing w:before="0" w:after="0"/>
              <w:ind w:left="0" w:right="0" w:hanging="0"/>
              <w:rPr/>
            </w:pPr>
            <w:r>
              <w:rPr/>
              <w:t> </w:t>
            </w:r>
          </w:p>
        </w:tc>
        <w:tc>
          <w:tcPr>
            <w:tcW w:w="71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69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 </w:t>
            </w:r>
          </w:p>
        </w:tc>
        <w:tc>
          <w:tcPr>
            <w:tcW w:w="803" w:type="dxa"/>
            <w:tcBorders/>
            <w:shd w:fill="CCEEFF" w:val="clear"/>
            <w:vAlign w:val="center"/>
          </w:tcPr>
          <w:p>
            <w:pPr>
              <w:pStyle w:val="TableContents"/>
              <w:spacing w:before="0" w:after="0"/>
              <w:ind w:left="0" w:right="0" w:hanging="0"/>
              <w:jc w:val="right"/>
              <w:rPr/>
            </w:pPr>
            <w:r>
              <w:rPr/>
              <w:t>—</w:t>
            </w:r>
          </w:p>
        </w:tc>
      </w:tr>
      <w:tr>
        <w:trPr/>
        <w:tc>
          <w:tcPr>
            <w:tcW w:w="1081" w:type="dxa"/>
            <w:tcBorders/>
            <w:shd w:fill="auto"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Accretion of Series B redeemable convertible preferred shares to their redemption value</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6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96"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1,515</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74" w:type="dxa"/>
            <w:tcBorders/>
            <w:shd w:fill="auto" w:val="clear"/>
            <w:vAlign w:val="center"/>
          </w:tcPr>
          <w:p>
            <w:pPr>
              <w:pStyle w:val="TableContents"/>
              <w:spacing w:before="0" w:after="0"/>
              <w:ind w:left="0" w:right="0" w:hanging="0"/>
              <w:rPr/>
            </w:pPr>
            <w:r>
              <w:rPr/>
              <w:t> </w:t>
            </w:r>
          </w:p>
        </w:tc>
        <w:tc>
          <w:tcPr>
            <w:tcW w:w="5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80" w:type="dxa"/>
            <w:tcBorders/>
            <w:shd w:fill="auto" w:val="clear"/>
            <w:vAlign w:val="center"/>
          </w:tcPr>
          <w:p>
            <w:pPr>
              <w:pStyle w:val="TableContents"/>
              <w:spacing w:before="0" w:after="0"/>
              <w:ind w:left="0" w:right="0" w:hanging="0"/>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 </w:t>
            </w:r>
          </w:p>
        </w:tc>
        <w:tc>
          <w:tcPr>
            <w:tcW w:w="523"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(620)</w:t>
            </w:r>
          </w:p>
        </w:tc>
        <w:tc>
          <w:tcPr>
            <w:tcW w:w="326" w:type="dxa"/>
            <w:tcBorders/>
            <w:shd w:fill="auto" w:val="clear"/>
            <w:vAlign w:val="center"/>
          </w:tcPr>
          <w:p>
            <w:pPr>
              <w:pStyle w:val="TableContents"/>
              <w:spacing w:before="0" w:after="0"/>
              <w:ind w:left="0" w:right="0" w:hanging="0"/>
              <w:rPr/>
            </w:pPr>
            <w:r>
              <w:rPr/>
              <w:t>​</w:t>
            </w:r>
          </w:p>
        </w:tc>
        <w:tc>
          <w:tcPr>
            <w:tcW w:w="339" w:type="dxa"/>
            <w:tcBorders/>
            <w:shd w:fill="auto" w:val="clear"/>
            <w:vAlign w:val="center"/>
          </w:tcPr>
          <w:p>
            <w:pPr>
              <w:pStyle w:val="TableContents"/>
              <w:spacing w:before="0" w:after="0"/>
              <w:ind w:left="0" w:right="0" w:hanging="0"/>
              <w:rPr/>
            </w:pPr>
            <w:r>
              <w:rPr/>
              <w:t> </w:t>
            </w:r>
          </w:p>
        </w:tc>
        <w:tc>
          <w:tcPr>
            <w:tcW w:w="71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9" w:type="dxa"/>
            <w:tcBorders/>
            <w:shd w:fill="auto" w:val="clear"/>
            <w:vAlign w:val="center"/>
          </w:tcPr>
          <w:p>
            <w:pPr>
              <w:pStyle w:val="TableContents"/>
              <w:spacing w:before="0" w:after="0"/>
              <w:ind w:left="0" w:right="0" w:hanging="0"/>
              <w:rPr/>
            </w:pPr>
            <w:r>
              <w:rPr/>
              <w:t> </w:t>
            </w:r>
          </w:p>
        </w:tc>
        <w:tc>
          <w:tcPr>
            <w:tcW w:w="697"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(895)</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 </w:t>
            </w:r>
          </w:p>
        </w:tc>
        <w:tc>
          <w:tcPr>
            <w:tcW w:w="803"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(1,515)</w:t>
            </w:r>
          </w:p>
        </w:tc>
      </w:tr>
      <w:tr>
        <w:trPr/>
        <w:tc>
          <w:tcPr>
            <w:tcW w:w="1081" w:type="dxa"/>
            <w:tcBorders/>
            <w:shd w:fill="CCEEFF"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Repurchase of unvested restricted share awards</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6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4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3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74" w:type="dxa"/>
            <w:tcBorders/>
            <w:shd w:fill="CCEEFF" w:val="clear"/>
            <w:vAlign w:val="center"/>
          </w:tcPr>
          <w:p>
            <w:pPr>
              <w:pStyle w:val="TableContents"/>
              <w:spacing w:before="0" w:after="0"/>
              <w:ind w:left="0" w:right="0" w:hanging="0"/>
              <w:rPr/>
            </w:pPr>
            <w:r>
              <w:rPr/>
              <w:t> </w:t>
            </w:r>
          </w:p>
        </w:tc>
        <w:tc>
          <w:tcPr>
            <w:tcW w:w="5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(450)</w:t>
            </w:r>
          </w:p>
        </w:tc>
        <w:tc>
          <w:tcPr>
            <w:tcW w:w="326" w:type="dxa"/>
            <w:tcBorders/>
            <w:shd w:fill="CCEEFF" w:val="clear"/>
            <w:vAlign w:val="center"/>
          </w:tcPr>
          <w:p>
            <w:pPr>
              <w:pStyle w:val="TableContents"/>
              <w:spacing w:before="0" w:after="0"/>
              <w:ind w:left="0" w:right="0" w:hanging="0"/>
              <w:rPr/>
            </w:pPr>
            <w:r>
              <w:rPr/>
              <w:t>​</w:t>
            </w:r>
          </w:p>
        </w:tc>
        <w:tc>
          <w:tcPr>
            <w:tcW w:w="180" w:type="dxa"/>
            <w:tcBorders/>
            <w:shd w:fill="CCEEFF" w:val="clear"/>
            <w:vAlign w:val="center"/>
          </w:tcPr>
          <w:p>
            <w:pPr>
              <w:pStyle w:val="TableContents"/>
              <w:spacing w:before="0" w:after="0"/>
              <w:ind w:left="0" w:right="0" w:hanging="0"/>
              <w:rPr/>
            </w:pPr>
            <w:r>
              <w:rPr/>
              <w:t> </w:t>
            </w:r>
          </w:p>
        </w:tc>
        <w:tc>
          <w:tcPr>
            <w:tcW w:w="3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 </w:t>
            </w:r>
          </w:p>
        </w:tc>
        <w:tc>
          <w:tcPr>
            <w:tcW w:w="523"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(6)</w:t>
            </w:r>
          </w:p>
        </w:tc>
        <w:tc>
          <w:tcPr>
            <w:tcW w:w="326" w:type="dxa"/>
            <w:tcBorders/>
            <w:shd w:fill="CCEEFF" w:val="clear"/>
            <w:vAlign w:val="center"/>
          </w:tcPr>
          <w:p>
            <w:pPr>
              <w:pStyle w:val="TableContents"/>
              <w:spacing w:before="0" w:after="0"/>
              <w:ind w:left="0" w:right="0" w:hanging="0"/>
              <w:rPr/>
            </w:pPr>
            <w:r>
              <w:rPr/>
              <w:t>​</w:t>
            </w:r>
          </w:p>
        </w:tc>
        <w:tc>
          <w:tcPr>
            <w:tcW w:w="339" w:type="dxa"/>
            <w:tcBorders/>
            <w:shd w:fill="CCEEFF" w:val="clear"/>
            <w:vAlign w:val="center"/>
          </w:tcPr>
          <w:p>
            <w:pPr>
              <w:pStyle w:val="TableContents"/>
              <w:spacing w:before="0" w:after="0"/>
              <w:ind w:left="0" w:right="0" w:hanging="0"/>
              <w:rPr/>
            </w:pPr>
            <w:r>
              <w:rPr/>
              <w:t> </w:t>
            </w:r>
          </w:p>
        </w:tc>
        <w:tc>
          <w:tcPr>
            <w:tcW w:w="71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9" w:type="dxa"/>
            <w:tcBorders/>
            <w:shd w:fill="CCEEFF" w:val="clear"/>
            <w:vAlign w:val="center"/>
          </w:tcPr>
          <w:p>
            <w:pPr>
              <w:pStyle w:val="TableContents"/>
              <w:spacing w:before="0" w:after="0"/>
              <w:ind w:left="0" w:right="0" w:hanging="0"/>
              <w:rPr/>
            </w:pPr>
            <w:r>
              <w:rPr/>
              <w:t> </w:t>
            </w:r>
          </w:p>
        </w:tc>
        <w:tc>
          <w:tcPr>
            <w:tcW w:w="69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 </w:t>
            </w:r>
          </w:p>
        </w:tc>
        <w:tc>
          <w:tcPr>
            <w:tcW w:w="803"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(6)</w:t>
            </w:r>
          </w:p>
        </w:tc>
      </w:tr>
      <w:tr>
        <w:trPr/>
        <w:tc>
          <w:tcPr>
            <w:tcW w:w="1081" w:type="dxa"/>
            <w:tcBorders/>
            <w:shd w:fill="auto"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Issuance of ordinary share upon exercise of vested share options</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6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74" w:type="dxa"/>
            <w:tcBorders/>
            <w:shd w:fill="auto" w:val="clear"/>
            <w:vAlign w:val="center"/>
          </w:tcPr>
          <w:p>
            <w:pPr>
              <w:pStyle w:val="TableContents"/>
              <w:spacing w:before="0" w:after="0"/>
              <w:ind w:left="0" w:right="0" w:hanging="0"/>
              <w:rPr/>
            </w:pPr>
            <w:r>
              <w:rPr/>
              <w:t>​</w:t>
            </w:r>
          </w:p>
        </w:tc>
        <w:tc>
          <w:tcPr>
            <w:tcW w:w="5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556"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83</w:t>
            </w:r>
          </w:p>
        </w:tc>
        <w:tc>
          <w:tcPr>
            <w:tcW w:w="326" w:type="dxa"/>
            <w:tcBorders/>
            <w:shd w:fill="auto" w:val="clear"/>
            <w:vAlign w:val="center"/>
          </w:tcPr>
          <w:p>
            <w:pPr>
              <w:pStyle w:val="TableContents"/>
              <w:spacing w:before="0" w:after="0"/>
              <w:ind w:left="0" w:right="0" w:hanging="0"/>
              <w:jc w:val="center"/>
              <w:rPr/>
            </w:pPr>
            <w:r>
              <w:rPr/>
              <w:t>​</w:t>
            </w:r>
          </w:p>
        </w:tc>
        <w:tc>
          <w:tcPr>
            <w:tcW w:w="180"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3" w:type="dxa"/>
            <w:tcBorders/>
            <w:shd w:fill="auto" w:val="clear"/>
            <w:vAlign w:val="center"/>
          </w:tcPr>
          <w:p>
            <w:pPr>
              <w:pStyle w:val="TableContents"/>
              <w:spacing w:before="0" w:after="0"/>
              <w:ind w:left="0" w:right="0" w:hanging="0"/>
              <w:rPr/>
            </w:pPr>
            <w:r>
              <w:rPr/>
              <w:t>​</w:t>
            </w:r>
          </w:p>
        </w:tc>
        <w:tc>
          <w:tcPr>
            <w:tcW w:w="523"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33</w:t>
            </w:r>
          </w:p>
        </w:tc>
        <w:tc>
          <w:tcPr>
            <w:tcW w:w="326" w:type="dxa"/>
            <w:tcBorders/>
            <w:shd w:fill="auto" w:val="clear"/>
            <w:vAlign w:val="center"/>
          </w:tcPr>
          <w:p>
            <w:pPr>
              <w:pStyle w:val="TableContents"/>
              <w:spacing w:before="0" w:after="0"/>
              <w:ind w:left="0" w:right="0" w:hanging="0"/>
              <w:jc w:val="center"/>
              <w:rPr/>
            </w:pPr>
            <w:r>
              <w:rPr/>
              <w:t>​</w:t>
            </w:r>
          </w:p>
        </w:tc>
        <w:tc>
          <w:tcPr>
            <w:tcW w:w="339" w:type="dxa"/>
            <w:tcBorders/>
            <w:shd w:fill="auto" w:val="clear"/>
            <w:vAlign w:val="center"/>
          </w:tcPr>
          <w:p>
            <w:pPr>
              <w:pStyle w:val="TableContents"/>
              <w:spacing w:before="0" w:after="0"/>
              <w:ind w:left="0" w:right="0" w:hanging="0"/>
              <w:rPr/>
            </w:pPr>
            <w:r>
              <w:rPr/>
              <w:t>​</w:t>
            </w:r>
          </w:p>
        </w:tc>
        <w:tc>
          <w:tcPr>
            <w:tcW w:w="71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9" w:type="dxa"/>
            <w:tcBorders/>
            <w:shd w:fill="auto" w:val="clear"/>
            <w:vAlign w:val="center"/>
          </w:tcPr>
          <w:p>
            <w:pPr>
              <w:pStyle w:val="TableContents"/>
              <w:spacing w:before="0" w:after="0"/>
              <w:ind w:left="0" w:right="0" w:hanging="0"/>
              <w:rPr/>
            </w:pPr>
            <w:r>
              <w:rPr/>
              <w:t>​</w:t>
            </w:r>
          </w:p>
        </w:tc>
        <w:tc>
          <w:tcPr>
            <w:tcW w:w="69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33" w:type="dxa"/>
            <w:tcBorders/>
            <w:shd w:fill="auto" w:val="clear"/>
            <w:vAlign w:val="center"/>
          </w:tcPr>
          <w:p>
            <w:pPr>
              <w:pStyle w:val="TableContents"/>
              <w:spacing w:before="0" w:after="0"/>
              <w:ind w:left="0" w:right="0" w:hanging="0"/>
              <w:rPr/>
            </w:pPr>
            <w:r>
              <w:rPr/>
              <w:t>​</w:t>
            </w:r>
          </w:p>
        </w:tc>
        <w:tc>
          <w:tcPr>
            <w:tcW w:w="803"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33</w:t>
            </w:r>
          </w:p>
        </w:tc>
      </w:tr>
      <w:tr>
        <w:trPr/>
        <w:tc>
          <w:tcPr>
            <w:tcW w:w="1081" w:type="dxa"/>
            <w:tcBorders/>
            <w:shd w:fill="CCEEFF"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Share-based compensation expense</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66"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326"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326" w:type="dxa"/>
            <w:tcBorders/>
            <w:shd w:fill="CCEEFF" w:val="clear"/>
            <w:vAlign w:val="center"/>
          </w:tcPr>
          <w:p>
            <w:pPr>
              <w:pStyle w:val="TableContents"/>
              <w:spacing w:before="0" w:after="0"/>
              <w:ind w:left="0" w:right="0" w:hanging="0"/>
              <w:rPr/>
            </w:pPr>
            <w:r>
              <w:rPr/>
              <w:t>​</w:t>
            </w:r>
          </w:p>
        </w:tc>
        <w:tc>
          <w:tcPr>
            <w:tcW w:w="4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326" w:type="dxa"/>
            <w:tcBorders/>
            <w:shd w:fill="CCEEFF" w:val="clear"/>
            <w:vAlign w:val="center"/>
          </w:tcPr>
          <w:p>
            <w:pPr>
              <w:pStyle w:val="TableContents"/>
              <w:spacing w:before="0" w:after="0"/>
              <w:ind w:left="0" w:right="0" w:hanging="0"/>
              <w:rPr/>
            </w:pPr>
            <w:r>
              <w:rPr/>
              <w:t>​</w:t>
            </w:r>
          </w:p>
        </w:tc>
        <w:tc>
          <w:tcPr>
            <w:tcW w:w="3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474" w:type="dxa"/>
            <w:tcBorders/>
            <w:shd w:fill="CCEEFF" w:val="clear"/>
            <w:vAlign w:val="center"/>
          </w:tcPr>
          <w:p>
            <w:pPr>
              <w:pStyle w:val="TableContents"/>
              <w:spacing w:before="0" w:after="0"/>
              <w:ind w:left="0" w:right="0" w:hanging="0"/>
              <w:rPr/>
            </w:pPr>
            <w:r>
              <w:rPr/>
              <w:t>​</w:t>
            </w:r>
          </w:p>
        </w:tc>
        <w:tc>
          <w:tcPr>
            <w:tcW w:w="59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80" w:type="dxa"/>
            <w:tcBorders/>
            <w:shd w:fill="CCEEFF" w:val="clear"/>
            <w:vAlign w:val="center"/>
          </w:tcPr>
          <w:p>
            <w:pPr>
              <w:pStyle w:val="TableContents"/>
              <w:spacing w:before="0" w:after="0"/>
              <w:ind w:left="0" w:right="0" w:hanging="0"/>
              <w:rPr/>
            </w:pPr>
            <w:r>
              <w:rPr/>
              <w:t>​</w:t>
            </w:r>
          </w:p>
        </w:tc>
        <w:tc>
          <w:tcPr>
            <w:tcW w:w="3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3" w:type="dxa"/>
            <w:tcBorders/>
            <w:shd w:fill="CCEEFF" w:val="clear"/>
            <w:vAlign w:val="center"/>
          </w:tcPr>
          <w:p>
            <w:pPr>
              <w:pStyle w:val="TableContents"/>
              <w:spacing w:before="0" w:after="0"/>
              <w:ind w:left="0" w:right="0" w:hanging="0"/>
              <w:rPr/>
            </w:pPr>
            <w:r>
              <w:rPr/>
              <w:t>​</w:t>
            </w:r>
          </w:p>
        </w:tc>
        <w:tc>
          <w:tcPr>
            <w:tcW w:w="523"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2,514</w:t>
            </w:r>
          </w:p>
        </w:tc>
        <w:tc>
          <w:tcPr>
            <w:tcW w:w="326" w:type="dxa"/>
            <w:tcBorders/>
            <w:shd w:fill="CCEEFF" w:val="clear"/>
            <w:vAlign w:val="center"/>
          </w:tcPr>
          <w:p>
            <w:pPr>
              <w:pStyle w:val="TableContents"/>
              <w:spacing w:before="0" w:after="0"/>
              <w:ind w:left="0" w:right="0" w:hanging="0"/>
              <w:rPr/>
            </w:pPr>
            <w:r>
              <w:rPr/>
              <w:t> </w:t>
            </w:r>
          </w:p>
        </w:tc>
        <w:tc>
          <w:tcPr>
            <w:tcW w:w="339" w:type="dxa"/>
            <w:tcBorders/>
            <w:shd w:fill="CCEEFF" w:val="clear"/>
            <w:vAlign w:val="center"/>
          </w:tcPr>
          <w:p>
            <w:pPr>
              <w:pStyle w:val="TableContents"/>
              <w:spacing w:before="0" w:after="0"/>
              <w:ind w:left="0" w:right="0" w:hanging="0"/>
              <w:rPr/>
            </w:pPr>
            <w:r>
              <w:rPr/>
              <w:t>​</w:t>
            </w:r>
          </w:p>
        </w:tc>
        <w:tc>
          <w:tcPr>
            <w:tcW w:w="71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9" w:type="dxa"/>
            <w:tcBorders/>
            <w:shd w:fill="CCEEFF" w:val="clear"/>
            <w:vAlign w:val="center"/>
          </w:tcPr>
          <w:p>
            <w:pPr>
              <w:pStyle w:val="TableContents"/>
              <w:spacing w:before="0" w:after="0"/>
              <w:ind w:left="0" w:right="0" w:hanging="0"/>
              <w:rPr/>
            </w:pPr>
            <w:r>
              <w:rPr/>
              <w:t>​</w:t>
            </w:r>
          </w:p>
        </w:tc>
        <w:tc>
          <w:tcPr>
            <w:tcW w:w="69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33" w:type="dxa"/>
            <w:tcBorders/>
            <w:shd w:fill="CCEEFF" w:val="clear"/>
            <w:vAlign w:val="center"/>
          </w:tcPr>
          <w:p>
            <w:pPr>
              <w:pStyle w:val="TableContents"/>
              <w:spacing w:before="0" w:after="0"/>
              <w:ind w:left="0" w:right="0" w:hanging="0"/>
              <w:rPr/>
            </w:pPr>
            <w:r>
              <w:rPr/>
              <w:t>​</w:t>
            </w:r>
          </w:p>
        </w:tc>
        <w:tc>
          <w:tcPr>
            <w:tcW w:w="803" w:type="dxa"/>
            <w:tcBorders/>
            <w:shd w:fill="CCEEFF"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2,514</w:t>
            </w:r>
          </w:p>
        </w:tc>
      </w:tr>
      <w:tr>
        <w:trPr/>
        <w:tc>
          <w:tcPr>
            <w:tcW w:w="1081" w:type="dxa"/>
            <w:tcBorders/>
            <w:shd w:fill="auto"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Unrealized loss on investments, net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66" w:type="dxa"/>
            <w:tcBorders/>
            <w:shd w:fill="auto" w:val="clear"/>
            <w:vAlign w:val="center"/>
          </w:tcPr>
          <w:p>
            <w:pPr>
              <w:pStyle w:val="TableContents"/>
              <w:spacing w:before="0" w:after="0"/>
              <w:ind w:left="0" w:right="0" w:hanging="0"/>
              <w:rPr/>
            </w:pPr>
            <w:r>
              <w:rPr/>
              <w:t>​</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4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474" w:type="dxa"/>
            <w:tcBorders/>
            <w:shd w:fill="auto" w:val="clear"/>
            <w:vAlign w:val="center"/>
          </w:tcPr>
          <w:p>
            <w:pPr>
              <w:pStyle w:val="TableContents"/>
              <w:spacing w:before="0" w:after="0"/>
              <w:ind w:left="0" w:right="0" w:hanging="0"/>
              <w:rPr/>
            </w:pPr>
            <w:r>
              <w:rPr/>
              <w:t>​</w:t>
            </w:r>
          </w:p>
        </w:tc>
        <w:tc>
          <w:tcPr>
            <w:tcW w:w="59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80" w:type="dxa"/>
            <w:tcBorders/>
            <w:shd w:fill="auto" w:val="clear"/>
            <w:vAlign w:val="center"/>
          </w:tcPr>
          <w:p>
            <w:pPr>
              <w:pStyle w:val="TableContents"/>
              <w:spacing w:before="0" w:after="0"/>
              <w:ind w:left="0" w:right="0" w:hanging="0"/>
              <w:rPr/>
            </w:pPr>
            <w:r>
              <w:rPr/>
              <w:t>​</w:t>
            </w:r>
          </w:p>
        </w:tc>
        <w:tc>
          <w:tcPr>
            <w:tcW w:w="3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13" w:type="dxa"/>
            <w:tcBorders/>
            <w:shd w:fill="auto" w:val="clear"/>
            <w:vAlign w:val="center"/>
          </w:tcPr>
          <w:p>
            <w:pPr>
              <w:pStyle w:val="TableContents"/>
              <w:spacing w:before="0" w:after="0"/>
              <w:ind w:left="0" w:right="0" w:hanging="0"/>
              <w:rPr/>
            </w:pPr>
            <w:r>
              <w:rPr/>
              <w:t>​</w:t>
            </w:r>
          </w:p>
        </w:tc>
        <w:tc>
          <w:tcPr>
            <w:tcW w:w="52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339" w:type="dxa"/>
            <w:tcBorders/>
            <w:shd w:fill="auto" w:val="clear"/>
            <w:vAlign w:val="center"/>
          </w:tcPr>
          <w:p>
            <w:pPr>
              <w:pStyle w:val="TableContents"/>
              <w:spacing w:before="0" w:after="0"/>
              <w:ind w:left="0" w:right="0" w:hanging="0"/>
              <w:rPr/>
            </w:pPr>
            <w:r>
              <w:rPr/>
              <w:t>​</w:t>
            </w:r>
          </w:p>
        </w:tc>
        <w:tc>
          <w:tcPr>
            <w:tcW w:w="712"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(110)</w:t>
            </w:r>
          </w:p>
        </w:tc>
        <w:tc>
          <w:tcPr>
            <w:tcW w:w="326" w:type="dxa"/>
            <w:tcBorders/>
            <w:shd w:fill="auto" w:val="clear"/>
            <w:vAlign w:val="center"/>
          </w:tcPr>
          <w:p>
            <w:pPr>
              <w:pStyle w:val="TableContents"/>
              <w:spacing w:before="0" w:after="0"/>
              <w:ind w:left="0" w:right="0" w:hanging="0"/>
              <w:rPr/>
            </w:pPr>
            <w:r>
              <w:rPr/>
              <w:t> </w:t>
            </w:r>
          </w:p>
        </w:tc>
        <w:tc>
          <w:tcPr>
            <w:tcW w:w="219" w:type="dxa"/>
            <w:tcBorders/>
            <w:shd w:fill="auto" w:val="clear"/>
            <w:vAlign w:val="center"/>
          </w:tcPr>
          <w:p>
            <w:pPr>
              <w:pStyle w:val="TableContents"/>
              <w:spacing w:before="0" w:after="0"/>
              <w:ind w:left="0" w:right="0" w:hanging="0"/>
              <w:rPr/>
            </w:pPr>
            <w:r>
              <w:rPr/>
              <w:t>​</w:t>
            </w:r>
          </w:p>
        </w:tc>
        <w:tc>
          <w:tcPr>
            <w:tcW w:w="69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33" w:type="dxa"/>
            <w:tcBorders/>
            <w:shd w:fill="auto" w:val="clear"/>
            <w:vAlign w:val="center"/>
          </w:tcPr>
          <w:p>
            <w:pPr>
              <w:pStyle w:val="TableContents"/>
              <w:spacing w:before="0" w:after="0"/>
              <w:ind w:left="0" w:right="0" w:hanging="0"/>
              <w:rPr/>
            </w:pPr>
            <w:r>
              <w:rPr/>
              <w:t>​</w:t>
            </w:r>
          </w:p>
        </w:tc>
        <w:tc>
          <w:tcPr>
            <w:tcW w:w="803" w:type="dxa"/>
            <w:tcBorders/>
            <w:shd w:fill="auto" w:val="cle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(110)</w:t>
            </w:r>
          </w:p>
        </w:tc>
      </w:tr>
      <w:tr>
        <w:trPr/>
        <w:tc>
          <w:tcPr>
            <w:tcW w:w="1081" w:type="dxa"/>
            <w:tcBorders/>
            <w:shd w:fill="CCEEFF" w:val="cle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Net loss</w:t>
            </w:r>
          </w:p>
        </w:tc>
        <w:tc>
          <w:tcPr>
            <w:tcW w:w="326" w:type="dxa"/>
            <w:tcBorders/>
            <w:shd w:fill="CCEEFF" w:val="clear"/>
            <w:vAlign w:val="center"/>
          </w:tcPr>
          <w:p>
            <w:pPr>
              <w:pStyle w:val="TableContents"/>
              <w:spacing w:before="0" w:after="0"/>
              <w:ind w:left="0" w:right="0" w:hanging="0"/>
              <w:rPr/>
            </w:pPr>
            <w:r>
              <w:rPr/>
              <w:t> </w:t>
            </w:r>
          </w:p>
        </w:tc>
        <w:tc>
          <w:tcPr>
            <w:tcW w:w="5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6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3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47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9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5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8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7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2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33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1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(51,321)</w:t>
            </w:r>
          </w:p>
        </w:tc>
        <w:tc>
          <w:tcPr>
            <w:tcW w:w="326" w:type="dxa"/>
            <w:tcBorders/>
            <w:shd w:fill="CCEEFF" w:val="clear"/>
            <w:vAlign w:val="center"/>
          </w:tcPr>
          <w:p>
            <w:pPr>
              <w:pStyle w:val="TableContents"/>
              <w:spacing w:before="0" w:after="0"/>
              <w:ind w:left="0" w:right="0" w:hanging="0"/>
              <w:rPr/>
            </w:pPr>
            <w:r>
              <w:rPr/>
              <w:t> </w:t>
            </w:r>
          </w:p>
        </w:tc>
        <w:tc>
          <w:tcPr>
            <w:tcW w:w="23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0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(51,321)</w:t>
            </w:r>
          </w:p>
        </w:tc>
      </w:tr>
      <w:tr>
        <w:trPr/>
        <w:tc>
          <w:tcPr>
            <w:tcW w:w="1081" w:type="dxa"/>
            <w:tcBorders/>
            <w:shd w:fill="auto" w:val="clear"/>
            <w:vAlign w:val="center"/>
          </w:tcPr>
          <w:p>
            <w:pPr>
              <w:pStyle w:val="TableContents"/>
              <w:spacing w:before="0" w:after="0"/>
              <w:ind w:left="0" w:right="0" w:hanging="0"/>
              <w:rPr>
                <w:rFonts w:ascii="Arial;Helvetica;sans-serif" w:hAnsi="Arial;Helvetica;sans-serif"/>
                <w:b/>
                <w:sz w:val="11"/>
              </w:rPr>
            </w:pPr>
            <w:r>
              <w:rPr>
                <w:rFonts w:ascii="Arial;Helvetica;sans-serif" w:hAnsi="Arial;Helvetica;sans-serif"/>
                <w:b/>
                <w:sz w:val="11"/>
              </w:rPr>
              <w:t>Balance at December 31, 2022</w:t>
            </w:r>
          </w:p>
        </w:tc>
        <w:tc>
          <w:tcPr>
            <w:tcW w:w="326" w:type="dxa"/>
            <w:tcBorders/>
            <w:shd w:fill="auto" w:val="clear"/>
            <w:vAlign w:val="center"/>
          </w:tcPr>
          <w:p>
            <w:pPr>
              <w:pStyle w:val="TableContents"/>
              <w:spacing w:before="0" w:after="0"/>
              <w:ind w:left="0" w:right="0" w:hanging="0"/>
              <w:rPr/>
            </w:pPr>
            <w:r>
              <w:rPr/>
              <w:t> </w:t>
            </w:r>
          </w:p>
        </w:tc>
        <w:tc>
          <w:tcPr>
            <w:tcW w:w="5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19,200</w:t>
            </w:r>
          </w:p>
        </w:tc>
        <w:tc>
          <w:tcPr>
            <w:tcW w:w="326" w:type="dxa"/>
            <w:tcBorders/>
            <w:shd w:fill="auto" w:val="clear"/>
            <w:vAlign w:val="center"/>
          </w:tcPr>
          <w:p>
            <w:pPr>
              <w:pStyle w:val="TableContents"/>
              <w:spacing w:before="0" w:after="0"/>
              <w:ind w:left="0" w:right="0" w:hanging="0"/>
              <w:rPr/>
            </w:pPr>
            <w:r>
              <w:rPr/>
              <w:t>​</w:t>
            </w:r>
          </w:p>
        </w:tc>
        <w:tc>
          <w:tcPr>
            <w:tcW w:w="166"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4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32,001</w:t>
            </w:r>
          </w:p>
        </w:tc>
        <w:tc>
          <w:tcPr>
            <w:tcW w:w="326" w:type="dxa"/>
            <w:tcBorders/>
            <w:shd w:fill="auto" w:val="clear"/>
            <w:vAlign w:val="center"/>
          </w:tcPr>
          <w:p>
            <w:pPr>
              <w:pStyle w:val="TableContents"/>
              <w:spacing w:before="0" w:after="0"/>
              <w:ind w:left="0" w:right="0" w:hanging="0"/>
              <w:rPr/>
            </w:pPr>
            <w:r>
              <w:rPr/>
              <w:t> </w:t>
            </w:r>
          </w:p>
        </w:tc>
        <w:tc>
          <w:tcPr>
            <w:tcW w:w="5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12,800</w:t>
            </w:r>
          </w:p>
        </w:tc>
        <w:tc>
          <w:tcPr>
            <w:tcW w:w="326" w:type="dxa"/>
            <w:tcBorders/>
            <w:shd w:fill="auto" w:val="clear"/>
            <w:vAlign w:val="center"/>
          </w:tcPr>
          <w:p>
            <w:pPr>
              <w:pStyle w:val="TableContents"/>
              <w:spacing w:before="0" w:after="0"/>
              <w:ind w:left="0" w:right="0" w:hanging="0"/>
              <w:rPr/>
            </w:pPr>
            <w:r>
              <w:rPr/>
              <w:t>​</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4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26,000</w:t>
            </w:r>
          </w:p>
        </w:tc>
        <w:tc>
          <w:tcPr>
            <w:tcW w:w="326" w:type="dxa"/>
            <w:tcBorders/>
            <w:shd w:fill="auto" w:val="clear"/>
            <w:vAlign w:val="center"/>
          </w:tcPr>
          <w:p>
            <w:pPr>
              <w:pStyle w:val="TableContents"/>
              <w:spacing w:before="0" w:after="0"/>
              <w:ind w:left="0" w:right="0" w:hanging="0"/>
              <w:rPr/>
            </w:pPr>
            <w:r>
              <w:rPr/>
              <w:t> </w:t>
            </w:r>
          </w:p>
        </w:tc>
        <w:tc>
          <w:tcPr>
            <w:tcW w:w="5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32,857</w:t>
            </w:r>
          </w:p>
        </w:tc>
        <w:tc>
          <w:tcPr>
            <w:tcW w:w="326" w:type="dxa"/>
            <w:tcBorders/>
            <w:shd w:fill="auto" w:val="clear"/>
            <w:vAlign w:val="center"/>
          </w:tcPr>
          <w:p>
            <w:pPr>
              <w:pStyle w:val="TableContents"/>
              <w:spacing w:before="0" w:after="0"/>
              <w:ind w:left="0" w:right="0" w:hanging="0"/>
              <w:rPr/>
            </w:pPr>
            <w:r>
              <w:rPr/>
              <w:t>​</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4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133,015</w:t>
            </w:r>
          </w:p>
        </w:tc>
        <w:tc>
          <w:tcPr>
            <w:tcW w:w="326" w:type="dxa"/>
            <w:tcBorders/>
            <w:shd w:fill="auto" w:val="clear"/>
            <w:vAlign w:val="center"/>
          </w:tcPr>
          <w:p>
            <w:pPr>
              <w:pStyle w:val="TableContents"/>
              <w:spacing w:before="0" w:after="0"/>
              <w:ind w:left="0" w:right="0" w:hanging="0"/>
              <w:rPr/>
            </w:pPr>
            <w:r>
              <w:rPr/>
              <w:t> </w:t>
            </w:r>
          </w:p>
        </w:tc>
        <w:tc>
          <w:tcPr>
            <w:tcW w:w="5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2,161</w:t>
            </w:r>
          </w:p>
        </w:tc>
        <w:tc>
          <w:tcPr>
            <w:tcW w:w="326" w:type="dxa"/>
            <w:tcBorders/>
            <w:shd w:fill="auto" w:val="clear"/>
            <w:vAlign w:val="center"/>
          </w:tcPr>
          <w:p>
            <w:pPr>
              <w:pStyle w:val="TableContents"/>
              <w:spacing w:before="0" w:after="0"/>
              <w:ind w:left="0" w:right="0" w:hanging="0"/>
              <w:rPr/>
            </w:pPr>
            <w:r>
              <w:rPr/>
              <w:t>​</w:t>
            </w:r>
          </w:p>
        </w:tc>
        <w:tc>
          <w:tcPr>
            <w:tcW w:w="326"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3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8,959</w:t>
            </w:r>
          </w:p>
        </w:tc>
        <w:tc>
          <w:tcPr>
            <w:tcW w:w="326" w:type="dxa"/>
            <w:tcBorders/>
            <w:shd w:fill="auto" w:val="clear"/>
            <w:vAlign w:val="center"/>
          </w:tcPr>
          <w:p>
            <w:pPr>
              <w:pStyle w:val="TableContents"/>
              <w:spacing w:before="0" w:after="0"/>
              <w:ind w:left="0" w:right="0" w:hanging="0"/>
              <w:rPr/>
            </w:pPr>
            <w:r>
              <w:rPr/>
              <w:t>​</w:t>
            </w:r>
          </w:p>
        </w:tc>
        <w:tc>
          <w:tcPr>
            <w:tcW w:w="474"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592"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10,527</w:t>
            </w:r>
          </w:p>
        </w:tc>
        <w:tc>
          <w:tcPr>
            <w:tcW w:w="326" w:type="dxa"/>
            <w:tcBorders/>
            <w:shd w:fill="auto" w:val="clear"/>
            <w:vAlign w:val="center"/>
          </w:tcPr>
          <w:p>
            <w:pPr>
              <w:pStyle w:val="TableContents"/>
              <w:spacing w:before="0" w:after="0"/>
              <w:ind w:left="0" w:right="0" w:hanging="0"/>
              <w:rPr/>
            </w:pPr>
            <w:r>
              <w:rPr/>
              <w:t>​</w:t>
            </w:r>
          </w:p>
        </w:tc>
        <w:tc>
          <w:tcPr>
            <w:tcW w:w="180"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3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w:t>
            </w:r>
          </w:p>
        </w:tc>
        <w:tc>
          <w:tcPr>
            <w:tcW w:w="326" w:type="dxa"/>
            <w:tcBorders/>
            <w:shd w:fill="auto" w:val="clear"/>
            <w:vAlign w:val="center"/>
          </w:tcPr>
          <w:p>
            <w:pPr>
              <w:pStyle w:val="TableContents"/>
              <w:spacing w:before="0" w:after="0"/>
              <w:ind w:left="0" w:right="0" w:hanging="0"/>
              <w:rPr/>
            </w:pPr>
            <w:r>
              <w:rPr/>
              <w:t>​</w:t>
            </w:r>
          </w:p>
        </w:tc>
        <w:tc>
          <w:tcPr>
            <w:tcW w:w="213"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52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1,921</w:t>
            </w:r>
          </w:p>
        </w:tc>
        <w:tc>
          <w:tcPr>
            <w:tcW w:w="326" w:type="dxa"/>
            <w:tcBorders/>
            <w:shd w:fill="auto" w:val="clear"/>
            <w:vAlign w:val="center"/>
          </w:tcPr>
          <w:p>
            <w:pPr>
              <w:pStyle w:val="TableContents"/>
              <w:spacing w:before="0" w:after="0"/>
              <w:ind w:left="0" w:right="0" w:hanging="0"/>
              <w:rPr/>
            </w:pPr>
            <w:r>
              <w:rPr/>
              <w:t>​</w:t>
            </w:r>
          </w:p>
        </w:tc>
        <w:tc>
          <w:tcPr>
            <w:tcW w:w="339"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71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(110)</w:t>
            </w:r>
          </w:p>
        </w:tc>
        <w:tc>
          <w:tcPr>
            <w:tcW w:w="326" w:type="dxa"/>
            <w:tcBorders/>
            <w:shd w:fill="auto" w:val="clear"/>
            <w:vAlign w:val="center"/>
          </w:tcPr>
          <w:p>
            <w:pPr>
              <w:pStyle w:val="TableContents"/>
              <w:spacing w:before="0" w:after="0"/>
              <w:ind w:left="0" w:right="0" w:hanging="0"/>
              <w:rPr/>
            </w:pPr>
            <w:r>
              <w:rPr/>
              <w:t>​</w:t>
            </w:r>
          </w:p>
        </w:tc>
        <w:tc>
          <w:tcPr>
            <w:tcW w:w="219"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69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(116,952)</w:t>
            </w:r>
          </w:p>
        </w:tc>
        <w:tc>
          <w:tcPr>
            <w:tcW w:w="326" w:type="dxa"/>
            <w:tcBorders/>
            <w:shd w:fill="auto" w:val="clear"/>
            <w:vAlign w:val="center"/>
          </w:tcPr>
          <w:p>
            <w:pPr>
              <w:pStyle w:val="TableContents"/>
              <w:spacing w:before="0" w:after="0"/>
              <w:ind w:left="0" w:right="0" w:hanging="0"/>
              <w:rPr/>
            </w:pPr>
            <w:r>
              <w:rPr/>
              <w:t>​</w:t>
            </w:r>
          </w:p>
        </w:tc>
        <w:tc>
          <w:tcPr>
            <w:tcW w:w="233"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1"/>
              </w:rPr>
            </w:pPr>
            <w:r>
              <w:rPr>
                <w:rFonts w:ascii="Arial;Helvetica;sans-serif" w:hAnsi="Arial;Helvetica;sans-serif"/>
                <w:sz w:val="11"/>
              </w:rPr>
              <w:t>$</w:t>
            </w:r>
          </w:p>
        </w:tc>
        <w:tc>
          <w:tcPr>
            <w:tcW w:w="80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1"/>
              </w:rPr>
            </w:pPr>
            <w:r>
              <w:rPr>
                <w:rFonts w:ascii="Arial;Helvetica;sans-serif" w:hAnsi="Arial;Helvetica;sans-serif"/>
                <w:sz w:val="11"/>
              </w:rPr>
              <w:t>(115,140)</w:t>
            </w:r>
          </w:p>
        </w:tc>
      </w:tr>
      <w:tr>
        <w:trPr/>
        <w:tc>
          <w:tcPr>
            <w:tcW w:w="108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5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6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3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5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3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5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5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7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7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9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5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8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7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2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3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1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3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0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consolidated financial statements.</w:t>
      </w:r>
    </w:p>
    <w:p>
      <w:pPr>
        <w:pStyle w:val="TextBody"/>
        <w:spacing w:before="0" w:after="24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178</w:t>
      </w:r>
    </w:p>
    <w:p>
      <w:pPr>
        <w:pStyle w:val="TextBody"/>
        <w:spacing w:before="0" w:after="0"/>
        <w:ind w:left="0" w:right="0" w:hanging="0"/>
        <w:rPr/>
      </w:pPr>
      <w:r>
        <w:rPr/>
        <w:t>​</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STRUCTURE THERAPEUTICS INC.</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CONSOLIDATED STATEMENTS OF CASH FLOWS</w:t>
      </w:r>
      <w:bookmarkStart w:id="23" w:name="SOCF"/>
      <w:bookmarkEnd w:id="23"/>
    </w:p>
    <w:p>
      <w:pPr>
        <w:pStyle w:val="TextBody"/>
        <w:spacing w:before="0" w:after="240"/>
        <w:ind w:left="0" w:right="0" w:hanging="0"/>
        <w:jc w:val="center"/>
        <w:rPr>
          <w:rFonts w:ascii="Arial;Helvetica;sans-serif" w:hAnsi="Arial;Helvetica;sans-serif"/>
          <w:b/>
          <w:i/>
          <w:sz w:val="20"/>
        </w:rPr>
      </w:pPr>
      <w:r>
        <w:rPr>
          <w:rFonts w:ascii="Arial;Helvetica;sans-serif" w:hAnsi="Arial;Helvetica;sans-serif"/>
          <w:b/>
          <w:i/>
          <w:sz w:val="20"/>
        </w:rPr>
        <w:t>(IN THOUSANDS)</w:t>
      </w:r>
    </w:p>
    <w:tbl>
      <w:tblPr>
        <w:tblW w:w="10205" w:type="dxa"/>
        <w:jc w:val="center"/>
        <w:tblInd w:w="0" w:type="dxa"/>
        <w:tblCellMar>
          <w:top w:w="0" w:type="dxa"/>
          <w:left w:w="0" w:type="dxa"/>
          <w:bottom w:w="0" w:type="dxa"/>
          <w:right w:w="0" w:type="dxa"/>
        </w:tblCellMar>
      </w:tblPr>
      <w:tblGrid>
        <w:gridCol w:w="7422"/>
        <w:gridCol w:w="326"/>
        <w:gridCol w:w="211"/>
        <w:gridCol w:w="871"/>
        <w:gridCol w:w="326"/>
        <w:gridCol w:w="211"/>
        <w:gridCol w:w="838"/>
      </w:tblGrid>
      <w:tr>
        <w:trPr/>
        <w:tc>
          <w:tcPr>
            <w:tcW w:w="742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712970" cy="175260"/>
                      <wp:effectExtent l="0" t="0" r="0" b="0"/>
                      <wp:wrapNone/>
                      <wp:docPr id="135" name="Frame93"/>
                      <a:graphic xmlns:a="http://schemas.openxmlformats.org/drawingml/2006/main">
                        <a:graphicData uri="http://schemas.microsoft.com/office/word/2010/wordprocessingShape">
                          <wps:wsp>
                            <wps:cNvSpPr txBox="1"/>
                            <wps:spPr>
                              <a:xfrm>
                                <a:off x="0" y="0"/>
                                <a:ext cx="47129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9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553085" cy="175260"/>
                      <wp:effectExtent l="0" t="0" r="0" b="0"/>
                      <wp:wrapNone/>
                      <wp:docPr id="138" name="Frame96"/>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9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32130" cy="175260"/>
                      <wp:effectExtent l="0" t="0" r="0" b="0"/>
                      <wp:wrapNone/>
                      <wp:docPr id="141" name="Frame99"/>
                      <a:graphic xmlns:a="http://schemas.openxmlformats.org/drawingml/2006/main">
                        <a:graphicData uri="http://schemas.microsoft.com/office/word/2010/wordprocessingShape">
                          <wps:wsp>
                            <wps:cNvSpPr txBox="1"/>
                            <wps:spPr>
                              <a:xfrm>
                                <a:off x="0" y="0"/>
                                <a:ext cx="53213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422"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87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838"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r>
      <w:tr>
        <w:trPr/>
        <w:tc>
          <w:tcPr>
            <w:tcW w:w="742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57"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YEAR ENDED DECEMBER 31, </w:t>
            </w:r>
          </w:p>
        </w:tc>
      </w:tr>
      <w:tr>
        <w:trPr/>
        <w:tc>
          <w:tcPr>
            <w:tcW w:w="7422"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08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1"/>
              <w:ind w:left="0" w:right="0" w:hanging="0"/>
              <w:rPr/>
            </w:pPr>
            <w:r>
              <w:rPr/>
              <w:t>    </w:t>
            </w:r>
          </w:p>
        </w:tc>
        <w:tc>
          <w:tcPr>
            <w:tcW w:w="1049"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7422" w:type="dxa"/>
            <w:tcBorders/>
            <w:shd w:fill="CCEEFF" w:val="clear"/>
            <w:vAlign w:val="center"/>
          </w:tcPr>
          <w:p>
            <w:pPr>
              <w:pStyle w:val="TableContents"/>
              <w:spacing w:before="0" w:after="1"/>
              <w:ind w:left="0" w:right="0" w:hanging="0"/>
              <w:rPr>
                <w:rFonts w:ascii="Arial;Helvetica;sans-serif" w:hAnsi="Arial;Helvetica;sans-serif"/>
                <w:b/>
                <w:sz w:val="18"/>
              </w:rPr>
            </w:pPr>
            <w:r>
              <w:rPr>
                <w:rFonts w:ascii="Arial;Helvetica;sans-serif" w:hAnsi="Arial;Helvetica;sans-serif"/>
                <w:b/>
                <w:sz w:val="18"/>
              </w:rPr>
              <w:t>Cash flows from operating activities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38" w:type="dxa"/>
            <w:tcBorders/>
            <w:shd w:fill="CCEEFF" w:val="clear"/>
            <w:vAlign w:val="center"/>
          </w:tcPr>
          <w:p>
            <w:pPr>
              <w:pStyle w:val="TableContents"/>
              <w:spacing w:before="0" w:after="1"/>
              <w:ind w:left="0" w:right="0" w:hanging="0"/>
              <w:rPr/>
            </w:pPr>
            <w:r>
              <w:rPr/>
              <w:t>​</w:t>
            </w:r>
          </w:p>
        </w:tc>
      </w:tr>
      <w:tr>
        <w:trPr/>
        <w:tc>
          <w:tcPr>
            <w:tcW w:w="7422"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Net loss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87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(51,321)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838"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(38,049)</w:t>
            </w:r>
          </w:p>
        </w:tc>
      </w:tr>
      <w:tr>
        <w:trPr/>
        <w:tc>
          <w:tcPr>
            <w:tcW w:w="7422"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Adjustments to reconcile net loss to net cash used in operating activities: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38" w:type="dxa"/>
            <w:tcBorders/>
            <w:shd w:fill="CCEEFF" w:val="clear"/>
            <w:vAlign w:val="center"/>
          </w:tcPr>
          <w:p>
            <w:pPr>
              <w:pStyle w:val="TableContents"/>
              <w:spacing w:before="0" w:after="1"/>
              <w:ind w:left="0" w:right="0" w:hanging="0"/>
              <w:rPr/>
            </w:pPr>
            <w:r>
              <w:rPr/>
              <w:t>​</w:t>
            </w:r>
          </w:p>
        </w:tc>
      </w:tr>
      <w:tr>
        <w:trPr/>
        <w:tc>
          <w:tcPr>
            <w:tcW w:w="7422"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Share-based compensation expense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2,514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38"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1,487</w:t>
            </w:r>
          </w:p>
        </w:tc>
      </w:tr>
      <w:tr>
        <w:trPr/>
        <w:tc>
          <w:tcPr>
            <w:tcW w:w="7422"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Depreciation</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277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38"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72</w:t>
            </w:r>
          </w:p>
        </w:tc>
      </w:tr>
      <w:tr>
        <w:trPr/>
        <w:tc>
          <w:tcPr>
            <w:tcW w:w="7422"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Non-cash lease expense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347</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38"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194</w:t>
            </w:r>
          </w:p>
        </w:tc>
      </w:tr>
      <w:tr>
        <w:trPr/>
        <w:tc>
          <w:tcPr>
            <w:tcW w:w="7422"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Amortization (accretion) of net investment premium (discount)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(905)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38"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27</w:t>
            </w:r>
          </w:p>
        </w:tc>
      </w:tr>
      <w:tr>
        <w:trPr/>
        <w:tc>
          <w:tcPr>
            <w:tcW w:w="7422"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Amortization of debt discount and issuance costs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38"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47</w:t>
            </w:r>
          </w:p>
        </w:tc>
      </w:tr>
      <w:tr>
        <w:trPr/>
        <w:tc>
          <w:tcPr>
            <w:tcW w:w="7422"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Changes in operating assets and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38" w:type="dxa"/>
            <w:tcBorders/>
            <w:shd w:fill="CCEEFF" w:val="clear"/>
            <w:vAlign w:val="center"/>
          </w:tcPr>
          <w:p>
            <w:pPr>
              <w:pStyle w:val="TableContents"/>
              <w:spacing w:before="0" w:after="1"/>
              <w:ind w:left="0" w:right="0" w:hanging="0"/>
              <w:jc w:val="right"/>
              <w:rPr/>
            </w:pPr>
            <w:r>
              <w:rPr/>
              <w:t>  </w:t>
            </w:r>
          </w:p>
        </w:tc>
      </w:tr>
      <w:tr>
        <w:trPr/>
        <w:tc>
          <w:tcPr>
            <w:tcW w:w="7422"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Prepaid expenses and other current assets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(305)</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38"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(1,008)</w:t>
            </w:r>
          </w:p>
        </w:tc>
      </w:tr>
      <w:tr>
        <w:trPr/>
        <w:tc>
          <w:tcPr>
            <w:tcW w:w="7422"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Other non-current assets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(60)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38" w:type="dxa"/>
            <w:tcBorders/>
            <w:shd w:fill="CCEEFF" w:val="clear"/>
            <w:vAlign w:val="center"/>
          </w:tcPr>
          <w:p>
            <w:pPr>
              <w:pStyle w:val="TableContents"/>
              <w:spacing w:before="0" w:after="1"/>
              <w:ind w:left="0" w:right="0" w:hanging="0"/>
              <w:jc w:val="right"/>
              <w:rPr/>
            </w:pPr>
            <w:r>
              <w:rPr/>
              <w:t>—</w:t>
            </w:r>
          </w:p>
        </w:tc>
      </w:tr>
      <w:tr>
        <w:trPr/>
        <w:tc>
          <w:tcPr>
            <w:tcW w:w="7422"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Other non-current assets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38"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(36)</w:t>
            </w:r>
          </w:p>
        </w:tc>
      </w:tr>
      <w:tr>
        <w:trPr/>
        <w:tc>
          <w:tcPr>
            <w:tcW w:w="7422"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Accounts payable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2,153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38"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1,897</w:t>
            </w:r>
          </w:p>
        </w:tc>
      </w:tr>
      <w:tr>
        <w:trPr/>
        <w:tc>
          <w:tcPr>
            <w:tcW w:w="7422"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Accrued expenses and other current liabilities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1,541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38"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3,413</w:t>
            </w:r>
          </w:p>
        </w:tc>
      </w:tr>
      <w:tr>
        <w:trPr/>
        <w:tc>
          <w:tcPr>
            <w:tcW w:w="7422"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Operating lease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(361)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3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(204)</w:t>
            </w:r>
          </w:p>
        </w:tc>
      </w:tr>
      <w:tr>
        <w:trPr/>
        <w:tc>
          <w:tcPr>
            <w:tcW w:w="7422"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Net cash used in operating activities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(46,120)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3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(32,160)</w:t>
            </w:r>
          </w:p>
        </w:tc>
      </w:tr>
      <w:tr>
        <w:trPr/>
        <w:tc>
          <w:tcPr>
            <w:tcW w:w="7422" w:type="dxa"/>
            <w:tcBorders/>
            <w:shd w:fill="CCEEFF" w:val="clear"/>
            <w:vAlign w:val="center"/>
          </w:tcPr>
          <w:p>
            <w:pPr>
              <w:pStyle w:val="TableContents"/>
              <w:spacing w:before="0" w:after="1"/>
              <w:ind w:left="0" w:right="0" w:hanging="0"/>
              <w:rPr>
                <w:rFonts w:ascii="Arial;Helvetica;sans-serif" w:hAnsi="Arial;Helvetica;sans-serif"/>
                <w:b/>
                <w:sz w:val="18"/>
              </w:rPr>
            </w:pPr>
            <w:r>
              <w:rPr>
                <w:rFonts w:ascii="Arial;Helvetica;sans-serif" w:hAnsi="Arial;Helvetica;sans-serif"/>
                <w:b/>
                <w:sz w:val="18"/>
              </w:rPr>
              <w:t>Cash flows from investing activities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38" w:type="dxa"/>
            <w:tcBorders/>
            <w:shd w:fill="CCEEFF" w:val="clear"/>
            <w:vAlign w:val="center"/>
          </w:tcPr>
          <w:p>
            <w:pPr>
              <w:pStyle w:val="TableContents"/>
              <w:spacing w:before="0" w:after="1"/>
              <w:ind w:left="0" w:right="0" w:hanging="0"/>
              <w:jc w:val="right"/>
              <w:rPr/>
            </w:pPr>
            <w:r>
              <w:rPr/>
              <w:t>  </w:t>
            </w:r>
          </w:p>
        </w:tc>
      </w:tr>
      <w:tr>
        <w:trPr/>
        <w:tc>
          <w:tcPr>
            <w:tcW w:w="7422"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Purchases of short-term investments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(123,453)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38"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(4,212)</w:t>
            </w:r>
          </w:p>
        </w:tc>
      </w:tr>
      <w:tr>
        <w:trPr/>
        <w:tc>
          <w:tcPr>
            <w:tcW w:w="7422"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Maturities of short-term investments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61,500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38"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23,277</w:t>
            </w:r>
          </w:p>
        </w:tc>
      </w:tr>
      <w:tr>
        <w:trPr/>
        <w:tc>
          <w:tcPr>
            <w:tcW w:w="7422"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Purchases of property and equipment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(155)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3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(1,206)</w:t>
            </w:r>
          </w:p>
        </w:tc>
      </w:tr>
      <w:tr>
        <w:trPr/>
        <w:tc>
          <w:tcPr>
            <w:tcW w:w="7422"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Net cash (used in) provided by investing activities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(62,108)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3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17,859</w:t>
            </w:r>
          </w:p>
        </w:tc>
      </w:tr>
      <w:tr>
        <w:trPr/>
        <w:tc>
          <w:tcPr>
            <w:tcW w:w="7422" w:type="dxa"/>
            <w:tcBorders/>
            <w:shd w:fill="auto" w:val="clear"/>
            <w:vAlign w:val="center"/>
          </w:tcPr>
          <w:p>
            <w:pPr>
              <w:pStyle w:val="TableContents"/>
              <w:spacing w:before="0" w:after="1"/>
              <w:ind w:left="0" w:right="0" w:hanging="0"/>
              <w:rPr>
                <w:rFonts w:ascii="Arial;Helvetica;sans-serif" w:hAnsi="Arial;Helvetica;sans-serif"/>
                <w:b/>
                <w:sz w:val="18"/>
              </w:rPr>
            </w:pPr>
            <w:r>
              <w:rPr>
                <w:rFonts w:ascii="Arial;Helvetica;sans-serif" w:hAnsi="Arial;Helvetica;sans-serif"/>
                <w:b/>
                <w:sz w:val="18"/>
              </w:rPr>
              <w:t>Cash flows from financing activities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38" w:type="dxa"/>
            <w:tcBorders/>
            <w:shd w:fill="auto" w:val="clear"/>
            <w:vAlign w:val="center"/>
          </w:tcPr>
          <w:p>
            <w:pPr>
              <w:pStyle w:val="TableContents"/>
              <w:spacing w:before="0" w:after="1"/>
              <w:ind w:left="0" w:right="0" w:hanging="0"/>
              <w:jc w:val="right"/>
              <w:rPr/>
            </w:pPr>
            <w:r>
              <w:rPr/>
              <w:t>  </w:t>
            </w:r>
          </w:p>
        </w:tc>
      </w:tr>
      <w:tr>
        <w:trPr/>
        <w:tc>
          <w:tcPr>
            <w:tcW w:w="7422"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Proceeds from issuance of Series B redeemable convertible preferred shares, net of issuance costs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31,500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38"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96,449</w:t>
            </w:r>
          </w:p>
        </w:tc>
      </w:tr>
      <w:tr>
        <w:trPr/>
        <w:tc>
          <w:tcPr>
            <w:tcW w:w="7422"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Proceeds from issuance of Series Seed redeemable convertible preferred shares of Basecamp to noncontrolling interest holders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38"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6,909</w:t>
            </w:r>
          </w:p>
        </w:tc>
      </w:tr>
      <w:tr>
        <w:trPr/>
        <w:tc>
          <w:tcPr>
            <w:tcW w:w="7422"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Payments of deferred offering costs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71"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(2,513)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38" w:type="dxa"/>
            <w:tcBorders/>
            <w:shd w:fill="CCEEFF" w:val="clear"/>
            <w:vAlign w:val="center"/>
          </w:tcPr>
          <w:p>
            <w:pPr>
              <w:pStyle w:val="TableContents"/>
              <w:spacing w:before="0" w:after="1"/>
              <w:ind w:left="0" w:right="0" w:hanging="0"/>
              <w:jc w:val="right"/>
              <w:rPr/>
            </w:pPr>
            <w:r>
              <w:rPr/>
              <w:t>—</w:t>
            </w:r>
          </w:p>
        </w:tc>
      </w:tr>
      <w:tr>
        <w:trPr/>
        <w:tc>
          <w:tcPr>
            <w:tcW w:w="7422"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Repurchases of unvested restricted share awards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7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38" w:type="dxa"/>
            <w:tcBorders/>
            <w:shd w:fill="auto" w:val="clear"/>
            <w:vAlign w:val="center"/>
          </w:tcPr>
          <w:p>
            <w:pPr>
              <w:pStyle w:val="TableContents"/>
              <w:spacing w:before="0" w:after="1"/>
              <w:ind w:left="0" w:right="0" w:hanging="0"/>
              <w:jc w:val="right"/>
              <w:rPr/>
            </w:pPr>
            <w:r>
              <w:rPr/>
              <w:t>—</w:t>
            </w:r>
          </w:p>
        </w:tc>
      </w:tr>
      <w:tr>
        <w:trPr/>
        <w:tc>
          <w:tcPr>
            <w:tcW w:w="7422"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Proceeds from exercise of share options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38" w:type="dxa"/>
            <w:tcBorders/>
            <w:shd w:fill="CCEEFF"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11</w:t>
            </w:r>
          </w:p>
        </w:tc>
      </w:tr>
      <w:tr>
        <w:trPr/>
        <w:tc>
          <w:tcPr>
            <w:tcW w:w="7422"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Payment of Series B-1 redeemable convertible preferred shares issuance costs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3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(115)</w:t>
            </w:r>
          </w:p>
        </w:tc>
      </w:tr>
      <w:tr>
        <w:trPr/>
        <w:tc>
          <w:tcPr>
            <w:tcW w:w="7422"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Net cash provided by financing activities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7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29,014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3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103,254</w:t>
            </w:r>
          </w:p>
        </w:tc>
      </w:tr>
      <w:tr>
        <w:trPr/>
        <w:tc>
          <w:tcPr>
            <w:tcW w:w="7422"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Net change in cash and cash equivalents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(79,214)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38" w:type="dxa"/>
            <w:tcBorders/>
            <w:shd w:fill="auto" w:val="cle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88,953</w:t>
            </w:r>
          </w:p>
        </w:tc>
      </w:tr>
      <w:tr>
        <w:trPr/>
        <w:tc>
          <w:tcPr>
            <w:tcW w:w="7422" w:type="dxa"/>
            <w:tcBorders/>
            <w:shd w:fill="CCEEFF" w:val="clear"/>
            <w:vAlign w:val="center"/>
          </w:tcPr>
          <w:p>
            <w:pPr>
              <w:pStyle w:val="TableContents"/>
              <w:spacing w:before="0" w:after="1"/>
              <w:ind w:left="0" w:right="0" w:hanging="0"/>
              <w:rPr>
                <w:rFonts w:ascii="Arial;Helvetica;sans-serif" w:hAnsi="Arial;Helvetica;sans-serif"/>
                <w:b/>
                <w:sz w:val="18"/>
              </w:rPr>
            </w:pPr>
            <w:r>
              <w:rPr>
                <w:rFonts w:ascii="Arial;Helvetica;sans-serif" w:hAnsi="Arial;Helvetica;sans-serif"/>
                <w:b/>
                <w:sz w:val="18"/>
              </w:rPr>
              <w:t>Cash and cash equivalents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7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38" w:type="dxa"/>
            <w:tcBorders/>
            <w:shd w:fill="CCEEFF" w:val="clear"/>
            <w:vAlign w:val="center"/>
          </w:tcPr>
          <w:p>
            <w:pPr>
              <w:pStyle w:val="TableContents"/>
              <w:spacing w:before="0" w:after="1"/>
              <w:ind w:left="0" w:right="0" w:hanging="0"/>
              <w:jc w:val="right"/>
              <w:rPr/>
            </w:pPr>
            <w:r>
              <w:rPr/>
              <w:t>  </w:t>
            </w:r>
          </w:p>
        </w:tc>
      </w:tr>
      <w:tr>
        <w:trPr/>
        <w:tc>
          <w:tcPr>
            <w:tcW w:w="7422"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Beginning of the period</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7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105,305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38"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16,352</w:t>
            </w:r>
          </w:p>
        </w:tc>
      </w:tr>
      <w:tr>
        <w:trPr/>
        <w:tc>
          <w:tcPr>
            <w:tcW w:w="7422"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End of the period</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8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26,091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83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105,305</w:t>
            </w:r>
          </w:p>
        </w:tc>
      </w:tr>
      <w:tr>
        <w:trPr/>
        <w:tc>
          <w:tcPr>
            <w:tcW w:w="7422" w:type="dxa"/>
            <w:tcBorders/>
            <w:shd w:fill="auto" w:val="clear"/>
            <w:vAlign w:val="center"/>
          </w:tcPr>
          <w:p>
            <w:pPr>
              <w:pStyle w:val="TableContents"/>
              <w:spacing w:before="0" w:after="1"/>
              <w:ind w:left="0" w:right="0" w:hanging="0"/>
              <w:rPr>
                <w:rFonts w:ascii="Arial;Helvetica;sans-serif" w:hAnsi="Arial;Helvetica;sans-serif"/>
                <w:b/>
                <w:sz w:val="18"/>
              </w:rPr>
            </w:pPr>
            <w:r>
              <w:rPr>
                <w:rFonts w:ascii="Arial;Helvetica;sans-serif" w:hAnsi="Arial;Helvetica;sans-serif"/>
                <w:b/>
                <w:sz w:val="18"/>
              </w:rPr>
              <w:t>Supplemental disclosures of noncash investing and financing activities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71" w:type="dxa"/>
            <w:tcBorders/>
            <w:shd w:fill="auto" w:val="clear"/>
            <w:vAlign w:val="center"/>
          </w:tcPr>
          <w:p>
            <w:pPr>
              <w:pStyle w:val="TableContents"/>
              <w:spacing w:before="0" w:after="1"/>
              <w:ind w:left="0" w:right="0" w:hanging="0"/>
              <w:jc w:val="right"/>
              <w:rPr/>
            </w:pPr>
            <w:r>
              <w:rPr/>
              <w:t>  </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38" w:type="dxa"/>
            <w:tcBorders/>
            <w:shd w:fill="auto" w:val="clear"/>
            <w:vAlign w:val="center"/>
          </w:tcPr>
          <w:p>
            <w:pPr>
              <w:pStyle w:val="TableContents"/>
              <w:spacing w:before="0" w:after="1"/>
              <w:ind w:left="0" w:right="0" w:hanging="0"/>
              <w:jc w:val="right"/>
              <w:rPr/>
            </w:pPr>
            <w:r>
              <w:rPr/>
              <w:t>  </w:t>
            </w:r>
          </w:p>
        </w:tc>
      </w:tr>
      <w:tr>
        <w:trPr/>
        <w:tc>
          <w:tcPr>
            <w:tcW w:w="7422"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Accretion of redeemable convertible preferred shares to their redemption value</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8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1,515</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83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3,757</w:t>
            </w:r>
          </w:p>
        </w:tc>
      </w:tr>
      <w:tr>
        <w:trPr/>
        <w:tc>
          <w:tcPr>
            <w:tcW w:w="7422"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Issuance of Series B-1 redeemable convertible preferred stock to noncontrolling interest holders in exchange of Series Seed redeemable convertible preferred stock of Basecamp</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87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83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8,959</w:t>
            </w:r>
          </w:p>
        </w:tc>
      </w:tr>
      <w:tr>
        <w:trPr/>
        <w:tc>
          <w:tcPr>
            <w:tcW w:w="7422"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Purchases of property and equipment in accounts payable and accrued expenses and other current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871"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83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32</w:t>
            </w:r>
          </w:p>
        </w:tc>
      </w:tr>
      <w:tr>
        <w:trPr/>
        <w:tc>
          <w:tcPr>
            <w:tcW w:w="7422" w:type="dxa"/>
            <w:tcBorders/>
            <w:shd w:fill="auto"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Operating lease right-of-use assets obtained in exchange for new lease liabilities, net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87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838"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545</w:t>
            </w:r>
          </w:p>
        </w:tc>
      </w:tr>
      <w:tr>
        <w:trPr/>
        <w:tc>
          <w:tcPr>
            <w:tcW w:w="7422" w:type="dxa"/>
            <w:tcBorders/>
            <w:shd w:fill="CCEEFF" w:val="cle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Deferred offering costs included in accounts payable and accrued expenses and other current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87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854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18"/>
              </w:rPr>
            </w:pPr>
            <w:r>
              <w:rPr>
                <w:rFonts w:ascii="Arial;Helvetica;sans-serif" w:hAnsi="Arial;Helvetica;sans-serif"/>
                <w:sz w:val="18"/>
              </w:rPr>
              <w:t>$</w:t>
            </w:r>
          </w:p>
        </w:tc>
        <w:tc>
          <w:tcPr>
            <w:tcW w:w="838"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8"/>
              </w:rPr>
            </w:pPr>
            <w:r>
              <w:rPr>
                <w:rFonts w:ascii="Arial;Helvetica;sans-serif" w:hAnsi="Arial;Helvetica;sans-serif"/>
                <w:sz w:val="18"/>
              </w:rPr>
              <w:t>75</w:t>
            </w:r>
          </w:p>
        </w:tc>
      </w:tr>
      <w:tr>
        <w:trPr/>
        <w:tc>
          <w:tcPr>
            <w:tcW w:w="742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7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38"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The accompanying notes are an integral part of these consolidated financial statements.</w:t>
      </w:r>
    </w:p>
    <w:p>
      <w:pPr>
        <w:pStyle w:val="TextBody"/>
        <w:spacing w:before="0" w:after="240"/>
        <w:ind w:left="0" w:right="0" w:hanging="0"/>
        <w:jc w:val="center"/>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179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1. Organization and Nature of the Business</w:t>
      </w:r>
      <w:bookmarkStart w:id="24" w:name="Notes_to_FSs"/>
      <w:bookmarkEnd w:id="24"/>
    </w:p>
    <w:p>
      <w:pPr>
        <w:pStyle w:val="TextBody"/>
        <w:spacing w:before="0" w:after="240"/>
        <w:ind w:left="0" w:right="0" w:hanging="0"/>
        <w:rPr>
          <w:rFonts w:ascii="Arial;Helvetica;sans-serif" w:hAnsi="Arial;Helvetica;sans-serif"/>
          <w:sz w:val="20"/>
        </w:rPr>
      </w:pPr>
      <w:r>
        <w:rPr>
          <w:rFonts w:ascii="Arial;Helvetica;sans-serif" w:hAnsi="Arial;Helvetica;sans-serif"/>
          <w:sz w:val="20"/>
        </w:rPr>
        <w:t>Structure Therapeutics Inc. (the “Company”) is a clinical stage global biopharmaceutical company aiming to develop and deliver novel oral therapeutics to treat a wide range of chronic diseases with unmet medical needs. The Company was incorporated in February 2019 in the Cayman Islands, with operating subsidiaries in the United States and China. In June 2022, the Company changed its name from ShouTi Inc. to Structure Therapeutics Inc.</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Prior to the formation of the Company, the operating activities were carried out by the subsidiaries of the Company. Structure Therapeutics USA Inc., a Delaware corporation (“StructureTx US”), was incorporated on June 6, 2016. On January 20, 2017, StructureTx US was reorganized as a limited liability company. Annapurna Bio, Inc. (“Annapurna”), a Delaware corporation, was incorporated on January 26, 2017, and Gasherbrum Bio, Inc. (“Gasherbrum”), a Delaware corporation, was incorporated on April 19, 2017.</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On April 18, 2019, Annapurna, Gasherbrum, StructureTx US and the Company entered into a share exchange agreement (the “Share Exchange Agreement”). As a result of the Share Exchange Agreement, StructureTx US, Annapurna and Gasherbrum became wholly-owned subsidiaries of the Company. At the closing of the Share Exchange Agreement on April 18, 2019, the Company issued to the shareholders of Annapurna, Gasherbrum, and StructureTx US an aggregate of 10,766,250 ordinary shares (the “Share Exchange”). On April 19, 2019, ShouTi LLC was converted into ShouTi Inc., a Delaware corporation, which subsequently changed its name to Structure Therapeutics USA Inc. The Share Exchange was accounted for as a capital transaction.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On June 28, 2019, ShouTi Hong Kong Ltd (“ShouTi Hong Kong”) was incorporated as a wholly-owned subsidiary of the Company. On July 26, 2019, Shanghai ShouTi Biotechnology Co., Ltd (“ShouTi Shanghai”) was incorporated as a wholly-owned subsidiary of ShouTi Hong Kong. On April 1, 2020, Lhotse Bio, Inc. (“Lhotse”) was incorporated as a wholly-owned subsidiary of the Company.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On February 10, 2021, the Company incorporated Basecamp Bio Inc. (“Basecamp”) in the Cayman Islands with a wholly owned subsidiary, Basecamp Bio Hong Kong Limited (“Basecamp HK”) in Hong Kong. Shanghai Basecamp Biotechnology Co., Ltd., a wholly owned subsidiary of Basecamp HK, was established on March 26, 2021 in Shanghai, China. The purpose of Basecamp is to develop certain of the Company’s technologies in Mainland China. In March 2021, Basecamp issued 7,000,000 Series Seed shares to other investors that are also investors of the Company, which was accounted for as redeemable noncontrolling interest in the consolidated financial statements (see Note 8). In December 2021, the Company acquired the 7,000,000 Series Seed redeemable convertible preferred shares of Basecamp held by the other investors in exchange for 2,161,402 shares of its Series B-1 redeemable convertible preferred shares with Basecamp becoming a wholly owned subsidiary (see Note 8). The Company has consolidated Basecamp since its incorporation.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accompanying consolidated financial statements include the accounts of the Company and its wholly-owned subsidiaries.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Initial Public Offering</w:t>
      </w:r>
    </w:p>
    <w:p>
      <w:pPr>
        <w:pStyle w:val="TextBody"/>
        <w:spacing w:before="0" w:after="240"/>
        <w:ind w:left="0" w:right="0" w:hanging="0"/>
        <w:rPr>
          <w:rFonts w:ascii="Arial;Helvetica;sans-serif" w:hAnsi="Arial;Helvetica;sans-serif"/>
          <w:sz w:val="20"/>
        </w:rPr>
      </w:pPr>
      <w:bookmarkStart w:id="25" w:name="_Hlk127808238"/>
      <w:bookmarkEnd w:id="25"/>
      <w:r>
        <w:rPr>
          <w:rFonts w:ascii="Arial;Helvetica;sans-serif" w:hAnsi="Arial;Helvetica;sans-serif"/>
          <w:sz w:val="20"/>
        </w:rPr>
        <w:t>On February 7, 2023, the Company closed its initial public offering (“IPO”) of American Depositary Shares (“ADS”). Each ADS represents three ordinary shares. The net proceeds from the IPO were approximately $166.7 million after deducting underwriting discounts and commissions and estimated offering costs.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Upon the closing of the IPO, all outstanding shares of the Company’s redeemable convertible preferred shares converted into 67,018,087 ordinary shares. In connection with the completion of its IPO, the </w:t>
      </w:r>
    </w:p>
    <w:p>
      <w:pPr>
        <w:pStyle w:val="TextBody"/>
        <w:spacing w:before="480" w:after="0"/>
        <w:ind w:left="0" w:right="0" w:hanging="0"/>
        <w:jc w:val="center"/>
        <w:rPr>
          <w:rFonts w:ascii="Arial;Helvetica;sans-serif" w:hAnsi="Arial;Helvetica;sans-serif"/>
          <w:sz w:val="20"/>
        </w:rPr>
      </w:pPr>
      <w:r>
        <w:rPr>
          <w:rFonts w:ascii="Arial;Helvetica;sans-serif" w:hAnsi="Arial;Helvetica;sans-serif"/>
          <w:sz w:val="20"/>
        </w:rPr>
        <w:t>180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Company’s memorandum of association was amended and restated to provide for 500,000,000 authorized ordinary shares with a par value of $0.0001 per share and 100,000,000 authorized shares with a par value of $0.0001 per share, of such class or classes as may be designated by the Company’s board of directors in accordance with the Company’s articles of association. The consolidated financial statements as of December 31, 2022, including share and per share amounts, do not give effect to the IPO, as it closed subsequent to December 31, 2022.</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Liquidity and Capital Resources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has incurred significant net operating losses and negative cash flows from operations since inception and had an accumulated deficit of $117.0 million as of December 31, 2022. Through December 31, 2022, the Company has financed its operations primarily through the private placement of equity securities. On February 7, 2023, the Company completed its IPO for net proceeds of approximately $166.7 million, after deducting underwriting discounts and estimated offering costs.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To date, the Company has no product candidates approved for sale and therefore the Company has not generated any revenue from its products. The Company has not generated any revenue from collaboration or other agreements. Management expects operating losses and negative cash flows to continue for the foreseeable future, until such time, if ever, that it can generate significant sales from its product candidates currently in development or through collaboration or other agreements. The Company’s prospects are subject to risks and uncertainties frequently encountered by companies in the biotechnology industry as discussed in </w:t>
        <w:br/>
        <w:t>Note 2.</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of December 31, 2022, the Company had cash, cash equivalents and short-term investments of $90.8 million. Based on its current business plan, the Company believes that its current cash, cash equivalents and short-term investments, together with the net proceeds from its IPO, will be sufficient to fund its projected operations for at least 12 months from the date of the issuance of these consolidated financial statements.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Impact of the COVID-19 Pandemic and Other Macroeconomic Factors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COVID-19 (coronavirus) pandemic, which has impacted worldwide economic activity, poses risks that the Company or its employees, contractors, suppliers and other partners may be prevented from conducting business activities for an indefinite period of time, including due to shutdowns that may be requested or mandated by governmental authorities. Although the impact of COVID-19 has not been material to the Company and its operations, the extent to which the COVID-19 pandemic will impact the Company’s business will depend on future developments that are highly uncertain and cannot be predicted at this time. While the pandemic appears to have waned, there may be significant uncertainty resulting from any changes with regards to COVID-19 infections, along with the impact of other macroeconomic factors such as inflation, supply chain issues, rising interest rates, future bank failures and the impact of the Russian/Ukraine conflict. .</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2. Summary of Significant Accounting Policies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Basis of Presentation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consolidated financial statements and related disclosures have been prepared in conformity with accounting principles generally accepted in the United States of America (“GAAP”). The consolidated financial statements include the accounts of the Company and its wholly-owned subsidiaries. All intercompany accounts and transactions have been eliminated in consolidation. The functional and reporting currency of the Company and its subsidiaries is the U.S. dollar. The aggregate foreign currency transaction loss included in determining net loss was not material for the periods presented.</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181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Use of Estimates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preparation of financial statements in conformity with GAAP requires management to make estimates and assumptions that affect the reported amounts of assets and liabilities and disclosures of contingent assets and liabilities at the date of the financial statements as well as the reported amounts of expenses during the reporting periods. Such estimates include lease liability, accruals for research and development activities, Series B-1 redeemable convertible preferred shares valuation, ordinary share valuation and related share-based compensation and certain other accrued liabilities. Actual results could differ from those estimates.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Segments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operates and manages its business as one reportable and operating segment, which is the business of research and development of medicines that target chronic diseases with unmet medical needs. The Company’s Chief Executive Officer, who is the chief operating decision maker, reviews financial information on an aggregate basis for purposes of allocating resources and evaluating financial performance. The Company’s long-lived assets are primarily in China.</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Concentration of Credit Risk</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is exposed to credit risk from its deposits of cash, cash equivalents and short-term investments in excess of the amount of insurance provided on such deposits. The Company invests its cash, cash equivalents and short-term investments in money market funds, corporate debt securities, U.S. government bonds and U.S. government agency bonds. The Company limits its credit risk associated with cash, cash equivalents and short-term investments by placing them with banks and institutions it believes are highly creditworthy and in highly rated investments. The Company has not experienced any losses on its deposits of cash, cash equivalents and short-term investments to date. The Company has no off-balance sheet concentrations of credit risk, such as foreign currency exchange contracts, option contracts or other hedging arrangements.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Risks and Uncertainties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is subject to risks and uncertainties common to early-stage companies in the biotechnology industry, including, but not limited to, development by competitors of new technological innovations, protection of proprietary technology, dependence on key personnel, compliance with government regulations and the need to obtain additional financing to fund operations. Product candidates currently under development will require significant additional research and development efforts, including extensive preclinical studies, clinical trials and regulatory approval prior to commercialization. These efforts require significant amounts of additional resources, adequate personnel, infrastructure and extensive compliance and reporting.</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Company’s product candidates are still in development and, to date, none of the Company’s product candidates have been approved for sale and, therefore, the Company has not generated any revenue from any of its products.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There can be no assurance that the Company’s research and development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any revenue from any of its products. The Company operates in an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182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environment of rapid change in technology and substantial competition from other pharmaceutical and biotechnology companies.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relies and expects to continue to rely on a small number of vendors to manufacture supplies and materials for its use in the clinical trial programs. These programs could be adversely affected by a significant interruption in these manufacturing services.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Cash and Cash Equivalents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considers all highly liquid investments purchased with maturities of 90 days or less from the original date of purchase to be cash equivalents. As of December 31, 2022 and 2021, the Company’s cash and cash equivalents consist of cash deposited with banks and investments in money market funds.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Short-Term Investments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classifies its investments as available-for-sale and records them at fair value based upon market prices at period end. Unrealized gains and losses that are deemed temporary in nature are recorded in accumulated other comprehensive income as a separate component of shareholders’ deficit. Dividend and interest income are recognized when earned. Realized gains and losses are included in earnings and are derived using the specific identification method for determining the cost of investments sold. The Company may sell these securities at any time for use in current operations.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Other-Than-Temporary Impairment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evaluates its investments with unrealized losses for other-than-temporary impairment. When assessing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consolidated statements of operations and comprehensive loss. No such adjustments were necessary during the periods presented.</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Fair Value of Financial Instruments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establishes the fair value of its assets and liabilities using the price that would be received to sell an asset or paid to transfer a liability in an orderly transaction between market participants at the measurement date and established a fair value hierarchy based on the inputs used to measure fair value.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carrying value of cash and cash equivalents, accounts payable and accrued liabilities approximate fair value due to their relatively short maturities. The Company determines the fair value of financial and non-financial assets and liabilities using the fair value hierarchy which establishes three levels of inputs that may be used to measure fair value (see Note 4).</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Property and Equipment, Net</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Property and equipment, net is stated at cost less accumulated depreciation. Depreciation is calculated using the straight-line method over the estimated useful lives of the assets, generally two to five years. Leasehold improvements are amortized using the straight-line method over the shorter of the assets’ estimated useful lives or the remaining term of the lease. When assets are retired or otherwise disposed of, the cost and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183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accumulated depreciation are removed from the balance sheet, and any resulting gain or loss is reflected in operating expenses in the period realized. Maintenance and repairs are charged to operating expenses as incurred.</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Impairment of Long-Lived Assets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Long-lived assets consist primarily of property and equipment, net, and are reviewed for impairment whenever events or changes in circumstances indicate that the carrying amount of an asset may not be recoverable. If circumstances require that a long-lived asset be tested for possible impairment, the Company compares the undiscounted cash flows expected to be generated by the asset group to the carrying amount of the asset group. If the carrying amount of the long-lived asset is not recoverable on an undiscounted cash flow basis, an impairment is recognized to the extent that the carrying amount exceeds its fair value. During the years ended December 31, 2022 and 2021, the Company has not recorded impairment charges on its long-lived assets.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Deferred Offering Costs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capitalizes, within other non-current assets, certain legal, accounting and other third-party fees that are directly related to the Company’s in-process equity financings, including its IPO, until such financings are consummated. After consummation of the equity financing, these costs are recorded as a reduction of the proceeds received as a result of the offering. Should a planned equity financing be abandoned, terminated or significantly delayed, the deferred offering costs will be immediately written off to general and administrative expenses. As of December 31, 2022 and 2021, deferred offering costs were $3.4 million and $0.1 million, respectively.</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Accrued Research and Development Expenses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has entered into various agreements with contract manufacturing organizations (“CMOs”) and contract research organizations (“CROs”).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other current liabilities on the consolidated balance sheets. If the actual timing of the performance of services or the level of effort varies from the original estimates, the Company will adjust the accrual accordingly. Payments made to CMOs and CROs under these arrangements in advance of the performance of the related services are recorded as prepaid expenses and other current assets on the consolidated balance sheets until the services are rendered.</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Leases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 Company determines if an arrangement is, or contains, a lease at inception and then classifies the lease as operating or financing based on the underlying terms and conditions of the contract. Leases with terms greater than one year are initially recognized on the consolidated balance sheets as right-of-use assets and lease liabilities based on the present value of lease payments over the expected lease term. The Company has also elected to not apply the recognition requirement to any leases within its existing classes of assets with a term of 12 months or less and does not include any options to purchase the underlying asset that the Company is reasonably certain to exercise. As most of the Company’s leases do not provide an implicit rate, the Company uses its incremental borrowing rate based on the information available at commencement date in determining the present value of future payments. Lease expense for lease payments is recognized on a straight-line basis over the lease term. Variable lease payments are excluded from the right-of-use assets and operating lease liabilities and are recognized in the period in which the obligation for those payments is incurred. The Company elected the practical expedient not to separate non-lease components from lease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184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components for the Company’s facility leases and to account for the lease and non-lease components as a single lease component.</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Redeemable Convertible Preferred Shares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records all shares of redeemable convertible preferred shares at the amount of proceeds received, less amounts allocated to redeemable convertible preferred shares tranche liability and issuance costs. The fair value of Series B-1 redeemable convertible preferred shares issued in connection with the Basecamp share exchange transaction was estimated at fair value based on market-based factors similar to those used in determining the fair value of ordinary shares. Though not mandatorily redeemable, the redeemable convertible preferred shares are recorded outside of permanent equity because in certain events considered not solely within the Company’s control, such as a merger, acquisition, or sale of all or substantially all of the Company’s assets (each, a “deemed liquidation event”), the redeemable convertible preferred shares may become redeemable at the option of the holders of at least a majority of the then outstanding shares on or after April 29, 2026. The Company made an accounting policy election to recognize changes in the redemption value of redeemable convertible preferred shares immediately as they occur and adjust the carrying value of redeemable convertible preferred shares to equal it to its redemption value at the end of each reporting period. All outstanding shares of the redeemable convertible preferred shares converted into ordinary shares upon effectiveness of its IPO.</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Research and Development Expenses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Research and development expenses include costs directly attributable to the conduct of research and development programs, including payroll and related expenses, costs for CMOs, costs for CROs, materials, supplies, consulting costs, and the allocated portions of facility costs, such as rent, utilities, insurance, information technology costs and general support services. Research and development costs are expensed within the consolidated statements of operations and comprehensive loss as incurred.</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Fair Value of Ordinary Shares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Prior to the IPO, the fair value of the Company’s ordinary shares was determined by its Board of Directors with input from management and third-party valuation specialists. The Company’s approach to estimate the fair value of the Company’s ordinary shares is consistent with the methods outlined in the American Institute of Certified Public Accountants Practice Aid, Valuation of Privately-Held-Company Equity Securities Issued as Compensation. Determining the best estimated fair value of the Company’s ordinary shares requires significant judgment and management considers several factors, including the Company’s stage of development, equity market conditions affecting comparable public companies, significant milestones and progress of research and development efforts. Subsequent to the Company’s IPO, the fair value of the Company’s ordinary shares is determined based on its closing market price of the Company’s ADS, which each represents three ordinary shares.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Share-Based Compensation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accounts for share-based compensation arrangements with employees and non-employees using a fair value method which requires the recognition of compensation expense for costs related to all share-based payments including share options. The fair value method requires the Company to estimate the fair value of share-based payment awards on the date of grant using an option-pricing model. The Company uses the Black-Scholes option-pricing model to estimate the fair value of options granted that are expensed on a straight-line basis over the requisite service period, which is generally the vesting period. The Company accounts for forfeitures as they occur. Option valuation models, including the Black-Scholes option-pricing model, require the input of several assumptions.</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185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granted share options to employees of China. The exercise of share options granted to employees of China are conditioned to liquidity events which are outside the Company’s control. The liquidity events are not probable until consummated and employees of China cannot benefit from their share options. As such, no share-based compensation expense has been recognized for the employees of China’s share options during the years ended December 31, 2022 and 2021.</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Income Taxes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Income taxes are accounted for using an asset and liability approach that requires the recognition of deferred tax assets and liabilities for the expected future tax consequences of temporary differences between the consolidated financial statement and tax bases of assets and liabilities at the applicable enacted tax rates. The Company will establish a valuation allowance for deferred tax assets if it is more likely than not that these items will expire before the Company is able to realize its benefits or that future deductibility is uncertain.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recognizes the tax benefit from uncertain tax positions only if it is more likely than not that the tax position will be sustained on examination by the tax authorities, based on the technical merits of the position. The tax position is measured based on the largest benefit that has a greater than 50% likelihood of being realized upon ultimate settlement. The Company recognizes interest and penalties related to income tax matters in its provision for income taxes. There were no uncertain income tax positions or unrecognized income tax benefits as of December 31, 2022 and 2021.</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Net Loss Per Share Attributable to Ordinary Shareholders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Basic net loss per ordinary share is calculated by dividing the net loss attributable to ordinary shareholders by the weighted-average number of ordinary shares outstanding during the period, without consideration of potentially dilutive securities. Net loss attributable to ordinary shareholders is computed as net loss less accretion of redeemable convertible preferred shares and less any excess of the fair value of the consideration paid over the carrying value of noncontrolling interest. Diluted net loss per share is computed by dividing the net loss attributable to ordinary shareholders by the weighted-average number of ordinary shares and potentially dilutive securities outstanding for the period. For purposes of the diluted net loss per share calculation, the redeemable convertible preferred shares, ordinary share warrants, unvested restricted ordinary shares subject to repurchase and share options are considered to be potentially dilutive securities. Basic and diluted net loss per share attributable to ordinary shareholders is presented in conformity with the two-class method required for participating securities as the redeemable convertible preferred shares are considered a participating security because they participate in dividends with ordinary shares. The holders of redeemable convertible preferred shares do not have a contractual obligation to share in the Company’s losses. As such, the net loss was attributed entirely to ordinary shareholders. Because the Company has reported a net loss for all periods presented, diluted net loss per ordinary share is the same as basic net loss per ordinary share for those periods.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Comprehensive Income (Loss)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Comprehensive income (loss) is defined as a change in equity of a business enterprise during a period, resulting from transactions from non-owner sources. Other comprehensive loss represents unrealized gains or losses on short-term investments that are reported as a component of shareholders’ deficit on the consolidated balance sheets.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JOBS Act Accounting Election</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 Company is an emerging growth company, as defined in the Jumpstart Our Business Startups Act of 2012 (“JOBS Act”). Under the JOBS Act, emerging growth companies can delay adopting new or revised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186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accounting standards issued subsequent to the enactment of the JOBS Act until such time as those standards apply to private companies. The Company has elected to use this extended transition period for complying with certain new or revised accounting standards that have different effective dates for public and private companies until the earlier of the date the Company (i) is no longer an emerging growth company or (ii) affirmatively and irrevocably opts out of the extended transition period provided in the JOBS Act. As a result, these consolidated financial statements may not be comparable to companies that comply with new or revised accounting pronouncements as of public company effective dates.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Recent Accounting Pronouncements</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Recently Adopted Accounting Pronouncements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In December 2019, the Financial Accounting Standards Board (“FASB”) issued Account Standards Update (“ASU”) No. 2019-12, </w:t>
      </w:r>
      <w:r>
        <w:rPr>
          <w:rFonts w:ascii="Arial;Helvetica;sans-serif" w:hAnsi="Arial;Helvetica;sans-serif"/>
          <w:i/>
          <w:sz w:val="20"/>
        </w:rPr>
        <w:t>Income Taxes (Topic 740)—Simplifying the Accounting for Income Taxes</w:t>
      </w:r>
      <w:r>
        <w:rPr>
          <w:rFonts w:ascii="Arial;Helvetica;sans-serif" w:hAnsi="Arial;Helvetica;sans-serif"/>
          <w:sz w:val="20"/>
        </w:rPr>
        <w:t>, which simplify various aspects related to the accounting for income taxes. This ASU removes exceptions to the general principles in Topic 740 related to the approach for intraperiod tax allocation, the methodology for calculating income taxes in an interim period and the recognition of deferred tax liabilities for outside basis differences. For the Company, the amendments are effective for the year ended December 31, 2022. The adoption of this ASU did not have a material effect on the Company’s consolidated financial statements and related disclosures.</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Accounting Pronouncements Not Yet Adopted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In June 2016, the FASB issued ASU No. 2016-13, </w:t>
      </w:r>
      <w:r>
        <w:rPr>
          <w:rFonts w:ascii="Arial;Helvetica;sans-serif" w:hAnsi="Arial;Helvetica;sans-serif"/>
          <w:i/>
          <w:sz w:val="20"/>
        </w:rPr>
        <w:t>Financial Instruments—Credit Losses (Topic 326): Measurement of Credit Losses on Financial Instruments</w:t>
      </w:r>
      <w:r>
        <w:rPr>
          <w:rFonts w:ascii="Arial;Helvetica;sans-serif" w:hAnsi="Arial;Helvetica;sans-serif"/>
          <w:sz w:val="20"/>
        </w:rPr>
        <w:t>, which requires the measurement and recognition of expected credit losses for financial assets held at amortized cost. This ASU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The amendments in this Update are effective for the Company for fiscal years beginning after December 15, 2022, including interim periods within those fiscal years. The Company is currently evaluating the impact the adoption of this ASU will have on its consolidated financial statements and related disclosures.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3.Composition of Certain Consolidated Financial Statement Line Items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Property and equipment, net consists of the following (in thousands):</w:t>
      </w:r>
    </w:p>
    <w:tbl>
      <w:tblPr>
        <w:tblW w:w="5382" w:type="dxa"/>
        <w:jc w:val="left"/>
        <w:tblInd w:w="0" w:type="dxa"/>
        <w:tblCellMar>
          <w:top w:w="0" w:type="dxa"/>
          <w:left w:w="0" w:type="dxa"/>
          <w:bottom w:w="0" w:type="dxa"/>
          <w:right w:w="0" w:type="dxa"/>
        </w:tblCellMar>
      </w:tblPr>
      <w:tblGrid>
        <w:gridCol w:w="3091"/>
        <w:gridCol w:w="326"/>
        <w:gridCol w:w="211"/>
        <w:gridCol w:w="586"/>
        <w:gridCol w:w="326"/>
        <w:gridCol w:w="211"/>
        <w:gridCol w:w="631"/>
      </w:tblGrid>
      <w:tr>
        <w:trPr/>
        <w:tc>
          <w:tcPr>
            <w:tcW w:w="30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962785" cy="175260"/>
                      <wp:effectExtent l="0" t="0" r="0" b="0"/>
                      <wp:wrapNone/>
                      <wp:docPr id="142" name="Frame100"/>
                      <a:graphic xmlns:a="http://schemas.openxmlformats.org/drawingml/2006/main">
                        <a:graphicData uri="http://schemas.microsoft.com/office/word/2010/wordprocessingShape">
                          <wps:wsp>
                            <wps:cNvSpPr txBox="1"/>
                            <wps:spPr>
                              <a:xfrm>
                                <a:off x="0" y="0"/>
                                <a:ext cx="1962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0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72110" cy="175260"/>
                      <wp:effectExtent l="0" t="0" r="0" b="0"/>
                      <wp:wrapNone/>
                      <wp:docPr id="145" name="Frame103"/>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0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00685" cy="175260"/>
                      <wp:effectExtent l="0" t="0" r="0" b="0"/>
                      <wp:wrapNone/>
                      <wp:docPr id="148" name="Frame106"/>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09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58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63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0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0"/>
              <w:ind w:left="0" w:right="0" w:hanging="0"/>
              <w:rPr/>
            </w:pPr>
            <w:r>
              <w:rPr/>
              <w:t>    </w:t>
            </w:r>
          </w:p>
        </w:tc>
        <w:tc>
          <w:tcPr>
            <w:tcW w:w="8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309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Laboratory equipment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1,098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63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1,015</w:t>
            </w:r>
          </w:p>
        </w:tc>
      </w:tr>
      <w:tr>
        <w:trPr/>
        <w:tc>
          <w:tcPr>
            <w:tcW w:w="309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Furniture and fixtures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3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90</w:t>
            </w:r>
          </w:p>
        </w:tc>
      </w:tr>
      <w:tr>
        <w:trPr/>
        <w:tc>
          <w:tcPr>
            <w:tcW w:w="309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Computer equipment and software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3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42</w:t>
            </w:r>
          </w:p>
        </w:tc>
      </w:tr>
      <w:tr>
        <w:trPr/>
        <w:tc>
          <w:tcPr>
            <w:tcW w:w="309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Leasehold improvements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110</w:t>
            </w:r>
          </w:p>
        </w:tc>
      </w:tr>
      <w:tr>
        <w:trPr/>
        <w:tc>
          <w:tcPr>
            <w:tcW w:w="309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1,380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63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1,257</w:t>
            </w:r>
          </w:p>
        </w:tc>
      </w:tr>
      <w:tr>
        <w:trPr/>
        <w:tc>
          <w:tcPr>
            <w:tcW w:w="309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Less: Accumulated depreciation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(349)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(72)</w:t>
            </w:r>
          </w:p>
        </w:tc>
      </w:tr>
      <w:tr>
        <w:trPr/>
        <w:tc>
          <w:tcPr>
            <w:tcW w:w="309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Property and equipment,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1,031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6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1,185</w:t>
            </w:r>
          </w:p>
        </w:tc>
      </w:tr>
      <w:tr>
        <w:trPr/>
        <w:tc>
          <w:tcPr>
            <w:tcW w:w="309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3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187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Depreciation expense for the years ended December 31, 2022 and 2021 was $0.3 million and $0.1 million, respectively.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Accrued expenses and other current liabilities consisted of the following (in thousands):</w:t>
      </w:r>
    </w:p>
    <w:tbl>
      <w:tblPr>
        <w:tblW w:w="6837" w:type="dxa"/>
        <w:jc w:val="left"/>
        <w:tblInd w:w="0" w:type="dxa"/>
        <w:tblCellMar>
          <w:top w:w="0" w:type="dxa"/>
          <w:left w:w="0" w:type="dxa"/>
          <w:bottom w:w="0" w:type="dxa"/>
          <w:right w:w="0" w:type="dxa"/>
        </w:tblCellMar>
      </w:tblPr>
      <w:tblGrid>
        <w:gridCol w:w="4546"/>
        <w:gridCol w:w="326"/>
        <w:gridCol w:w="211"/>
        <w:gridCol w:w="586"/>
        <w:gridCol w:w="326"/>
        <w:gridCol w:w="211"/>
        <w:gridCol w:w="631"/>
      </w:tblGrid>
      <w:tr>
        <w:trPr/>
        <w:tc>
          <w:tcPr>
            <w:tcW w:w="45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886710" cy="175260"/>
                      <wp:effectExtent l="0" t="0" r="0" b="0"/>
                      <wp:wrapNone/>
                      <wp:docPr id="149" name="Frame107"/>
                      <a:graphic xmlns:a="http://schemas.openxmlformats.org/drawingml/2006/main">
                        <a:graphicData uri="http://schemas.microsoft.com/office/word/2010/wordprocessingShape">
                          <wps:wsp>
                            <wps:cNvSpPr txBox="1"/>
                            <wps:spPr>
                              <a:xfrm>
                                <a:off x="0" y="0"/>
                                <a:ext cx="2886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33985" cy="175260"/>
                      <wp:effectExtent l="0" t="0" r="0" b="0"/>
                      <wp:wrapNone/>
                      <wp:docPr id="151" name="Frame10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72110" cy="175260"/>
                      <wp:effectExtent l="0" t="0" r="0" b="0"/>
                      <wp:wrapNone/>
                      <wp:docPr id="152" name="Frame110"/>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1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00685" cy="175260"/>
                      <wp:effectExtent l="0" t="0" r="0" b="0"/>
                      <wp:wrapNone/>
                      <wp:docPr id="155" name="Frame113"/>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54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58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63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r>
      <w:tr>
        <w:trPr/>
        <w:tc>
          <w:tcPr>
            <w:tcW w:w="45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45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1"/>
              <w:ind w:left="0" w:right="0" w:hanging="0"/>
              <w:rPr/>
            </w:pPr>
            <w:r>
              <w:rPr/>
              <w:t>    </w:t>
            </w:r>
          </w:p>
        </w:tc>
        <w:tc>
          <w:tcPr>
            <w:tcW w:w="8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454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Accrued compensation</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3,544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1,943</w:t>
            </w:r>
          </w:p>
        </w:tc>
      </w:tr>
      <w:tr>
        <w:trPr/>
        <w:tc>
          <w:tcPr>
            <w:tcW w:w="454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Accrued research and development expenses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58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1,818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3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2,053</w:t>
            </w:r>
          </w:p>
        </w:tc>
      </w:tr>
      <w:tr>
        <w:trPr/>
        <w:tc>
          <w:tcPr>
            <w:tcW w:w="454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Accrued clinical expenses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438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368</w:t>
            </w:r>
          </w:p>
        </w:tc>
      </w:tr>
      <w:tr>
        <w:trPr/>
        <w:tc>
          <w:tcPr>
            <w:tcW w:w="454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Accrued professional services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313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3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159</w:t>
            </w:r>
          </w:p>
        </w:tc>
      </w:tr>
      <w:tr>
        <w:trPr/>
        <w:tc>
          <w:tcPr>
            <w:tcW w:w="454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Income tax and VAT payable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58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174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231</w:t>
            </w:r>
          </w:p>
        </w:tc>
      </w:tr>
      <w:tr>
        <w:trPr/>
        <w:tc>
          <w:tcPr>
            <w:tcW w:w="454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Accrued other liabilities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454</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71</w:t>
            </w:r>
          </w:p>
        </w:tc>
      </w:tr>
      <w:tr>
        <w:trPr/>
        <w:tc>
          <w:tcPr>
            <w:tcW w:w="454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accrued expenses and other current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6,741</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4,825</w:t>
            </w:r>
          </w:p>
        </w:tc>
      </w:tr>
      <w:tr>
        <w:trPr/>
        <w:tc>
          <w:tcPr>
            <w:tcW w:w="454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3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4. Fair Value Measurements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determines the fair value of financial and non-financial assets and liabilities using the fair value hierarchy which establishes three level of inputs that may be used to measure fair value, as follows: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Level 1—Observable inputs, such as quoted prices in active markets for identical assets or liabilities.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Level 3—Unobservable inputs which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188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following tables present information about the Company’s financial assets measured at fair value on a recurring basis and indicate the level of the fair value hierarchy utilized to determine such fair values (in thousands):</w:t>
      </w:r>
    </w:p>
    <w:tbl>
      <w:tblPr>
        <w:tblW w:w="10205" w:type="dxa"/>
        <w:jc w:val="center"/>
        <w:tblInd w:w="0" w:type="dxa"/>
        <w:tblCellMar>
          <w:top w:w="0" w:type="dxa"/>
          <w:left w:w="0" w:type="dxa"/>
          <w:bottom w:w="0" w:type="dxa"/>
          <w:right w:w="0" w:type="dxa"/>
        </w:tblCellMar>
      </w:tblPr>
      <w:tblGrid>
        <w:gridCol w:w="1229"/>
        <w:gridCol w:w="326"/>
        <w:gridCol w:w="196"/>
        <w:gridCol w:w="601"/>
        <w:gridCol w:w="326"/>
        <w:gridCol w:w="196"/>
        <w:gridCol w:w="601"/>
        <w:gridCol w:w="326"/>
        <w:gridCol w:w="196"/>
        <w:gridCol w:w="589"/>
        <w:gridCol w:w="326"/>
        <w:gridCol w:w="196"/>
        <w:gridCol w:w="601"/>
        <w:gridCol w:w="326"/>
        <w:gridCol w:w="196"/>
        <w:gridCol w:w="601"/>
        <w:gridCol w:w="326"/>
        <w:gridCol w:w="212"/>
        <w:gridCol w:w="554"/>
        <w:gridCol w:w="326"/>
        <w:gridCol w:w="196"/>
        <w:gridCol w:w="589"/>
        <w:gridCol w:w="326"/>
        <w:gridCol w:w="196"/>
        <w:gridCol w:w="648"/>
      </w:tblGrid>
      <w:tr>
        <w:trPr/>
        <w:tc>
          <w:tcPr>
            <w:tcW w:w="12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780415" cy="175260"/>
                      <wp:effectExtent l="0" t="0" r="0" b="0"/>
                      <wp:wrapNone/>
                      <wp:docPr id="156" name="Frame114"/>
                      <a:graphic xmlns:a="http://schemas.openxmlformats.org/drawingml/2006/main">
                        <a:graphicData uri="http://schemas.microsoft.com/office/word/2010/wordprocessingShape">
                          <wps:wsp>
                            <wps:cNvSpPr txBox="1"/>
                            <wps:spPr>
                              <a:xfrm>
                                <a:off x="0" y="0"/>
                                <a:ext cx="7804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24460" cy="175260"/>
                      <wp:effectExtent l="0" t="0" r="0" b="0"/>
                      <wp:wrapNone/>
                      <wp:docPr id="158" name="Frame11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81635" cy="175260"/>
                      <wp:effectExtent l="0" t="0" r="0" b="0"/>
                      <wp:wrapNone/>
                      <wp:docPr id="159" name="Frame117"/>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24460" cy="175260"/>
                      <wp:effectExtent l="0" t="0" r="0" b="0"/>
                      <wp:wrapNone/>
                      <wp:docPr id="161" name="Frame11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81635" cy="175260"/>
                      <wp:effectExtent l="0" t="0" r="0" b="0"/>
                      <wp:wrapNone/>
                      <wp:docPr id="162" name="Frame120"/>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24460" cy="175260"/>
                      <wp:effectExtent l="0" t="0" r="0" b="0"/>
                      <wp:wrapNone/>
                      <wp:docPr id="164" name="Frame12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74015" cy="175260"/>
                      <wp:effectExtent l="0" t="0" r="0" b="0"/>
                      <wp:wrapNone/>
                      <wp:docPr id="165" name="Frame123"/>
                      <a:graphic xmlns:a="http://schemas.openxmlformats.org/drawingml/2006/main">
                        <a:graphicData uri="http://schemas.microsoft.com/office/word/2010/wordprocessingShape">
                          <wps:wsp>
                            <wps:cNvSpPr txBox="1"/>
                            <wps:spPr>
                              <a:xfrm>
                                <a:off x="0" y="0"/>
                                <a:ext cx="3740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24460" cy="175260"/>
                      <wp:effectExtent l="0" t="0" r="0" b="0"/>
                      <wp:wrapNone/>
                      <wp:docPr id="167" name="Frame12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381635" cy="175260"/>
                      <wp:effectExtent l="0" t="0" r="0" b="0"/>
                      <wp:wrapNone/>
                      <wp:docPr id="168" name="Frame126"/>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7010" cy="175260"/>
                      <wp:effectExtent l="0" t="0" r="0" b="0"/>
                      <wp:wrapNone/>
                      <wp:docPr id="169" name="Frame1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24460" cy="175260"/>
                      <wp:effectExtent l="0" t="0" r="0" b="0"/>
                      <wp:wrapNone/>
                      <wp:docPr id="170" name="Frame12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81635" cy="175260"/>
                      <wp:effectExtent l="0" t="0" r="0" b="0"/>
                      <wp:wrapNone/>
                      <wp:docPr id="171" name="Frame129"/>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34620" cy="175260"/>
                      <wp:effectExtent l="0" t="0" r="0" b="0"/>
                      <wp:wrapNone/>
                      <wp:docPr id="173" name="Frame131"/>
                      <a:graphic xmlns:a="http://schemas.openxmlformats.org/drawingml/2006/main">
                        <a:graphicData uri="http://schemas.microsoft.com/office/word/2010/wordprocessingShape">
                          <wps:wsp>
                            <wps:cNvSpPr txBox="1"/>
                            <wps:spPr>
                              <a:xfrm>
                                <a:off x="0" y="0"/>
                                <a:ext cx="1346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351790" cy="175260"/>
                      <wp:effectExtent l="0" t="0" r="0" b="0"/>
                      <wp:wrapNone/>
                      <wp:docPr id="174" name="Frame132"/>
                      <a:graphic xmlns:a="http://schemas.openxmlformats.org/drawingml/2006/main">
                        <a:graphicData uri="http://schemas.microsoft.com/office/word/2010/wordprocessingShape">
                          <wps:wsp>
                            <wps:cNvSpPr txBox="1"/>
                            <wps:spPr>
                              <a:xfrm>
                                <a:off x="0" y="0"/>
                                <a:ext cx="351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24460" cy="175260"/>
                      <wp:effectExtent l="0" t="0" r="0" b="0"/>
                      <wp:wrapNone/>
                      <wp:docPr id="176" name="Frame13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74015" cy="175260"/>
                      <wp:effectExtent l="0" t="0" r="0" b="0"/>
                      <wp:wrapNone/>
                      <wp:docPr id="177" name="Frame135"/>
                      <a:graphic xmlns:a="http://schemas.openxmlformats.org/drawingml/2006/main">
                        <a:graphicData uri="http://schemas.microsoft.com/office/word/2010/wordprocessingShape">
                          <wps:wsp>
                            <wps:cNvSpPr txBox="1"/>
                            <wps:spPr>
                              <a:xfrm>
                                <a:off x="0" y="0"/>
                                <a:ext cx="3740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24460" cy="175260"/>
                      <wp:effectExtent l="0" t="0" r="0" b="0"/>
                      <wp:wrapNone/>
                      <wp:docPr id="179" name="Frame137"/>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411480" cy="175260"/>
                      <wp:effectExtent l="0" t="0" r="0" b="0"/>
                      <wp:wrapNone/>
                      <wp:docPr id="180" name="Frame138"/>
                      <a:graphic xmlns:a="http://schemas.openxmlformats.org/drawingml/2006/main">
                        <a:graphicData uri="http://schemas.microsoft.com/office/word/2010/wordprocessingShape">
                          <wps:wsp>
                            <wps:cNvSpPr txBox="1"/>
                            <wps:spPr>
                              <a:xfrm>
                                <a:off x="0" y="0"/>
                                <a:ext cx="411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22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9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60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9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60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9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58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9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60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9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60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212"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554"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9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58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9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648"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122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650" w:type="dxa"/>
            <w:gridSpan w:val="23"/>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122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4154"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0"/>
              <w:ind w:left="0" w:right="0" w:hanging="0"/>
              <w:rPr/>
            </w:pPr>
            <w:r>
              <w:rPr/>
              <w:t>​</w:t>
            </w:r>
          </w:p>
        </w:tc>
        <w:tc>
          <w:tcPr>
            <w:tcW w:w="4170"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122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LEVEL 1</w:t>
            </w:r>
          </w:p>
        </w:tc>
        <w:tc>
          <w:tcPr>
            <w:tcW w:w="326" w:type="dxa"/>
            <w:tcBorders/>
            <w:shd w:fill="auto" w:val="clear"/>
            <w:vAlign w:val="center"/>
          </w:tcPr>
          <w:p>
            <w:pPr>
              <w:pStyle w:val="TableContents"/>
              <w:spacing w:before="0" w:after="0"/>
              <w:ind w:left="0" w:right="0" w:hanging="0"/>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LEVEL 2</w:t>
            </w:r>
          </w:p>
        </w:tc>
        <w:tc>
          <w:tcPr>
            <w:tcW w:w="326" w:type="dxa"/>
            <w:tcBorders/>
            <w:shd w:fill="auto" w:val="clear"/>
            <w:vAlign w:val="center"/>
          </w:tcPr>
          <w:p>
            <w:pPr>
              <w:pStyle w:val="TableContents"/>
              <w:spacing w:before="0" w:after="0"/>
              <w:ind w:left="0" w:right="0" w:hanging="0"/>
              <w:rPr/>
            </w:pPr>
            <w:r>
              <w:rPr/>
              <w:t>    </w:t>
            </w:r>
          </w:p>
        </w:tc>
        <w:tc>
          <w:tcPr>
            <w:tcW w:w="7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LEVEL 3</w:t>
            </w:r>
          </w:p>
        </w:tc>
        <w:tc>
          <w:tcPr>
            <w:tcW w:w="326" w:type="dxa"/>
            <w:tcBorders/>
            <w:shd w:fill="auto" w:val="clear"/>
            <w:vAlign w:val="center"/>
          </w:tcPr>
          <w:p>
            <w:pPr>
              <w:pStyle w:val="TableContents"/>
              <w:spacing w:before="0" w:after="0"/>
              <w:ind w:left="0" w:right="0" w:hanging="0"/>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c>
          <w:tcPr>
            <w:tcW w:w="326" w:type="dxa"/>
            <w:tcBorders/>
            <w:shd w:fill="auto" w:val="clear"/>
            <w:vAlign w:val="center"/>
          </w:tcPr>
          <w:p>
            <w:pPr>
              <w:pStyle w:val="TableContents"/>
              <w:spacing w:before="0" w:after="0"/>
              <w:ind w:left="0" w:right="0" w:hanging="0"/>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LEVEL 1</w:t>
            </w:r>
          </w:p>
        </w:tc>
        <w:tc>
          <w:tcPr>
            <w:tcW w:w="326" w:type="dxa"/>
            <w:tcBorders/>
            <w:shd w:fill="auto" w:val="clear"/>
            <w:vAlign w:val="center"/>
          </w:tcPr>
          <w:p>
            <w:pPr>
              <w:pStyle w:val="TableContents"/>
              <w:spacing w:before="0" w:after="0"/>
              <w:ind w:left="0" w:right="0" w:hanging="0"/>
              <w:rPr/>
            </w:pPr>
            <w:r>
              <w:rPr/>
              <w:t>    </w:t>
            </w:r>
          </w:p>
        </w:tc>
        <w:tc>
          <w:tcPr>
            <w:tcW w:w="7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LEVEL 2</w:t>
            </w:r>
          </w:p>
        </w:tc>
        <w:tc>
          <w:tcPr>
            <w:tcW w:w="326" w:type="dxa"/>
            <w:tcBorders/>
            <w:shd w:fill="auto" w:val="clear"/>
            <w:vAlign w:val="center"/>
          </w:tcPr>
          <w:p>
            <w:pPr>
              <w:pStyle w:val="TableContents"/>
              <w:spacing w:before="0" w:after="0"/>
              <w:ind w:left="0" w:right="0" w:hanging="0"/>
              <w:rPr/>
            </w:pPr>
            <w:r>
              <w:rPr/>
              <w:t>    </w:t>
            </w:r>
          </w:p>
        </w:tc>
        <w:tc>
          <w:tcPr>
            <w:tcW w:w="7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LEVEL 3</w:t>
            </w:r>
          </w:p>
        </w:tc>
        <w:tc>
          <w:tcPr>
            <w:tcW w:w="326" w:type="dxa"/>
            <w:tcBorders/>
            <w:shd w:fill="auto" w:val="clear"/>
            <w:vAlign w:val="center"/>
          </w:tcPr>
          <w:p>
            <w:pPr>
              <w:pStyle w:val="TableContents"/>
              <w:spacing w:before="0" w:after="0"/>
              <w:ind w:left="0" w:right="0" w:hanging="0"/>
              <w:rPr/>
            </w:pPr>
            <w:r>
              <w:rPr/>
              <w:t>    </w:t>
            </w:r>
          </w:p>
        </w:tc>
        <w:tc>
          <w:tcPr>
            <w:tcW w:w="84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1229" w:type="dxa"/>
            <w:tcBorders/>
            <w:shd w:fill="CCEEFF" w:val="clear"/>
            <w:vAlign w:val="center"/>
          </w:tcPr>
          <w:p>
            <w:pPr>
              <w:pStyle w:val="TableContents"/>
              <w:pBdr/>
              <w:spacing w:before="0" w:after="0"/>
              <w:ind w:left="0" w:right="0" w:hanging="0"/>
              <w:rPr>
                <w:rFonts w:ascii="Arial;Helvetica;sans-serif" w:hAnsi="Arial;Helvetica;sans-serif"/>
                <w:sz w:val="16"/>
              </w:rPr>
            </w:pPr>
            <w:r>
              <w:rPr>
                <w:rFonts w:ascii="Arial;Helvetica;sans-serif" w:hAnsi="Arial;Helvetica;sans-serif"/>
                <w:sz w:val="16"/>
              </w:rPr>
              <w:t>Money market funds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18,994</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58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18,994</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89,795</w:t>
            </w:r>
          </w:p>
        </w:tc>
        <w:tc>
          <w:tcPr>
            <w:tcW w:w="326" w:type="dxa"/>
            <w:tcBorders/>
            <w:shd w:fill="CCEEFF" w:val="clear"/>
            <w:vAlign w:val="center"/>
          </w:tcPr>
          <w:p>
            <w:pPr>
              <w:pStyle w:val="TableContents"/>
              <w:spacing w:before="0" w:after="0"/>
              <w:ind w:left="0" w:right="0" w:hanging="0"/>
              <w:rPr/>
            </w:pPr>
            <w:r>
              <w:rPr/>
              <w:t>​</w:t>
            </w:r>
          </w:p>
        </w:tc>
        <w:tc>
          <w:tcPr>
            <w:tcW w:w="212" w:type="dxa"/>
            <w:tcBorders>
              <w:bottom w:val="single" w:sz="2"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55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58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64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89,795</w:t>
            </w:r>
          </w:p>
        </w:tc>
      </w:tr>
      <w:tr>
        <w:trPr/>
        <w:tc>
          <w:tcPr>
            <w:tcW w:w="1229" w:type="dxa"/>
            <w:tcBorders/>
            <w:shd w:fill="auto" w:val="clear"/>
            <w:vAlign w:val="center"/>
          </w:tcPr>
          <w:p>
            <w:pPr>
              <w:pStyle w:val="TableContents"/>
              <w:pBdr/>
              <w:spacing w:before="0" w:after="0"/>
              <w:ind w:left="0" w:right="0" w:hanging="0"/>
              <w:rPr>
                <w:rFonts w:ascii="Arial;Helvetica;sans-serif" w:hAnsi="Arial;Helvetica;sans-serif"/>
                <w:sz w:val="16"/>
              </w:rPr>
            </w:pPr>
            <w:r>
              <w:rPr>
                <w:rFonts w:ascii="Arial;Helvetica;sans-serif" w:hAnsi="Arial;Helvetica;sans-serif"/>
                <w:sz w:val="16"/>
              </w:rPr>
              <w:t>Cash equivalents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18,994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58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18,994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01"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89,795</w:t>
            </w:r>
          </w:p>
        </w:tc>
        <w:tc>
          <w:tcPr>
            <w:tcW w:w="326" w:type="dxa"/>
            <w:tcBorders/>
            <w:shd w:fill="auto" w:val="clear"/>
            <w:vAlign w:val="center"/>
          </w:tcPr>
          <w:p>
            <w:pPr>
              <w:pStyle w:val="TableContents"/>
              <w:spacing w:before="0" w:after="0"/>
              <w:ind w:left="0" w:right="0" w:hanging="0"/>
              <w:rPr/>
            </w:pPr>
            <w:r>
              <w:rPr/>
              <w:t>​</w:t>
            </w:r>
          </w:p>
        </w:tc>
        <w:tc>
          <w:tcPr>
            <w:tcW w:w="212" w:type="dxa"/>
            <w:tcBorders/>
            <w:shd w:fill="auto" w:val="clear"/>
            <w:vAlign w:val="center"/>
          </w:tcPr>
          <w:p>
            <w:pPr>
              <w:pStyle w:val="TableContents"/>
              <w:spacing w:before="0" w:after="0"/>
              <w:ind w:left="0" w:right="0" w:hanging="0"/>
              <w:rPr/>
            </w:pPr>
            <w:r>
              <w:rPr/>
              <w:t> </w:t>
            </w:r>
          </w:p>
        </w:tc>
        <w:tc>
          <w:tcPr>
            <w:tcW w:w="55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58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48"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89,795</w:t>
            </w:r>
          </w:p>
        </w:tc>
      </w:tr>
      <w:tr>
        <w:trPr/>
        <w:tc>
          <w:tcPr>
            <w:tcW w:w="1229"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58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2" w:type="dxa"/>
            <w:tcBorders/>
            <w:shd w:fill="CCEEFF" w:val="clear"/>
            <w:vAlign w:val="center"/>
          </w:tcPr>
          <w:p>
            <w:pPr>
              <w:pStyle w:val="TableContents"/>
              <w:spacing w:before="0" w:after="0"/>
              <w:ind w:left="0" w:right="0" w:hanging="0"/>
              <w:rPr/>
            </w:pPr>
            <w:r>
              <w:rPr/>
              <w:t>​</w:t>
            </w:r>
          </w:p>
        </w:tc>
        <w:tc>
          <w:tcPr>
            <w:tcW w:w="55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58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48" w:type="dxa"/>
            <w:tcBorders/>
            <w:shd w:fill="CCEEFF" w:val="clear"/>
            <w:vAlign w:val="center"/>
          </w:tcPr>
          <w:p>
            <w:pPr>
              <w:pStyle w:val="TableContents"/>
              <w:spacing w:before="0" w:after="0"/>
              <w:ind w:left="0" w:right="0" w:hanging="0"/>
              <w:jc w:val="right"/>
              <w:rPr/>
            </w:pPr>
            <w:r>
              <w:rPr/>
              <w:t>​</w:t>
            </w:r>
          </w:p>
        </w:tc>
      </w:tr>
      <w:tr>
        <w:trPr/>
        <w:tc>
          <w:tcPr>
            <w:tcW w:w="1229" w:type="dxa"/>
            <w:tcBorders/>
            <w:shd w:fill="auto" w:val="clear"/>
            <w:vAlign w:val="center"/>
          </w:tcPr>
          <w:p>
            <w:pPr>
              <w:pStyle w:val="TableContents"/>
              <w:pBdr/>
              <w:spacing w:before="0" w:after="0"/>
              <w:ind w:left="0" w:right="0" w:hanging="0"/>
              <w:rPr>
                <w:rFonts w:ascii="Arial;Helvetica;sans-serif" w:hAnsi="Arial;Helvetica;sans-serif"/>
                <w:sz w:val="16"/>
              </w:rPr>
            </w:pPr>
            <w:r>
              <w:rPr>
                <w:rFonts w:ascii="Arial;Helvetica;sans-serif" w:hAnsi="Arial;Helvetica;sans-serif"/>
                <w:sz w:val="16"/>
              </w:rPr>
              <w:t>U.S. government bonds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11,763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58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11,763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0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2" w:type="dxa"/>
            <w:tcBorders/>
            <w:shd w:fill="auto" w:val="clear"/>
            <w:vAlign w:val="center"/>
          </w:tcPr>
          <w:p>
            <w:pPr>
              <w:pStyle w:val="TableContents"/>
              <w:spacing w:before="0" w:after="0"/>
              <w:ind w:left="0" w:right="0" w:hanging="0"/>
              <w:rPr/>
            </w:pPr>
            <w:r>
              <w:rPr/>
              <w:t>​</w:t>
            </w:r>
          </w:p>
        </w:tc>
        <w:tc>
          <w:tcPr>
            <w:tcW w:w="55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58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48" w:type="dxa"/>
            <w:tcBorders/>
            <w:shd w:fill="auto" w:val="clear"/>
            <w:vAlign w:val="center"/>
          </w:tcPr>
          <w:p>
            <w:pPr>
              <w:pStyle w:val="TableContents"/>
              <w:spacing w:before="0" w:after="0"/>
              <w:ind w:left="0" w:right="0" w:hanging="0"/>
              <w:jc w:val="right"/>
              <w:rPr/>
            </w:pPr>
            <w:r>
              <w:rPr/>
              <w:t>—</w:t>
            </w:r>
          </w:p>
        </w:tc>
      </w:tr>
      <w:tr>
        <w:trPr/>
        <w:tc>
          <w:tcPr>
            <w:tcW w:w="1229" w:type="dxa"/>
            <w:tcBorders/>
            <w:shd w:fill="CCEEFF" w:val="clear"/>
            <w:vAlign w:val="center"/>
          </w:tcPr>
          <w:p>
            <w:pPr>
              <w:pStyle w:val="TableContents"/>
              <w:pBdr/>
              <w:spacing w:before="0" w:after="0"/>
              <w:ind w:left="0" w:right="0" w:hanging="0"/>
              <w:rPr>
                <w:rFonts w:ascii="Arial;Helvetica;sans-serif" w:hAnsi="Arial;Helvetica;sans-serif"/>
                <w:sz w:val="16"/>
              </w:rPr>
            </w:pPr>
            <w:r>
              <w:rPr>
                <w:rFonts w:ascii="Arial;Helvetica;sans-serif" w:hAnsi="Arial;Helvetica;sans-serif"/>
                <w:sz w:val="16"/>
              </w:rPr>
              <w:t>U.S. government agency bonds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1,794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58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1,794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2" w:type="dxa"/>
            <w:tcBorders/>
            <w:shd w:fill="CCEEFF" w:val="clear"/>
            <w:vAlign w:val="center"/>
          </w:tcPr>
          <w:p>
            <w:pPr>
              <w:pStyle w:val="TableContents"/>
              <w:spacing w:before="0" w:after="0"/>
              <w:ind w:left="0" w:right="0" w:hanging="0"/>
              <w:rPr/>
            </w:pPr>
            <w:r>
              <w:rPr/>
              <w:t>​</w:t>
            </w:r>
          </w:p>
        </w:tc>
        <w:tc>
          <w:tcPr>
            <w:tcW w:w="55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58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648" w:type="dxa"/>
            <w:tcBorders/>
            <w:shd w:fill="CCEEFF" w:val="clear"/>
            <w:vAlign w:val="center"/>
          </w:tcPr>
          <w:p>
            <w:pPr>
              <w:pStyle w:val="TableContents"/>
              <w:spacing w:before="0" w:after="0"/>
              <w:ind w:left="0" w:right="0" w:hanging="0"/>
              <w:jc w:val="right"/>
              <w:rPr/>
            </w:pPr>
            <w:r>
              <w:rPr/>
              <w:t>—</w:t>
            </w:r>
          </w:p>
        </w:tc>
      </w:tr>
      <w:tr>
        <w:trPr/>
        <w:tc>
          <w:tcPr>
            <w:tcW w:w="1229" w:type="dxa"/>
            <w:tcBorders/>
            <w:shd w:fill="auto" w:val="clear"/>
            <w:vAlign w:val="center"/>
          </w:tcPr>
          <w:p>
            <w:pPr>
              <w:pStyle w:val="TableContents"/>
              <w:pBdr/>
              <w:spacing w:before="0" w:after="0"/>
              <w:ind w:left="0" w:right="0" w:hanging="0"/>
              <w:rPr>
                <w:rFonts w:ascii="Arial;Helvetica;sans-serif" w:hAnsi="Arial;Helvetica;sans-serif"/>
                <w:sz w:val="16"/>
              </w:rPr>
            </w:pPr>
            <w:r>
              <w:rPr>
                <w:rFonts w:ascii="Arial;Helvetica;sans-serif" w:hAnsi="Arial;Helvetica;sans-serif"/>
                <w:sz w:val="16"/>
              </w:rPr>
              <w:t>Corporate debt securities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51,193</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8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51,193</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5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2,002</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8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4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2,002</w:t>
            </w:r>
          </w:p>
        </w:tc>
      </w:tr>
      <w:tr>
        <w:trPr/>
        <w:tc>
          <w:tcPr>
            <w:tcW w:w="1229" w:type="dxa"/>
            <w:tcBorders/>
            <w:shd w:fill="CCEEFF" w:val="clear"/>
            <w:vAlign w:val="center"/>
          </w:tcPr>
          <w:p>
            <w:pPr>
              <w:pStyle w:val="TableContents"/>
              <w:pBdr/>
              <w:spacing w:before="0" w:after="0"/>
              <w:ind w:left="0" w:right="0" w:hanging="0"/>
              <w:rPr>
                <w:rFonts w:ascii="Arial;Helvetica;sans-serif" w:hAnsi="Arial;Helvetica;sans-serif"/>
                <w:sz w:val="16"/>
              </w:rPr>
            </w:pPr>
            <w:r>
              <w:rPr>
                <w:rFonts w:ascii="Arial;Helvetica;sans-serif" w:hAnsi="Arial;Helvetica;sans-serif"/>
                <w:sz w:val="16"/>
              </w:rPr>
              <w:t>Short-term investments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11,763</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52,987</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8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64,750</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5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2,002</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8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4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2,002</w:t>
            </w:r>
          </w:p>
        </w:tc>
      </w:tr>
      <w:tr>
        <w:trPr/>
        <w:tc>
          <w:tcPr>
            <w:tcW w:w="1229" w:type="dxa"/>
            <w:tcBorders/>
            <w:shd w:fill="auto" w:val="clear"/>
            <w:vAlign w:val="center"/>
          </w:tcPr>
          <w:p>
            <w:pPr>
              <w:pStyle w:val="TableContents"/>
              <w:pBdr/>
              <w:spacing w:before="0" w:after="0"/>
              <w:ind w:left="0" w:right="0" w:hanging="0"/>
              <w:rPr>
                <w:rFonts w:ascii="Arial;Helvetica;sans-serif" w:hAnsi="Arial;Helvetica;sans-serif"/>
                <w:sz w:val="16"/>
              </w:rPr>
            </w:pPr>
            <w:r>
              <w:rPr>
                <w:rFonts w:ascii="Arial;Helvetica;sans-serif" w:hAnsi="Arial;Helvetica;sans-serif"/>
                <w:sz w:val="16"/>
              </w:rPr>
              <w:t>Total fair value of financial assets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6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30,757</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6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52,987</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589"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6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83,744</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6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89,795</w:t>
            </w:r>
          </w:p>
        </w:tc>
        <w:tc>
          <w:tcPr>
            <w:tcW w:w="326" w:type="dxa"/>
            <w:tcBorders/>
            <w:shd w:fill="auto" w:val="clear"/>
            <w:vAlign w:val="center"/>
          </w:tcPr>
          <w:p>
            <w:pPr>
              <w:pStyle w:val="TableContents"/>
              <w:spacing w:before="0" w:after="0"/>
              <w:ind w:left="0" w:right="0" w:hanging="0"/>
              <w:rPr/>
            </w:pPr>
            <w:r>
              <w:rPr/>
              <w:t>​</w:t>
            </w:r>
          </w:p>
        </w:tc>
        <w:tc>
          <w:tcPr>
            <w:tcW w:w="212"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55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2,002</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589"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w:t>
            </w:r>
          </w:p>
        </w:tc>
        <w:tc>
          <w:tcPr>
            <w:tcW w:w="64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91,797</w:t>
            </w:r>
          </w:p>
        </w:tc>
      </w:tr>
      <w:tr>
        <w:trPr/>
        <w:tc>
          <w:tcPr>
            <w:tcW w:w="122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8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5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8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4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tbl>
      <w:tblPr>
        <w:tblW w:w="10631" w:type="dxa"/>
        <w:jc w:val="left"/>
        <w:tblInd w:w="0" w:type="dxa"/>
        <w:tblCellMar>
          <w:top w:w="0" w:type="dxa"/>
          <w:left w:w="0" w:type="dxa"/>
          <w:bottom w:w="0" w:type="dxa"/>
          <w:right w:w="0" w:type="dxa"/>
        </w:tblCellMar>
      </w:tblPr>
      <w:tblGrid>
        <w:gridCol w:w="1006"/>
        <w:gridCol w:w="326"/>
        <w:gridCol w:w="196"/>
        <w:gridCol w:w="1096"/>
        <w:gridCol w:w="326"/>
        <w:gridCol w:w="237"/>
        <w:gridCol w:w="529"/>
        <w:gridCol w:w="326"/>
        <w:gridCol w:w="196"/>
        <w:gridCol w:w="435"/>
        <w:gridCol w:w="326"/>
        <w:gridCol w:w="196"/>
        <w:gridCol w:w="601"/>
        <w:gridCol w:w="326"/>
        <w:gridCol w:w="196"/>
        <w:gridCol w:w="1096"/>
        <w:gridCol w:w="326"/>
        <w:gridCol w:w="196"/>
        <w:gridCol w:w="570"/>
        <w:gridCol w:w="326"/>
        <w:gridCol w:w="196"/>
        <w:gridCol w:w="435"/>
        <w:gridCol w:w="326"/>
        <w:gridCol w:w="196"/>
        <w:gridCol w:w="646"/>
      </w:tblGrid>
      <w:tr>
        <w:trPr/>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38810" cy="175260"/>
                      <wp:effectExtent l="0" t="0" r="0" b="0"/>
                      <wp:wrapNone/>
                      <wp:docPr id="181" name="Frame139"/>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24460" cy="175260"/>
                      <wp:effectExtent l="0" t="0" r="0" b="0"/>
                      <wp:wrapNone/>
                      <wp:docPr id="183" name="Frame14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95960" cy="175260"/>
                      <wp:effectExtent l="0" t="0" r="0" b="0"/>
                      <wp:wrapNone/>
                      <wp:docPr id="184" name="Frame142"/>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50495" cy="175260"/>
                      <wp:effectExtent l="0" t="0" r="0" b="0"/>
                      <wp:wrapNone/>
                      <wp:docPr id="186" name="Frame144"/>
                      <a:graphic xmlns:a="http://schemas.openxmlformats.org/drawingml/2006/main">
                        <a:graphicData uri="http://schemas.microsoft.com/office/word/2010/wordprocessingShape">
                          <wps:wsp>
                            <wps:cNvSpPr txBox="1"/>
                            <wps:spPr>
                              <a:xfrm>
                                <a:off x="0" y="0"/>
                                <a:ext cx="1504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2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335915" cy="175260"/>
                      <wp:effectExtent l="0" t="0" r="0" b="0"/>
                      <wp:wrapNone/>
                      <wp:docPr id="187" name="Frame145"/>
                      <a:graphic xmlns:a="http://schemas.openxmlformats.org/drawingml/2006/main">
                        <a:graphicData uri="http://schemas.microsoft.com/office/word/2010/wordprocessingShape">
                          <wps:wsp>
                            <wps:cNvSpPr txBox="1"/>
                            <wps:spPr>
                              <a:xfrm>
                                <a:off x="0" y="0"/>
                                <a:ext cx="3359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24460" cy="175260"/>
                      <wp:effectExtent l="0" t="0" r="0" b="0"/>
                      <wp:wrapNone/>
                      <wp:docPr id="189" name="Frame147"/>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76225" cy="175260"/>
                      <wp:effectExtent l="0" t="0" r="0" b="0"/>
                      <wp:wrapNone/>
                      <wp:docPr id="190" name="Frame148"/>
                      <a:graphic xmlns:a="http://schemas.openxmlformats.org/drawingml/2006/main">
                        <a:graphicData uri="http://schemas.microsoft.com/office/word/2010/wordprocessingShape">
                          <wps:wsp>
                            <wps:cNvSpPr txBox="1"/>
                            <wps:spPr>
                              <a:xfrm>
                                <a:off x="0" y="0"/>
                                <a:ext cx="2762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24460" cy="175260"/>
                      <wp:effectExtent l="0" t="0" r="0" b="0"/>
                      <wp:wrapNone/>
                      <wp:docPr id="192" name="Frame15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81635" cy="175260"/>
                      <wp:effectExtent l="0" t="0" r="0" b="0"/>
                      <wp:wrapNone/>
                      <wp:docPr id="193" name="Frame151"/>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24460" cy="175260"/>
                      <wp:effectExtent l="0" t="0" r="0" b="0"/>
                      <wp:wrapNone/>
                      <wp:docPr id="195" name="Frame15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5960" cy="175260"/>
                      <wp:effectExtent l="0" t="0" r="0" b="0"/>
                      <wp:wrapNone/>
                      <wp:docPr id="196" name="Frame154"/>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24460" cy="175260"/>
                      <wp:effectExtent l="0" t="0" r="0" b="0"/>
                      <wp:wrapNone/>
                      <wp:docPr id="198" name="Frame15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61950" cy="175260"/>
                      <wp:effectExtent l="0" t="0" r="0" b="0"/>
                      <wp:wrapNone/>
                      <wp:docPr id="199" name="Frame157"/>
                      <a:graphic xmlns:a="http://schemas.openxmlformats.org/drawingml/2006/main">
                        <a:graphicData uri="http://schemas.microsoft.com/office/word/2010/wordprocessingShape">
                          <wps:wsp>
                            <wps:cNvSpPr txBox="1"/>
                            <wps:spPr>
                              <a:xfrm>
                                <a:off x="0" y="0"/>
                                <a:ext cx="361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1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24460" cy="175260"/>
                      <wp:effectExtent l="0" t="0" r="0" b="0"/>
                      <wp:wrapNone/>
                      <wp:docPr id="201" name="Frame15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76225" cy="175260"/>
                      <wp:effectExtent l="0" t="0" r="0" b="0"/>
                      <wp:wrapNone/>
                      <wp:docPr id="202" name="Frame160"/>
                      <a:graphic xmlns:a="http://schemas.openxmlformats.org/drawingml/2006/main">
                        <a:graphicData uri="http://schemas.microsoft.com/office/word/2010/wordprocessingShape">
                          <wps:wsp>
                            <wps:cNvSpPr txBox="1"/>
                            <wps:spPr>
                              <a:xfrm>
                                <a:off x="0" y="0"/>
                                <a:ext cx="2762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1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24460" cy="175260"/>
                      <wp:effectExtent l="0" t="0" r="0" b="0"/>
                      <wp:wrapNone/>
                      <wp:docPr id="204" name="Frame16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10210" cy="175260"/>
                      <wp:effectExtent l="0" t="0" r="0" b="0"/>
                      <wp:wrapNone/>
                      <wp:docPr id="205" name="Frame163"/>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00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9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09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237"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529"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9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435"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9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60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9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09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9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570"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9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435"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9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64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r>
      <w:tr>
        <w:trPr/>
        <w:tc>
          <w:tcPr>
            <w:tcW w:w="10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299" w:type="dxa"/>
            <w:gridSpan w:val="23"/>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10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4464"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1"/>
              <w:ind w:left="0" w:right="0" w:hanging="0"/>
              <w:rPr/>
            </w:pPr>
            <w:r>
              <w:rPr/>
              <w:t> </w:t>
            </w:r>
          </w:p>
        </w:tc>
        <w:tc>
          <w:tcPr>
            <w:tcW w:w="4509" w:type="dxa"/>
            <w:gridSpan w:val="11"/>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10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96" w:type="dxa"/>
            <w:tcBorders/>
            <w:shd w:fill="auto" w:val="clear"/>
            <w:vAlign w:val="center"/>
          </w:tcPr>
          <w:p>
            <w:pPr>
              <w:pStyle w:val="TableContents"/>
              <w:spacing w:before="0" w:after="1"/>
              <w:ind w:left="0" w:right="0" w:hanging="0"/>
              <w:rPr/>
            </w:pPr>
            <w:r>
              <w:rPr/>
              <w:t>​</w:t>
            </w:r>
          </w:p>
        </w:tc>
        <w:tc>
          <w:tcPr>
            <w:tcW w:w="109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AMORTIZED</w:t>
            </w:r>
          </w:p>
        </w:tc>
        <w:tc>
          <w:tcPr>
            <w:tcW w:w="326" w:type="dxa"/>
            <w:tcBorders/>
            <w:shd w:fill="auto" w:val="clear"/>
            <w:vAlign w:val="center"/>
          </w:tcPr>
          <w:p>
            <w:pPr>
              <w:pStyle w:val="TableContents"/>
              <w:spacing w:before="0" w:after="1"/>
              <w:ind w:left="0" w:right="0" w:hanging="0"/>
              <w:rPr/>
            </w:pPr>
            <w:r>
              <w:rPr/>
              <w:t>    </w:t>
            </w:r>
          </w:p>
        </w:tc>
        <w:tc>
          <w:tcPr>
            <w:tcW w:w="172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UNREALIZED</w:t>
            </w:r>
          </w:p>
        </w:tc>
        <w:tc>
          <w:tcPr>
            <w:tcW w:w="326" w:type="dxa"/>
            <w:tcBorders/>
            <w:shd w:fill="auto" w:val="clear"/>
            <w:vAlign w:val="center"/>
          </w:tcPr>
          <w:p>
            <w:pPr>
              <w:pStyle w:val="TableContents"/>
              <w:spacing w:before="0" w:after="1"/>
              <w:ind w:left="0" w:right="0" w:hanging="0"/>
              <w:rPr/>
            </w:pPr>
            <w:r>
              <w:rPr/>
              <w:t>    </w:t>
            </w:r>
          </w:p>
        </w:tc>
        <w:tc>
          <w:tcPr>
            <w:tcW w:w="797"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FAIR</w:t>
            </w:r>
          </w:p>
        </w:tc>
        <w:tc>
          <w:tcPr>
            <w:tcW w:w="326" w:type="dxa"/>
            <w:tcBorders/>
            <w:shd w:fill="auto" w:val="clear"/>
            <w:vAlign w:val="center"/>
          </w:tcPr>
          <w:p>
            <w:pPr>
              <w:pStyle w:val="TableContents"/>
              <w:spacing w:before="0" w:after="1"/>
              <w:ind w:left="0" w:right="0" w:hanging="0"/>
              <w:rPr/>
            </w:pPr>
            <w:r>
              <w:rPr/>
              <w:t>    </w:t>
            </w:r>
          </w:p>
        </w:tc>
        <w:tc>
          <w:tcPr>
            <w:tcW w:w="196" w:type="dxa"/>
            <w:tcBorders/>
            <w:shd w:fill="auto" w:val="clear"/>
            <w:vAlign w:val="center"/>
          </w:tcPr>
          <w:p>
            <w:pPr>
              <w:pStyle w:val="TableContents"/>
              <w:spacing w:before="0" w:after="1"/>
              <w:ind w:left="0" w:right="0" w:hanging="0"/>
              <w:rPr/>
            </w:pPr>
            <w:r>
              <w:rPr/>
              <w:t>​</w:t>
            </w:r>
          </w:p>
        </w:tc>
        <w:tc>
          <w:tcPr>
            <w:tcW w:w="109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AMORTIZED</w:t>
            </w:r>
          </w:p>
        </w:tc>
        <w:tc>
          <w:tcPr>
            <w:tcW w:w="326" w:type="dxa"/>
            <w:tcBorders/>
            <w:shd w:fill="auto" w:val="clear"/>
            <w:vAlign w:val="center"/>
          </w:tcPr>
          <w:p>
            <w:pPr>
              <w:pStyle w:val="TableContents"/>
              <w:spacing w:before="0" w:after="1"/>
              <w:ind w:left="0" w:right="0" w:hanging="0"/>
              <w:rPr/>
            </w:pPr>
            <w:r>
              <w:rPr/>
              <w:t>    </w:t>
            </w:r>
          </w:p>
        </w:tc>
        <w:tc>
          <w:tcPr>
            <w:tcW w:w="1723"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UNREALIZED</w:t>
            </w:r>
          </w:p>
        </w:tc>
        <w:tc>
          <w:tcPr>
            <w:tcW w:w="326" w:type="dxa"/>
            <w:tcBorders/>
            <w:shd w:fill="auto" w:val="clear"/>
            <w:vAlign w:val="center"/>
          </w:tcPr>
          <w:p>
            <w:pPr>
              <w:pStyle w:val="TableContents"/>
              <w:spacing w:before="0" w:after="1"/>
              <w:ind w:left="0" w:right="0" w:hanging="0"/>
              <w:rPr/>
            </w:pPr>
            <w:r>
              <w:rPr/>
              <w:t>    </w:t>
            </w:r>
          </w:p>
        </w:tc>
        <w:tc>
          <w:tcPr>
            <w:tcW w:w="842"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FAIR</w:t>
            </w:r>
          </w:p>
        </w:tc>
      </w:tr>
      <w:tr>
        <w:trPr/>
        <w:tc>
          <w:tcPr>
            <w:tcW w:w="100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COST</w:t>
            </w:r>
          </w:p>
        </w:tc>
        <w:tc>
          <w:tcPr>
            <w:tcW w:w="326" w:type="dxa"/>
            <w:tcBorders/>
            <w:shd w:fill="auto" w:val="clear"/>
            <w:vAlign w:val="center"/>
          </w:tcPr>
          <w:p>
            <w:pPr>
              <w:pStyle w:val="TableContents"/>
              <w:spacing w:before="0" w:after="1"/>
              <w:ind w:left="0" w:right="0" w:hanging="0"/>
              <w:rPr/>
            </w:pPr>
            <w:r>
              <w:rPr/>
              <w:t>​</w:t>
            </w:r>
          </w:p>
        </w:tc>
        <w:tc>
          <w:tcPr>
            <w:tcW w:w="76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LOSSES</w:t>
            </w:r>
          </w:p>
        </w:tc>
        <w:tc>
          <w:tcPr>
            <w:tcW w:w="326" w:type="dxa"/>
            <w:tcBorders/>
            <w:shd w:fill="auto" w:val="clear"/>
            <w:vAlign w:val="center"/>
          </w:tcPr>
          <w:p>
            <w:pPr>
              <w:pStyle w:val="TableContents"/>
              <w:spacing w:before="0" w:after="1"/>
              <w:ind w:left="0" w:right="0" w:hanging="0"/>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GAINS</w:t>
            </w:r>
          </w:p>
        </w:tc>
        <w:tc>
          <w:tcPr>
            <w:tcW w:w="326" w:type="dxa"/>
            <w:tcBorders/>
            <w:shd w:fill="auto" w:val="clear"/>
            <w:vAlign w:val="center"/>
          </w:tcPr>
          <w:p>
            <w:pPr>
              <w:pStyle w:val="TableContents"/>
              <w:spacing w:before="0" w:after="1"/>
              <w:ind w:left="0" w:right="0" w:hanging="0"/>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VALUE</w:t>
            </w:r>
          </w:p>
        </w:tc>
        <w:tc>
          <w:tcPr>
            <w:tcW w:w="326" w:type="dxa"/>
            <w:tcBorders/>
            <w:shd w:fill="auto" w:val="clear"/>
            <w:vAlign w:val="center"/>
          </w:tcPr>
          <w:p>
            <w:pPr>
              <w:pStyle w:val="TableContents"/>
              <w:spacing w:before="0" w:after="1"/>
              <w:ind w:left="0" w:right="0" w:hanging="0"/>
              <w:rPr/>
            </w:pPr>
            <w:r>
              <w:rPr/>
              <w:t> </w:t>
            </w:r>
          </w:p>
        </w:tc>
        <w:tc>
          <w:tcPr>
            <w:tcW w:w="12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COST</w:t>
            </w:r>
          </w:p>
        </w:tc>
        <w:tc>
          <w:tcPr>
            <w:tcW w:w="326" w:type="dxa"/>
            <w:tcBorders/>
            <w:shd w:fill="auto" w:val="clear"/>
            <w:vAlign w:val="center"/>
          </w:tcPr>
          <w:p>
            <w:pPr>
              <w:pStyle w:val="TableContents"/>
              <w:spacing w:before="0" w:after="1"/>
              <w:ind w:left="0" w:right="0" w:hanging="0"/>
              <w:rPr/>
            </w:pPr>
            <w:r>
              <w:rPr/>
              <w:t>​</w:t>
            </w:r>
          </w:p>
        </w:tc>
        <w:tc>
          <w:tcPr>
            <w:tcW w:w="76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LOSSES</w:t>
            </w:r>
          </w:p>
        </w:tc>
        <w:tc>
          <w:tcPr>
            <w:tcW w:w="326" w:type="dxa"/>
            <w:tcBorders/>
            <w:shd w:fill="auto" w:val="clear"/>
            <w:vAlign w:val="center"/>
          </w:tcPr>
          <w:p>
            <w:pPr>
              <w:pStyle w:val="TableContents"/>
              <w:spacing w:before="0" w:after="1"/>
              <w:ind w:left="0" w:right="0" w:hanging="0"/>
              <w:rPr/>
            </w:pPr>
            <w:r>
              <w:rPr/>
              <w:t>    </w:t>
            </w:r>
          </w:p>
        </w:tc>
        <w:tc>
          <w:tcPr>
            <w:tcW w:w="63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GAINS</w:t>
            </w:r>
          </w:p>
        </w:tc>
        <w:tc>
          <w:tcPr>
            <w:tcW w:w="326" w:type="dxa"/>
            <w:tcBorders/>
            <w:shd w:fill="auto" w:val="clear"/>
            <w:vAlign w:val="center"/>
          </w:tcPr>
          <w:p>
            <w:pPr>
              <w:pStyle w:val="TableContents"/>
              <w:spacing w:before="0" w:after="1"/>
              <w:ind w:left="0" w:right="0" w:hanging="0"/>
              <w:rPr/>
            </w:pPr>
            <w:r>
              <w:rPr/>
              <w:t> </w:t>
            </w:r>
          </w:p>
        </w:tc>
        <w:tc>
          <w:tcPr>
            <w:tcW w:w="8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VALUE</w:t>
            </w:r>
          </w:p>
        </w:tc>
      </w:tr>
      <w:tr>
        <w:trPr/>
        <w:tc>
          <w:tcPr>
            <w:tcW w:w="1006" w:type="dxa"/>
            <w:tcBorders/>
            <w:shd w:fill="CCEEFF" w:val="cle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Money market funds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w:t>
            </w:r>
          </w:p>
        </w:tc>
        <w:tc>
          <w:tcPr>
            <w:tcW w:w="10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18,994</w:t>
            </w:r>
          </w:p>
        </w:tc>
        <w:tc>
          <w:tcPr>
            <w:tcW w:w="326" w:type="dxa"/>
            <w:tcBorders/>
            <w:shd w:fill="CCEEFF" w:val="clear"/>
            <w:vAlign w:val="center"/>
          </w:tcPr>
          <w:p>
            <w:pPr>
              <w:pStyle w:val="TableContents"/>
              <w:spacing w:before="0" w:after="1"/>
              <w:ind w:left="0" w:right="0" w:hanging="0"/>
              <w:rPr/>
            </w:pPr>
            <w:r>
              <w:rPr/>
              <w:t>​</w:t>
            </w:r>
          </w:p>
        </w:tc>
        <w:tc>
          <w:tcPr>
            <w:tcW w:w="237" w:type="dxa"/>
            <w:tcBorders>
              <w:bottom w:val="single" w:sz="2"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w:t>
            </w:r>
          </w:p>
        </w:tc>
        <w:tc>
          <w:tcPr>
            <w:tcW w:w="529"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w:t>
            </w:r>
          </w:p>
        </w:tc>
        <w:tc>
          <w:tcPr>
            <w:tcW w:w="43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18,994</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w:t>
            </w:r>
          </w:p>
        </w:tc>
        <w:tc>
          <w:tcPr>
            <w:tcW w:w="10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89,795</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w:t>
            </w:r>
          </w:p>
        </w:tc>
        <w:tc>
          <w:tcPr>
            <w:tcW w:w="57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w:t>
            </w:r>
          </w:p>
        </w:tc>
        <w:tc>
          <w:tcPr>
            <w:tcW w:w="43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w:t>
            </w:r>
          </w:p>
        </w:tc>
        <w:tc>
          <w:tcPr>
            <w:tcW w:w="6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89,795</w:t>
            </w:r>
          </w:p>
        </w:tc>
      </w:tr>
      <w:tr>
        <w:trPr/>
        <w:tc>
          <w:tcPr>
            <w:tcW w:w="1006" w:type="dxa"/>
            <w:tcBorders/>
            <w:shd w:fill="auto" w:val="cle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Cash equivalents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1096" w:type="dxa"/>
            <w:tcBorders/>
            <w:shd w:fill="auto" w:val="cle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18,994</w:t>
            </w:r>
          </w:p>
        </w:tc>
        <w:tc>
          <w:tcPr>
            <w:tcW w:w="326" w:type="dxa"/>
            <w:tcBorders/>
            <w:shd w:fill="auto" w:val="clear"/>
            <w:vAlign w:val="center"/>
          </w:tcPr>
          <w:p>
            <w:pPr>
              <w:pStyle w:val="TableContents"/>
              <w:spacing w:before="0" w:after="1"/>
              <w:ind w:left="0" w:right="0" w:hanging="0"/>
              <w:rPr/>
            </w:pPr>
            <w:r>
              <w:rPr/>
              <w:t>​</w:t>
            </w:r>
          </w:p>
        </w:tc>
        <w:tc>
          <w:tcPr>
            <w:tcW w:w="237" w:type="dxa"/>
            <w:tcBorders/>
            <w:shd w:fill="auto" w:val="clear"/>
            <w:vAlign w:val="center"/>
          </w:tcPr>
          <w:p>
            <w:pPr>
              <w:pStyle w:val="TableContents"/>
              <w:spacing w:before="0" w:after="1"/>
              <w:ind w:left="0" w:right="0" w:hanging="0"/>
              <w:rPr/>
            </w:pPr>
            <w:r>
              <w:rPr/>
              <w:t> </w:t>
            </w:r>
          </w:p>
        </w:tc>
        <w:tc>
          <w:tcPr>
            <w:tcW w:w="529"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43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18,994</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1096" w:type="dxa"/>
            <w:tcBorders/>
            <w:shd w:fill="auto" w:val="cle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89,795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57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43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46" w:type="dxa"/>
            <w:tcBorders/>
            <w:shd w:fill="auto" w:val="cle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89,795</w:t>
            </w:r>
          </w:p>
        </w:tc>
      </w:tr>
      <w:tr>
        <w:trPr/>
        <w:tc>
          <w:tcPr>
            <w:tcW w:w="100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10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37" w:type="dxa"/>
            <w:tcBorders/>
            <w:shd w:fill="CCEEFF" w:val="clear"/>
            <w:vAlign w:val="center"/>
          </w:tcPr>
          <w:p>
            <w:pPr>
              <w:pStyle w:val="TableContents"/>
              <w:spacing w:before="0" w:after="1"/>
              <w:ind w:left="0" w:right="0" w:hanging="0"/>
              <w:rPr/>
            </w:pPr>
            <w:r>
              <w:rPr/>
              <w:t>​</w:t>
            </w:r>
          </w:p>
        </w:tc>
        <w:tc>
          <w:tcPr>
            <w:tcW w:w="529"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43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10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7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43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pPr>
            <w:r>
              <w:rPr/>
              <w:t>​</w:t>
            </w:r>
          </w:p>
        </w:tc>
      </w:tr>
      <w:tr>
        <w:trPr/>
        <w:tc>
          <w:tcPr>
            <w:tcW w:w="1006" w:type="dxa"/>
            <w:tcBorders/>
            <w:shd w:fill="auto" w:val="cle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U.S. government bonds</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1096" w:type="dxa"/>
            <w:tcBorders/>
            <w:shd w:fill="auto" w:val="cle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11,820</w:t>
            </w:r>
          </w:p>
        </w:tc>
        <w:tc>
          <w:tcPr>
            <w:tcW w:w="326" w:type="dxa"/>
            <w:tcBorders/>
            <w:shd w:fill="auto" w:val="clear"/>
            <w:vAlign w:val="center"/>
          </w:tcPr>
          <w:p>
            <w:pPr>
              <w:pStyle w:val="TableContents"/>
              <w:spacing w:before="0" w:after="1"/>
              <w:ind w:left="0" w:right="0" w:hanging="0"/>
              <w:rPr/>
            </w:pPr>
            <w:r>
              <w:rPr/>
              <w:t>​</w:t>
            </w:r>
          </w:p>
        </w:tc>
        <w:tc>
          <w:tcPr>
            <w:tcW w:w="237" w:type="dxa"/>
            <w:tcBorders/>
            <w:shd w:fill="auto" w:val="clear"/>
            <w:vAlign w:val="center"/>
          </w:tcPr>
          <w:p>
            <w:pPr>
              <w:pStyle w:val="TableContents"/>
              <w:spacing w:before="0" w:after="1"/>
              <w:ind w:left="0" w:right="0" w:hanging="0"/>
              <w:rPr/>
            </w:pPr>
            <w:r>
              <w:rPr/>
              <w:t>​</w:t>
            </w:r>
          </w:p>
        </w:tc>
        <w:tc>
          <w:tcPr>
            <w:tcW w:w="529" w:type="dxa"/>
            <w:tcBorders/>
            <w:shd w:fill="auto" w:val="cle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(57)</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43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01" w:type="dxa"/>
            <w:tcBorders/>
            <w:shd w:fill="auto" w:val="cle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11,763</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109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570"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435"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46" w:type="dxa"/>
            <w:tcBorders/>
            <w:shd w:fill="auto" w:val="clear"/>
            <w:vAlign w:val="center"/>
          </w:tcPr>
          <w:p>
            <w:pPr>
              <w:pStyle w:val="TableContents"/>
              <w:spacing w:before="0" w:after="1"/>
              <w:ind w:left="0" w:right="0" w:hanging="0"/>
              <w:jc w:val="right"/>
              <w:rPr/>
            </w:pPr>
            <w:r>
              <w:rPr/>
              <w:t>—</w:t>
            </w:r>
          </w:p>
        </w:tc>
      </w:tr>
      <w:tr>
        <w:trPr/>
        <w:tc>
          <w:tcPr>
            <w:tcW w:w="1006" w:type="dxa"/>
            <w:tcBorders/>
            <w:shd w:fill="CCEEFF" w:val="cle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U.S. government agency bonds</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1096" w:type="dxa"/>
            <w:tcBorders/>
            <w:shd w:fill="CCEEFF" w:val="cle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1,801</w:t>
            </w:r>
          </w:p>
        </w:tc>
        <w:tc>
          <w:tcPr>
            <w:tcW w:w="326" w:type="dxa"/>
            <w:tcBorders/>
            <w:shd w:fill="CCEEFF" w:val="clear"/>
            <w:vAlign w:val="center"/>
          </w:tcPr>
          <w:p>
            <w:pPr>
              <w:pStyle w:val="TableContents"/>
              <w:spacing w:before="0" w:after="1"/>
              <w:ind w:left="0" w:right="0" w:hanging="0"/>
              <w:rPr/>
            </w:pPr>
            <w:r>
              <w:rPr/>
              <w:t>​</w:t>
            </w:r>
          </w:p>
        </w:tc>
        <w:tc>
          <w:tcPr>
            <w:tcW w:w="237" w:type="dxa"/>
            <w:tcBorders/>
            <w:shd w:fill="CCEEFF" w:val="clear"/>
            <w:vAlign w:val="center"/>
          </w:tcPr>
          <w:p>
            <w:pPr>
              <w:pStyle w:val="TableContents"/>
              <w:spacing w:before="0" w:after="1"/>
              <w:ind w:left="0" w:right="0" w:hanging="0"/>
              <w:rPr/>
            </w:pPr>
            <w:r>
              <w:rPr/>
              <w:t>​</w:t>
            </w:r>
          </w:p>
        </w:tc>
        <w:tc>
          <w:tcPr>
            <w:tcW w:w="529" w:type="dxa"/>
            <w:tcBorders/>
            <w:shd w:fill="CCEEFF" w:val="cle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(7)</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43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1,794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109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570"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435"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646" w:type="dxa"/>
            <w:tcBorders/>
            <w:shd w:fill="CCEEFF" w:val="clear"/>
            <w:vAlign w:val="center"/>
          </w:tcPr>
          <w:p>
            <w:pPr>
              <w:pStyle w:val="TableContents"/>
              <w:spacing w:before="0" w:after="1"/>
              <w:ind w:left="0" w:right="0" w:hanging="0"/>
              <w:jc w:val="right"/>
              <w:rPr/>
            </w:pPr>
            <w:r>
              <w:rPr/>
              <w:t>—</w:t>
            </w:r>
          </w:p>
        </w:tc>
      </w:tr>
      <w:tr>
        <w:trPr/>
        <w:tc>
          <w:tcPr>
            <w:tcW w:w="1006" w:type="dxa"/>
            <w:tcBorders/>
            <w:shd w:fill="auto" w:val="cle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Corporate debt securities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51,239</w:t>
            </w:r>
          </w:p>
        </w:tc>
        <w:tc>
          <w:tcPr>
            <w:tcW w:w="326" w:type="dxa"/>
            <w:tcBorders/>
            <w:shd w:fill="auto" w:val="clear"/>
            <w:vAlign w:val="center"/>
          </w:tcPr>
          <w:p>
            <w:pPr>
              <w:pStyle w:val="TableContents"/>
              <w:spacing w:before="0" w:after="1"/>
              <w:ind w:left="0" w:right="0" w:hanging="0"/>
              <w:rPr/>
            </w:pPr>
            <w:r>
              <w:rPr/>
              <w:t>​</w:t>
            </w:r>
          </w:p>
        </w:tc>
        <w:tc>
          <w:tcPr>
            <w:tcW w:w="237"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29"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(49)</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435"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3</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51,193</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10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2,002</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70"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435"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4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2,002</w:t>
            </w:r>
          </w:p>
        </w:tc>
      </w:tr>
      <w:tr>
        <w:trPr/>
        <w:tc>
          <w:tcPr>
            <w:tcW w:w="1006" w:type="dxa"/>
            <w:tcBorders/>
            <w:shd w:fill="CCEEFF" w:val="cle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Short-term investments</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64,860</w:t>
            </w:r>
          </w:p>
        </w:tc>
        <w:tc>
          <w:tcPr>
            <w:tcW w:w="326" w:type="dxa"/>
            <w:tcBorders/>
            <w:shd w:fill="CCEEFF" w:val="clear"/>
            <w:vAlign w:val="center"/>
          </w:tcPr>
          <w:p>
            <w:pPr>
              <w:pStyle w:val="TableContents"/>
              <w:spacing w:before="0" w:after="1"/>
              <w:ind w:left="0" w:right="0" w:hanging="0"/>
              <w:rPr/>
            </w:pPr>
            <w:r>
              <w:rPr/>
              <w:t>​</w:t>
            </w:r>
          </w:p>
        </w:tc>
        <w:tc>
          <w:tcPr>
            <w:tcW w:w="237"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29"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(113)</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435"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3</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64,750</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10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2,002</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57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43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4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2,002</w:t>
            </w:r>
          </w:p>
        </w:tc>
      </w:tr>
      <w:tr>
        <w:trPr/>
        <w:tc>
          <w:tcPr>
            <w:tcW w:w="1006" w:type="dxa"/>
            <w:tcBorders/>
            <w:shd w:fill="auto" w:val="cle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Total fair value of financial assets</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w:t>
            </w:r>
          </w:p>
        </w:tc>
        <w:tc>
          <w:tcPr>
            <w:tcW w:w="10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83,854</w:t>
            </w:r>
          </w:p>
        </w:tc>
        <w:tc>
          <w:tcPr>
            <w:tcW w:w="326" w:type="dxa"/>
            <w:tcBorders/>
            <w:shd w:fill="auto" w:val="clear"/>
            <w:vAlign w:val="center"/>
          </w:tcPr>
          <w:p>
            <w:pPr>
              <w:pStyle w:val="TableContents"/>
              <w:spacing w:before="0" w:after="1"/>
              <w:ind w:left="0" w:right="0" w:hanging="0"/>
              <w:rPr/>
            </w:pPr>
            <w:r>
              <w:rPr/>
              <w:t>​</w:t>
            </w:r>
          </w:p>
        </w:tc>
        <w:tc>
          <w:tcPr>
            <w:tcW w:w="237"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w:t>
            </w:r>
          </w:p>
        </w:tc>
        <w:tc>
          <w:tcPr>
            <w:tcW w:w="529"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(113)</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w:t>
            </w:r>
          </w:p>
        </w:tc>
        <w:tc>
          <w:tcPr>
            <w:tcW w:w="43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3</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w:t>
            </w:r>
          </w:p>
        </w:tc>
        <w:tc>
          <w:tcPr>
            <w:tcW w:w="6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83,744</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w:t>
            </w:r>
          </w:p>
        </w:tc>
        <w:tc>
          <w:tcPr>
            <w:tcW w:w="109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91,797</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w:t>
            </w:r>
          </w:p>
        </w:tc>
        <w:tc>
          <w:tcPr>
            <w:tcW w:w="570"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w:t>
            </w:r>
          </w:p>
        </w:tc>
        <w:tc>
          <w:tcPr>
            <w:tcW w:w="435"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sz w:val="16"/>
              </w:rPr>
              <w:t>$</w:t>
            </w:r>
          </w:p>
        </w:tc>
        <w:tc>
          <w:tcPr>
            <w:tcW w:w="64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16"/>
              </w:rPr>
            </w:pPr>
            <w:r>
              <w:rPr>
                <w:rFonts w:ascii="Arial;Helvetica;sans-serif" w:hAnsi="Arial;Helvetica;sans-serif"/>
                <w:sz w:val="16"/>
              </w:rPr>
              <w:t>91,797</w:t>
            </w:r>
          </w:p>
        </w:tc>
      </w:tr>
      <w:tr>
        <w:trPr/>
        <w:tc>
          <w:tcPr>
            <w:tcW w:w="100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9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237"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29"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3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09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70"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3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4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bl>
    <w:p>
      <w:pPr>
        <w:pStyle w:val="TextBody"/>
        <w:spacing w:before="0" w:after="24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of December 31, 2022 and 2021, the Company did not have any liabilities measured at fair value on a recurring basis.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There were no transfers in and out of Level 3 during the years ended December 31, 2022 and 2021.</w:t>
      </w:r>
    </w:p>
    <w:p>
      <w:pPr>
        <w:pStyle w:val="TextBody"/>
        <w:spacing w:before="0" w:after="240"/>
        <w:ind w:left="0" w:right="0" w:hanging="0"/>
        <w:rPr>
          <w:rFonts w:ascii="Arial;Helvetica;sans-serif" w:hAnsi="Arial;Helvetica;sans-serif"/>
          <w:b w:val="false"/>
          <w:sz w:val="20"/>
        </w:rPr>
      </w:pPr>
      <w:r>
        <w:rPr>
          <w:rFonts w:ascii="Arial;Helvetica;sans-serif" w:hAnsi="Arial;Helvetica;sans-serif"/>
          <w:b w:val="false"/>
          <w:sz w:val="20"/>
        </w:rPr>
        <w:t>Money market funds and U.S. government bonds are included within Level 1 of the fair value hierarchy because they are valued using quoted market prices. Corporate debt securities and U.S. government agency bonds are classified within Level 2 of the fair value hierarchy as they take into consideration valuations obtained from third-party pricing services. The pricing services utilize industry standard valuation models, including both income-based and market-based approaches, for which all significant inputs are observable, either directly or indirectly, to estimate the fair value. These inputs include reported trades of and broker/dealer quotes on similar securities, issuer credit spreads, benchmark securities, prepayment/default projections based on historical data and other observable inputs.</w:t>
      </w:r>
    </w:p>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bookmarkStart w:id="26" w:name="_Hlk127801081"/>
      <w:bookmarkEnd w:id="26"/>
      <w:r>
        <w:rPr>
          <w:rFonts w:ascii="Arial;Helvetica;sans-serif" w:hAnsi="Arial;Helvetica;sans-serif"/>
          <w:b/>
          <w:sz w:val="20"/>
        </w:rPr>
        <w:t>5. Term Loan</w:t>
      </w:r>
    </w:p>
    <w:p>
      <w:pPr>
        <w:pStyle w:val="TextBody"/>
        <w:spacing w:before="0" w:after="0"/>
        <w:ind w:left="0" w:right="0" w:hanging="0"/>
        <w:rPr>
          <w:rFonts w:ascii="Arial;Helvetica;sans-serif" w:hAnsi="Arial;Helvetica;sans-serif"/>
          <w:sz w:val="20"/>
        </w:rPr>
      </w:pPr>
      <w:bookmarkStart w:id="27" w:name="_Hlk127801381"/>
      <w:bookmarkStart w:id="28" w:name="_Hlk127801428"/>
      <w:bookmarkEnd w:id="27"/>
      <w:bookmarkEnd w:id="28"/>
      <w:r>
        <w:rPr>
          <w:rFonts w:ascii="Arial;Helvetica;sans-serif" w:hAnsi="Arial;Helvetica;sans-serif"/>
          <w:sz w:val="20"/>
        </w:rPr>
        <w:t xml:space="preserve">On August 4, 2020, the Company entered into a Loan and Security Agreement (the “SVB Agreement”) with Silicon Valley Bank (“SVB”) to raise up to $8.0 million in debt financing (the “SVB Loan”) consisting of $5.0 million available to draw on or before July 31, 2021 (“Tranche A”), and the option to draw up to an additional $3.0 million (“Tranche B”) on or before January 31, 2022, which were conditioned to initiation of a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189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Phase 1 clinical trial on or before July 31, 2021, and nomination of a development candidate for a second asset on or prior to January 31, 2022, both of which the Company accomplished in May 2021. The Tranche B draw period was extended to July 31, 2022, upon the receipt of net cash proceeds in an amount of at least $50.0 million from the issuance and sale by the Company of its equity securities to investors and/or subordinated debt on or prior to January 31, 2022, which the Company accomplished in July 2021. The Company elected to allow the Tranche A and Tranche B financings to expire unused on July 31, 2021 and July 31, 2022, respectively.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connection with the entering into the SVB Agreement, the Company issued SVB a warrant to purchase shares of its ordinary shares at an exercise price of $0.48 per share (“SVB Warrant”). The SVB Warrant is immediately exercisable for 112,279 ordinary shares of the Company and could have been exercisable for an additional number of ordinary shares equal to 44,567 ordinary shares upon draw of Tranche A and 22,283 ordinary shares upon draw of Tranche B. The warrant for Tranche A shares and Tranche B shares expired on July 31, 2021 and July 31, 2022, respectively, as the Company elected to allow the Tranche A and Tranche B financings to expire unused on July 31, 2021 and July 31, 2022, respectively. In February 2023, SVB fully exercised the SVB Warrant for 106,060 ordinary shares through a cashless exercise.</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6. Commitments and Contingencies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Operating Leases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January 2020, ShouTi Shanghai entered into a lease agreement to lease approximately 6,000 square feet of office space in Chamtime Plaza in Shanghai, China. The lease commenced on November 1, 2020, and was scheduled to expire on December 31, 2022. ShouTi Shanghai had an option to extend the lease term, however the renewal term and conditions were to be agreed to between ShouTi Shanghai and the landlord. For accounting purposes, the lease term did not include the option to extend the lease term as it was not reasonably certain that the lease term would be extended. In connection with entering into new lease agreement in Chamtime Plaza in June 2021, the lease agreement was terminated early on October 31, 2021.</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June 2021, ShouTi Shanghai entered into a lease agreement to lease approximately 5,900 square feet of office space in Chamtime Plaza in Shanghai, China. The lease commenced on September 16, 2021 and expires on September 15, 2023. ShouTi Shanghai has an option to extend the lease term, however the renewal term and conditions should be agreed between ShouTi Shanghai and the landlord. For accounting purposes, the lease term did not include the option to extend the lease term as it is not reasonably certain that the lease term will be extended.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November 2021, StructureTx US entered into a lease agreement to lease approximately 4,050 square feet of office spaces in South San Francisco, California. The lease commenced on November 11, 2021, and expires on October 31, 2023.</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190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maturities of operating lease liabilities as of December 31, 2022, were as follows (in thousands):</w:t>
      </w:r>
    </w:p>
    <w:tbl>
      <w:tblPr>
        <w:tblW w:w="5787" w:type="dxa"/>
        <w:jc w:val="center"/>
        <w:tblInd w:w="0" w:type="dxa"/>
        <w:tblCellMar>
          <w:top w:w="0" w:type="dxa"/>
          <w:left w:w="0" w:type="dxa"/>
          <w:bottom w:w="0" w:type="dxa"/>
          <w:right w:w="0" w:type="dxa"/>
        </w:tblCellMar>
      </w:tblPr>
      <w:tblGrid>
        <w:gridCol w:w="4066"/>
        <w:gridCol w:w="326"/>
        <w:gridCol w:w="435"/>
        <w:gridCol w:w="960"/>
      </w:tblGrid>
      <w:tr>
        <w:trPr/>
        <w:tc>
          <w:tcPr>
            <w:tcW w:w="4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581910" cy="175260"/>
                      <wp:effectExtent l="0" t="0" r="0" b="0"/>
                      <wp:wrapNone/>
                      <wp:docPr id="206" name="Frame164"/>
                      <a:graphic xmlns:a="http://schemas.openxmlformats.org/drawingml/2006/main">
                        <a:graphicData uri="http://schemas.microsoft.com/office/word/2010/wordprocessingShape">
                          <wps:wsp>
                            <wps:cNvSpPr txBox="1"/>
                            <wps:spPr>
                              <a:xfrm>
                                <a:off x="0" y="0"/>
                                <a:ext cx="2581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1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76225" cy="175260"/>
                      <wp:effectExtent l="0" t="0" r="0" b="0"/>
                      <wp:wrapNone/>
                      <wp:docPr id="208" name="Frame166"/>
                      <a:graphic xmlns:a="http://schemas.openxmlformats.org/drawingml/2006/main">
                        <a:graphicData uri="http://schemas.microsoft.com/office/word/2010/wordprocessingShape">
                          <wps:wsp>
                            <wps:cNvSpPr txBox="1"/>
                            <wps:spPr>
                              <a:xfrm>
                                <a:off x="0" y="0"/>
                                <a:ext cx="276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09600" cy="175260"/>
                      <wp:effectExtent l="0" t="0" r="0" b="0"/>
                      <wp:wrapNone/>
                      <wp:docPr id="209" name="Frame167"/>
                      <a:graphic xmlns:a="http://schemas.openxmlformats.org/drawingml/2006/main">
                        <a:graphicData uri="http://schemas.microsoft.com/office/word/2010/wordprocessingShape">
                          <wps:wsp>
                            <wps:cNvSpPr txBox="1"/>
                            <wps:spPr>
                              <a:xfrm>
                                <a:off x="0" y="0"/>
                                <a:ext cx="6096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6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435"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960"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4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395"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4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r>
      <w:tr>
        <w:trPr/>
        <w:tc>
          <w:tcPr>
            <w:tcW w:w="406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2023</w:t>
            </w:r>
          </w:p>
        </w:tc>
        <w:tc>
          <w:tcPr>
            <w:tcW w:w="326" w:type="dxa"/>
            <w:tcBorders/>
            <w:shd w:fill="CCEEFF" w:val="clear"/>
            <w:vAlign w:val="center"/>
          </w:tcPr>
          <w:p>
            <w:pPr>
              <w:pStyle w:val="TableContents"/>
              <w:spacing w:before="0" w:after="0"/>
              <w:ind w:left="0" w:right="0" w:hanging="0"/>
              <w:rPr/>
            </w:pPr>
            <w:r>
              <w:rPr/>
              <w:t>​</w:t>
            </w:r>
          </w:p>
        </w:tc>
        <w:tc>
          <w:tcPr>
            <w:tcW w:w="435" w:type="dxa"/>
            <w:tcBorders>
              <w:bottom w:val="single" w:sz="2"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6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267</w:t>
            </w:r>
          </w:p>
        </w:tc>
      </w:tr>
      <w:tr>
        <w:trPr/>
        <w:tc>
          <w:tcPr>
            <w:tcW w:w="406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 undiscounted lease payments</w:t>
            </w:r>
          </w:p>
        </w:tc>
        <w:tc>
          <w:tcPr>
            <w:tcW w:w="326"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rPr/>
            </w:pPr>
            <w:r>
              <w:rPr/>
              <w:t> </w:t>
            </w:r>
          </w:p>
        </w:tc>
        <w:tc>
          <w:tcPr>
            <w:tcW w:w="960"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267</w:t>
            </w:r>
          </w:p>
        </w:tc>
      </w:tr>
      <w:tr>
        <w:trPr/>
        <w:tc>
          <w:tcPr>
            <w:tcW w:w="406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Less: imputed interest</w:t>
            </w:r>
          </w:p>
        </w:tc>
        <w:tc>
          <w:tcPr>
            <w:tcW w:w="326" w:type="dxa"/>
            <w:tcBorders/>
            <w:shd w:fill="CCEEFF" w:val="clear"/>
            <w:vAlign w:val="center"/>
          </w:tcPr>
          <w:p>
            <w:pPr>
              <w:pStyle w:val="TableContents"/>
              <w:spacing w:before="0" w:after="0"/>
              <w:ind w:left="0" w:right="0" w:hanging="0"/>
              <w:rPr/>
            </w:pPr>
            <w:r>
              <w:rPr/>
              <w:t>​</w:t>
            </w:r>
          </w:p>
        </w:tc>
        <w:tc>
          <w:tcPr>
            <w:tcW w:w="43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w:t>
            </w:r>
          </w:p>
        </w:tc>
      </w:tr>
      <w:tr>
        <w:trPr/>
        <w:tc>
          <w:tcPr>
            <w:tcW w:w="406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 operating lease liability</w:t>
            </w:r>
          </w:p>
        </w:tc>
        <w:tc>
          <w:tcPr>
            <w:tcW w:w="326"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rPr/>
            </w:pPr>
            <w:r>
              <w:rPr/>
              <w:t> </w:t>
            </w:r>
          </w:p>
        </w:tc>
        <w:tc>
          <w:tcPr>
            <w:tcW w:w="960"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260</w:t>
            </w:r>
          </w:p>
        </w:tc>
      </w:tr>
      <w:tr>
        <w:trPr/>
        <w:tc>
          <w:tcPr>
            <w:tcW w:w="406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Less: current portion</w:t>
            </w:r>
          </w:p>
        </w:tc>
        <w:tc>
          <w:tcPr>
            <w:tcW w:w="326" w:type="dxa"/>
            <w:tcBorders/>
            <w:shd w:fill="CCEEFF" w:val="clear"/>
            <w:vAlign w:val="center"/>
          </w:tcPr>
          <w:p>
            <w:pPr>
              <w:pStyle w:val="TableContents"/>
              <w:spacing w:before="0" w:after="0"/>
              <w:ind w:left="0" w:right="0" w:hanging="0"/>
              <w:rPr/>
            </w:pPr>
            <w:r>
              <w:rPr/>
              <w:t>​</w:t>
            </w:r>
          </w:p>
        </w:tc>
        <w:tc>
          <w:tcPr>
            <w:tcW w:w="435"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60"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260</w:t>
            </w:r>
          </w:p>
        </w:tc>
      </w:tr>
      <w:tr>
        <w:trPr/>
        <w:tc>
          <w:tcPr>
            <w:tcW w:w="406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Operating lease liability, net of current portion</w:t>
            </w:r>
          </w:p>
        </w:tc>
        <w:tc>
          <w:tcPr>
            <w:tcW w:w="326" w:type="dxa"/>
            <w:tcBorders/>
            <w:shd w:fill="auto" w:val="clear"/>
            <w:vAlign w:val="center"/>
          </w:tcPr>
          <w:p>
            <w:pPr>
              <w:pStyle w:val="TableContents"/>
              <w:spacing w:before="0" w:after="0"/>
              <w:ind w:left="0" w:right="0" w:hanging="0"/>
              <w:rPr/>
            </w:pPr>
            <w:r>
              <w:rPr/>
              <w:t>​</w:t>
            </w:r>
          </w:p>
        </w:tc>
        <w:tc>
          <w:tcPr>
            <w:tcW w:w="435"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60"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406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3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6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Operating lease cost was $1.1 million and $0.5 million for the years ended December 31, 2022 and 2021, respectively, including $0.7 million and $0.2 million short-term lease costs for the years ended December 31, 2022 and 2021, respectively. As of December 31, 2022, the weighted average remaining lease term was 0.8 years, and the weighted average discount rate used to measure the lease liabilities for such operating leases upon recognition was 7.8%. During the years ended December 31, 2022 and 2021, cash paid for amounts included in operating lease liabilities of $0.4 million and $0.2 million, respectively, was included in cash flows from operating activities on the consolidated statements of cash flows.</w:t>
      </w:r>
    </w:p>
    <w:p>
      <w:pPr>
        <w:pStyle w:val="TextBody"/>
        <w:spacing w:before="0" w:after="240"/>
        <w:ind w:left="0" w:right="0" w:hanging="0"/>
        <w:rPr>
          <w:rFonts w:ascii="Arial;Helvetica;sans-serif" w:hAnsi="Arial;Helvetica;sans-serif"/>
          <w:b/>
          <w:i/>
          <w:sz w:val="20"/>
        </w:rPr>
      </w:pPr>
      <w:bookmarkStart w:id="29" w:name="_Hlk127801866"/>
      <w:bookmarkEnd w:id="29"/>
      <w:r>
        <w:rPr>
          <w:rFonts w:ascii="Arial;Helvetica;sans-serif" w:hAnsi="Arial;Helvetica;sans-serif"/>
          <w:b/>
          <w:i/>
          <w:sz w:val="20"/>
        </w:rPr>
        <w:t>Indemnification Agreements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number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require the Company, among other things, to indemnify them against certain liabilities that may arise by reason of their status or service as directors or officers to the fullest extent permitted by the applicable law and the amended and restated memorandum and articles of association of the Company. The Company currently has directors’ and officers’ liability insurance. As of December 31, 2022 and 2021, the Company did not have any material indemnification claims that were probable or reasonably possible and consequently had not recorded related liabilities.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Legal Proceedings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is subject to claims and assessments from time to time in the ordinary course of business but is not aware of any such matters, individually or in the aggregate, that will have a material adverse effect on the Company’s financial position, results of operations or cash flows.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7. Redeemable Convertible Preferred Shares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Under the Company’s Memorandum and Articles of Association, as amended, the Company’s redeemable convertible preferred shares are issuable in series. The Company’s board of directors is authorized to determine the rights, preferences, privileges and terms of each series.</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191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Redeemable convertible preferred shares consisted of the following (in thousands, except share and per share amounts):</w:t>
      </w:r>
    </w:p>
    <w:tbl>
      <w:tblPr>
        <w:tblW w:w="8161" w:type="dxa"/>
        <w:jc w:val="left"/>
        <w:tblInd w:w="0" w:type="dxa"/>
        <w:tblCellMar>
          <w:top w:w="0" w:type="dxa"/>
          <w:left w:w="0" w:type="dxa"/>
          <w:bottom w:w="0" w:type="dxa"/>
          <w:right w:w="0" w:type="dxa"/>
        </w:tblCellMar>
      </w:tblPr>
      <w:tblGrid>
        <w:gridCol w:w="706"/>
        <w:gridCol w:w="146"/>
        <w:gridCol w:w="1201"/>
        <w:gridCol w:w="326"/>
        <w:gridCol w:w="262"/>
        <w:gridCol w:w="863"/>
        <w:gridCol w:w="326"/>
        <w:gridCol w:w="1426"/>
        <w:gridCol w:w="326"/>
        <w:gridCol w:w="211"/>
        <w:gridCol w:w="796"/>
        <w:gridCol w:w="326"/>
        <w:gridCol w:w="249"/>
        <w:gridCol w:w="997"/>
      </w:tblGrid>
      <w:tr>
        <w:trPr/>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48310" cy="175260"/>
                      <wp:effectExtent l="0" t="0" r="0" b="0"/>
                      <wp:wrapNone/>
                      <wp:docPr id="210" name="Frame168"/>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92710" cy="175260"/>
                      <wp:effectExtent l="0" t="0" r="0" b="0"/>
                      <wp:wrapNone/>
                      <wp:docPr id="211" name="Frame169"/>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762635" cy="175260"/>
                      <wp:effectExtent l="0" t="0" r="0" b="0"/>
                      <wp:wrapNone/>
                      <wp:docPr id="212" name="Frame170"/>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1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66370" cy="175260"/>
                      <wp:effectExtent l="0" t="0" r="0" b="0"/>
                      <wp:wrapNone/>
                      <wp:docPr id="214" name="Frame172"/>
                      <a:graphic xmlns:a="http://schemas.openxmlformats.org/drawingml/2006/main">
                        <a:graphicData uri="http://schemas.microsoft.com/office/word/2010/wordprocessingShape">
                          <wps:wsp>
                            <wps:cNvSpPr txBox="1"/>
                            <wps:spPr>
                              <a:xfrm>
                                <a:off x="0" y="0"/>
                                <a:ext cx="1663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48005" cy="175260"/>
                      <wp:effectExtent l="0" t="0" r="0" b="0"/>
                      <wp:wrapNone/>
                      <wp:docPr id="215" name="Frame173"/>
                      <a:graphic xmlns:a="http://schemas.openxmlformats.org/drawingml/2006/main">
                        <a:graphicData uri="http://schemas.microsoft.com/office/word/2010/wordprocessingShape">
                          <wps:wsp>
                            <wps:cNvSpPr txBox="1"/>
                            <wps:spPr>
                              <a:xfrm>
                                <a:off x="0" y="0"/>
                                <a:ext cx="54800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1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905510" cy="175260"/>
                      <wp:effectExtent l="0" t="0" r="0" b="0"/>
                      <wp:wrapNone/>
                      <wp:docPr id="217" name="Frame175"/>
                      <a:graphic xmlns:a="http://schemas.openxmlformats.org/drawingml/2006/main">
                        <a:graphicData uri="http://schemas.microsoft.com/office/word/2010/wordprocessingShape">
                          <wps:wsp>
                            <wps:cNvSpPr txBox="1"/>
                            <wps:spPr>
                              <a:xfrm>
                                <a:off x="0" y="0"/>
                                <a:ext cx="905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8" name="Frame1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3985" cy="175260"/>
                      <wp:effectExtent l="0" t="0" r="0" b="0"/>
                      <wp:wrapNone/>
                      <wp:docPr id="219" name="Frame17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05460" cy="175260"/>
                      <wp:effectExtent l="0" t="0" r="0" b="0"/>
                      <wp:wrapNone/>
                      <wp:docPr id="220" name="Frame178"/>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1" name="Frame1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158115" cy="175260"/>
                      <wp:effectExtent l="0" t="0" r="0" b="0"/>
                      <wp:wrapNone/>
                      <wp:docPr id="222" name="Frame180"/>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33095" cy="175260"/>
                      <wp:effectExtent l="0" t="0" r="0" b="0"/>
                      <wp:wrapNone/>
                      <wp:docPr id="223" name="Frame181"/>
                      <a:graphic xmlns:a="http://schemas.openxmlformats.org/drawingml/2006/main">
                        <a:graphicData uri="http://schemas.microsoft.com/office/word/2010/wordprocessingShape">
                          <wps:wsp>
                            <wps:cNvSpPr txBox="1"/>
                            <wps:spPr>
                              <a:xfrm>
                                <a:off x="0" y="0"/>
                                <a:ext cx="6330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70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4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20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262"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863"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4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79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249"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997"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r>
      <w:tr>
        <w:trPr/>
        <w:tc>
          <w:tcPr>
            <w:tcW w:w="70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7309" w:type="dxa"/>
            <w:gridSpan w:val="1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2022</w:t>
            </w:r>
          </w:p>
        </w:tc>
      </w:tr>
      <w:tr>
        <w:trPr/>
        <w:tc>
          <w:tcPr>
            <w:tcW w:w="70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120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62" w:type="dxa"/>
            <w:tcBorders/>
            <w:shd w:fill="auto" w:val="clear"/>
            <w:vAlign w:val="center"/>
          </w:tcPr>
          <w:p>
            <w:pPr>
              <w:pStyle w:val="TableContents"/>
              <w:spacing w:before="0" w:after="1"/>
              <w:ind w:left="0" w:right="0" w:hanging="0"/>
              <w:rPr/>
            </w:pPr>
            <w:r>
              <w:rPr/>
              <w:t>​</w:t>
            </w:r>
          </w:p>
        </w:tc>
        <w:tc>
          <w:tcPr>
            <w:tcW w:w="863"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42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SHARES ISSUED</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49" w:type="dxa"/>
            <w:tcBorders/>
            <w:shd w:fill="auto" w:val="clear"/>
            <w:vAlign w:val="center"/>
          </w:tcPr>
          <w:p>
            <w:pPr>
              <w:pStyle w:val="TableContents"/>
              <w:spacing w:before="0" w:after="1"/>
              <w:ind w:left="0" w:right="0" w:hanging="0"/>
              <w:rPr/>
            </w:pPr>
            <w:r>
              <w:rPr/>
              <w:t>​</w:t>
            </w:r>
          </w:p>
        </w:tc>
        <w:tc>
          <w:tcPr>
            <w:tcW w:w="997" w:type="dxa"/>
            <w:tcBorders/>
            <w:shd w:fill="auto" w:val="clear"/>
            <w:vAlign w:val="center"/>
          </w:tcPr>
          <w:p>
            <w:pPr>
              <w:pStyle w:val="TableContents"/>
              <w:spacing w:before="0" w:after="1"/>
              <w:ind w:left="0" w:right="0" w:hanging="0"/>
              <w:rPr/>
            </w:pPr>
            <w:r>
              <w:rPr/>
              <w:t>​</w:t>
            </w:r>
          </w:p>
        </w:tc>
      </w:tr>
      <w:tr>
        <w:trPr/>
        <w:tc>
          <w:tcPr>
            <w:tcW w:w="70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 </w:t>
            </w:r>
          </w:p>
        </w:tc>
        <w:tc>
          <w:tcPr>
            <w:tcW w:w="120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326" w:type="dxa"/>
            <w:tcBorders/>
            <w:shd w:fill="auto" w:val="clear"/>
            <w:vAlign w:val="center"/>
          </w:tcPr>
          <w:p>
            <w:pPr>
              <w:pStyle w:val="TableContents"/>
              <w:spacing w:before="0" w:after="1"/>
              <w:ind w:left="0" w:right="0" w:hanging="0"/>
              <w:rPr/>
            </w:pPr>
            <w:r>
              <w:rPr/>
              <w:t> </w:t>
            </w:r>
          </w:p>
        </w:tc>
        <w:tc>
          <w:tcPr>
            <w:tcW w:w="1125"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ORIGINAL</w:t>
            </w:r>
          </w:p>
        </w:tc>
        <w:tc>
          <w:tcPr>
            <w:tcW w:w="326" w:type="dxa"/>
            <w:tcBorders/>
            <w:shd w:fill="auto" w:val="clear"/>
            <w:vAlign w:val="center"/>
          </w:tcPr>
          <w:p>
            <w:pPr>
              <w:pStyle w:val="TableContents"/>
              <w:spacing w:before="0" w:after="1"/>
              <w:ind w:left="0" w:right="0" w:hanging="0"/>
              <w:rPr/>
            </w:pPr>
            <w:r>
              <w:rPr/>
              <w:t> </w:t>
            </w:r>
          </w:p>
        </w:tc>
        <w:tc>
          <w:tcPr>
            <w:tcW w:w="142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AND</w:t>
            </w:r>
          </w:p>
        </w:tc>
        <w:tc>
          <w:tcPr>
            <w:tcW w:w="326" w:type="dxa"/>
            <w:tcBorders/>
            <w:shd w:fill="auto" w:val="clear"/>
            <w:vAlign w:val="center"/>
          </w:tcPr>
          <w:p>
            <w:pPr>
              <w:pStyle w:val="TableContents"/>
              <w:spacing w:before="0" w:after="1"/>
              <w:ind w:left="0" w:right="0" w:hanging="0"/>
              <w:rPr/>
            </w:pPr>
            <w:r>
              <w:rPr/>
              <w:t> </w:t>
            </w:r>
          </w:p>
        </w:tc>
        <w:tc>
          <w:tcPr>
            <w:tcW w:w="1007"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CARRYING</w:t>
            </w:r>
          </w:p>
        </w:tc>
        <w:tc>
          <w:tcPr>
            <w:tcW w:w="326" w:type="dxa"/>
            <w:tcBorders/>
            <w:shd w:fill="auto" w:val="clear"/>
            <w:vAlign w:val="center"/>
          </w:tcPr>
          <w:p>
            <w:pPr>
              <w:pStyle w:val="TableContents"/>
              <w:spacing w:before="0" w:after="1"/>
              <w:ind w:left="0" w:right="0" w:hanging="0"/>
              <w:rPr/>
            </w:pPr>
            <w:r>
              <w:rPr/>
              <w:t> </w:t>
            </w:r>
          </w:p>
        </w:tc>
        <w:tc>
          <w:tcPr>
            <w:tcW w:w="1246"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LIQUIDATION</w:t>
            </w:r>
          </w:p>
        </w:tc>
      </w:tr>
      <w:tr>
        <w:trPr/>
        <w:tc>
          <w:tcPr>
            <w:tcW w:w="706" w:type="dxa"/>
            <w:tcBorders>
              <w:bottom w:val="single" w:sz="2"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b/>
                <w:sz w:val="16"/>
              </w:rPr>
            </w:pPr>
            <w:r>
              <w:rPr>
                <w:rFonts w:ascii="Arial;Helvetica;sans-serif" w:hAnsi="Arial;Helvetica;sans-serif"/>
                <w:b/>
                <w:sz w:val="16"/>
              </w:rPr>
              <w:t>SERIES</w:t>
            </w:r>
          </w:p>
        </w:tc>
        <w:tc>
          <w:tcPr>
            <w:tcW w:w="146" w:type="dxa"/>
            <w:tcBorders/>
            <w:shd w:fill="auto" w:val="clear"/>
            <w:vAlign w:val="center"/>
          </w:tcPr>
          <w:p>
            <w:pPr>
              <w:pStyle w:val="TableContents"/>
              <w:spacing w:before="0" w:after="1"/>
              <w:ind w:left="0" w:right="0" w:hanging="0"/>
              <w:rPr/>
            </w:pPr>
            <w:r>
              <w:rPr/>
              <w:t>​</w:t>
            </w:r>
          </w:p>
        </w:tc>
        <w:tc>
          <w:tcPr>
            <w:tcW w:w="12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AUTHORIZED</w:t>
            </w:r>
          </w:p>
        </w:tc>
        <w:tc>
          <w:tcPr>
            <w:tcW w:w="326" w:type="dxa"/>
            <w:tcBorders/>
            <w:shd w:fill="auto" w:val="clear"/>
            <w:vAlign w:val="center"/>
          </w:tcPr>
          <w:p>
            <w:pPr>
              <w:pStyle w:val="TableContents"/>
              <w:spacing w:before="0" w:after="1"/>
              <w:ind w:left="0" w:right="0" w:hanging="0"/>
              <w:rPr/>
            </w:pPr>
            <w:r>
              <w:rPr/>
              <w:t>​</w:t>
            </w:r>
          </w:p>
        </w:tc>
        <w:tc>
          <w:tcPr>
            <w:tcW w:w="112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ISSUE PRICE</w:t>
            </w:r>
          </w:p>
        </w:tc>
        <w:tc>
          <w:tcPr>
            <w:tcW w:w="326" w:type="dxa"/>
            <w:tcBorders/>
            <w:shd w:fill="auto" w:val="clear"/>
            <w:vAlign w:val="center"/>
          </w:tcPr>
          <w:p>
            <w:pPr>
              <w:pStyle w:val="TableContents"/>
              <w:spacing w:before="0" w:after="1"/>
              <w:ind w:left="0" w:right="0" w:hanging="0"/>
              <w:rPr/>
            </w:pPr>
            <w:r>
              <w:rPr/>
              <w:t> </w:t>
            </w:r>
          </w:p>
        </w:tc>
        <w:tc>
          <w:tcPr>
            <w:tcW w:w="142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OUTSTANDING</w:t>
            </w:r>
          </w:p>
        </w:tc>
        <w:tc>
          <w:tcPr>
            <w:tcW w:w="326" w:type="dxa"/>
            <w:tcBorders/>
            <w:shd w:fill="auto" w:val="clear"/>
            <w:vAlign w:val="center"/>
          </w:tcPr>
          <w:p>
            <w:pPr>
              <w:pStyle w:val="TableContents"/>
              <w:spacing w:before="0" w:after="1"/>
              <w:ind w:left="0" w:right="0" w:hanging="0"/>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VALUE</w:t>
            </w:r>
          </w:p>
        </w:tc>
        <w:tc>
          <w:tcPr>
            <w:tcW w:w="326" w:type="dxa"/>
            <w:tcBorders/>
            <w:shd w:fill="auto" w:val="clear"/>
            <w:vAlign w:val="center"/>
          </w:tcPr>
          <w:p>
            <w:pPr>
              <w:pStyle w:val="TableContents"/>
              <w:spacing w:before="0" w:after="1"/>
              <w:ind w:left="0" w:right="0" w:hanging="0"/>
              <w:rPr/>
            </w:pPr>
            <w:r>
              <w:rPr/>
              <w:t>​</w:t>
            </w:r>
          </w:p>
        </w:tc>
        <w:tc>
          <w:tcPr>
            <w:tcW w:w="124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VALUE</w:t>
            </w:r>
          </w:p>
        </w:tc>
      </w:tr>
      <w:tr>
        <w:trPr/>
        <w:tc>
          <w:tcPr>
            <w:tcW w:w="70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w:t>
            </w:r>
          </w:p>
        </w:tc>
        <w:tc>
          <w:tcPr>
            <w:tcW w:w="146" w:type="dxa"/>
            <w:tcBorders/>
            <w:shd w:fill="CCEEFF" w:val="clear"/>
            <w:vAlign w:val="center"/>
          </w:tcPr>
          <w:p>
            <w:pPr>
              <w:pStyle w:val="TableContents"/>
              <w:spacing w:before="0" w:after="1"/>
              <w:ind w:left="0" w:right="0" w:hanging="0"/>
              <w:rPr/>
            </w:pPr>
            <w:r>
              <w:rPr/>
              <w:t> </w:t>
            </w:r>
          </w:p>
        </w:tc>
        <w:tc>
          <w:tcPr>
            <w:tcW w:w="120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19,200,000</w:t>
            </w:r>
          </w:p>
        </w:tc>
        <w:tc>
          <w:tcPr>
            <w:tcW w:w="326" w:type="dxa"/>
            <w:tcBorders/>
            <w:shd w:fill="CCEEFF" w:val="clear"/>
            <w:vAlign w:val="center"/>
          </w:tcPr>
          <w:p>
            <w:pPr>
              <w:pStyle w:val="TableContents"/>
              <w:spacing w:before="0" w:after="1"/>
              <w:ind w:left="0" w:right="0" w:hanging="0"/>
              <w:rPr/>
            </w:pPr>
            <w:r>
              <w:rPr/>
              <w:t>​</w:t>
            </w:r>
          </w:p>
        </w:tc>
        <w:tc>
          <w:tcPr>
            <w:tcW w:w="262"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63"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1.6667</w:t>
            </w:r>
          </w:p>
        </w:tc>
        <w:tc>
          <w:tcPr>
            <w:tcW w:w="326" w:type="dxa"/>
            <w:tcBorders/>
            <w:shd w:fill="CCEEFF" w:val="clear"/>
            <w:vAlign w:val="center"/>
          </w:tcPr>
          <w:p>
            <w:pPr>
              <w:pStyle w:val="TableContents"/>
              <w:spacing w:before="0" w:after="1"/>
              <w:ind w:left="0" w:right="0" w:hanging="0"/>
              <w:rPr/>
            </w:pPr>
            <w:r>
              <w:rPr/>
              <w:t> </w:t>
            </w:r>
          </w:p>
        </w:tc>
        <w:tc>
          <w:tcPr>
            <w:tcW w:w="142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19,200,000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32,001</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97"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32,001</w:t>
            </w:r>
          </w:p>
        </w:tc>
      </w:tr>
      <w:tr>
        <w:trPr/>
        <w:tc>
          <w:tcPr>
            <w:tcW w:w="70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w:t>
            </w:r>
          </w:p>
        </w:tc>
        <w:tc>
          <w:tcPr>
            <w:tcW w:w="146" w:type="dxa"/>
            <w:tcBorders/>
            <w:shd w:fill="auto" w:val="clear"/>
            <w:vAlign w:val="center"/>
          </w:tcPr>
          <w:p>
            <w:pPr>
              <w:pStyle w:val="TableContents"/>
              <w:spacing w:before="0" w:after="1"/>
              <w:ind w:left="0" w:right="0" w:hanging="0"/>
              <w:rPr/>
            </w:pPr>
            <w:r>
              <w:rPr/>
              <w:t> </w:t>
            </w:r>
          </w:p>
        </w:tc>
        <w:tc>
          <w:tcPr>
            <w:tcW w:w="120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12,799,681</w:t>
            </w:r>
          </w:p>
        </w:tc>
        <w:tc>
          <w:tcPr>
            <w:tcW w:w="326" w:type="dxa"/>
            <w:tcBorders/>
            <w:shd w:fill="auto" w:val="clear"/>
            <w:vAlign w:val="center"/>
          </w:tcPr>
          <w:p>
            <w:pPr>
              <w:pStyle w:val="TableContents"/>
              <w:spacing w:before="0" w:after="1"/>
              <w:ind w:left="0" w:right="0" w:hanging="0"/>
              <w:rPr/>
            </w:pPr>
            <w:r>
              <w:rPr/>
              <w:t>​</w:t>
            </w:r>
          </w:p>
        </w:tc>
        <w:tc>
          <w:tcPr>
            <w:tcW w:w="262" w:type="dxa"/>
            <w:tcBorders/>
            <w:shd w:fill="auto" w:val="clear"/>
            <w:vAlign w:val="center"/>
          </w:tcPr>
          <w:p>
            <w:pPr>
              <w:pStyle w:val="TableContents"/>
              <w:spacing w:before="0" w:after="1"/>
              <w:ind w:left="0" w:right="0" w:hanging="0"/>
              <w:rPr/>
            </w:pPr>
            <w:r>
              <w:rPr/>
              <w:t> </w:t>
            </w:r>
          </w:p>
        </w:tc>
        <w:tc>
          <w:tcPr>
            <w:tcW w:w="863"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2.0313</w:t>
            </w:r>
          </w:p>
        </w:tc>
        <w:tc>
          <w:tcPr>
            <w:tcW w:w="326" w:type="dxa"/>
            <w:tcBorders/>
            <w:shd w:fill="auto" w:val="clear"/>
            <w:vAlign w:val="center"/>
          </w:tcPr>
          <w:p>
            <w:pPr>
              <w:pStyle w:val="TableContents"/>
              <w:spacing w:before="0" w:after="1"/>
              <w:ind w:left="0" w:right="0" w:hanging="0"/>
              <w:rPr/>
            </w:pPr>
            <w:r>
              <w:rPr/>
              <w:t> </w:t>
            </w:r>
          </w:p>
        </w:tc>
        <w:tc>
          <w:tcPr>
            <w:tcW w:w="142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12,799,681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26,000</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 </w:t>
            </w:r>
          </w:p>
        </w:tc>
        <w:tc>
          <w:tcPr>
            <w:tcW w:w="997"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26,000</w:t>
            </w:r>
          </w:p>
        </w:tc>
      </w:tr>
      <w:tr>
        <w:trPr/>
        <w:tc>
          <w:tcPr>
            <w:tcW w:w="70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B</w:t>
            </w:r>
          </w:p>
        </w:tc>
        <w:tc>
          <w:tcPr>
            <w:tcW w:w="146" w:type="dxa"/>
            <w:tcBorders/>
            <w:shd w:fill="CCEEFF" w:val="clear"/>
            <w:vAlign w:val="center"/>
          </w:tcPr>
          <w:p>
            <w:pPr>
              <w:pStyle w:val="TableContents"/>
              <w:spacing w:before="0" w:after="1"/>
              <w:ind w:left="0" w:right="0" w:hanging="0"/>
              <w:rPr/>
            </w:pPr>
            <w:r>
              <w:rPr/>
              <w:t> </w:t>
            </w:r>
          </w:p>
        </w:tc>
        <w:tc>
          <w:tcPr>
            <w:tcW w:w="120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32,857,004</w:t>
            </w:r>
          </w:p>
        </w:tc>
        <w:tc>
          <w:tcPr>
            <w:tcW w:w="326" w:type="dxa"/>
            <w:tcBorders/>
            <w:shd w:fill="CCEEFF" w:val="clear"/>
            <w:vAlign w:val="center"/>
          </w:tcPr>
          <w:p>
            <w:pPr>
              <w:pStyle w:val="TableContents"/>
              <w:spacing w:before="0" w:after="1"/>
              <w:ind w:left="0" w:right="0" w:hanging="0"/>
              <w:rPr/>
            </w:pPr>
            <w:r>
              <w:rPr/>
              <w:t>​</w:t>
            </w:r>
          </w:p>
        </w:tc>
        <w:tc>
          <w:tcPr>
            <w:tcW w:w="262" w:type="dxa"/>
            <w:tcBorders/>
            <w:shd w:fill="CCEEFF" w:val="clear"/>
            <w:vAlign w:val="center"/>
          </w:tcPr>
          <w:p>
            <w:pPr>
              <w:pStyle w:val="TableContents"/>
              <w:spacing w:before="0" w:after="1"/>
              <w:ind w:left="0" w:right="0" w:hanging="0"/>
              <w:rPr/>
            </w:pPr>
            <w:r>
              <w:rPr/>
              <w:t> </w:t>
            </w:r>
          </w:p>
        </w:tc>
        <w:tc>
          <w:tcPr>
            <w:tcW w:w="863"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4.0483</w:t>
            </w:r>
          </w:p>
        </w:tc>
        <w:tc>
          <w:tcPr>
            <w:tcW w:w="326" w:type="dxa"/>
            <w:tcBorders/>
            <w:shd w:fill="CCEEFF" w:val="clear"/>
            <w:vAlign w:val="center"/>
          </w:tcPr>
          <w:p>
            <w:pPr>
              <w:pStyle w:val="TableContents"/>
              <w:spacing w:before="0" w:after="1"/>
              <w:ind w:left="0" w:right="0" w:hanging="0"/>
              <w:rPr/>
            </w:pPr>
            <w:r>
              <w:rPr/>
              <w:t> </w:t>
            </w:r>
          </w:p>
        </w:tc>
        <w:tc>
          <w:tcPr>
            <w:tcW w:w="142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32,857,004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133,015</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 </w:t>
            </w:r>
          </w:p>
        </w:tc>
        <w:tc>
          <w:tcPr>
            <w:tcW w:w="997"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133,015</w:t>
            </w:r>
          </w:p>
        </w:tc>
      </w:tr>
      <w:tr>
        <w:trPr/>
        <w:tc>
          <w:tcPr>
            <w:tcW w:w="70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B-1</w:t>
            </w:r>
          </w:p>
        </w:tc>
        <w:tc>
          <w:tcPr>
            <w:tcW w:w="146" w:type="dxa"/>
            <w:tcBorders/>
            <w:shd w:fill="auto" w:val="clear"/>
            <w:vAlign w:val="center"/>
          </w:tcPr>
          <w:p>
            <w:pPr>
              <w:pStyle w:val="TableContents"/>
              <w:spacing w:before="0" w:after="1"/>
              <w:ind w:left="0" w:right="0" w:hanging="0"/>
              <w:rPr/>
            </w:pPr>
            <w:r>
              <w:rPr/>
              <w:t> </w:t>
            </w:r>
          </w:p>
        </w:tc>
        <w:tc>
          <w:tcPr>
            <w:tcW w:w="120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2,161,402</w:t>
            </w:r>
          </w:p>
        </w:tc>
        <w:tc>
          <w:tcPr>
            <w:tcW w:w="326" w:type="dxa"/>
            <w:tcBorders/>
            <w:shd w:fill="auto" w:val="clear"/>
            <w:vAlign w:val="center"/>
          </w:tcPr>
          <w:p>
            <w:pPr>
              <w:pStyle w:val="TableContents"/>
              <w:spacing w:before="0" w:after="1"/>
              <w:ind w:left="0" w:right="0" w:hanging="0"/>
              <w:rPr/>
            </w:pPr>
            <w:r>
              <w:rPr/>
              <w:t>​</w:t>
            </w:r>
          </w:p>
        </w:tc>
        <w:tc>
          <w:tcPr>
            <w:tcW w:w="262" w:type="dxa"/>
            <w:tcBorders/>
            <w:shd w:fill="auto" w:val="clear"/>
            <w:vAlign w:val="center"/>
          </w:tcPr>
          <w:p>
            <w:pPr>
              <w:pStyle w:val="TableContents"/>
              <w:spacing w:before="0" w:after="1"/>
              <w:ind w:left="0" w:right="0" w:hanging="0"/>
              <w:rPr/>
            </w:pPr>
            <w:r>
              <w:rPr/>
              <w:t> </w:t>
            </w:r>
          </w:p>
        </w:tc>
        <w:tc>
          <w:tcPr>
            <w:tcW w:w="863"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3.2386</w:t>
            </w:r>
          </w:p>
        </w:tc>
        <w:tc>
          <w:tcPr>
            <w:tcW w:w="326" w:type="dxa"/>
            <w:tcBorders/>
            <w:shd w:fill="auto" w:val="clear"/>
            <w:vAlign w:val="center"/>
          </w:tcPr>
          <w:p>
            <w:pPr>
              <w:pStyle w:val="TableContents"/>
              <w:spacing w:before="0" w:after="1"/>
              <w:ind w:left="0" w:right="0" w:hanging="0"/>
              <w:rPr/>
            </w:pPr>
            <w:r>
              <w:rPr/>
              <w:t> </w:t>
            </w:r>
          </w:p>
        </w:tc>
        <w:tc>
          <w:tcPr>
            <w:tcW w:w="142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2,161,402</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8,959</w:t>
            </w:r>
          </w:p>
        </w:tc>
        <w:tc>
          <w:tcPr>
            <w:tcW w:w="326" w:type="dxa"/>
            <w:tcBorders/>
            <w:shd w:fill="auto" w:val="clear"/>
            <w:vAlign w:val="center"/>
          </w:tcPr>
          <w:p>
            <w:pPr>
              <w:pStyle w:val="TableContents"/>
              <w:spacing w:before="0" w:after="1"/>
              <w:ind w:left="0" w:right="0" w:hanging="0"/>
              <w:rPr/>
            </w:pPr>
            <w:r>
              <w:rPr/>
              <w:t>​</w:t>
            </w:r>
          </w:p>
        </w:tc>
        <w:tc>
          <w:tcPr>
            <w:tcW w:w="249"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99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7,000</w:t>
            </w:r>
          </w:p>
        </w:tc>
      </w:tr>
      <w:tr>
        <w:trPr/>
        <w:tc>
          <w:tcPr>
            <w:tcW w:w="706" w:type="dxa"/>
            <w:tcBorders/>
            <w:shd w:fill="CCEEFF" w:val="clear"/>
            <w:vAlign w:val="center"/>
          </w:tcPr>
          <w:p>
            <w:pPr>
              <w:pStyle w:val="TableContents"/>
              <w:spacing w:before="0" w:after="1"/>
              <w:ind w:left="0" w:right="0" w:hanging="0"/>
              <w:rPr/>
            </w:pPr>
            <w:r>
              <w:rPr/>
              <w:t>​</w:t>
            </w:r>
          </w:p>
        </w:tc>
        <w:tc>
          <w:tcPr>
            <w:tcW w:w="146" w:type="dxa"/>
            <w:tcBorders/>
            <w:shd w:fill="CCEEFF" w:val="clear"/>
            <w:vAlign w:val="center"/>
          </w:tcPr>
          <w:p>
            <w:pPr>
              <w:pStyle w:val="TableContents"/>
              <w:spacing w:before="0" w:after="1"/>
              <w:ind w:left="0" w:right="0" w:hanging="0"/>
              <w:rPr/>
            </w:pPr>
            <w:r>
              <w:rPr/>
              <w:t> </w:t>
            </w:r>
          </w:p>
        </w:tc>
        <w:tc>
          <w:tcPr>
            <w:tcW w:w="120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67,018,087</w:t>
            </w:r>
          </w:p>
        </w:tc>
        <w:tc>
          <w:tcPr>
            <w:tcW w:w="326" w:type="dxa"/>
            <w:tcBorders/>
            <w:shd w:fill="CCEEFF" w:val="clear"/>
            <w:vAlign w:val="center"/>
          </w:tcPr>
          <w:p>
            <w:pPr>
              <w:pStyle w:val="TableContents"/>
              <w:spacing w:before="0" w:after="1"/>
              <w:ind w:left="0" w:right="0" w:hanging="0"/>
              <w:rPr/>
            </w:pPr>
            <w:r>
              <w:rPr/>
              <w:t>​</w:t>
            </w:r>
          </w:p>
        </w:tc>
        <w:tc>
          <w:tcPr>
            <w:tcW w:w="262" w:type="dxa"/>
            <w:tcBorders/>
            <w:shd w:fill="CCEEFF" w:val="clear"/>
            <w:vAlign w:val="center"/>
          </w:tcPr>
          <w:p>
            <w:pPr>
              <w:pStyle w:val="TableContents"/>
              <w:spacing w:before="0" w:after="1"/>
              <w:ind w:left="0" w:right="0" w:hanging="0"/>
              <w:rPr/>
            </w:pPr>
            <w:r>
              <w:rPr/>
              <w:t> </w:t>
            </w:r>
          </w:p>
        </w:tc>
        <w:tc>
          <w:tcPr>
            <w:tcW w:w="863"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142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67,018,087</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199,975</w:t>
            </w:r>
          </w:p>
        </w:tc>
        <w:tc>
          <w:tcPr>
            <w:tcW w:w="326" w:type="dxa"/>
            <w:tcBorders/>
            <w:shd w:fill="CCEEFF" w:val="clear"/>
            <w:vAlign w:val="center"/>
          </w:tcPr>
          <w:p>
            <w:pPr>
              <w:pStyle w:val="TableContents"/>
              <w:spacing w:before="0" w:after="1"/>
              <w:ind w:left="0" w:right="0" w:hanging="0"/>
              <w:rPr/>
            </w:pPr>
            <w:r>
              <w:rPr/>
              <w:t>​</w:t>
            </w:r>
          </w:p>
        </w:tc>
        <w:tc>
          <w:tcPr>
            <w:tcW w:w="249"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99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198,016</w:t>
            </w:r>
          </w:p>
        </w:tc>
      </w:tr>
      <w:tr>
        <w:trPr/>
        <w:tc>
          <w:tcPr>
            <w:tcW w:w="70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4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20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62"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63"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4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49"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97"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r>
    </w:tbl>
    <w:p>
      <w:pPr>
        <w:pStyle w:val="TextBody"/>
        <w:spacing w:before="0" w:after="240"/>
        <w:ind w:left="0" w:right="0" w:hanging="0"/>
        <w:rPr/>
      </w:pPr>
      <w:r>
        <w:rPr/>
        <w:t>​</w:t>
      </w:r>
    </w:p>
    <w:tbl>
      <w:tblPr>
        <w:tblW w:w="8341" w:type="dxa"/>
        <w:jc w:val="left"/>
        <w:tblInd w:w="0" w:type="dxa"/>
        <w:tblCellMar>
          <w:top w:w="0" w:type="dxa"/>
          <w:left w:w="0" w:type="dxa"/>
          <w:bottom w:w="0" w:type="dxa"/>
          <w:right w:w="0" w:type="dxa"/>
        </w:tblCellMar>
      </w:tblPr>
      <w:tblGrid>
        <w:gridCol w:w="706"/>
        <w:gridCol w:w="326"/>
        <w:gridCol w:w="1201"/>
        <w:gridCol w:w="326"/>
        <w:gridCol w:w="262"/>
        <w:gridCol w:w="863"/>
        <w:gridCol w:w="326"/>
        <w:gridCol w:w="1426"/>
        <w:gridCol w:w="326"/>
        <w:gridCol w:w="211"/>
        <w:gridCol w:w="796"/>
        <w:gridCol w:w="326"/>
        <w:gridCol w:w="249"/>
        <w:gridCol w:w="997"/>
      </w:tblGrid>
      <w:tr>
        <w:trPr/>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48310" cy="175260"/>
                      <wp:effectExtent l="0" t="0" r="0" b="0"/>
                      <wp:wrapNone/>
                      <wp:docPr id="224" name="Frame182"/>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1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762635" cy="175260"/>
                      <wp:effectExtent l="0" t="0" r="0" b="0"/>
                      <wp:wrapNone/>
                      <wp:docPr id="226" name="Frame184"/>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1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66370" cy="175260"/>
                      <wp:effectExtent l="0" t="0" r="0" b="0"/>
                      <wp:wrapNone/>
                      <wp:docPr id="228" name="Frame186"/>
                      <a:graphic xmlns:a="http://schemas.openxmlformats.org/drawingml/2006/main">
                        <a:graphicData uri="http://schemas.microsoft.com/office/word/2010/wordprocessingShape">
                          <wps:wsp>
                            <wps:cNvSpPr txBox="1"/>
                            <wps:spPr>
                              <a:xfrm>
                                <a:off x="0" y="0"/>
                                <a:ext cx="1663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48005" cy="175260"/>
                      <wp:effectExtent l="0" t="0" r="0" b="0"/>
                      <wp:wrapNone/>
                      <wp:docPr id="229" name="Frame187"/>
                      <a:graphic xmlns:a="http://schemas.openxmlformats.org/drawingml/2006/main">
                        <a:graphicData uri="http://schemas.microsoft.com/office/word/2010/wordprocessingShape">
                          <wps:wsp>
                            <wps:cNvSpPr txBox="1"/>
                            <wps:spPr>
                              <a:xfrm>
                                <a:off x="0" y="0"/>
                                <a:ext cx="548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1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905510" cy="175260"/>
                      <wp:effectExtent l="0" t="0" r="0" b="0"/>
                      <wp:wrapNone/>
                      <wp:docPr id="231" name="Frame189"/>
                      <a:graphic xmlns:a="http://schemas.openxmlformats.org/drawingml/2006/main">
                        <a:graphicData uri="http://schemas.microsoft.com/office/word/2010/wordprocessingShape">
                          <wps:wsp>
                            <wps:cNvSpPr txBox="1"/>
                            <wps:spPr>
                              <a:xfrm>
                                <a:off x="0" y="0"/>
                                <a:ext cx="905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1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3985" cy="175260"/>
                      <wp:effectExtent l="0" t="0" r="0" b="0"/>
                      <wp:wrapNone/>
                      <wp:docPr id="233" name="Frame19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505460" cy="175260"/>
                      <wp:effectExtent l="0" t="0" r="0" b="0"/>
                      <wp:wrapNone/>
                      <wp:docPr id="234" name="Frame192"/>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1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58115" cy="175260"/>
                      <wp:effectExtent l="0" t="0" r="0" b="0"/>
                      <wp:wrapNone/>
                      <wp:docPr id="236" name="Frame194"/>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33095" cy="175260"/>
                      <wp:effectExtent l="0" t="0" r="0" b="0"/>
                      <wp:wrapNone/>
                      <wp:docPr id="237" name="Frame195"/>
                      <a:graphic xmlns:a="http://schemas.openxmlformats.org/drawingml/2006/main">
                        <a:graphicData uri="http://schemas.microsoft.com/office/word/2010/wordprocessingShape">
                          <wps:wsp>
                            <wps:cNvSpPr txBox="1"/>
                            <wps:spPr>
                              <a:xfrm>
                                <a:off x="0" y="0"/>
                                <a:ext cx="6330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0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20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262"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863"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4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79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24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997"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7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309" w:type="dxa"/>
            <w:gridSpan w:val="1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2021</w:t>
            </w:r>
          </w:p>
        </w:tc>
      </w:tr>
      <w:tr>
        <w:trPr/>
        <w:tc>
          <w:tcPr>
            <w:tcW w:w="7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62"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42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SHARES ISSUED</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49" w:type="dxa"/>
            <w:tcBorders/>
            <w:shd w:fill="auto" w:val="clear"/>
            <w:vAlign w:val="center"/>
          </w:tcPr>
          <w:p>
            <w:pPr>
              <w:pStyle w:val="TableContents"/>
              <w:spacing w:before="0" w:after="0"/>
              <w:ind w:left="0" w:right="0" w:hanging="0"/>
              <w:rPr/>
            </w:pPr>
            <w:r>
              <w:rPr/>
              <w:t>​</w:t>
            </w:r>
          </w:p>
        </w:tc>
        <w:tc>
          <w:tcPr>
            <w:tcW w:w="997" w:type="dxa"/>
            <w:tcBorders/>
            <w:shd w:fill="auto" w:val="clear"/>
            <w:vAlign w:val="center"/>
          </w:tcPr>
          <w:p>
            <w:pPr>
              <w:pStyle w:val="TableContents"/>
              <w:spacing w:before="0" w:after="0"/>
              <w:ind w:left="0" w:right="0" w:hanging="0"/>
              <w:rPr/>
            </w:pPr>
            <w:r>
              <w:rPr/>
              <w:t>​</w:t>
            </w:r>
          </w:p>
        </w:tc>
      </w:tr>
      <w:tr>
        <w:trPr/>
        <w:tc>
          <w:tcPr>
            <w:tcW w:w="7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SHARES</w:t>
            </w:r>
          </w:p>
        </w:tc>
        <w:tc>
          <w:tcPr>
            <w:tcW w:w="326" w:type="dxa"/>
            <w:tcBorders/>
            <w:shd w:fill="auto" w:val="clear"/>
            <w:vAlign w:val="center"/>
          </w:tcPr>
          <w:p>
            <w:pPr>
              <w:pStyle w:val="TableContents"/>
              <w:spacing w:before="0" w:after="0"/>
              <w:ind w:left="0" w:right="0" w:hanging="0"/>
              <w:rPr/>
            </w:pPr>
            <w:r>
              <w:rPr/>
              <w:t> </w:t>
            </w:r>
          </w:p>
        </w:tc>
        <w:tc>
          <w:tcPr>
            <w:tcW w:w="1125"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ORIGINAL</w:t>
            </w:r>
          </w:p>
        </w:tc>
        <w:tc>
          <w:tcPr>
            <w:tcW w:w="326" w:type="dxa"/>
            <w:tcBorders/>
            <w:shd w:fill="auto" w:val="clear"/>
            <w:vAlign w:val="center"/>
          </w:tcPr>
          <w:p>
            <w:pPr>
              <w:pStyle w:val="TableContents"/>
              <w:spacing w:before="0" w:after="0"/>
              <w:ind w:left="0" w:right="0" w:hanging="0"/>
              <w:rPr/>
            </w:pPr>
            <w:r>
              <w:rPr/>
              <w:t> </w:t>
            </w:r>
          </w:p>
        </w:tc>
        <w:tc>
          <w:tcPr>
            <w:tcW w:w="142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AND</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CARRYING</w:t>
            </w:r>
          </w:p>
        </w:tc>
        <w:tc>
          <w:tcPr>
            <w:tcW w:w="326" w:type="dxa"/>
            <w:tcBorders/>
            <w:shd w:fill="auto" w:val="clear"/>
            <w:vAlign w:val="center"/>
          </w:tcPr>
          <w:p>
            <w:pPr>
              <w:pStyle w:val="TableContents"/>
              <w:spacing w:before="0" w:after="0"/>
              <w:ind w:left="0" w:right="0" w:hanging="0"/>
              <w:rPr/>
            </w:pPr>
            <w:r>
              <w:rPr/>
              <w:t> </w:t>
            </w:r>
          </w:p>
        </w:tc>
        <w:tc>
          <w:tcPr>
            <w:tcW w:w="1246"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LIQUIDATION</w:t>
            </w:r>
          </w:p>
        </w:tc>
      </w:tr>
      <w:tr>
        <w:trPr/>
        <w:tc>
          <w:tcPr>
            <w:tcW w:w="706"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SERIES</w:t>
            </w:r>
          </w:p>
        </w:tc>
        <w:tc>
          <w:tcPr>
            <w:tcW w:w="326" w:type="dxa"/>
            <w:tcBorders/>
            <w:shd w:fill="auto" w:val="clear"/>
            <w:vAlign w:val="center"/>
          </w:tcPr>
          <w:p>
            <w:pPr>
              <w:pStyle w:val="TableContents"/>
              <w:spacing w:before="0" w:after="0"/>
              <w:ind w:left="0" w:right="0" w:hanging="0"/>
              <w:rPr/>
            </w:pPr>
            <w:r>
              <w:rPr/>
              <w:t>​</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AUTHORIZED</w:t>
            </w:r>
          </w:p>
        </w:tc>
        <w:tc>
          <w:tcPr>
            <w:tcW w:w="326" w:type="dxa"/>
            <w:tcBorders/>
            <w:shd w:fill="auto" w:val="clear"/>
            <w:vAlign w:val="center"/>
          </w:tcPr>
          <w:p>
            <w:pPr>
              <w:pStyle w:val="TableContents"/>
              <w:spacing w:before="0" w:after="0"/>
              <w:ind w:left="0" w:right="0" w:hanging="0"/>
              <w:rPr/>
            </w:pPr>
            <w:r>
              <w:rPr/>
              <w:t>​</w:t>
            </w:r>
          </w:p>
        </w:tc>
        <w:tc>
          <w:tcPr>
            <w:tcW w:w="11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ISSUE PRICE</w:t>
            </w:r>
          </w:p>
        </w:tc>
        <w:tc>
          <w:tcPr>
            <w:tcW w:w="326" w:type="dxa"/>
            <w:tcBorders/>
            <w:shd w:fill="auto" w:val="clear"/>
            <w:vAlign w:val="center"/>
          </w:tcPr>
          <w:p>
            <w:pPr>
              <w:pStyle w:val="TableContents"/>
              <w:spacing w:before="0" w:after="0"/>
              <w:ind w:left="0" w:right="0" w:hanging="0"/>
              <w:rPr/>
            </w:pPr>
            <w:r>
              <w:rPr/>
              <w:t> </w:t>
            </w:r>
          </w:p>
        </w:tc>
        <w:tc>
          <w:tcPr>
            <w:tcW w:w="14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OUTSTANDING</w:t>
            </w:r>
          </w:p>
        </w:tc>
        <w:tc>
          <w:tcPr>
            <w:tcW w:w="326" w:type="dxa"/>
            <w:tcBorders/>
            <w:shd w:fill="auto" w:val="clear"/>
            <w:vAlign w:val="center"/>
          </w:tcPr>
          <w:p>
            <w:pPr>
              <w:pStyle w:val="TableContents"/>
              <w:spacing w:before="0" w:after="0"/>
              <w:ind w:left="0" w:right="0" w:hanging="0"/>
              <w:rPr/>
            </w:pPr>
            <w:r>
              <w:rPr/>
              <w:t>​</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VALUE</w:t>
            </w:r>
          </w:p>
        </w:tc>
        <w:tc>
          <w:tcPr>
            <w:tcW w:w="326" w:type="dxa"/>
            <w:tcBorders/>
            <w:shd w:fill="auto" w:val="clear"/>
            <w:vAlign w:val="center"/>
          </w:tcPr>
          <w:p>
            <w:pPr>
              <w:pStyle w:val="TableContents"/>
              <w:spacing w:before="0" w:after="0"/>
              <w:ind w:left="0" w:right="0" w:hanging="0"/>
              <w:rPr/>
            </w:pPr>
            <w:r>
              <w:rPr/>
              <w:t>​</w:t>
            </w:r>
          </w:p>
        </w:tc>
        <w:tc>
          <w:tcPr>
            <w:tcW w:w="124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VALUE</w:t>
            </w:r>
          </w:p>
        </w:tc>
      </w:tr>
      <w:tr>
        <w:trPr/>
        <w:tc>
          <w:tcPr>
            <w:tcW w:w="7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w:t>
            </w:r>
          </w:p>
        </w:tc>
        <w:tc>
          <w:tcPr>
            <w:tcW w:w="326" w:type="dxa"/>
            <w:tcBorders/>
            <w:shd w:fill="CCEEFF" w:val="clear"/>
            <w:vAlign w:val="center"/>
          </w:tcPr>
          <w:p>
            <w:pPr>
              <w:pStyle w:val="TableContents"/>
              <w:spacing w:before="0" w:after="0"/>
              <w:ind w:left="0" w:right="0" w:hanging="0"/>
              <w:rPr/>
            </w:pPr>
            <w:r>
              <w:rPr/>
              <w:t> </w:t>
            </w:r>
          </w:p>
        </w:tc>
        <w:tc>
          <w:tcPr>
            <w:tcW w:w="120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19,200,000</w:t>
            </w:r>
          </w:p>
        </w:tc>
        <w:tc>
          <w:tcPr>
            <w:tcW w:w="326" w:type="dxa"/>
            <w:tcBorders/>
            <w:shd w:fill="CCEEFF" w:val="clear"/>
            <w:vAlign w:val="center"/>
          </w:tcPr>
          <w:p>
            <w:pPr>
              <w:pStyle w:val="TableContents"/>
              <w:spacing w:before="0" w:after="0"/>
              <w:ind w:left="0" w:right="0" w:hanging="0"/>
              <w:rPr/>
            </w:pPr>
            <w:r>
              <w:rPr/>
              <w:t>​</w:t>
            </w:r>
          </w:p>
        </w:tc>
        <w:tc>
          <w:tcPr>
            <w:tcW w:w="262"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63"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1.6667</w:t>
            </w:r>
          </w:p>
        </w:tc>
        <w:tc>
          <w:tcPr>
            <w:tcW w:w="326" w:type="dxa"/>
            <w:tcBorders/>
            <w:shd w:fill="CCEEFF" w:val="clear"/>
            <w:vAlign w:val="center"/>
          </w:tcPr>
          <w:p>
            <w:pPr>
              <w:pStyle w:val="TableContents"/>
              <w:spacing w:before="0" w:after="0"/>
              <w:ind w:left="0" w:right="0" w:hanging="0"/>
              <w:rPr/>
            </w:pPr>
            <w:r>
              <w:rPr/>
              <w:t> </w:t>
            </w:r>
          </w:p>
        </w:tc>
        <w:tc>
          <w:tcPr>
            <w:tcW w:w="142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19,200,000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9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32,001</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97"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32,001</w:t>
            </w:r>
          </w:p>
        </w:tc>
      </w:tr>
      <w:tr>
        <w:trPr/>
        <w:tc>
          <w:tcPr>
            <w:tcW w:w="7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12,799,681</w:t>
            </w:r>
          </w:p>
        </w:tc>
        <w:tc>
          <w:tcPr>
            <w:tcW w:w="326" w:type="dxa"/>
            <w:tcBorders/>
            <w:shd w:fill="auto" w:val="clear"/>
            <w:vAlign w:val="center"/>
          </w:tcPr>
          <w:p>
            <w:pPr>
              <w:pStyle w:val="TableContents"/>
              <w:spacing w:before="0" w:after="0"/>
              <w:ind w:left="0" w:right="0" w:hanging="0"/>
              <w:rPr/>
            </w:pPr>
            <w:r>
              <w:rPr/>
              <w:t>​</w:t>
            </w:r>
          </w:p>
        </w:tc>
        <w:tc>
          <w:tcPr>
            <w:tcW w:w="262"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2.0313</w:t>
            </w:r>
          </w:p>
        </w:tc>
        <w:tc>
          <w:tcPr>
            <w:tcW w:w="326" w:type="dxa"/>
            <w:tcBorders/>
            <w:shd w:fill="auto" w:val="clear"/>
            <w:vAlign w:val="center"/>
          </w:tcPr>
          <w:p>
            <w:pPr>
              <w:pStyle w:val="TableContents"/>
              <w:spacing w:before="0" w:after="0"/>
              <w:ind w:left="0" w:right="0" w:hanging="0"/>
              <w:rPr/>
            </w:pPr>
            <w:r>
              <w:rPr/>
              <w:t>​</w:t>
            </w:r>
          </w:p>
        </w:tc>
        <w:tc>
          <w:tcPr>
            <w:tcW w:w="142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12,799,681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26,000</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997"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26,000</w:t>
            </w:r>
          </w:p>
        </w:tc>
      </w:tr>
      <w:tr>
        <w:trPr/>
        <w:tc>
          <w:tcPr>
            <w:tcW w:w="7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B</w:t>
            </w:r>
          </w:p>
        </w:tc>
        <w:tc>
          <w:tcPr>
            <w:tcW w:w="326" w:type="dxa"/>
            <w:tcBorders/>
            <w:shd w:fill="CCEEFF" w:val="clear"/>
            <w:vAlign w:val="center"/>
          </w:tcPr>
          <w:p>
            <w:pPr>
              <w:pStyle w:val="TableContents"/>
              <w:spacing w:before="0" w:after="0"/>
              <w:ind w:left="0" w:right="0" w:hanging="0"/>
              <w:rPr/>
            </w:pPr>
            <w:r>
              <w:rPr/>
              <w:t>​</w:t>
            </w:r>
          </w:p>
        </w:tc>
        <w:tc>
          <w:tcPr>
            <w:tcW w:w="120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24,701,732</w:t>
            </w:r>
          </w:p>
        </w:tc>
        <w:tc>
          <w:tcPr>
            <w:tcW w:w="326" w:type="dxa"/>
            <w:tcBorders/>
            <w:shd w:fill="CCEEFF" w:val="clear"/>
            <w:vAlign w:val="center"/>
          </w:tcPr>
          <w:p>
            <w:pPr>
              <w:pStyle w:val="TableContents"/>
              <w:spacing w:before="0" w:after="0"/>
              <w:ind w:left="0" w:right="0" w:hanging="0"/>
              <w:rPr/>
            </w:pPr>
            <w:r>
              <w:rPr/>
              <w:t>​</w:t>
            </w:r>
          </w:p>
        </w:tc>
        <w:tc>
          <w:tcPr>
            <w:tcW w:w="262"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4.0483</w:t>
            </w:r>
          </w:p>
        </w:tc>
        <w:tc>
          <w:tcPr>
            <w:tcW w:w="326" w:type="dxa"/>
            <w:tcBorders/>
            <w:shd w:fill="CCEEFF" w:val="clear"/>
            <w:vAlign w:val="center"/>
          </w:tcPr>
          <w:p>
            <w:pPr>
              <w:pStyle w:val="TableContents"/>
              <w:spacing w:before="0" w:after="0"/>
              <w:ind w:left="0" w:right="0" w:hanging="0"/>
              <w:rPr/>
            </w:pPr>
            <w:r>
              <w:rPr/>
              <w:t>​</w:t>
            </w:r>
          </w:p>
        </w:tc>
        <w:tc>
          <w:tcPr>
            <w:tcW w:w="142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24,701,732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100,000</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pPr>
            <w:r>
              <w:rPr/>
              <w:t>​</w:t>
            </w:r>
          </w:p>
        </w:tc>
        <w:tc>
          <w:tcPr>
            <w:tcW w:w="997"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100,000</w:t>
            </w:r>
          </w:p>
        </w:tc>
      </w:tr>
      <w:tr>
        <w:trPr/>
        <w:tc>
          <w:tcPr>
            <w:tcW w:w="7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B-1</w:t>
            </w:r>
          </w:p>
        </w:tc>
        <w:tc>
          <w:tcPr>
            <w:tcW w:w="326" w:type="dxa"/>
            <w:tcBorders/>
            <w:shd w:fill="auto" w:val="clear"/>
            <w:vAlign w:val="center"/>
          </w:tcPr>
          <w:p>
            <w:pPr>
              <w:pStyle w:val="TableContents"/>
              <w:spacing w:before="0" w:after="0"/>
              <w:ind w:left="0" w:right="0" w:hanging="0"/>
              <w:rPr/>
            </w:pPr>
            <w:r>
              <w:rPr/>
              <w:t> </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2,161,402</w:t>
            </w:r>
          </w:p>
        </w:tc>
        <w:tc>
          <w:tcPr>
            <w:tcW w:w="326" w:type="dxa"/>
            <w:tcBorders/>
            <w:shd w:fill="auto" w:val="clear"/>
            <w:vAlign w:val="center"/>
          </w:tcPr>
          <w:p>
            <w:pPr>
              <w:pStyle w:val="TableContents"/>
              <w:spacing w:before="0" w:after="0"/>
              <w:ind w:left="0" w:right="0" w:hanging="0"/>
              <w:rPr/>
            </w:pPr>
            <w:r>
              <w:rPr/>
              <w:t>​</w:t>
            </w:r>
          </w:p>
        </w:tc>
        <w:tc>
          <w:tcPr>
            <w:tcW w:w="262"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3.2386</w:t>
            </w:r>
          </w:p>
        </w:tc>
        <w:tc>
          <w:tcPr>
            <w:tcW w:w="326" w:type="dxa"/>
            <w:tcBorders/>
            <w:shd w:fill="auto" w:val="clear"/>
            <w:vAlign w:val="center"/>
          </w:tcPr>
          <w:p>
            <w:pPr>
              <w:pStyle w:val="TableContents"/>
              <w:spacing w:before="0" w:after="0"/>
              <w:ind w:left="0" w:right="0" w:hanging="0"/>
              <w:rPr/>
            </w:pPr>
            <w:r>
              <w:rPr/>
              <w:t> </w:t>
            </w:r>
          </w:p>
        </w:tc>
        <w:tc>
          <w:tcPr>
            <w:tcW w:w="14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2,161,402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8,959</w:t>
            </w:r>
          </w:p>
        </w:tc>
        <w:tc>
          <w:tcPr>
            <w:tcW w:w="326" w:type="dxa"/>
            <w:tcBorders/>
            <w:shd w:fill="auto" w:val="clear"/>
            <w:vAlign w:val="center"/>
          </w:tcPr>
          <w:p>
            <w:pPr>
              <w:pStyle w:val="TableContents"/>
              <w:spacing w:before="0" w:after="0"/>
              <w:ind w:left="0" w:right="0" w:hanging="0"/>
              <w:rPr/>
            </w:pPr>
            <w:r>
              <w:rPr/>
              <w:t>​</w:t>
            </w:r>
          </w:p>
        </w:tc>
        <w:tc>
          <w:tcPr>
            <w:tcW w:w="249"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97"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7,000</w:t>
            </w:r>
          </w:p>
        </w:tc>
      </w:tr>
      <w:tr>
        <w:trPr/>
        <w:tc>
          <w:tcPr>
            <w:tcW w:w="7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12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58,862,815</w:t>
            </w:r>
          </w:p>
        </w:tc>
        <w:tc>
          <w:tcPr>
            <w:tcW w:w="326" w:type="dxa"/>
            <w:tcBorders/>
            <w:shd w:fill="CCEEFF" w:val="clear"/>
            <w:vAlign w:val="center"/>
          </w:tcPr>
          <w:p>
            <w:pPr>
              <w:pStyle w:val="TableContents"/>
              <w:spacing w:before="0" w:after="0"/>
              <w:ind w:left="0" w:right="0" w:hanging="0"/>
              <w:rPr/>
            </w:pPr>
            <w:r>
              <w:rPr/>
              <w:t>​</w:t>
            </w:r>
          </w:p>
        </w:tc>
        <w:tc>
          <w:tcPr>
            <w:tcW w:w="262" w:type="dxa"/>
            <w:tcBorders/>
            <w:shd w:fill="CCEEFF" w:val="clear"/>
            <w:vAlign w:val="center"/>
          </w:tcPr>
          <w:p>
            <w:pPr>
              <w:pStyle w:val="TableContents"/>
              <w:spacing w:before="0" w:after="0"/>
              <w:ind w:left="0" w:right="0" w:hanging="0"/>
              <w:rPr/>
            </w:pPr>
            <w:r>
              <w:rPr/>
              <w:t> </w:t>
            </w:r>
          </w:p>
        </w:tc>
        <w:tc>
          <w:tcPr>
            <w:tcW w:w="863"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4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58,862,815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166,960</w:t>
            </w:r>
          </w:p>
        </w:tc>
        <w:tc>
          <w:tcPr>
            <w:tcW w:w="326" w:type="dxa"/>
            <w:tcBorders/>
            <w:shd w:fill="CCEEFF" w:val="clear"/>
            <w:vAlign w:val="center"/>
          </w:tcPr>
          <w:p>
            <w:pPr>
              <w:pStyle w:val="TableContents"/>
              <w:spacing w:before="0" w:after="0"/>
              <w:ind w:left="0" w:right="0" w:hanging="0"/>
              <w:rPr/>
            </w:pPr>
            <w:r>
              <w:rPr/>
              <w:t>​</w:t>
            </w:r>
          </w:p>
        </w:tc>
        <w:tc>
          <w:tcPr>
            <w:tcW w:w="249"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97"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165,001</w:t>
            </w:r>
          </w:p>
        </w:tc>
      </w:tr>
      <w:tr>
        <w:trPr/>
        <w:tc>
          <w:tcPr>
            <w:tcW w:w="70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6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6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4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49"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9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original issuance price in the table above reflects the stated issuance price per the respective purchase agreements.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Series A Redeemable Convertible Preferred Shares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April 2019, the Company entered into a Series A redeemable convertible preferred shares purchase agreement with certain investors to issue and sell 9,600,000 shares of its Series A redeemable convertible preferred shares at a price of $1.6667 per share (the “Series A Purchase Price”) for total gross proceeds of $16.0 million. The issuance costs were $0.3 million.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purchase agreement also provided for the issuance and sale to investors of an additional 9,600,000 Series A redeemable convertible preferred shares at the Series A Purchase Price upon achieving certain operational milestones (the “Milestone Closing”) around the selection of targeted programs and progress of certain candidate programs.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issuance of Series A redeemable convertible preferred shares was recorded at the amount of proceeds received less issuance costs and the amounts allocated to the Milestone Closing liability (“redeemable convertible preferred shares tranche liability”). During the year ended December 31, 2019, the carrying value of the redeemable convertible preferred shares was adjusted to equal to its redemption value.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Milestone Closing occurred on December 9, 2019, and the Company issued 9,600,000 Series A redeemable convertible preferred shares at $1.6667 per share for gross proceeds of $16.0 million. The redeemable convertible preferred shares tranche liability was settled upon the Milestone Closing.</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192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Series A+ Redeemable Convertible Preferred Shares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March 2020, the Company entered into a Series A+ redeemable convertible preferred shares purchase agreement with certain investors to issue and sell 12,799,681 shares of its Series A+ redeemable convertible preferred shares at a price of $2.0313 per share (the “Series A+ Purchase Price”) for total gross proceeds of $26.0 million. The issuance costs were $0.2 million.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issuance of Series A+ redeemable convertible preferred shares was recorded at the amount of proceeds received less issuance costs. During the year ended December 31, 2020, the carrying value of the redeemable convertible preferred shares was adjusted to equal to its redemption value.</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Series B Redeemable Convertible Preferred Shares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July 2021, the Company entered into a Series B redeemable convertible preferred shares purchase agreement with certain investors to issue and sell 24,701,732 shares of its Series B redeemable convertible preferred shares at a price of $4.0483 per share (the “Series B Purchase Price”) for total gross proceeds of $100.0 million. The issuance costs were $3.6 million.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issuance of Series B redeemable convertible preferred shares was recorded at the amount of proceeds received less issuance costs. During the year ended December 31, 2022, the carrying value of the redeemable convertible preferred shares was adjusted to equal to its redemption value.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July 2021, the Company executed letter agreements with one of the investors and its affiliates granting them the right to purchase a certain number of the Company’s ordinary shares equal to the product of (i) the total number of ordinary shares of the Company being sold in the Company’s first firm committed underwritten public offering of the capital stock of the Company (the “IPO”), and (ii) aggregate percentage ownership of the capital stock of the Company of the investor and its affiliates (the “IPO Participation Right”). The ordinary shares offered to the investor and its affiliates shall be offered on the same terms and price at which such ordinary shares are being offered to the public pursuant to the Company’s IPO. The purchase price of ordinary shares will be the fair value at the time of purchase as it will represent the fair value of the Company’s ordinary shares at the time of the IPO. IPO Participation Right has no fair value as it represents a right, not obligation, to purchase additional securities at fair value.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April 2022, the Company issued and sold an additional 8,155,272 shares of its Series B redeemable convertible preferred shares for gross proceeds of $33.0 million, pari-passu with the other Series B shareholders. The issuance of the additional Series B redeemable convertible preferred shares was recorded at the amount of gross proceeds received less issuance costs of  $1.5 million. During the year ended December 31, 2022, the carrying value of the redeemable convertible preferred shares was adjusted to equal to its redemption value.</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Series B-1 Redeemable Convertible Preferred Shares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December 2021, the Company entered into a share exchange agreement with other investors of Series Seed redeemable convertible preferred shares of Basecamp. The Company issued 2,161,402 Series B-1 redeemable convertible preferred shares to the other investors of Series Seed redeemable convertible preferred shares of Basecamp to acquire the 7,000,000 Series Seed redeemable convertible preferred shares of Basecamp held by the other investors. The issuance costs were $0.1 million.</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 issuance of Series B-1 redeemable convertible preferred shares was recorded at the fair value of the amount of Series B -1 redeemable convertible preferred shares. The fair value of Series B-1 redeemable convertible shares was determined by management with input from third-party valuation specialists. During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193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year ended December 31, 2022, the carrying value of the redeemable convertible preferred shares was adjusted to equal to its redemption value.</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Rights, Preferences and Privileges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On February 7, 2023, upon the closing of the Company’s IPO, all outstanding redeemable convertible preferred shares automatically converted into 67,018,087 ordinary shares. Prior to the closing of the Company’s IPO, the holders of redeemable convertible preferred shares had the following various rights and preferences:</w:t>
      </w:r>
    </w:p>
    <w:p>
      <w:pPr>
        <w:pStyle w:val="TextBody"/>
        <w:spacing w:before="0" w:after="240"/>
        <w:ind w:left="0" w:right="0" w:hanging="0"/>
        <w:rPr>
          <w:rFonts w:ascii="Arial;Helvetica;sans-serif" w:hAnsi="Arial;Helvetica;sans-serif"/>
          <w:i/>
          <w:sz w:val="20"/>
        </w:rPr>
      </w:pPr>
      <w:bookmarkStart w:id="30" w:name="_Hlk127803500"/>
      <w:bookmarkEnd w:id="30"/>
      <w:r>
        <w:rPr>
          <w:rFonts w:ascii="Arial;Helvetica;sans-serif" w:hAnsi="Arial;Helvetica;sans-serif"/>
          <w:i/>
          <w:sz w:val="20"/>
        </w:rPr>
        <w:t>Voting Rights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Each share of redeemable convertible preferred share has the same voting rights as the number of shares of ordinary shares into which it is convertible and votes together with the holders of ordinary shares as a single class.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holders of shares of Series B redeemable convertible preferred shares shall be entitled, voting separately as a single class, to elect two directors of the Company (the “Series B Directors”). The holders of shares of Series A+ redeemable convertible preferred shares shall be entitled, voting separately as a single class, to elect two directors of the Company (the “Series A+ Directors”). The holders of shares of Series A redeemable convertible preferred shares shall be entitled, voting separately as a single class, to elect two directors of the Company (the “Series A Directors”). The holders of ordinary shares shall be entitled, voting separately as a single class, to elect two directors of the Company. The holders of ordinary shares and redeemable convertible preferred shares shall be entitled, voting together, to elect the remaining directors of the Company.</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Dividends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Holders of outstanding shares of redeemable convertible preferred shares are entitled on a </w:t>
      </w:r>
      <w:r>
        <w:rPr>
          <w:rFonts w:ascii="Arial;Helvetica;sans-serif" w:hAnsi="Arial;Helvetica;sans-serif"/>
          <w:i/>
          <w:sz w:val="20"/>
        </w:rPr>
        <w:t>pari passu</w:t>
      </w:r>
      <w:r>
        <w:rPr>
          <w:rFonts w:ascii="Arial;Helvetica;sans-serif" w:hAnsi="Arial;Helvetica;sans-serif"/>
          <w:sz w:val="20"/>
        </w:rPr>
        <w:t xml:space="preserve"> basis, to participate ratably (on an as if converted to ordinary shares basis) in the payment of any dividends when, as and if declared by the board of directors on the ordinary shares. Dividends are noncumulative, and none were declared as of December 31, 2022 and 2021.</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Liquidation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the event of any liquidation, dissolution or winding up of the Company, or deemed liquidation event, either voluntary or involuntary (“Liquidation”), the holders of Series B-1 and Series B redeemable convertible preferred shares shall be entitled to receive, prior and in preference to any distribution of any of the assets of the Company to the holders of Series A+ and Series A redeemable convertible preferred shares and ordinary shares, an amount equal to $3.2386 per share and $4.0483 per share, respectively, plus all declared but unpaid dividends.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If, upon the occurrence of the Liquidation, the assets and funds thus distributed among the holders of Series B-1 and Series B redeemable convertible preferred shares shall be insufficient to permit the payment to such holders of the full amounts, then the entire assets and funds of the Company legally available for distribution shall be distributed ratably among the holders of Series B-1 and Series B redeemable convertible preferred shares in proportion to the preferential amount each such holder is otherwise entitled to receive.</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After the payment to the holders of Series B-1 and Series B redeemable convertible preferred shares of the full preferential amounts specified above, the holders of Series A+ and Series A redeemable convertible preferred shares shall be entitled to receive, prior and in preference to any distribution of any of the assets of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194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to the holders of ordinary shares, an amount equal to $2.0313 per share and $1.6667 per share, respectively, plus all declared but unpaid dividends.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If, upon the occurrence of the Liquidation, the assets and funds thus distributed among the holders of Series A+ and Series A redeemable convertible preferred shares shall be insufficient to permit the payment to such holders of the full amounts, then the entire assets and funds of the Company legally available for distribution shall be distributed ratably among the holders of Series A+ and Series A redeemable convertible preferred shares in proportion to the preferential amount each such holder is otherwise entitled to receive.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After the payment to the holders of redeemable convertible preferred shares of the full preferential amounts specified above, the remaining assets of the Company available for distribution to shareholders shall be distributed among the holders of ordinary shares and redeemable convertible preferred shares pro rata based on the number of shares held by each such holder if all shares of each such series of redeemable convertible preferred shares were converted to ordinary shares until such time as the aggregate amount distributed to the holders of redeemable convertible preferred shares is equal to three times the applicable original issue price per redeemable convertible preferred shares then held by them.</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After the payment to the holders of ordinary shares and redeemable convertible preferred shares of the full amounts specified above, all of the remaining assets of the Company available for distribution to shareholders shall be distributed among the holders of ordinary shares pro rata based on the number of shares of ordinary shares held by each such holder.</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Conversion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Each redeemable convertible preferred share is convertible, at the option of the holder, into the number of fully-paid and non-assessable ordinary shares that result from dividing the applicable original issue price per share by the applicable conversion price per share at the time of conversion. Redeemable convertible preferred shares are convertible into the Company’s ordinary shares on a one-for-one basis.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Each share of redeemable convertible preferred share is convertible into ordinary shares automatically immediately upon the earlier of (i) the Company’s consummation of an initial public offering of the ordinary shares on an internationally recognized stock exchange (which may include, without limitation, the Hong Kong Exchange, the New York Stock Exchange or the Nasdaq Stock Market) at a public offering price per share price that implies a market capitalization of the Company immediately prior to the offering of not less than $400.0 million, and having an aggregate offering amount of not less than $60.0 million (a “Qualified IPO”), or (ii) the Company’s receipt of a written request for such conversion from the holders of the majority of the then outstanding redeemable convertible preferred shares on an as-converted to ordinary shares basis.</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Redemption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redeemable convertible preferred shares are recorded within mezzanine equity because they will become redeemable at the option of the shareholders upon the occurrence of certain deemed liquidation events that are considered not solely within the Company’s control after April 29, 2026. The Company made an accounting policy election to recognize changes in the redemption value of redeemable convertible preferred shares immediately as they occur and adjust the carrying value of redeemable convertible preferred shares to equal it to its redemption value at the end of each reporting period.</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8. Basecamp Bio Inc.</w:t>
      </w:r>
    </w:p>
    <w:p>
      <w:pPr>
        <w:pStyle w:val="TextBody"/>
        <w:spacing w:before="0" w:after="0"/>
        <w:ind w:left="0" w:right="0" w:hanging="0"/>
        <w:rPr>
          <w:rFonts w:ascii="Arial;Helvetica;sans-serif" w:hAnsi="Arial;Helvetica;sans-serif"/>
          <w:sz w:val="20"/>
        </w:rPr>
      </w:pPr>
      <w:bookmarkStart w:id="31" w:name="_Hlk127804071"/>
      <w:bookmarkEnd w:id="31"/>
      <w:r>
        <w:rPr>
          <w:rFonts w:ascii="Arial;Helvetica;sans-serif" w:hAnsi="Arial;Helvetica;sans-serif"/>
          <w:sz w:val="20"/>
        </w:rPr>
        <w:t xml:space="preserve">In March 2021, Basecamp entered into a purchase agreement with certain investors to issue and sell 9,000,000 shares of its Series Seed redeemable convertible preferred shares of Basecamp at a price of $1.00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195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per share for total gross proceeds of $9.0 million. Of the 9,000,000 shares of Series Seed redeemable convertible preferred shares, 2,000,000 shares were issued to the Company and the remaining 7,000,000 shares were issued to other existing investors of the Company. Concurrent with this financing, the Company and Basecamp entered into the License and Collaboration Agreement (the “License Agreement”) in which the Company granted Basecamp a license to use its proprietary structural biology technology platform to conduct a research program to discover, research and develop novel compounds for certain selected GPCR (G protein coupled receptor) targets and the Company received 14,000,000 ordinary shares of Basecamp in exchange. The Company shall make payments to Basecamp to fund the research program specified in the License Agreement, milestone payments if and when the certain milestones are achieved by Basecamp, and royalties related to net sales. The Company and Basecamp also executed a Services Agreement under which the Company provides research and development services, business development services, management and administrative services, operational services, intellectual property services to Basecamp in consideration for fees.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Basecamp was considered a variable interest entity and the Company consolidated Basecamp as it was considered the primary beneficiary. The Series Seed redeemable convertible preferred shares of Basecamp held by other investors were classified as redeemable noncontrolling interest in temporary equity because while it was not mandatorily redeemable, in the deemed liquidation event the redeemable convertible preferred shares might become redeemable at the option of the holders of at least a majority of the then outstanding shares after March 22, 2028. Losses of Basecamp were not attributed to the redeemable noncontrolling interest as the holders of Series Seed redeemable convertible preferred shares do not have a contractual obligation to share in Basecamp’s losses due to their liquidation preference right.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December 2021, the Company acquired the 7,000,000 Series Seed redeemable convertible preferred shares of Basecamp held by the other investors in exchange for 2,161,402 shares of its Series B-1 redeemable convertible preferred shares with Basecamp becoming a wholly owned subsidiary of the Company. As the share exchange did not result in a change of control, the transaction was accounted as an equity transaction. Series B-1 redeemable convertible preferred shares were accounted for at fair value of $9.0 million, and $2.0 million representing the excess of the fair value over the carrying amount of noncontrolling interest on the date of share exchange of $7.0 million was recorded in additional paid-in capital and accumulated deficit.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9. Ordinary Share Warrants</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In connection with the entering into the SVB Agreement on August 4, 2020, the Company issued SVB a warrant to purchase shares of the Company’s ordinary shares which were recorded at fair value within additional paid-in capital in shareholders’ deficit. The SVB Warrant had a fair value of $0.1 million as of the issuance date and was recorded as a deferred asset within other non-current assets on the consolidated balance sheets that was amortized to interest and other income (expense), net, on a straight-line basis until Tranche A and Tranche B availability end date. The SVB Warrant is equity classified as it is indexed to the Company’s own shares and meets all other conditions for equity classification. The SVB Warrant is not subsequently remeasured and is immediately exercisable for 112,279 ordinary shares of the Company. In addition, the SVB Warrant could have been exercisable for an additional number of ordinary shares equal to 44,567 ordinary shares upon draw of Tranche A and 22,283 ordinary shares upon draw of Tranche B. The SVB Warrant for the Tranche A shares and Tranche B shares expired on July 31, 2021 and July 31, 2022, respectively, as the Company elected to allow the Tranche A and Tranche B financings to expire unused on July 31, 2021 and July 31, 2022, respectively. The SVB Warrant has an exercise price of $0.48 per share and expires in ten years. In February 2023, SVB fully exercised the SVB Warrant for 106,060 ordinary shares through a cashless exercise. </w:t>
      </w:r>
    </w:p>
    <w:p>
      <w:pPr>
        <w:pStyle w:val="TextBody"/>
        <w:spacing w:before="0" w:after="240"/>
        <w:ind w:left="0" w:right="0" w:hanging="0"/>
        <w:rPr/>
      </w:pPr>
      <w:r>
        <w:rPr/>
        <w:t>​</w:t>
      </w:r>
    </w:p>
    <w:p>
      <w:pPr>
        <w:pStyle w:val="TextBody"/>
        <w:spacing w:before="0" w:after="240"/>
        <w:ind w:left="0" w:right="0" w:hanging="0"/>
        <w:rPr/>
      </w:pPr>
      <w:r>
        <w:rPr/>
        <w:t>​</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196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10. Ordinary Shares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Company’s Memorandum and Articles of Association, as amended, authorizes the Company to issue 432,981,913 ordinary shares with a par value of $0.0001 per share, as of December 31, 2022.</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Ordinary shareholders are entitled to dividends if and when declared by the Company’s board of directors subject to the prior rights of the preferred shareholders. As of December 31, 2022 and 2021, no dividends on ordinary shares had been declared by the board of directors.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has the following ordinary shares reserved for future issuance (in thousands):</w:t>
      </w:r>
    </w:p>
    <w:tbl>
      <w:tblPr>
        <w:tblW w:w="6940" w:type="dxa"/>
        <w:jc w:val="left"/>
        <w:tblInd w:w="0" w:type="dxa"/>
        <w:tblCellMar>
          <w:top w:w="0" w:type="dxa"/>
          <w:left w:w="0" w:type="dxa"/>
          <w:bottom w:w="0" w:type="dxa"/>
          <w:right w:w="0" w:type="dxa"/>
        </w:tblCellMar>
      </w:tblPr>
      <w:tblGrid>
        <w:gridCol w:w="4861"/>
        <w:gridCol w:w="326"/>
        <w:gridCol w:w="691"/>
        <w:gridCol w:w="326"/>
        <w:gridCol w:w="736"/>
      </w:tblGrid>
      <w:tr>
        <w:trPr/>
        <w:tc>
          <w:tcPr>
            <w:tcW w:w="48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3086735" cy="175260"/>
                      <wp:effectExtent l="0" t="0" r="0" b="0"/>
                      <wp:wrapNone/>
                      <wp:docPr id="238" name="Frame196"/>
                      <a:graphic xmlns:a="http://schemas.openxmlformats.org/drawingml/2006/main">
                        <a:graphicData uri="http://schemas.microsoft.com/office/word/2010/wordprocessingShape">
                          <wps:wsp>
                            <wps:cNvSpPr txBox="1"/>
                            <wps:spPr>
                              <a:xfrm>
                                <a:off x="0" y="0"/>
                                <a:ext cx="3086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19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38785" cy="175260"/>
                      <wp:effectExtent l="0" t="0" r="0" b="0"/>
                      <wp:wrapNone/>
                      <wp:docPr id="240" name="Frame198"/>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1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67360" cy="175260"/>
                      <wp:effectExtent l="0" t="0" r="0" b="0"/>
                      <wp:wrapNone/>
                      <wp:docPr id="242" name="Frame200"/>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86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69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73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r>
      <w:tr>
        <w:trPr/>
        <w:tc>
          <w:tcPr>
            <w:tcW w:w="48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753"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48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1"/>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48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Conversion of redeemable convertible preferred shares</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67,018</w:t>
            </w:r>
          </w:p>
        </w:tc>
        <w:tc>
          <w:tcPr>
            <w:tcW w:w="32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58,863</w:t>
            </w:r>
          </w:p>
        </w:tc>
      </w:tr>
      <w:tr>
        <w:trPr/>
        <w:tc>
          <w:tcPr>
            <w:tcW w:w="486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Share options available for future grant</w:t>
            </w:r>
          </w:p>
        </w:tc>
        <w:tc>
          <w:tcPr>
            <w:tcW w:w="32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977</w:t>
            </w:r>
          </w:p>
        </w:tc>
        <w:tc>
          <w:tcPr>
            <w:tcW w:w="326" w:type="dxa"/>
            <w:tcBorders/>
            <w:shd w:fill="auto" w:val="clear"/>
            <w:vAlign w:val="center"/>
          </w:tcPr>
          <w:p>
            <w:pPr>
              <w:pStyle w:val="TableContents"/>
              <w:spacing w:before="0" w:after="1"/>
              <w:ind w:left="0" w:right="0" w:hanging="0"/>
              <w:rPr/>
            </w:pPr>
            <w:r>
              <w:rPr/>
              <w:t> </w:t>
            </w:r>
          </w:p>
        </w:tc>
        <w:tc>
          <w:tcPr>
            <w:tcW w:w="73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4,026</w:t>
            </w:r>
          </w:p>
        </w:tc>
      </w:tr>
      <w:tr>
        <w:trPr/>
        <w:tc>
          <w:tcPr>
            <w:tcW w:w="48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Share options issued and outstanding</w:t>
            </w:r>
          </w:p>
        </w:tc>
        <w:tc>
          <w:tcPr>
            <w:tcW w:w="32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7,612</w:t>
            </w:r>
          </w:p>
        </w:tc>
        <w:tc>
          <w:tcPr>
            <w:tcW w:w="326" w:type="dxa"/>
            <w:tcBorders/>
            <w:shd w:fill="CCEEFF" w:val="clear"/>
            <w:vAlign w:val="center"/>
          </w:tcPr>
          <w:p>
            <w:pPr>
              <w:pStyle w:val="TableContents"/>
              <w:spacing w:before="0" w:after="1"/>
              <w:ind w:left="0" w:right="0" w:hanging="0"/>
              <w:rPr/>
            </w:pPr>
            <w:r>
              <w:rPr/>
              <w:t> </w:t>
            </w:r>
          </w:p>
        </w:tc>
        <w:tc>
          <w:tcPr>
            <w:tcW w:w="73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4,646</w:t>
            </w:r>
          </w:p>
        </w:tc>
      </w:tr>
      <w:tr>
        <w:trPr/>
        <w:tc>
          <w:tcPr>
            <w:tcW w:w="486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Ordinary share warrants</w:t>
            </w:r>
          </w:p>
        </w:tc>
        <w:tc>
          <w:tcPr>
            <w:tcW w:w="326" w:type="dxa"/>
            <w:tcBorders/>
            <w:shd w:fill="auto" w:val="cle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112</w:t>
            </w:r>
          </w:p>
        </w:tc>
        <w:tc>
          <w:tcPr>
            <w:tcW w:w="326" w:type="dxa"/>
            <w:tcBorders/>
            <w:shd w:fill="auto" w:val="clear"/>
            <w:vAlign w:val="center"/>
          </w:tcPr>
          <w:p>
            <w:pPr>
              <w:pStyle w:val="TableContents"/>
              <w:spacing w:before="0" w:after="1"/>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135</w:t>
            </w:r>
          </w:p>
        </w:tc>
      </w:tr>
      <w:tr>
        <w:trPr/>
        <w:tc>
          <w:tcPr>
            <w:tcW w:w="48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ordinary shares reserved</w:t>
            </w:r>
          </w:p>
        </w:tc>
        <w:tc>
          <w:tcPr>
            <w:tcW w:w="326" w:type="dxa"/>
            <w:tcBorders/>
            <w:shd w:fill="CCEEFF" w:val="clear"/>
            <w:vAlign w:val="center"/>
          </w:tcPr>
          <w:p>
            <w:pPr>
              <w:pStyle w:val="TableContents"/>
              <w:spacing w:before="0" w:after="1"/>
              <w:ind w:left="0" w:right="0" w:hanging="0"/>
              <w:rPr/>
            </w:pPr>
            <w:r>
              <w:rPr/>
              <w:t> </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75,719</w:t>
            </w:r>
          </w:p>
        </w:tc>
        <w:tc>
          <w:tcPr>
            <w:tcW w:w="326" w:type="dxa"/>
            <w:tcBorders/>
            <w:shd w:fill="CCEEFF" w:val="clear"/>
            <w:vAlign w:val="center"/>
          </w:tcPr>
          <w:p>
            <w:pPr>
              <w:pStyle w:val="TableContents"/>
              <w:spacing w:before="0" w:after="1"/>
              <w:ind w:left="0" w:right="0" w:hanging="0"/>
              <w:rPr/>
            </w:pPr>
            <w:r>
              <w:rPr/>
              <w:t> </w:t>
            </w:r>
          </w:p>
        </w:tc>
        <w:tc>
          <w:tcPr>
            <w:tcW w:w="7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67,670</w:t>
            </w:r>
          </w:p>
        </w:tc>
      </w:tr>
      <w:tr>
        <w:trPr/>
        <w:tc>
          <w:tcPr>
            <w:tcW w:w="486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3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bl>
    <w:p>
      <w:pPr>
        <w:pStyle w:val="TextBody"/>
        <w:spacing w:before="0" w:after="240"/>
        <w:ind w:left="0" w:right="0" w:hanging="0"/>
        <w:rPr/>
      </w:pPr>
      <w:r>
        <w:rPr/>
        <w:t>​</w:t>
      </w:r>
    </w:p>
    <w:p>
      <w:pPr>
        <w:pStyle w:val="TextBody"/>
        <w:spacing w:before="0" w:after="240"/>
        <w:ind w:left="0" w:right="0" w:hanging="0"/>
        <w:jc w:val="center"/>
        <w:rPr/>
      </w:pPr>
      <w:r>
        <w:rPr/>
        <w:t>​</w:t>
      </w:r>
    </w:p>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11. Shareholders’ Equity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April 2019, the Company adopted the 2019 Equity Incentive Plan (“2019 Plan”), under which its board of directors can issue share options. As of December 31, 2022, there were 8,916,263 shares authorized and reserved for issuance under the 2019 Plan.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Awards granted under the 2019 Plan may be either incentive share options (“ISOs”), nonstatutory share options (“NSOs”), share appreciation rights (“SARs”), or restricted share units (“RSUs”). ISOs may be granted only to Company employees (including officers and directors who are also employees). NSOs may be granted to Company employees and consultants. The Company’s board of directors has the authority to determine to whom options will be granted, the number of shares, the term, and the exercise price. The exercise price of ISOs and NSOs shall not be less than 100% of the estimated fair value of the shares on the date of grant. The exercise price of ISOs granted to an employee who, at the time of grant, owns shares representing more than 10% (“10% shareholder”) of the voting power of all classes of shares of the Company shall be no less than 110% of the estimated fair value of the shares on the date of grant. The options usually have a term of 10 years (or no more than five years if granted to a 10% shareholder). Vesting conditions determined by the plan administrator may apply to share options and may include continued service, performance and/or other conditions. Generally, options and restricted share awards vest over a four-year period.</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197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Options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 summary of share option activity is set forth below (in thousands except per share amounts and years):</w:t>
      </w:r>
    </w:p>
    <w:tbl>
      <w:tblPr>
        <w:tblW w:w="10205" w:type="dxa"/>
        <w:jc w:val="center"/>
        <w:tblInd w:w="0" w:type="dxa"/>
        <w:tblCellMar>
          <w:top w:w="0" w:type="dxa"/>
          <w:left w:w="0" w:type="dxa"/>
          <w:bottom w:w="0" w:type="dxa"/>
          <w:right w:w="0" w:type="dxa"/>
        </w:tblCellMar>
      </w:tblPr>
      <w:tblGrid>
        <w:gridCol w:w="2555"/>
        <w:gridCol w:w="326"/>
        <w:gridCol w:w="1051"/>
        <w:gridCol w:w="326"/>
        <w:gridCol w:w="1336"/>
        <w:gridCol w:w="326"/>
        <w:gridCol w:w="306"/>
        <w:gridCol w:w="699"/>
        <w:gridCol w:w="326"/>
        <w:gridCol w:w="1396"/>
        <w:gridCol w:w="326"/>
        <w:gridCol w:w="274"/>
        <w:gridCol w:w="958"/>
      </w:tblGrid>
      <w:tr>
        <w:trPr/>
        <w:tc>
          <w:tcPr>
            <w:tcW w:w="25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622425" cy="175260"/>
                      <wp:effectExtent l="0" t="0" r="0" b="0"/>
                      <wp:wrapNone/>
                      <wp:docPr id="243" name="Frame201"/>
                      <a:graphic xmlns:a="http://schemas.openxmlformats.org/drawingml/2006/main">
                        <a:graphicData uri="http://schemas.microsoft.com/office/word/2010/wordprocessingShape">
                          <wps:wsp>
                            <wps:cNvSpPr txBox="1"/>
                            <wps:spPr>
                              <a:xfrm>
                                <a:off x="0" y="0"/>
                                <a:ext cx="16224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67385" cy="175260"/>
                      <wp:effectExtent l="0" t="0" r="0" b="0"/>
                      <wp:wrapNone/>
                      <wp:docPr id="245" name="Frame203"/>
                      <a:graphic xmlns:a="http://schemas.openxmlformats.org/drawingml/2006/main">
                        <a:graphicData uri="http://schemas.microsoft.com/office/word/2010/wordprocessingShape">
                          <wps:wsp>
                            <wps:cNvSpPr txBox="1"/>
                            <wps:spPr>
                              <a:xfrm>
                                <a:off x="0" y="0"/>
                                <a:ext cx="6673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848360" cy="175260"/>
                      <wp:effectExtent l="0" t="0" r="0" b="0"/>
                      <wp:wrapNone/>
                      <wp:docPr id="247" name="Frame205"/>
                      <a:graphic xmlns:a="http://schemas.openxmlformats.org/drawingml/2006/main">
                        <a:graphicData uri="http://schemas.microsoft.com/office/word/2010/wordprocessingShape">
                          <wps:wsp>
                            <wps:cNvSpPr txBox="1"/>
                            <wps:spPr>
                              <a:xfrm>
                                <a:off x="0" y="0"/>
                                <a:ext cx="848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07010" cy="175260"/>
                      <wp:effectExtent l="0" t="0" r="0" b="0"/>
                      <wp:wrapNone/>
                      <wp:docPr id="248" name="Frame2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94310" cy="175260"/>
                      <wp:effectExtent l="0" t="0" r="0" b="0"/>
                      <wp:wrapNone/>
                      <wp:docPr id="249" name="Frame207"/>
                      <a:graphic xmlns:a="http://schemas.openxmlformats.org/drawingml/2006/main">
                        <a:graphicData uri="http://schemas.microsoft.com/office/word/2010/wordprocessingShape">
                          <wps:wsp>
                            <wps:cNvSpPr txBox="1"/>
                            <wps:spPr>
                              <a:xfrm>
                                <a:off x="0" y="0"/>
                                <a:ext cx="194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43865" cy="175260"/>
                      <wp:effectExtent l="0" t="0" r="0" b="0"/>
                      <wp:wrapNone/>
                      <wp:docPr id="250" name="Frame208"/>
                      <a:graphic xmlns:a="http://schemas.openxmlformats.org/drawingml/2006/main">
                        <a:graphicData uri="http://schemas.microsoft.com/office/word/2010/wordprocessingShape">
                          <wps:wsp>
                            <wps:cNvSpPr txBox="1"/>
                            <wps:spPr>
                              <a:xfrm>
                                <a:off x="0" y="0"/>
                                <a:ext cx="443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886460" cy="175260"/>
                      <wp:effectExtent l="0" t="0" r="0" b="0"/>
                      <wp:wrapNone/>
                      <wp:docPr id="252" name="Frame210"/>
                      <a:graphic xmlns:a="http://schemas.openxmlformats.org/drawingml/2006/main">
                        <a:graphicData uri="http://schemas.microsoft.com/office/word/2010/wordprocessingShape">
                          <wps:wsp>
                            <wps:cNvSpPr txBox="1"/>
                            <wps:spPr>
                              <a:xfrm>
                                <a:off x="0" y="0"/>
                                <a:ext cx="886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7010" cy="175260"/>
                      <wp:effectExtent l="0" t="0" r="0" b="0"/>
                      <wp:wrapNone/>
                      <wp:docPr id="253" name="Frame2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73990" cy="175260"/>
                      <wp:effectExtent l="0" t="0" r="0" b="0"/>
                      <wp:wrapNone/>
                      <wp:docPr id="254" name="Frame212"/>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08330" cy="175260"/>
                      <wp:effectExtent l="0" t="0" r="0" b="0"/>
                      <wp:wrapNone/>
                      <wp:docPr id="255" name="Frame213"/>
                      <a:graphic xmlns:a="http://schemas.openxmlformats.org/drawingml/2006/main">
                        <a:graphicData uri="http://schemas.microsoft.com/office/word/2010/wordprocessingShape">
                          <wps:wsp>
                            <wps:cNvSpPr txBox="1"/>
                            <wps:spPr>
                              <a:xfrm>
                                <a:off x="0" y="0"/>
                                <a:ext cx="6083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55"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051"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5947" w:type="dxa"/>
            <w:gridSpan w:val="9"/>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r>
      <w:tr>
        <w:trPr/>
        <w:tc>
          <w:tcPr>
            <w:tcW w:w="255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947" w:type="dxa"/>
            <w:gridSpan w:val="9"/>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OUTSTANDING AWARDS</w:t>
            </w:r>
          </w:p>
        </w:tc>
      </w:tr>
      <w:tr>
        <w:trPr/>
        <w:tc>
          <w:tcPr>
            <w:tcW w:w="255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NUMBER</w:t>
            </w:r>
          </w:p>
        </w:tc>
        <w:tc>
          <w:tcPr>
            <w:tcW w:w="326"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06" w:type="dxa"/>
            <w:tcBorders/>
            <w:shd w:fill="auto" w:val="clear"/>
            <w:vAlign w:val="center"/>
          </w:tcPr>
          <w:p>
            <w:pPr>
              <w:pStyle w:val="TableContents"/>
              <w:spacing w:before="0" w:after="0"/>
              <w:ind w:left="0" w:right="0" w:hanging="0"/>
              <w:rPr/>
            </w:pPr>
            <w:r>
              <w:rPr/>
              <w:t>​</w:t>
            </w:r>
          </w:p>
        </w:tc>
        <w:tc>
          <w:tcPr>
            <w:tcW w:w="69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shd w:fill="auto" w:val="clear"/>
            <w:vAlign w:val="center"/>
          </w:tcPr>
          <w:p>
            <w:pPr>
              <w:pStyle w:val="TableContents"/>
              <w:spacing w:before="0" w:after="0"/>
              <w:ind w:left="0" w:right="0" w:hanging="0"/>
              <w:rPr/>
            </w:pPr>
            <w:r>
              <w:rPr/>
              <w:t>​</w:t>
            </w:r>
          </w:p>
        </w:tc>
        <w:tc>
          <w:tcPr>
            <w:tcW w:w="274" w:type="dxa"/>
            <w:tcBorders/>
            <w:shd w:fill="auto" w:val="clear"/>
            <w:vAlign w:val="center"/>
          </w:tcPr>
          <w:p>
            <w:pPr>
              <w:pStyle w:val="TableContents"/>
              <w:spacing w:before="0" w:after="0"/>
              <w:ind w:left="0" w:right="0" w:hanging="0"/>
              <w:rPr/>
            </w:pPr>
            <w:r>
              <w:rPr/>
              <w:t>​</w:t>
            </w:r>
          </w:p>
        </w:tc>
        <w:tc>
          <w:tcPr>
            <w:tcW w:w="958" w:type="dxa"/>
            <w:tcBorders/>
            <w:shd w:fill="auto" w:val="clear"/>
            <w:vAlign w:val="center"/>
          </w:tcPr>
          <w:p>
            <w:pPr>
              <w:pStyle w:val="TableContents"/>
              <w:spacing w:before="0" w:after="0"/>
              <w:ind w:left="0" w:right="0" w:hanging="0"/>
              <w:jc w:val="center"/>
              <w:rPr/>
            </w:pPr>
            <w:r>
              <w:rPr/>
              <w:t>​</w:t>
            </w:r>
          </w:p>
        </w:tc>
      </w:tr>
      <w:tr>
        <w:trPr/>
        <w:tc>
          <w:tcPr>
            <w:tcW w:w="255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OF</w:t>
            </w:r>
          </w:p>
        </w:tc>
        <w:tc>
          <w:tcPr>
            <w:tcW w:w="326"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26" w:type="dxa"/>
            <w:tcBorders/>
            <w:shd w:fill="auto" w:val="clear"/>
            <w:vAlign w:val="center"/>
          </w:tcPr>
          <w:p>
            <w:pPr>
              <w:pStyle w:val="TableContents"/>
              <w:spacing w:before="0" w:after="0"/>
              <w:ind w:left="0" w:right="0" w:hanging="0"/>
              <w:rPr/>
            </w:pPr>
            <w:r>
              <w:rPr/>
              <w:t>​</w:t>
            </w:r>
          </w:p>
        </w:tc>
        <w:tc>
          <w:tcPr>
            <w:tcW w:w="306" w:type="dxa"/>
            <w:tcBorders/>
            <w:shd w:fill="auto" w:val="clear"/>
            <w:vAlign w:val="center"/>
          </w:tcPr>
          <w:p>
            <w:pPr>
              <w:pStyle w:val="TableContents"/>
              <w:spacing w:before="0" w:after="0"/>
              <w:ind w:left="0" w:right="0" w:hanging="0"/>
              <w:rPr/>
            </w:pPr>
            <w:r>
              <w:rPr/>
              <w:t>​</w:t>
            </w:r>
          </w:p>
        </w:tc>
        <w:tc>
          <w:tcPr>
            <w:tcW w:w="69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shd w:fill="auto" w:val="clear"/>
            <w:vAlign w:val="center"/>
          </w:tcPr>
          <w:p>
            <w:pPr>
              <w:pStyle w:val="TableContents"/>
              <w:spacing w:before="0" w:after="0"/>
              <w:ind w:left="0" w:right="0" w:hanging="0"/>
              <w:rPr/>
            </w:pPr>
            <w:r>
              <w:rPr/>
              <w:t>​</w:t>
            </w:r>
          </w:p>
        </w:tc>
        <w:tc>
          <w:tcPr>
            <w:tcW w:w="274" w:type="dxa"/>
            <w:tcBorders/>
            <w:shd w:fill="auto" w:val="clear"/>
            <w:vAlign w:val="center"/>
          </w:tcPr>
          <w:p>
            <w:pPr>
              <w:pStyle w:val="TableContents"/>
              <w:spacing w:before="0" w:after="0"/>
              <w:ind w:left="0" w:right="0" w:hanging="0"/>
              <w:rPr/>
            </w:pPr>
            <w:r>
              <w:rPr/>
              <w:t>​</w:t>
            </w:r>
          </w:p>
        </w:tc>
        <w:tc>
          <w:tcPr>
            <w:tcW w:w="958" w:type="dxa"/>
            <w:tcBorders/>
            <w:shd w:fill="auto" w:val="clear"/>
            <w:vAlign w:val="center"/>
          </w:tcPr>
          <w:p>
            <w:pPr>
              <w:pStyle w:val="TableContents"/>
              <w:spacing w:before="0" w:after="0"/>
              <w:ind w:left="0" w:right="0" w:hanging="0"/>
              <w:jc w:val="center"/>
              <w:rPr/>
            </w:pPr>
            <w:r>
              <w:rPr/>
              <w:t>​</w:t>
            </w:r>
          </w:p>
        </w:tc>
      </w:tr>
      <w:tr>
        <w:trPr/>
        <w:tc>
          <w:tcPr>
            <w:tcW w:w="255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SHARES</w:t>
            </w:r>
          </w:p>
        </w:tc>
        <w:tc>
          <w:tcPr>
            <w:tcW w:w="326"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SHARES</w:t>
            </w:r>
          </w:p>
        </w:tc>
        <w:tc>
          <w:tcPr>
            <w:tcW w:w="326" w:type="dxa"/>
            <w:tcBorders/>
            <w:shd w:fill="auto" w:val="clear"/>
            <w:vAlign w:val="center"/>
          </w:tcPr>
          <w:p>
            <w:pPr>
              <w:pStyle w:val="TableContents"/>
              <w:spacing w:before="0" w:after="0"/>
              <w:ind w:left="0" w:right="0" w:hanging="0"/>
              <w:rPr/>
            </w:pPr>
            <w:r>
              <w:rPr/>
              <w:t>​</w:t>
            </w:r>
          </w:p>
        </w:tc>
        <w:tc>
          <w:tcPr>
            <w:tcW w:w="1005"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WEIGHTED-</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REMAINING</w:t>
            </w:r>
          </w:p>
        </w:tc>
        <w:tc>
          <w:tcPr>
            <w:tcW w:w="326" w:type="dxa"/>
            <w:tcBorders/>
            <w:shd w:fill="auto" w:val="clear"/>
            <w:vAlign w:val="center"/>
          </w:tcPr>
          <w:p>
            <w:pPr>
              <w:pStyle w:val="TableContents"/>
              <w:spacing w:before="0" w:after="0"/>
              <w:ind w:left="0" w:right="0" w:hanging="0"/>
              <w:rPr/>
            </w:pPr>
            <w:r>
              <w:rPr/>
              <w:t>​</w:t>
            </w:r>
          </w:p>
        </w:tc>
        <w:tc>
          <w:tcPr>
            <w:tcW w:w="274" w:type="dxa"/>
            <w:tcBorders/>
            <w:shd w:fill="auto" w:val="clear"/>
            <w:vAlign w:val="center"/>
          </w:tcPr>
          <w:p>
            <w:pPr>
              <w:pStyle w:val="TableContents"/>
              <w:spacing w:before="0" w:after="0"/>
              <w:ind w:left="0" w:right="0" w:hanging="0"/>
              <w:rPr/>
            </w:pPr>
            <w:r>
              <w:rPr/>
              <w:t>​</w:t>
            </w:r>
          </w:p>
        </w:tc>
        <w:tc>
          <w:tcPr>
            <w:tcW w:w="958" w:type="dxa"/>
            <w:tcBorders/>
            <w:shd w:fill="auto" w:val="clear"/>
            <w:vAlign w:val="center"/>
          </w:tcPr>
          <w:p>
            <w:pPr>
              <w:pStyle w:val="TableContents"/>
              <w:spacing w:before="0" w:after="0"/>
              <w:ind w:left="0" w:right="0" w:hanging="0"/>
              <w:jc w:val="center"/>
              <w:rPr/>
            </w:pPr>
            <w:r>
              <w:rPr/>
              <w:t>​</w:t>
            </w:r>
          </w:p>
        </w:tc>
      </w:tr>
      <w:tr>
        <w:trPr/>
        <w:tc>
          <w:tcPr>
            <w:tcW w:w="255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AVAILABLE</w:t>
            </w:r>
          </w:p>
        </w:tc>
        <w:tc>
          <w:tcPr>
            <w:tcW w:w="326"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UNDERLYING</w:t>
            </w:r>
          </w:p>
        </w:tc>
        <w:tc>
          <w:tcPr>
            <w:tcW w:w="326" w:type="dxa"/>
            <w:tcBorders/>
            <w:shd w:fill="auto" w:val="clear"/>
            <w:vAlign w:val="center"/>
          </w:tcPr>
          <w:p>
            <w:pPr>
              <w:pStyle w:val="TableContents"/>
              <w:spacing w:before="0" w:after="0"/>
              <w:ind w:left="0" w:right="0" w:hanging="0"/>
              <w:rPr/>
            </w:pPr>
            <w:r>
              <w:rPr/>
              <w:t>​</w:t>
            </w:r>
          </w:p>
        </w:tc>
        <w:tc>
          <w:tcPr>
            <w:tcW w:w="1005"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AVERAGE</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CONTRACTUAL</w:t>
            </w:r>
          </w:p>
        </w:tc>
        <w:tc>
          <w:tcPr>
            <w:tcW w:w="326" w:type="dxa"/>
            <w:tcBorders/>
            <w:shd w:fill="auto" w:val="clear"/>
            <w:vAlign w:val="center"/>
          </w:tcPr>
          <w:p>
            <w:pPr>
              <w:pStyle w:val="TableContents"/>
              <w:spacing w:before="0" w:after="0"/>
              <w:ind w:left="0" w:right="0" w:hanging="0"/>
              <w:rPr/>
            </w:pPr>
            <w:r>
              <w:rPr/>
              <w:t>​</w:t>
            </w:r>
          </w:p>
        </w:tc>
        <w:tc>
          <w:tcPr>
            <w:tcW w:w="1232"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AGGREGATE</w:t>
            </w:r>
          </w:p>
        </w:tc>
      </w:tr>
      <w:tr>
        <w:trPr/>
        <w:tc>
          <w:tcPr>
            <w:tcW w:w="255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FOR </w:t>
            </w:r>
          </w:p>
        </w:tc>
        <w:tc>
          <w:tcPr>
            <w:tcW w:w="326" w:type="dxa"/>
            <w:tcBorders/>
            <w:shd w:fill="auto" w:val="clear"/>
            <w:vAlign w:val="center"/>
          </w:tcPr>
          <w:p>
            <w:pPr>
              <w:pStyle w:val="TableContents"/>
              <w:spacing w:before="0" w:after="0"/>
              <w:ind w:left="0" w:right="0" w:hanging="0"/>
              <w:rPr/>
            </w:pPr>
            <w:r>
              <w:rPr/>
              <w:t>​</w:t>
            </w:r>
          </w:p>
        </w:tc>
        <w:tc>
          <w:tcPr>
            <w:tcW w:w="133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OUTSTANDING</w:t>
            </w:r>
          </w:p>
        </w:tc>
        <w:tc>
          <w:tcPr>
            <w:tcW w:w="326" w:type="dxa"/>
            <w:tcBorders/>
            <w:shd w:fill="auto" w:val="clear"/>
            <w:vAlign w:val="center"/>
          </w:tcPr>
          <w:p>
            <w:pPr>
              <w:pStyle w:val="TableContents"/>
              <w:spacing w:before="0" w:after="0"/>
              <w:ind w:left="0" w:right="0" w:hanging="0"/>
              <w:rPr/>
            </w:pPr>
            <w:r>
              <w:rPr/>
              <w:t>​</w:t>
            </w:r>
          </w:p>
        </w:tc>
        <w:tc>
          <w:tcPr>
            <w:tcW w:w="1005"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EXERCISE</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TERM </w:t>
            </w:r>
          </w:p>
        </w:tc>
        <w:tc>
          <w:tcPr>
            <w:tcW w:w="326" w:type="dxa"/>
            <w:tcBorders/>
            <w:shd w:fill="auto" w:val="clear"/>
            <w:vAlign w:val="center"/>
          </w:tcPr>
          <w:p>
            <w:pPr>
              <w:pStyle w:val="TableContents"/>
              <w:spacing w:before="0" w:after="0"/>
              <w:ind w:left="0" w:right="0" w:hanging="0"/>
              <w:rPr/>
            </w:pPr>
            <w:r>
              <w:rPr/>
              <w:t>​</w:t>
            </w:r>
          </w:p>
        </w:tc>
        <w:tc>
          <w:tcPr>
            <w:tcW w:w="1232"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INTRINSIC</w:t>
            </w:r>
          </w:p>
        </w:tc>
      </w:tr>
      <w:tr>
        <w:trPr/>
        <w:tc>
          <w:tcPr>
            <w:tcW w:w="2555"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GRANT</w:t>
            </w:r>
          </w:p>
        </w:tc>
        <w:tc>
          <w:tcPr>
            <w:tcW w:w="326" w:type="dxa"/>
            <w:tcBorders/>
            <w:shd w:fill="auto" w:val="clear"/>
            <w:vAlign w:val="center"/>
          </w:tcPr>
          <w:p>
            <w:pPr>
              <w:pStyle w:val="TableContents"/>
              <w:spacing w:before="0" w:after="0"/>
              <w:ind w:left="0" w:right="0" w:hanging="0"/>
              <w:rPr/>
            </w:pPr>
            <w:r>
              <w:rPr/>
              <w:t>    </w:t>
            </w:r>
          </w:p>
        </w:tc>
        <w:tc>
          <w:tcPr>
            <w:tcW w:w="13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OPTIONS</w:t>
            </w:r>
          </w:p>
        </w:tc>
        <w:tc>
          <w:tcPr>
            <w:tcW w:w="326" w:type="dxa"/>
            <w:tcBorders/>
            <w:shd w:fill="auto" w:val="clear"/>
            <w:vAlign w:val="center"/>
          </w:tcPr>
          <w:p>
            <w:pPr>
              <w:pStyle w:val="TableContents"/>
              <w:spacing w:before="0" w:after="0"/>
              <w:ind w:left="0" w:right="0" w:hanging="0"/>
              <w:rPr/>
            </w:pPr>
            <w:r>
              <w:rPr/>
              <w:t>    </w:t>
            </w:r>
          </w:p>
        </w:tc>
        <w:tc>
          <w:tcPr>
            <w:tcW w:w="10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PRICE</w:t>
            </w:r>
          </w:p>
        </w:tc>
        <w:tc>
          <w:tcPr>
            <w:tcW w:w="326" w:type="dxa"/>
            <w:tcBorders/>
            <w:shd w:fill="auto" w:val="clear"/>
            <w:vAlign w:val="center"/>
          </w:tcPr>
          <w:p>
            <w:pPr>
              <w:pStyle w:val="TableContents"/>
              <w:spacing w:before="0" w:after="0"/>
              <w:ind w:left="0" w:right="0" w:hanging="0"/>
              <w:rPr/>
            </w:pPr>
            <w:r>
              <w:rPr/>
              <w:t>    </w:t>
            </w:r>
          </w:p>
        </w:tc>
        <w:tc>
          <w:tcPr>
            <w:tcW w:w="13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(IN YEARS)</w:t>
            </w:r>
          </w:p>
        </w:tc>
        <w:tc>
          <w:tcPr>
            <w:tcW w:w="326" w:type="dxa"/>
            <w:tcBorders/>
            <w:shd w:fill="auto" w:val="clear"/>
            <w:vAlign w:val="center"/>
          </w:tcPr>
          <w:p>
            <w:pPr>
              <w:pStyle w:val="TableContents"/>
              <w:spacing w:before="0" w:after="0"/>
              <w:ind w:left="0" w:right="0" w:hanging="0"/>
              <w:rPr/>
            </w:pPr>
            <w:r>
              <w:rPr/>
              <w:t>    </w:t>
            </w:r>
          </w:p>
        </w:tc>
        <w:tc>
          <w:tcPr>
            <w:tcW w:w="123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VALUE</w:t>
            </w:r>
          </w:p>
        </w:tc>
      </w:tr>
      <w:tr>
        <w:trPr/>
        <w:tc>
          <w:tcPr>
            <w:tcW w:w="2555" w:type="dxa"/>
            <w:tcBorders/>
            <w:shd w:fill="CCEEFF"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As of December 31, 2021</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4,026</w:t>
            </w:r>
          </w:p>
        </w:tc>
        <w:tc>
          <w:tcPr>
            <w:tcW w:w="326" w:type="dxa"/>
            <w:tcBorders/>
            <w:shd w:fill="CCEEFF" w:val="clear"/>
            <w:vAlign w:val="center"/>
          </w:tcPr>
          <w:p>
            <w:pPr>
              <w:pStyle w:val="TableContents"/>
              <w:spacing w:before="0" w:after="0"/>
              <w:ind w:left="0" w:right="0" w:hanging="0"/>
              <w:rPr/>
            </w:pPr>
            <w:r>
              <w:rPr/>
              <w:t> </w:t>
            </w:r>
          </w:p>
        </w:tc>
        <w:tc>
          <w:tcPr>
            <w:tcW w:w="133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4,646</w:t>
            </w:r>
          </w:p>
        </w:tc>
        <w:tc>
          <w:tcPr>
            <w:tcW w:w="326" w:type="dxa"/>
            <w:tcBorders/>
            <w:shd w:fill="CCEEFF" w:val="clear"/>
            <w:vAlign w:val="center"/>
          </w:tcPr>
          <w:p>
            <w:pPr>
              <w:pStyle w:val="TableContents"/>
              <w:spacing w:before="0" w:after="0"/>
              <w:ind w:left="0" w:right="0" w:hanging="0"/>
              <w:rPr/>
            </w:pPr>
            <w:r>
              <w:rPr/>
              <w:t>​</w:t>
            </w:r>
          </w:p>
        </w:tc>
        <w:tc>
          <w:tcPr>
            <w:tcW w:w="3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699"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0.83</w:t>
            </w:r>
          </w:p>
        </w:tc>
        <w:tc>
          <w:tcPr>
            <w:tcW w:w="326" w:type="dxa"/>
            <w:tcBorders/>
            <w:shd w:fill="CCEEFF" w:val="clear"/>
            <w:vAlign w:val="center"/>
          </w:tcPr>
          <w:p>
            <w:pPr>
              <w:pStyle w:val="TableContents"/>
              <w:spacing w:before="0" w:after="0"/>
              <w:ind w:left="0" w:right="0" w:hanging="0"/>
              <w:rPr/>
            </w:pPr>
            <w:r>
              <w:rPr/>
              <w:t> </w:t>
            </w:r>
          </w:p>
        </w:tc>
        <w:tc>
          <w:tcPr>
            <w:tcW w:w="139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8.96</w:t>
            </w:r>
          </w:p>
        </w:tc>
        <w:tc>
          <w:tcPr>
            <w:tcW w:w="326" w:type="dxa"/>
            <w:tcBorders/>
            <w:shd w:fill="CCEEFF" w:val="clear"/>
            <w:vAlign w:val="center"/>
          </w:tcPr>
          <w:p>
            <w:pPr>
              <w:pStyle w:val="TableContents"/>
              <w:spacing w:before="0" w:after="0"/>
              <w:ind w:left="0" w:right="0" w:hanging="0"/>
              <w:rPr/>
            </w:pPr>
            <w:r>
              <w:rPr/>
              <w:t>​</w:t>
            </w:r>
          </w:p>
        </w:tc>
        <w:tc>
          <w:tcPr>
            <w:tcW w:w="274"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5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7,911</w:t>
            </w:r>
          </w:p>
        </w:tc>
      </w:tr>
      <w:tr>
        <w:trPr/>
        <w:tc>
          <w:tcPr>
            <w:tcW w:w="2555"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Granted</w:t>
            </w:r>
          </w:p>
        </w:tc>
        <w:tc>
          <w:tcPr>
            <w:tcW w:w="326" w:type="dxa"/>
            <w:tcBorders/>
            <w:shd w:fill="auto" w:val="clear"/>
            <w:vAlign w:val="center"/>
          </w:tcPr>
          <w:p>
            <w:pPr>
              <w:pStyle w:val="TableContents"/>
              <w:spacing w:before="0" w:after="0"/>
              <w:ind w:left="0" w:right="0" w:hanging="0"/>
              <w:rPr/>
            </w:pPr>
            <w:r>
              <w:rPr/>
              <w:t> </w:t>
            </w:r>
          </w:p>
        </w:tc>
        <w:tc>
          <w:tcPr>
            <w:tcW w:w="105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(4,218)</w:t>
            </w:r>
          </w:p>
        </w:tc>
        <w:tc>
          <w:tcPr>
            <w:tcW w:w="326" w:type="dxa"/>
            <w:tcBorders/>
            <w:shd w:fill="auto" w:val="clear"/>
            <w:vAlign w:val="center"/>
          </w:tcPr>
          <w:p>
            <w:pPr>
              <w:pStyle w:val="TableContents"/>
              <w:spacing w:before="0" w:after="0"/>
              <w:ind w:left="0" w:right="0" w:hanging="0"/>
              <w:rPr/>
            </w:pPr>
            <w:r>
              <w:rPr/>
              <w:t> </w:t>
            </w:r>
          </w:p>
        </w:tc>
        <w:tc>
          <w:tcPr>
            <w:tcW w:w="133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4,218</w:t>
            </w:r>
          </w:p>
        </w:tc>
        <w:tc>
          <w:tcPr>
            <w:tcW w:w="326" w:type="dxa"/>
            <w:tcBorders/>
            <w:shd w:fill="auto" w:val="clear"/>
            <w:vAlign w:val="center"/>
          </w:tcPr>
          <w:p>
            <w:pPr>
              <w:pStyle w:val="TableContents"/>
              <w:spacing w:before="0" w:after="0"/>
              <w:ind w:left="0" w:right="0" w:hanging="0"/>
              <w:rPr/>
            </w:pPr>
            <w:r>
              <w:rPr/>
              <w:t>​</w:t>
            </w:r>
          </w:p>
        </w:tc>
        <w:tc>
          <w:tcPr>
            <w:tcW w:w="306" w:type="dxa"/>
            <w:tcBorders/>
            <w:shd w:fill="auto" w:val="clear"/>
            <w:vAlign w:val="center"/>
          </w:tcPr>
          <w:p>
            <w:pPr>
              <w:pStyle w:val="TableContents"/>
              <w:spacing w:before="0" w:after="0"/>
              <w:ind w:left="0" w:right="0" w:hanging="0"/>
              <w:rPr/>
            </w:pPr>
            <w:r>
              <w:rPr/>
              <w:t>​</w:t>
            </w:r>
          </w:p>
        </w:tc>
        <w:tc>
          <w:tcPr>
            <w:tcW w:w="699"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2.66</w:t>
            </w:r>
          </w:p>
        </w:tc>
        <w:tc>
          <w:tcPr>
            <w:tcW w:w="326" w:type="dxa"/>
            <w:tcBorders/>
            <w:shd w:fill="auto" w:val="clear"/>
            <w:vAlign w:val="center"/>
          </w:tcPr>
          <w:p>
            <w:pPr>
              <w:pStyle w:val="TableContents"/>
              <w:spacing w:before="0" w:after="0"/>
              <w:ind w:left="0" w:right="0" w:hanging="0"/>
              <w:rPr/>
            </w:pPr>
            <w:r>
              <w:rPr/>
              <w:t> </w:t>
            </w:r>
          </w:p>
        </w:tc>
        <w:tc>
          <w:tcPr>
            <w:tcW w:w="139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74" w:type="dxa"/>
            <w:tcBorders/>
            <w:shd w:fill="auto" w:val="clear"/>
            <w:vAlign w:val="center"/>
          </w:tcPr>
          <w:p>
            <w:pPr>
              <w:pStyle w:val="TableContents"/>
              <w:spacing w:before="0" w:after="0"/>
              <w:ind w:left="0" w:right="0" w:hanging="0"/>
              <w:rPr/>
            </w:pPr>
            <w:r>
              <w:rPr/>
              <w:t> </w:t>
            </w:r>
          </w:p>
        </w:tc>
        <w:tc>
          <w:tcPr>
            <w:tcW w:w="958" w:type="dxa"/>
            <w:tcBorders/>
            <w:shd w:fill="auto" w:val="clear"/>
            <w:vAlign w:val="center"/>
          </w:tcPr>
          <w:p>
            <w:pPr>
              <w:pStyle w:val="TableContents"/>
              <w:spacing w:before="0" w:after="0"/>
              <w:ind w:left="0" w:right="0" w:hanging="0"/>
              <w:jc w:val="right"/>
              <w:rPr/>
            </w:pPr>
            <w:r>
              <w:rPr/>
              <w:t>  </w:t>
            </w:r>
          </w:p>
        </w:tc>
      </w:tr>
      <w:tr>
        <w:trPr/>
        <w:tc>
          <w:tcPr>
            <w:tcW w:w="2555"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Exercised</w:t>
            </w:r>
          </w:p>
        </w:tc>
        <w:tc>
          <w:tcPr>
            <w:tcW w:w="326" w:type="dxa"/>
            <w:tcBorders/>
            <w:shd w:fill="CCEEFF" w:val="clear"/>
            <w:vAlign w:val="center"/>
          </w:tcPr>
          <w:p>
            <w:pPr>
              <w:pStyle w:val="TableContents"/>
              <w:spacing w:before="0" w:after="0"/>
              <w:ind w:left="0" w:right="0" w:hanging="0"/>
              <w:rPr/>
            </w:pPr>
            <w:r>
              <w:rPr/>
              <w:t> </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33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(83)</w:t>
            </w:r>
          </w:p>
        </w:tc>
        <w:tc>
          <w:tcPr>
            <w:tcW w:w="326" w:type="dxa"/>
            <w:tcBorders/>
            <w:shd w:fill="CCEEFF" w:val="clear"/>
            <w:vAlign w:val="center"/>
          </w:tcPr>
          <w:p>
            <w:pPr>
              <w:pStyle w:val="TableContents"/>
              <w:spacing w:before="0" w:after="0"/>
              <w:ind w:left="0" w:right="0" w:hanging="0"/>
              <w:rPr/>
            </w:pPr>
            <w:r>
              <w:rPr/>
              <w:t>​</w:t>
            </w:r>
          </w:p>
        </w:tc>
        <w:tc>
          <w:tcPr>
            <w:tcW w:w="306" w:type="dxa"/>
            <w:tcBorders/>
            <w:shd w:fill="CCEEFF" w:val="clear"/>
            <w:vAlign w:val="center"/>
          </w:tcPr>
          <w:p>
            <w:pPr>
              <w:pStyle w:val="TableContents"/>
              <w:spacing w:before="0" w:after="0"/>
              <w:ind w:left="0" w:right="0" w:hanging="0"/>
              <w:rPr/>
            </w:pPr>
            <w:r>
              <w:rPr/>
              <w:t>​</w:t>
            </w:r>
          </w:p>
        </w:tc>
        <w:tc>
          <w:tcPr>
            <w:tcW w:w="699"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0.40</w:t>
            </w:r>
          </w:p>
        </w:tc>
        <w:tc>
          <w:tcPr>
            <w:tcW w:w="326" w:type="dxa"/>
            <w:tcBorders/>
            <w:shd w:fill="CCEEFF" w:val="clear"/>
            <w:vAlign w:val="center"/>
          </w:tcPr>
          <w:p>
            <w:pPr>
              <w:pStyle w:val="TableContents"/>
              <w:spacing w:before="0" w:after="0"/>
              <w:ind w:left="0" w:right="0" w:hanging="0"/>
              <w:rPr/>
            </w:pPr>
            <w:r>
              <w:rPr/>
              <w:t> </w:t>
            </w:r>
          </w:p>
        </w:tc>
        <w:tc>
          <w:tcPr>
            <w:tcW w:w="139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74" w:type="dxa"/>
            <w:tcBorders/>
            <w:shd w:fill="CCEEFF" w:val="clear"/>
            <w:vAlign w:val="center"/>
          </w:tcPr>
          <w:p>
            <w:pPr>
              <w:pStyle w:val="TableContents"/>
              <w:spacing w:before="0" w:after="0"/>
              <w:ind w:left="0" w:right="0" w:hanging="0"/>
              <w:rPr/>
            </w:pPr>
            <w:r>
              <w:rPr/>
              <w:t> </w:t>
            </w:r>
          </w:p>
        </w:tc>
        <w:tc>
          <w:tcPr>
            <w:tcW w:w="958" w:type="dxa"/>
            <w:tcBorders/>
            <w:shd w:fill="CCEEFF" w:val="clear"/>
            <w:vAlign w:val="center"/>
          </w:tcPr>
          <w:p>
            <w:pPr>
              <w:pStyle w:val="TableContents"/>
              <w:spacing w:before="0" w:after="0"/>
              <w:ind w:left="0" w:right="0" w:hanging="0"/>
              <w:jc w:val="right"/>
              <w:rPr/>
            </w:pPr>
            <w:r>
              <w:rPr/>
              <w:t>  </w:t>
            </w:r>
          </w:p>
        </w:tc>
      </w:tr>
      <w:tr>
        <w:trPr/>
        <w:tc>
          <w:tcPr>
            <w:tcW w:w="2555"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Forfeited</w:t>
            </w:r>
          </w:p>
        </w:tc>
        <w:tc>
          <w:tcPr>
            <w:tcW w:w="326" w:type="dxa"/>
            <w:tcBorders/>
            <w:shd w:fill="auto" w:val="clear"/>
            <w:vAlign w:val="center"/>
          </w:tcPr>
          <w:p>
            <w:pPr>
              <w:pStyle w:val="TableContents"/>
              <w:spacing w:before="0" w:after="0"/>
              <w:ind w:left="0" w:right="0" w:hanging="0"/>
              <w:rPr/>
            </w:pPr>
            <w:r>
              <w:rPr/>
              <w:t> </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1,169</w:t>
            </w:r>
          </w:p>
        </w:tc>
        <w:tc>
          <w:tcPr>
            <w:tcW w:w="326" w:type="dxa"/>
            <w:tcBorders/>
            <w:shd w:fill="auto" w:val="clear"/>
            <w:vAlign w:val="center"/>
          </w:tcPr>
          <w:p>
            <w:pPr>
              <w:pStyle w:val="TableContents"/>
              <w:spacing w:before="0" w:after="0"/>
              <w:ind w:left="0" w:right="0" w:hanging="0"/>
              <w:rPr/>
            </w:pPr>
            <w:r>
              <w:rPr/>
              <w:t> </w:t>
            </w:r>
          </w:p>
        </w:tc>
        <w:tc>
          <w:tcPr>
            <w:tcW w:w="13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(1,169)</w:t>
            </w:r>
          </w:p>
        </w:tc>
        <w:tc>
          <w:tcPr>
            <w:tcW w:w="326" w:type="dxa"/>
            <w:tcBorders/>
            <w:shd w:fill="auto" w:val="clear"/>
            <w:vAlign w:val="center"/>
          </w:tcPr>
          <w:p>
            <w:pPr>
              <w:pStyle w:val="TableContents"/>
              <w:spacing w:before="0" w:after="0"/>
              <w:ind w:left="0" w:right="0" w:hanging="0"/>
              <w:rPr/>
            </w:pPr>
            <w:r>
              <w:rPr/>
              <w:t>​</w:t>
            </w:r>
          </w:p>
        </w:tc>
        <w:tc>
          <w:tcPr>
            <w:tcW w:w="306" w:type="dxa"/>
            <w:tcBorders/>
            <w:shd w:fill="auto" w:val="clear"/>
            <w:vAlign w:val="center"/>
          </w:tcPr>
          <w:p>
            <w:pPr>
              <w:pStyle w:val="TableContents"/>
              <w:spacing w:before="0" w:after="0"/>
              <w:ind w:left="0" w:right="0" w:hanging="0"/>
              <w:rPr/>
            </w:pPr>
            <w:r>
              <w:rPr/>
              <w:t>​</w:t>
            </w:r>
          </w:p>
        </w:tc>
        <w:tc>
          <w:tcPr>
            <w:tcW w:w="699"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2.35</w:t>
            </w:r>
          </w:p>
        </w:tc>
        <w:tc>
          <w:tcPr>
            <w:tcW w:w="326" w:type="dxa"/>
            <w:tcBorders/>
            <w:shd w:fill="auto" w:val="clear"/>
            <w:vAlign w:val="center"/>
          </w:tcPr>
          <w:p>
            <w:pPr>
              <w:pStyle w:val="TableContents"/>
              <w:spacing w:before="0" w:after="0"/>
              <w:ind w:left="0" w:right="0" w:hanging="0"/>
              <w:rPr/>
            </w:pPr>
            <w:r>
              <w:rPr/>
              <w:t> </w:t>
            </w:r>
          </w:p>
        </w:tc>
        <w:tc>
          <w:tcPr>
            <w:tcW w:w="139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74" w:type="dxa"/>
            <w:tcBorders/>
            <w:shd w:fill="auto" w:val="clear"/>
            <w:vAlign w:val="center"/>
          </w:tcPr>
          <w:p>
            <w:pPr>
              <w:pStyle w:val="TableContents"/>
              <w:spacing w:before="0" w:after="0"/>
              <w:ind w:left="0" w:right="0" w:hanging="0"/>
              <w:rPr/>
            </w:pPr>
            <w:r>
              <w:rPr/>
              <w:t> </w:t>
            </w:r>
          </w:p>
        </w:tc>
        <w:tc>
          <w:tcPr>
            <w:tcW w:w="958" w:type="dxa"/>
            <w:tcBorders/>
            <w:shd w:fill="auto" w:val="clear"/>
            <w:vAlign w:val="center"/>
          </w:tcPr>
          <w:p>
            <w:pPr>
              <w:pStyle w:val="TableContents"/>
              <w:spacing w:before="0" w:after="0"/>
              <w:ind w:left="0" w:right="0" w:hanging="0"/>
              <w:jc w:val="right"/>
              <w:rPr/>
            </w:pPr>
            <w:r>
              <w:rPr/>
              <w:t>  </w:t>
            </w:r>
          </w:p>
        </w:tc>
      </w:tr>
      <w:tr>
        <w:trPr/>
        <w:tc>
          <w:tcPr>
            <w:tcW w:w="2555" w:type="dxa"/>
            <w:tcBorders/>
            <w:shd w:fill="CCEEFF" w:val="clear"/>
            <w:vAlign w:val="center"/>
          </w:tcPr>
          <w:p>
            <w:pPr>
              <w:pStyle w:val="TableContents"/>
              <w:spacing w:before="0" w:after="0"/>
              <w:ind w:left="0" w:right="0" w:hanging="0"/>
              <w:rPr>
                <w:rFonts w:ascii="Arial;Helvetica;sans-serif" w:hAnsi="Arial;Helvetica;sans-serif"/>
                <w:b/>
                <w:sz w:val="20"/>
              </w:rPr>
            </w:pPr>
            <w:r>
              <w:rPr>
                <w:rFonts w:ascii="Arial;Helvetica;sans-serif" w:hAnsi="Arial;Helvetica;sans-serif"/>
                <w:b/>
                <w:sz w:val="20"/>
              </w:rPr>
              <w:t>As of December 31, 2022</w:t>
            </w:r>
          </w:p>
        </w:tc>
        <w:tc>
          <w:tcPr>
            <w:tcW w:w="326" w:type="dxa"/>
            <w:tcBorders/>
            <w:shd w:fill="CCEEFF" w:val="clear"/>
            <w:vAlign w:val="center"/>
          </w:tcPr>
          <w:p>
            <w:pPr>
              <w:pStyle w:val="TableContents"/>
              <w:spacing w:before="0" w:after="0"/>
              <w:ind w:left="0" w:right="0" w:hanging="0"/>
              <w:rPr/>
            </w:pPr>
            <w:r>
              <w:rPr/>
              <w:t> </w:t>
            </w:r>
          </w:p>
        </w:tc>
        <w:tc>
          <w:tcPr>
            <w:tcW w:w="10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977</w:t>
            </w:r>
          </w:p>
        </w:tc>
        <w:tc>
          <w:tcPr>
            <w:tcW w:w="326" w:type="dxa"/>
            <w:tcBorders/>
            <w:shd w:fill="CCEEFF" w:val="clear"/>
            <w:vAlign w:val="center"/>
          </w:tcPr>
          <w:p>
            <w:pPr>
              <w:pStyle w:val="TableContents"/>
              <w:spacing w:before="0" w:after="0"/>
              <w:ind w:left="0" w:right="0" w:hanging="0"/>
              <w:rPr/>
            </w:pPr>
            <w:r>
              <w:rPr/>
              <w:t> </w:t>
            </w:r>
          </w:p>
        </w:tc>
        <w:tc>
          <w:tcPr>
            <w:tcW w:w="13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7,612</w:t>
            </w:r>
          </w:p>
        </w:tc>
        <w:tc>
          <w:tcPr>
            <w:tcW w:w="326" w:type="dxa"/>
            <w:tcBorders/>
            <w:shd w:fill="CCEEFF" w:val="clear"/>
            <w:vAlign w:val="center"/>
          </w:tcPr>
          <w:p>
            <w:pPr>
              <w:pStyle w:val="TableContents"/>
              <w:spacing w:before="0" w:after="0"/>
              <w:ind w:left="0" w:right="0" w:hanging="0"/>
              <w:rPr/>
            </w:pPr>
            <w:r>
              <w:rPr/>
              <w:t>​</w:t>
            </w:r>
          </w:p>
        </w:tc>
        <w:tc>
          <w:tcPr>
            <w:tcW w:w="306" w:type="dxa"/>
            <w:tcBorders/>
            <w:shd w:fill="CCEEFF" w:val="clear"/>
            <w:vAlign w:val="center"/>
          </w:tcPr>
          <w:p>
            <w:pPr>
              <w:pStyle w:val="TableContents"/>
              <w:spacing w:before="0" w:after="0"/>
              <w:ind w:left="0" w:right="0" w:hanging="0"/>
              <w:rPr/>
            </w:pPr>
            <w:r>
              <w:rPr/>
              <w:t>​</w:t>
            </w:r>
          </w:p>
        </w:tc>
        <w:tc>
          <w:tcPr>
            <w:tcW w:w="699"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1.62</w:t>
            </w:r>
          </w:p>
        </w:tc>
        <w:tc>
          <w:tcPr>
            <w:tcW w:w="326" w:type="dxa"/>
            <w:tcBorders/>
            <w:shd w:fill="CCEEFF" w:val="clear"/>
            <w:vAlign w:val="center"/>
          </w:tcPr>
          <w:p>
            <w:pPr>
              <w:pStyle w:val="TableContents"/>
              <w:spacing w:before="0" w:after="0"/>
              <w:ind w:left="0" w:right="0" w:hanging="0"/>
              <w:rPr/>
            </w:pPr>
            <w:r>
              <w:rPr/>
              <w:t> </w:t>
            </w:r>
          </w:p>
        </w:tc>
        <w:tc>
          <w:tcPr>
            <w:tcW w:w="139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8.57</w:t>
            </w:r>
          </w:p>
        </w:tc>
        <w:tc>
          <w:tcPr>
            <w:tcW w:w="326" w:type="dxa"/>
            <w:tcBorders/>
            <w:shd w:fill="CCEEFF" w:val="clear"/>
            <w:vAlign w:val="center"/>
          </w:tcPr>
          <w:p>
            <w:pPr>
              <w:pStyle w:val="TableContents"/>
              <w:spacing w:before="0" w:after="0"/>
              <w:ind w:left="0" w:right="0" w:hanging="0"/>
              <w:rPr/>
            </w:pPr>
            <w:r>
              <w:rPr/>
              <w:t>​</w:t>
            </w:r>
          </w:p>
        </w:tc>
        <w:tc>
          <w:tcPr>
            <w:tcW w:w="274" w:type="dxa"/>
            <w:tcBorders/>
            <w:shd w:fill="CCEEFF" w:val="clear"/>
            <w:vAlign w:val="center"/>
          </w:tcPr>
          <w:p>
            <w:pPr>
              <w:pStyle w:val="TableContents"/>
              <w:spacing w:before="0" w:after="0"/>
              <w:ind w:left="0" w:right="0" w:hanging="0"/>
              <w:rPr/>
            </w:pPr>
            <w:r>
              <w:rPr/>
              <w:t> </w:t>
            </w:r>
          </w:p>
        </w:tc>
        <w:tc>
          <w:tcPr>
            <w:tcW w:w="95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13,283</w:t>
            </w:r>
          </w:p>
        </w:tc>
      </w:tr>
      <w:tr>
        <w:trPr/>
        <w:tc>
          <w:tcPr>
            <w:tcW w:w="2555"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Exercisable at December 31, 2022</w:t>
            </w:r>
          </w:p>
        </w:tc>
        <w:tc>
          <w:tcPr>
            <w:tcW w:w="326" w:type="dxa"/>
            <w:tcBorders/>
            <w:shd w:fill="auto" w:val="clear"/>
            <w:vAlign w:val="center"/>
          </w:tcPr>
          <w:p>
            <w:pPr>
              <w:pStyle w:val="TableContents"/>
              <w:spacing w:before="0" w:after="0"/>
              <w:ind w:left="0" w:right="0" w:hanging="0"/>
              <w:rPr/>
            </w:pPr>
            <w:r>
              <w:rPr/>
              <w:t>​</w:t>
            </w:r>
          </w:p>
        </w:tc>
        <w:tc>
          <w:tcPr>
            <w:tcW w:w="10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33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2,753</w:t>
            </w:r>
          </w:p>
        </w:tc>
        <w:tc>
          <w:tcPr>
            <w:tcW w:w="326" w:type="dxa"/>
            <w:tcBorders/>
            <w:shd w:fill="auto" w:val="clear"/>
            <w:vAlign w:val="center"/>
          </w:tcPr>
          <w:p>
            <w:pPr>
              <w:pStyle w:val="TableContents"/>
              <w:spacing w:before="0" w:after="0"/>
              <w:ind w:left="0" w:right="0" w:hanging="0"/>
              <w:rPr/>
            </w:pPr>
            <w:r>
              <w:rPr/>
              <w:t>​</w:t>
            </w:r>
          </w:p>
        </w:tc>
        <w:tc>
          <w:tcPr>
            <w:tcW w:w="306" w:type="dxa"/>
            <w:tcBorders/>
            <w:shd w:fill="auto" w:val="clear"/>
            <w:vAlign w:val="center"/>
          </w:tcPr>
          <w:p>
            <w:pPr>
              <w:pStyle w:val="TableContents"/>
              <w:spacing w:before="0" w:after="0"/>
              <w:ind w:left="0" w:right="0" w:hanging="0"/>
              <w:rPr/>
            </w:pPr>
            <w:r>
              <w:rPr/>
              <w:t>​</w:t>
            </w:r>
          </w:p>
        </w:tc>
        <w:tc>
          <w:tcPr>
            <w:tcW w:w="699"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1.04</w:t>
            </w:r>
          </w:p>
        </w:tc>
        <w:tc>
          <w:tcPr>
            <w:tcW w:w="326" w:type="dxa"/>
            <w:tcBorders/>
            <w:shd w:fill="auto" w:val="clear"/>
            <w:vAlign w:val="center"/>
          </w:tcPr>
          <w:p>
            <w:pPr>
              <w:pStyle w:val="TableContents"/>
              <w:spacing w:before="0" w:after="0"/>
              <w:ind w:left="0" w:right="0" w:hanging="0"/>
              <w:rPr/>
            </w:pPr>
            <w:r>
              <w:rPr/>
              <w:t> </w:t>
            </w:r>
          </w:p>
        </w:tc>
        <w:tc>
          <w:tcPr>
            <w:tcW w:w="139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8.04</w:t>
            </w:r>
          </w:p>
        </w:tc>
        <w:tc>
          <w:tcPr>
            <w:tcW w:w="326" w:type="dxa"/>
            <w:tcBorders/>
            <w:shd w:fill="auto" w:val="clear"/>
            <w:vAlign w:val="center"/>
          </w:tcPr>
          <w:p>
            <w:pPr>
              <w:pStyle w:val="TableContents"/>
              <w:spacing w:before="0" w:after="0"/>
              <w:ind w:left="0" w:right="0" w:hanging="0"/>
              <w:rPr/>
            </w:pPr>
            <w:r>
              <w:rPr/>
              <w:t>​</w:t>
            </w:r>
          </w:p>
        </w:tc>
        <w:tc>
          <w:tcPr>
            <w:tcW w:w="274" w:type="dxa"/>
            <w:tcBorders/>
            <w:shd w:fill="auto" w:val="clear"/>
            <w:vAlign w:val="center"/>
          </w:tcPr>
          <w:p>
            <w:pPr>
              <w:pStyle w:val="TableContents"/>
              <w:spacing w:before="0" w:after="0"/>
              <w:ind w:left="0" w:right="0" w:hanging="0"/>
              <w:rPr/>
            </w:pPr>
            <w:r>
              <w:rPr/>
              <w:t> </w:t>
            </w:r>
          </w:p>
        </w:tc>
        <w:tc>
          <w:tcPr>
            <w:tcW w:w="958"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6,398</w:t>
            </w:r>
          </w:p>
        </w:tc>
      </w:tr>
      <w:tr>
        <w:trPr/>
        <w:tc>
          <w:tcPr>
            <w:tcW w:w="2555"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Vested and expected to vest at December 31, 2022</w:t>
            </w:r>
          </w:p>
        </w:tc>
        <w:tc>
          <w:tcPr>
            <w:tcW w:w="326" w:type="dxa"/>
            <w:tcBorders/>
            <w:shd w:fill="CCEEFF" w:val="clear"/>
            <w:vAlign w:val="center"/>
          </w:tcPr>
          <w:p>
            <w:pPr>
              <w:pStyle w:val="TableContents"/>
              <w:spacing w:before="0" w:after="0"/>
              <w:ind w:left="0" w:right="0" w:hanging="0"/>
              <w:rPr/>
            </w:pPr>
            <w:r>
              <w:rPr/>
              <w:t>​</w:t>
            </w:r>
          </w:p>
        </w:tc>
        <w:tc>
          <w:tcPr>
            <w:tcW w:w="10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33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7,612</w:t>
            </w:r>
          </w:p>
        </w:tc>
        <w:tc>
          <w:tcPr>
            <w:tcW w:w="326" w:type="dxa"/>
            <w:tcBorders/>
            <w:shd w:fill="CCEEFF" w:val="clear"/>
            <w:vAlign w:val="center"/>
          </w:tcPr>
          <w:p>
            <w:pPr>
              <w:pStyle w:val="TableContents"/>
              <w:spacing w:before="0" w:after="0"/>
              <w:ind w:left="0" w:right="0" w:hanging="0"/>
              <w:rPr/>
            </w:pPr>
            <w:r>
              <w:rPr/>
              <w:t>​</w:t>
            </w:r>
          </w:p>
        </w:tc>
        <w:tc>
          <w:tcPr>
            <w:tcW w:w="306" w:type="dxa"/>
            <w:tcBorders/>
            <w:shd w:fill="CCEEFF" w:val="clear"/>
            <w:vAlign w:val="center"/>
          </w:tcPr>
          <w:p>
            <w:pPr>
              <w:pStyle w:val="TableContents"/>
              <w:spacing w:before="0" w:after="0"/>
              <w:ind w:left="0" w:right="0" w:hanging="0"/>
              <w:rPr/>
            </w:pPr>
            <w:r>
              <w:rPr/>
              <w:t>​</w:t>
            </w:r>
          </w:p>
        </w:tc>
        <w:tc>
          <w:tcPr>
            <w:tcW w:w="699"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1.62</w:t>
            </w:r>
          </w:p>
        </w:tc>
        <w:tc>
          <w:tcPr>
            <w:tcW w:w="326" w:type="dxa"/>
            <w:tcBorders/>
            <w:shd w:fill="CCEEFF" w:val="clear"/>
            <w:vAlign w:val="center"/>
          </w:tcPr>
          <w:p>
            <w:pPr>
              <w:pStyle w:val="TableContents"/>
              <w:spacing w:before="0" w:after="0"/>
              <w:ind w:left="0" w:right="0" w:hanging="0"/>
              <w:rPr/>
            </w:pPr>
            <w:r>
              <w:rPr/>
              <w:t> </w:t>
            </w:r>
          </w:p>
        </w:tc>
        <w:tc>
          <w:tcPr>
            <w:tcW w:w="139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8.57</w:t>
            </w:r>
          </w:p>
        </w:tc>
        <w:tc>
          <w:tcPr>
            <w:tcW w:w="326" w:type="dxa"/>
            <w:tcBorders/>
            <w:shd w:fill="CCEEFF" w:val="clear"/>
            <w:vAlign w:val="center"/>
          </w:tcPr>
          <w:p>
            <w:pPr>
              <w:pStyle w:val="TableContents"/>
              <w:spacing w:before="0" w:after="0"/>
              <w:ind w:left="0" w:right="0" w:hanging="0"/>
              <w:rPr/>
            </w:pPr>
            <w:r>
              <w:rPr/>
              <w:t>​</w:t>
            </w:r>
          </w:p>
        </w:tc>
        <w:tc>
          <w:tcPr>
            <w:tcW w:w="274" w:type="dxa"/>
            <w:tcBorders/>
            <w:shd w:fill="CCEEFF" w:val="clear"/>
            <w:vAlign w:val="center"/>
          </w:tcPr>
          <w:p>
            <w:pPr>
              <w:pStyle w:val="TableContents"/>
              <w:spacing w:before="0" w:after="0"/>
              <w:ind w:left="0" w:right="0" w:hanging="0"/>
              <w:rPr/>
            </w:pPr>
            <w:r>
              <w:rPr/>
              <w:t> </w:t>
            </w:r>
          </w:p>
        </w:tc>
        <w:tc>
          <w:tcPr>
            <w:tcW w:w="95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13,283</w:t>
            </w:r>
          </w:p>
        </w:tc>
      </w:tr>
      <w:tr>
        <w:trPr/>
        <w:tc>
          <w:tcPr>
            <w:tcW w:w="255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5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3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0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3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7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5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aggregate intrinsic value is calculated as the difference between the exercise price of the underlying share options and the fair value of the Company’s ordinary shares for share options that were in-the-money at the end of each period. The aggregate intrinsic value of options exercised for the years ended December 31, 2022 and 2021 was $0.2 million and less than $0.1 million, respectively.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total fair value of options that vested during the years ended December 31, 2022 and 2021 was $1.5 million and $0.3 million, respectively.</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Restricted Shares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On April 29, 2019, 5,891,064 shares of the Company’s ordinary shares which were previously issued to its founders were converted to restricted ordinary shares with a vesting term of four years with 25% of the shares vesting after one year from the vesting commencement date of April 29, 2019 and the remainder ratably on a monthly basis over the following three years, provided that the shareholder continues to provide services to the Company as of the date of such vesting. The transaction was accounted for as a grant of restricted shares with weighted-average per share grant-date fair value of $0.33 per share with the total compensation cost of $1.9 million, which will be recognized over the four years of requisite service period.</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Activity with respect to restricted shares was as follows (in thousands, except per share amounts):</w:t>
      </w:r>
    </w:p>
    <w:p>
      <w:pPr>
        <w:pStyle w:val="TextBody"/>
        <w:spacing w:before="0" w:after="0"/>
        <w:ind w:left="0" w:right="0" w:hanging="0"/>
        <w:rPr/>
      </w:pPr>
      <w:r>
        <w:rPr/>
        <w:t>​</w:t>
      </w:r>
    </w:p>
    <w:tbl>
      <w:tblPr>
        <w:tblW w:w="6969" w:type="dxa"/>
        <w:jc w:val="left"/>
        <w:tblInd w:w="0" w:type="dxa"/>
        <w:tblCellMar>
          <w:top w:w="0" w:type="dxa"/>
          <w:left w:w="0" w:type="dxa"/>
          <w:bottom w:w="0" w:type="dxa"/>
          <w:right w:w="0" w:type="dxa"/>
        </w:tblCellMar>
      </w:tblPr>
      <w:tblGrid>
        <w:gridCol w:w="2761"/>
        <w:gridCol w:w="326"/>
        <w:gridCol w:w="1876"/>
        <w:gridCol w:w="326"/>
        <w:gridCol w:w="480"/>
        <w:gridCol w:w="1200"/>
      </w:tblGrid>
      <w:tr>
        <w:trPr/>
        <w:tc>
          <w:tcPr>
            <w:tcW w:w="27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753235" cy="175260"/>
                      <wp:effectExtent l="0" t="0" r="0" b="0"/>
                      <wp:wrapNone/>
                      <wp:docPr id="256" name="Frame214"/>
                      <a:graphic xmlns:a="http://schemas.openxmlformats.org/drawingml/2006/main">
                        <a:graphicData uri="http://schemas.microsoft.com/office/word/2010/wordprocessingShape">
                          <wps:wsp>
                            <wps:cNvSpPr txBox="1"/>
                            <wps:spPr>
                              <a:xfrm>
                                <a:off x="0" y="0"/>
                                <a:ext cx="1753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191260" cy="175260"/>
                      <wp:effectExtent l="0" t="0" r="0" b="0"/>
                      <wp:wrapNone/>
                      <wp:docPr id="258" name="Frame216"/>
                      <a:graphic xmlns:a="http://schemas.openxmlformats.org/drawingml/2006/main">
                        <a:graphicData uri="http://schemas.microsoft.com/office/word/2010/wordprocessingShape">
                          <wps:wsp>
                            <wps:cNvSpPr txBox="1"/>
                            <wps:spPr>
                              <a:xfrm>
                                <a:off x="0" y="0"/>
                                <a:ext cx="1191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7010" cy="175260"/>
                      <wp:effectExtent l="0" t="0" r="0" b="0"/>
                      <wp:wrapNone/>
                      <wp:docPr id="259" name="Frame2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8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04800" cy="175260"/>
                      <wp:effectExtent l="0" t="0" r="0" b="0"/>
                      <wp:wrapNone/>
                      <wp:docPr id="260" name="Frame218"/>
                      <a:graphic xmlns:a="http://schemas.openxmlformats.org/drawingml/2006/main">
                        <a:graphicData uri="http://schemas.microsoft.com/office/word/2010/wordprocessingShape">
                          <wps:wsp>
                            <wps:cNvSpPr txBox="1"/>
                            <wps:spPr>
                              <a:xfrm>
                                <a:off x="0" y="0"/>
                                <a:ext cx="3048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762000" cy="175260"/>
                      <wp:effectExtent l="0" t="0" r="0" b="0"/>
                      <wp:wrapNone/>
                      <wp:docPr id="261" name="Frame219"/>
                      <a:graphic xmlns:a="http://schemas.openxmlformats.org/drawingml/2006/main">
                        <a:graphicData uri="http://schemas.microsoft.com/office/word/2010/wordprocessingShape">
                          <wps:wsp>
                            <wps:cNvSpPr txBox="1"/>
                            <wps:spPr>
                              <a:xfrm>
                                <a:off x="0" y="0"/>
                                <a:ext cx="7620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76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    </w:t>
            </w:r>
          </w:p>
        </w:tc>
        <w:tc>
          <w:tcPr>
            <w:tcW w:w="1876" w:type="dxa"/>
            <w:tcBorders>
              <w:top w:val="single" w:sz="2" w:space="0" w:color="000000"/>
            </w:tcBorders>
            <w:shd w:fill="auto" w:val="clear"/>
            <w:tcMar>
              <w:top w:w="28" w:type="dxa"/>
            </w:tcMar>
            <w:vAlign w:val="center"/>
          </w:tcPr>
          <w:p>
            <w:pPr>
              <w:pStyle w:val="TableContents"/>
              <w:spacing w:before="0" w:after="1"/>
              <w:ind w:left="0" w:right="0" w:hanging="0"/>
              <w:jc w:val="center"/>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    </w:t>
            </w:r>
          </w:p>
        </w:tc>
        <w:tc>
          <w:tcPr>
            <w:tcW w:w="480"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200"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r>
      <w:tr>
        <w:trPr/>
        <w:tc>
          <w:tcPr>
            <w:tcW w:w="27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7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NUMBER OF SHARES </w:t>
            </w:r>
          </w:p>
        </w:tc>
        <w:tc>
          <w:tcPr>
            <w:tcW w:w="326" w:type="dxa"/>
            <w:tcBorders/>
            <w:shd w:fill="auto" w:val="clear"/>
            <w:vAlign w:val="center"/>
          </w:tcPr>
          <w:p>
            <w:pPr>
              <w:pStyle w:val="TableContents"/>
              <w:spacing w:before="0" w:after="1"/>
              <w:ind w:left="0" w:right="0" w:hanging="0"/>
              <w:rPr/>
            </w:pPr>
            <w:r>
              <w:rPr/>
              <w:t>​</w:t>
            </w:r>
          </w:p>
        </w:tc>
        <w:tc>
          <w:tcPr>
            <w:tcW w:w="480" w:type="dxa"/>
            <w:tcBorders/>
            <w:shd w:fill="auto" w:val="clear"/>
            <w:vAlign w:val="center"/>
          </w:tcPr>
          <w:p>
            <w:pPr>
              <w:pStyle w:val="TableContents"/>
              <w:spacing w:before="0" w:after="1"/>
              <w:ind w:left="0" w:right="0" w:hanging="0"/>
              <w:rPr/>
            </w:pPr>
            <w:r>
              <w:rPr/>
              <w:t>​</w:t>
            </w:r>
          </w:p>
        </w:tc>
        <w:tc>
          <w:tcPr>
            <w:tcW w:w="1200" w:type="dxa"/>
            <w:tcBorders/>
            <w:shd w:fill="auto" w:val="clear"/>
            <w:vAlign w:val="center"/>
          </w:tcPr>
          <w:p>
            <w:pPr>
              <w:pStyle w:val="TableContents"/>
              <w:spacing w:before="0" w:after="1"/>
              <w:ind w:left="0" w:right="0" w:hanging="0"/>
              <w:rPr/>
            </w:pPr>
            <w:r>
              <w:rPr/>
              <w:t>​</w:t>
            </w:r>
          </w:p>
        </w:tc>
      </w:tr>
      <w:tr>
        <w:trPr/>
        <w:tc>
          <w:tcPr>
            <w:tcW w:w="27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7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UNDERLYING</w:t>
            </w:r>
          </w:p>
        </w:tc>
        <w:tc>
          <w:tcPr>
            <w:tcW w:w="326" w:type="dxa"/>
            <w:tcBorders/>
            <w:shd w:fill="auto" w:val="clear"/>
            <w:vAlign w:val="center"/>
          </w:tcPr>
          <w:p>
            <w:pPr>
              <w:pStyle w:val="TableContents"/>
              <w:spacing w:before="0" w:after="1"/>
              <w:ind w:left="0" w:right="0" w:hanging="0"/>
              <w:rPr/>
            </w:pPr>
            <w:r>
              <w:rPr/>
              <w:t>​</w:t>
            </w:r>
          </w:p>
        </w:tc>
        <w:tc>
          <w:tcPr>
            <w:tcW w:w="1680"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WEIGHTED-</w:t>
            </w:r>
          </w:p>
        </w:tc>
      </w:tr>
      <w:tr>
        <w:trPr/>
        <w:tc>
          <w:tcPr>
            <w:tcW w:w="27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7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OUTSTANDING</w:t>
            </w:r>
          </w:p>
        </w:tc>
        <w:tc>
          <w:tcPr>
            <w:tcW w:w="326" w:type="dxa"/>
            <w:tcBorders/>
            <w:shd w:fill="auto" w:val="clear"/>
            <w:vAlign w:val="center"/>
          </w:tcPr>
          <w:p>
            <w:pPr>
              <w:pStyle w:val="TableContents"/>
              <w:spacing w:before="0" w:after="1"/>
              <w:ind w:left="0" w:right="0" w:hanging="0"/>
              <w:rPr/>
            </w:pPr>
            <w:r>
              <w:rPr/>
              <w:t>​</w:t>
            </w:r>
          </w:p>
        </w:tc>
        <w:tc>
          <w:tcPr>
            <w:tcW w:w="1680"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AVERAGE</w:t>
            </w:r>
          </w:p>
        </w:tc>
      </w:tr>
      <w:tr>
        <w:trPr/>
        <w:tc>
          <w:tcPr>
            <w:tcW w:w="27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87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RESTRICTED </w:t>
            </w:r>
          </w:p>
        </w:tc>
        <w:tc>
          <w:tcPr>
            <w:tcW w:w="326" w:type="dxa"/>
            <w:tcBorders/>
            <w:shd w:fill="auto" w:val="clear"/>
            <w:vAlign w:val="center"/>
          </w:tcPr>
          <w:p>
            <w:pPr>
              <w:pStyle w:val="TableContents"/>
              <w:spacing w:before="0" w:after="1"/>
              <w:ind w:left="0" w:right="0" w:hanging="0"/>
              <w:rPr/>
            </w:pPr>
            <w:r>
              <w:rPr/>
              <w:t>​</w:t>
            </w:r>
          </w:p>
        </w:tc>
        <w:tc>
          <w:tcPr>
            <w:tcW w:w="1680" w:type="dxa"/>
            <w:gridSpan w:val="2"/>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GRANT DATE FAIR</w:t>
            </w:r>
          </w:p>
        </w:tc>
      </w:tr>
      <w:tr>
        <w:trPr/>
        <w:tc>
          <w:tcPr>
            <w:tcW w:w="27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8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326" w:type="dxa"/>
            <w:tcBorders/>
            <w:shd w:fill="auto" w:val="clear"/>
            <w:vAlign w:val="center"/>
          </w:tcPr>
          <w:p>
            <w:pPr>
              <w:pStyle w:val="TableContents"/>
              <w:spacing w:before="0" w:after="1"/>
              <w:ind w:left="0" w:right="0" w:hanging="0"/>
              <w:rPr/>
            </w:pPr>
            <w:r>
              <w:rPr/>
              <w:t>    </w:t>
            </w:r>
          </w:p>
        </w:tc>
        <w:tc>
          <w:tcPr>
            <w:tcW w:w="168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VALUE</w:t>
            </w:r>
          </w:p>
        </w:tc>
      </w:tr>
      <w:tr>
        <w:trPr/>
        <w:tc>
          <w:tcPr>
            <w:tcW w:w="27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Unvested, December 31, 2021</w:t>
            </w:r>
          </w:p>
        </w:tc>
        <w:tc>
          <w:tcPr>
            <w:tcW w:w="326" w:type="dxa"/>
            <w:tcBorders/>
            <w:shd w:fill="CCEEFF" w:val="clear"/>
            <w:vAlign w:val="center"/>
          </w:tcPr>
          <w:p>
            <w:pPr>
              <w:pStyle w:val="TableContents"/>
              <w:spacing w:before="0" w:after="1"/>
              <w:ind w:left="0" w:right="0" w:hanging="0"/>
              <w:rPr/>
            </w:pPr>
            <w:r>
              <w:rPr/>
              <w:t>​</w:t>
            </w:r>
          </w:p>
        </w:tc>
        <w:tc>
          <w:tcPr>
            <w:tcW w:w="187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1,513</w:t>
            </w:r>
          </w:p>
        </w:tc>
        <w:tc>
          <w:tcPr>
            <w:tcW w:w="326" w:type="dxa"/>
            <w:tcBorders/>
            <w:shd w:fill="CCEEFF" w:val="clear"/>
            <w:vAlign w:val="center"/>
          </w:tcPr>
          <w:p>
            <w:pPr>
              <w:pStyle w:val="TableContents"/>
              <w:spacing w:before="0" w:after="1"/>
              <w:ind w:left="0" w:right="0" w:hanging="0"/>
              <w:rPr/>
            </w:pPr>
            <w:r>
              <w:rPr/>
              <w:t>​</w:t>
            </w:r>
          </w:p>
        </w:tc>
        <w:tc>
          <w:tcPr>
            <w:tcW w:w="480"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1200"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0.33</w:t>
            </w:r>
          </w:p>
        </w:tc>
      </w:tr>
      <w:tr>
        <w:trPr/>
        <w:tc>
          <w:tcPr>
            <w:tcW w:w="276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Vested</w:t>
            </w:r>
          </w:p>
        </w:tc>
        <w:tc>
          <w:tcPr>
            <w:tcW w:w="326" w:type="dxa"/>
            <w:tcBorders/>
            <w:shd w:fill="auto" w:val="clear"/>
            <w:vAlign w:val="center"/>
          </w:tcPr>
          <w:p>
            <w:pPr>
              <w:pStyle w:val="TableContents"/>
              <w:spacing w:before="0" w:after="1"/>
              <w:ind w:left="0" w:right="0" w:hanging="0"/>
              <w:rPr/>
            </w:pPr>
            <w:r>
              <w:rPr/>
              <w:t>​</w:t>
            </w:r>
          </w:p>
        </w:tc>
        <w:tc>
          <w:tcPr>
            <w:tcW w:w="18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(1,186)</w:t>
            </w:r>
          </w:p>
        </w:tc>
        <w:tc>
          <w:tcPr>
            <w:tcW w:w="326" w:type="dxa"/>
            <w:tcBorders/>
            <w:shd w:fill="auto" w:val="clear"/>
            <w:vAlign w:val="center"/>
          </w:tcPr>
          <w:p>
            <w:pPr>
              <w:pStyle w:val="TableContents"/>
              <w:spacing w:before="0" w:after="1"/>
              <w:ind w:left="0" w:right="0" w:hanging="0"/>
              <w:rPr/>
            </w:pPr>
            <w:r>
              <w:rPr/>
              <w:t>​</w:t>
            </w:r>
          </w:p>
        </w:tc>
        <w:tc>
          <w:tcPr>
            <w:tcW w:w="480" w:type="dxa"/>
            <w:tcBorders/>
            <w:shd w:fill="auto" w:val="clear"/>
            <w:vAlign w:val="center"/>
          </w:tcPr>
          <w:p>
            <w:pPr>
              <w:pStyle w:val="TableContents"/>
              <w:spacing w:before="0" w:after="1"/>
              <w:ind w:left="0" w:right="0" w:hanging="0"/>
              <w:rPr/>
            </w:pPr>
            <w:r>
              <w:rPr/>
              <w:t>​</w:t>
            </w:r>
          </w:p>
        </w:tc>
        <w:tc>
          <w:tcPr>
            <w:tcW w:w="1200"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0.33</w:t>
            </w:r>
          </w:p>
        </w:tc>
      </w:tr>
      <w:tr>
        <w:trPr/>
        <w:tc>
          <w:tcPr>
            <w:tcW w:w="27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Unvested, December 31, 2022</w:t>
            </w:r>
          </w:p>
        </w:tc>
        <w:tc>
          <w:tcPr>
            <w:tcW w:w="326" w:type="dxa"/>
            <w:tcBorders/>
            <w:shd w:fill="CCEEFF" w:val="clear"/>
            <w:vAlign w:val="center"/>
          </w:tcPr>
          <w:p>
            <w:pPr>
              <w:pStyle w:val="TableContents"/>
              <w:spacing w:before="0" w:after="1"/>
              <w:ind w:left="0" w:right="0" w:hanging="0"/>
              <w:rPr/>
            </w:pPr>
            <w:r>
              <w:rPr/>
              <w:t> </w:t>
            </w:r>
          </w:p>
        </w:tc>
        <w:tc>
          <w:tcPr>
            <w:tcW w:w="18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327</w:t>
            </w:r>
          </w:p>
        </w:tc>
        <w:tc>
          <w:tcPr>
            <w:tcW w:w="326" w:type="dxa"/>
            <w:tcBorders/>
            <w:shd w:fill="CCEEFF" w:val="clear"/>
            <w:vAlign w:val="center"/>
          </w:tcPr>
          <w:p>
            <w:pPr>
              <w:pStyle w:val="TableContents"/>
              <w:spacing w:before="0" w:after="1"/>
              <w:ind w:left="0" w:right="0" w:hanging="0"/>
              <w:rPr/>
            </w:pPr>
            <w:r>
              <w:rPr/>
              <w:t>​</w:t>
            </w:r>
          </w:p>
        </w:tc>
        <w:tc>
          <w:tcPr>
            <w:tcW w:w="480" w:type="dxa"/>
            <w:tcBorders/>
            <w:shd w:fill="CCEEFF" w:val="clear"/>
            <w:vAlign w:val="center"/>
          </w:tcPr>
          <w:p>
            <w:pPr>
              <w:pStyle w:val="TableContents"/>
              <w:spacing w:before="0" w:after="1"/>
              <w:ind w:left="0" w:right="0" w:hanging="0"/>
              <w:rPr/>
            </w:pPr>
            <w:r>
              <w:rPr/>
              <w:t> </w:t>
            </w:r>
          </w:p>
        </w:tc>
        <w:tc>
          <w:tcPr>
            <w:tcW w:w="1200"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0.33</w:t>
            </w:r>
          </w:p>
        </w:tc>
      </w:tr>
      <w:tr>
        <w:trPr/>
        <w:tc>
          <w:tcPr>
            <w:tcW w:w="276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87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48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200"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bl>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198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pPr>
      <w:r>
        <w:rPr/>
        <w:t>​</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Share-Based Compensation Associated with Awards to Employees and Non-Employees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recognized share-based compensation as follows (in thousands):</w:t>
      </w:r>
    </w:p>
    <w:tbl>
      <w:tblPr>
        <w:tblW w:w="5247" w:type="dxa"/>
        <w:jc w:val="left"/>
        <w:tblInd w:w="0" w:type="dxa"/>
        <w:tblCellMar>
          <w:top w:w="0" w:type="dxa"/>
          <w:left w:w="0" w:type="dxa"/>
          <w:bottom w:w="0" w:type="dxa"/>
          <w:right w:w="0" w:type="dxa"/>
        </w:tblCellMar>
      </w:tblPr>
      <w:tblGrid>
        <w:gridCol w:w="2956"/>
        <w:gridCol w:w="326"/>
        <w:gridCol w:w="211"/>
        <w:gridCol w:w="586"/>
        <w:gridCol w:w="326"/>
        <w:gridCol w:w="211"/>
        <w:gridCol w:w="631"/>
      </w:tblGrid>
      <w:tr>
        <w:trPr/>
        <w:tc>
          <w:tcPr>
            <w:tcW w:w="29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877060" cy="175260"/>
                      <wp:effectExtent l="0" t="0" r="0" b="0"/>
                      <wp:wrapNone/>
                      <wp:docPr id="262" name="Frame220"/>
                      <a:graphic xmlns:a="http://schemas.openxmlformats.org/drawingml/2006/main">
                        <a:graphicData uri="http://schemas.microsoft.com/office/word/2010/wordprocessingShape">
                          <wps:wsp>
                            <wps:cNvSpPr txBox="1"/>
                            <wps:spPr>
                              <a:xfrm>
                                <a:off x="0" y="0"/>
                                <a:ext cx="1877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2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72110" cy="175260"/>
                      <wp:effectExtent l="0" t="0" r="0" b="0"/>
                      <wp:wrapNone/>
                      <wp:docPr id="265" name="Frame223"/>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3985" cy="175260"/>
                      <wp:effectExtent l="0" t="0" r="0" b="0"/>
                      <wp:wrapNone/>
                      <wp:docPr id="267" name="Frame22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00685" cy="175260"/>
                      <wp:effectExtent l="0" t="0" r="0" b="0"/>
                      <wp:wrapNone/>
                      <wp:docPr id="268" name="Frame226"/>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5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    </w:t>
            </w:r>
          </w:p>
        </w:tc>
        <w:tc>
          <w:tcPr>
            <w:tcW w:w="1965" w:type="dxa"/>
            <w:gridSpan w:val="5"/>
            <w:tcBorders>
              <w:top w:val="single" w:sz="2" w:space="0" w:color="000000"/>
            </w:tcBorders>
            <w:shd w:fill="auto" w:val="clear"/>
            <w:tcMar>
              <w:top w:w="28" w:type="dxa"/>
            </w:tcMar>
            <w:vAlign w:val="center"/>
          </w:tcPr>
          <w:p>
            <w:pPr>
              <w:pStyle w:val="TableContents"/>
              <w:spacing w:before="0" w:after="1"/>
              <w:ind w:left="0" w:right="0" w:hanging="0"/>
              <w:jc w:val="center"/>
              <w:rPr/>
            </w:pPr>
            <w:r>
              <w:rPr/>
              <w:t>​</w:t>
            </w:r>
          </w:p>
        </w:tc>
      </w:tr>
      <w:tr>
        <w:trPr/>
        <w:tc>
          <w:tcPr>
            <w:tcW w:w="29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5" w:type="dxa"/>
            <w:gridSpan w:val="5"/>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 xml:space="preserve">YEAR ENDED </w:t>
            </w:r>
          </w:p>
        </w:tc>
      </w:tr>
      <w:tr>
        <w:trPr/>
        <w:tc>
          <w:tcPr>
            <w:tcW w:w="29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96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295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79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1"/>
              <w:ind w:left="0" w:right="0" w:hanging="0"/>
              <w:rPr/>
            </w:pPr>
            <w:r>
              <w:rPr/>
              <w:t>    </w:t>
            </w:r>
          </w:p>
        </w:tc>
        <w:tc>
          <w:tcPr>
            <w:tcW w:w="84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295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Research and development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58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875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946</w:t>
            </w:r>
          </w:p>
        </w:tc>
      </w:tr>
      <w:tr>
        <w:trPr/>
        <w:tc>
          <w:tcPr>
            <w:tcW w:w="295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General and administrative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1,639</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541</w:t>
            </w:r>
          </w:p>
        </w:tc>
      </w:tr>
      <w:tr>
        <w:trPr/>
        <w:tc>
          <w:tcPr>
            <w:tcW w:w="295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share-based compensation</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5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2,514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63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1,487</w:t>
            </w:r>
          </w:p>
        </w:tc>
      </w:tr>
      <w:tr>
        <w:trPr/>
        <w:tc>
          <w:tcPr>
            <w:tcW w:w="295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3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of December 31, 2022, the total unrecognized share-based compensation expense related to unvested share options was $7.4 million, which is expected to be recognized over the remaining weighted-average vesting period of 2.5 years.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of December 31, 2022, the total unrecognized compensation expense related to unvested restricted shares was $0.1 million, which is expected to be recognized over the remaining weighted-average vesting period of 0.3 years.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fair value of restricted shares vested during the years ended December 31, 2022 and 2021 was $0.4 million and $0.5 million, respectively.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estimated the fair value of share options using the Black Scholes option-pricing model. The fair value of share options is being amortized on a straight-line basis over the requisite service period of the awards. The options granted during the years ended December 31, 2022 and 2021 had a weighted-average per share grant-date fair value of $1.96 and $1.07 per share, respectively, which was estimated using the following weighted-average assumptions:</w:t>
      </w:r>
    </w:p>
    <w:tbl>
      <w:tblPr>
        <w:tblW w:w="4291" w:type="dxa"/>
        <w:jc w:val="left"/>
        <w:tblInd w:w="0" w:type="dxa"/>
        <w:tblCellMar>
          <w:top w:w="0" w:type="dxa"/>
          <w:left w:w="0" w:type="dxa"/>
          <w:bottom w:w="0" w:type="dxa"/>
          <w:right w:w="0" w:type="dxa"/>
        </w:tblCellMar>
      </w:tblPr>
      <w:tblGrid>
        <w:gridCol w:w="2266"/>
        <w:gridCol w:w="326"/>
        <w:gridCol w:w="481"/>
        <w:gridCol w:w="406"/>
        <w:gridCol w:w="481"/>
        <w:gridCol w:w="331"/>
      </w:tblGrid>
      <w:tr>
        <w:trPr/>
        <w:tc>
          <w:tcPr>
            <w:tcW w:w="22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438910" cy="175260"/>
                      <wp:effectExtent l="0" t="0" r="0" b="0"/>
                      <wp:wrapNone/>
                      <wp:docPr id="269" name="Frame227"/>
                      <a:graphic xmlns:a="http://schemas.openxmlformats.org/drawingml/2006/main">
                        <a:graphicData uri="http://schemas.microsoft.com/office/word/2010/wordprocessingShape">
                          <wps:wsp>
                            <wps:cNvSpPr txBox="1"/>
                            <wps:spPr>
                              <a:xfrm>
                                <a:off x="0" y="0"/>
                                <a:ext cx="1438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70" name="Frame2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05435" cy="175260"/>
                      <wp:effectExtent l="0" t="0" r="0" b="0"/>
                      <wp:wrapNone/>
                      <wp:docPr id="271" name="Frame229"/>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57810" cy="175260"/>
                      <wp:effectExtent l="0" t="0" r="0" b="0"/>
                      <wp:wrapNone/>
                      <wp:docPr id="272" name="Frame230"/>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05435" cy="175260"/>
                      <wp:effectExtent l="0" t="0" r="0" b="0"/>
                      <wp:wrapNone/>
                      <wp:docPr id="273" name="Frame231"/>
                      <a:graphic xmlns:a="http://schemas.openxmlformats.org/drawingml/2006/main">
                        <a:graphicData uri="http://schemas.microsoft.com/office/word/2010/wordprocessingShape">
                          <wps:wsp>
                            <wps:cNvSpPr txBox="1"/>
                            <wps:spPr>
                              <a:xfrm>
                                <a:off x="0" y="0"/>
                                <a:ext cx="305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0185" cy="175260"/>
                      <wp:effectExtent l="0" t="0" r="0" b="0"/>
                      <wp:wrapNone/>
                      <wp:docPr id="274" name="Frame232"/>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6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1368" w:type="dxa"/>
            <w:gridSpan w:val="3"/>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c>
          <w:tcPr>
            <w:tcW w:w="331" w:type="dxa"/>
            <w:tcBorders>
              <w:top w:val="single" w:sz="2" w:space="0" w:color="000000"/>
            </w:tcBorders>
            <w:shd w:fill="auto" w:val="clear"/>
            <w:tcMar>
              <w:top w:w="28" w:type="dxa"/>
            </w:tcMar>
            <w:vAlign w:val="center"/>
          </w:tcPr>
          <w:p>
            <w:pPr>
              <w:pStyle w:val="TableContents"/>
              <w:spacing w:before="0" w:after="0"/>
              <w:ind w:left="0" w:right="0" w:hanging="0"/>
              <w:jc w:val="center"/>
              <w:rPr/>
            </w:pPr>
            <w:r>
              <w:rPr/>
              <w:t> </w:t>
            </w:r>
          </w:p>
        </w:tc>
      </w:tr>
      <w:tr>
        <w:trPr/>
        <w:tc>
          <w:tcPr>
            <w:tcW w:w="22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68" w:type="dxa"/>
            <w:gridSpan w:val="3"/>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YEAR ENDED </w:t>
            </w:r>
          </w:p>
        </w:tc>
        <w:tc>
          <w:tcPr>
            <w:tcW w:w="331" w:type="dxa"/>
            <w:tcBorders/>
            <w:shd w:fill="auto" w:val="clear"/>
            <w:vAlign w:val="center"/>
          </w:tcPr>
          <w:p>
            <w:pPr>
              <w:pStyle w:val="TableContents"/>
              <w:spacing w:before="0" w:after="0"/>
              <w:ind w:left="0" w:right="0" w:hanging="0"/>
              <w:rPr/>
            </w:pPr>
            <w:r>
              <w:rPr/>
              <w:t>​</w:t>
            </w:r>
          </w:p>
        </w:tc>
      </w:tr>
      <w:tr>
        <w:trPr/>
        <w:tc>
          <w:tcPr>
            <w:tcW w:w="22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36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3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22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406" w:type="dxa"/>
            <w:tcBorders/>
            <w:shd w:fill="auto" w:val="clear"/>
            <w:vAlign w:val="center"/>
          </w:tcPr>
          <w:p>
            <w:pPr>
              <w:pStyle w:val="TableContents"/>
              <w:spacing w:before="0" w:after="0"/>
              <w:ind w:left="0" w:right="0" w:hanging="0"/>
              <w:rPr/>
            </w:pPr>
            <w:r>
              <w:rPr/>
              <w:t>    </w:t>
            </w:r>
          </w:p>
        </w:tc>
        <w:tc>
          <w:tcPr>
            <w:tcW w:w="4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c>
          <w:tcPr>
            <w:tcW w:w="331" w:type="dxa"/>
            <w:tcBorders>
              <w:bottom w:val="single" w:sz="2" w:space="0" w:color="000000"/>
            </w:tcBorders>
            <w:shd w:fill="auto" w:val="clear"/>
            <w:tcMar>
              <w:bottom w:w="28" w:type="dxa"/>
            </w:tcMar>
            <w:vAlign w:val="center"/>
          </w:tcPr>
          <w:p>
            <w:pPr>
              <w:pStyle w:val="TableContents"/>
              <w:spacing w:before="0" w:after="0"/>
              <w:ind w:left="0" w:right="0" w:hanging="0"/>
              <w:jc w:val="center"/>
              <w:rPr/>
            </w:pPr>
            <w:r>
              <w:rPr/>
              <w:t> </w:t>
            </w:r>
          </w:p>
        </w:tc>
      </w:tr>
      <w:tr>
        <w:trPr/>
        <w:tc>
          <w:tcPr>
            <w:tcW w:w="226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Expected term (in years)</w:t>
            </w:r>
          </w:p>
        </w:tc>
        <w:tc>
          <w:tcPr>
            <w:tcW w:w="326"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5.9</w:t>
            </w:r>
          </w:p>
        </w:tc>
        <w:tc>
          <w:tcPr>
            <w:tcW w:w="406"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5.9</w:t>
            </w:r>
          </w:p>
        </w:tc>
        <w:tc>
          <w:tcPr>
            <w:tcW w:w="331" w:type="dxa"/>
            <w:tcBorders/>
            <w:shd w:fill="CCEEFF" w:val="clear"/>
            <w:vAlign w:val="center"/>
          </w:tcPr>
          <w:p>
            <w:pPr>
              <w:pStyle w:val="TableContents"/>
              <w:spacing w:before="0" w:after="0"/>
              <w:ind w:left="0" w:right="0" w:hanging="0"/>
              <w:rPr/>
            </w:pPr>
            <w:r>
              <w:rPr/>
              <w:t>​</w:t>
            </w:r>
          </w:p>
        </w:tc>
      </w:tr>
      <w:tr>
        <w:trPr/>
        <w:tc>
          <w:tcPr>
            <w:tcW w:w="226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Expected volatility</w:t>
            </w:r>
          </w:p>
        </w:tc>
        <w:tc>
          <w:tcPr>
            <w:tcW w:w="326"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87.7</w:t>
            </w:r>
          </w:p>
        </w:tc>
        <w:tc>
          <w:tcPr>
            <w:tcW w:w="4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48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85.2</w:t>
            </w:r>
          </w:p>
        </w:tc>
        <w:tc>
          <w:tcPr>
            <w:tcW w:w="3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226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Risk-free interest rate</w:t>
            </w:r>
          </w:p>
        </w:tc>
        <w:tc>
          <w:tcPr>
            <w:tcW w:w="326" w:type="dxa"/>
            <w:tcBorders/>
            <w:shd w:fill="CCEEFF" w:val="clear"/>
            <w:vAlign w:val="center"/>
          </w:tcPr>
          <w:p>
            <w:pPr>
              <w:pStyle w:val="TableContents"/>
              <w:spacing w:before="0" w:after="0"/>
              <w:ind w:left="0" w:right="0" w:hanging="0"/>
              <w:rPr/>
            </w:pPr>
            <w:r>
              <w:rPr/>
              <w:t> </w:t>
            </w:r>
          </w:p>
        </w:tc>
        <w:tc>
          <w:tcPr>
            <w:tcW w:w="48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w:t>
            </w:r>
          </w:p>
        </w:tc>
        <w:tc>
          <w:tcPr>
            <w:tcW w:w="40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48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0.9</w:t>
            </w:r>
          </w:p>
        </w:tc>
        <w:tc>
          <w:tcPr>
            <w:tcW w:w="33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226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Expected dividend yield</w:t>
            </w:r>
          </w:p>
        </w:tc>
        <w:tc>
          <w:tcPr>
            <w:tcW w:w="326" w:type="dxa"/>
            <w:tcBorders/>
            <w:shd w:fill="auto" w:val="clear"/>
            <w:vAlign w:val="center"/>
          </w:tcPr>
          <w:p>
            <w:pPr>
              <w:pStyle w:val="TableContents"/>
              <w:spacing w:before="0" w:after="0"/>
              <w:ind w:left="0" w:right="0" w:hanging="0"/>
              <w:rPr/>
            </w:pPr>
            <w:r>
              <w:rPr/>
              <w:t> </w:t>
            </w:r>
          </w:p>
        </w:tc>
        <w:tc>
          <w:tcPr>
            <w:tcW w:w="48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0.0</w:t>
            </w:r>
          </w:p>
        </w:tc>
        <w:tc>
          <w:tcPr>
            <w:tcW w:w="40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  </w:t>
            </w:r>
          </w:p>
        </w:tc>
        <w:tc>
          <w:tcPr>
            <w:tcW w:w="48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0.0</w:t>
            </w:r>
          </w:p>
        </w:tc>
        <w:tc>
          <w:tcPr>
            <w:tcW w:w="33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r>
      <w:tr>
        <w:trPr/>
        <w:tc>
          <w:tcPr>
            <w:tcW w:w="226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40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48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3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assumptions are as follows:</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val="false"/>
                <w:i/>
                <w:sz w:val="20"/>
              </w:rPr>
              <w:t>Expected term.</w:t>
            </w:r>
            <w:r>
              <w:rPr>
                <w:caps w:val="false"/>
                <w:smallCaps w:val="false"/>
              </w:rPr>
              <w:t> </w:t>
            </w:r>
            <w:r>
              <w:rPr>
                <w:rFonts w:ascii="Arial;Helvetica;sans-serif" w:hAnsi="Arial;Helvetica;sans-serif"/>
                <w:b w:val="false"/>
                <w:i w:val="false"/>
                <w:caps w:val="false"/>
                <w:smallCaps w:val="false"/>
                <w:sz w:val="20"/>
              </w:rPr>
              <w:t xml:space="preserve">The expected term represents the period that the share-based awards are expected to be outstanding. The expected term is calculated using the simplified method which is used when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w:t>
            </w:r>
          </w:p>
        </w:tc>
      </w:tr>
    </w:tbl>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199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23"/>
        <w:gridCol w:w="10159"/>
      </w:tblGrid>
      <w:tr>
        <w:trPr/>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159"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awards with multiple vesting-tranches, the times from grant until the mid-points for each of the tranches may be averaged to provide an overall expected term.</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val="false"/>
                <w:i/>
                <w:sz w:val="20"/>
              </w:rPr>
              <w:t>Expected volatility.</w:t>
            </w:r>
            <w:r>
              <w:rPr>
                <w:caps w:val="false"/>
                <w:smallCaps w:val="false"/>
              </w:rPr>
              <w:t> </w:t>
            </w:r>
            <w:r>
              <w:rPr>
                <w:rFonts w:ascii="Arial;Helvetica;sans-serif" w:hAnsi="Arial;Helvetica;sans-serif"/>
                <w:b w:val="false"/>
                <w:i w:val="false"/>
                <w:caps w:val="false"/>
                <w:smallCaps w:val="false"/>
                <w:sz w:val="20"/>
              </w:rPr>
              <w:t>The Company estimated the volatility data based on a study of publicly traded industry peer companies as it did not have any trading history for its ordinary shares. For purposes of identifying these peer companies, the Company considered the industry, stage of development, size and financial leverage of potential comparable companies. For each grant, the Company measured historical volatility over a period equivalent to the expected term. The Company will continue to apply this process until a sufficient amount of historical information regarding the volatility of its own share price becomes available.</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val="false"/>
                <w:i/>
                <w:sz w:val="20"/>
              </w:rPr>
              <w:t>Risk-free interest rate.</w:t>
            </w:r>
            <w:r>
              <w:rPr>
                <w:caps w:val="false"/>
                <w:smallCaps w:val="false"/>
              </w:rPr>
              <w:t> </w:t>
            </w:r>
            <w:r>
              <w:rPr>
                <w:rFonts w:ascii="Arial;Helvetica;sans-serif" w:hAnsi="Arial;Helvetica;sans-serif"/>
                <w:b w:val="false"/>
                <w:i w:val="false"/>
                <w:caps w:val="false"/>
                <w:smallCaps w:val="false"/>
                <w:sz w:val="20"/>
              </w:rPr>
              <w:t>The risk-free interest rate is based on the U.S. Treasury yield in effect at the time of grant for zero-coupon U.S. Treasury notes with remaining terms similar to the expected term of the options.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Arial;Helvetica;sans-serif" w:hAnsi="Arial;Helvetica;sans-serif"/>
                <w:b w:val="false"/>
                <w:i/>
                <w:sz w:val="20"/>
              </w:rPr>
              <w:t>Expected Dividend yield.</w:t>
            </w:r>
            <w:r>
              <w:rPr>
                <w:caps w:val="false"/>
                <w:smallCaps w:val="false"/>
              </w:rPr>
              <w:t> </w:t>
            </w:r>
            <w:r>
              <w:rPr>
                <w:rFonts w:ascii="Arial;Helvetica;sans-serif" w:hAnsi="Arial;Helvetica;sans-serif"/>
                <w:b w:val="false"/>
                <w:i w:val="false"/>
                <w:caps w:val="false"/>
                <w:smallCaps w:val="false"/>
                <w:sz w:val="20"/>
              </w:rPr>
              <w:t>The expected dividend is assumed to be zero as the Company has never paid dividends and has no current plans to.</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to the assumptions used in the Black-Scholes option-pricing model, the Company recognizes the actual forfeitures by reducing the employee share-based compensation expense in the same period the forfeiture occurs.</w:t>
      </w:r>
    </w:p>
    <w:p>
      <w:pPr>
        <w:pStyle w:val="TextBody"/>
        <w:spacing w:before="0" w:after="240"/>
        <w:ind w:left="0" w:right="0" w:hanging="0"/>
        <w:rPr>
          <w:rFonts w:ascii="Arial;Helvetica;sans-serif" w:hAnsi="Arial;Helvetica;sans-serif"/>
          <w:i/>
          <w:sz w:val="20"/>
        </w:rPr>
      </w:pPr>
      <w:r>
        <w:rPr>
          <w:rFonts w:ascii="Arial;Helvetica;sans-serif" w:hAnsi="Arial;Helvetica;sans-serif"/>
          <w:i/>
          <w:sz w:val="20"/>
        </w:rPr>
        <w:t>Share Option Modification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November 2021, the Company entered into a separation and consulting agreement in connection with the resignation of a Company founder and executive. The terms of the agreement resulted in compensation expense for unvested awards expected to vest during the consultancy of $0.5 million was recognized immediately during the year ended December 31, 2021 as no substantive future service was required.</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12. Income Taxes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following table presents loss before income tax expense (in thousands):</w:t>
      </w:r>
    </w:p>
    <w:tbl>
      <w:tblPr>
        <w:tblW w:w="5577" w:type="dxa"/>
        <w:jc w:val="left"/>
        <w:tblInd w:w="0" w:type="dxa"/>
        <w:tblCellMar>
          <w:top w:w="0" w:type="dxa"/>
          <w:left w:w="0" w:type="dxa"/>
          <w:bottom w:w="0" w:type="dxa"/>
          <w:right w:w="0" w:type="dxa"/>
        </w:tblCellMar>
      </w:tblPr>
      <w:tblGrid>
        <w:gridCol w:w="2956"/>
        <w:gridCol w:w="206"/>
        <w:gridCol w:w="211"/>
        <w:gridCol w:w="811"/>
        <w:gridCol w:w="326"/>
        <w:gridCol w:w="211"/>
        <w:gridCol w:w="856"/>
      </w:tblGrid>
      <w:tr>
        <w:trPr/>
        <w:tc>
          <w:tcPr>
            <w:tcW w:w="29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877060" cy="175260"/>
                      <wp:effectExtent l="0" t="0" r="0" b="0"/>
                      <wp:wrapNone/>
                      <wp:docPr id="275" name="Frame233"/>
                      <a:graphic xmlns:a="http://schemas.openxmlformats.org/drawingml/2006/main">
                        <a:graphicData uri="http://schemas.microsoft.com/office/word/2010/wordprocessingShape">
                          <wps:wsp>
                            <wps:cNvSpPr txBox="1"/>
                            <wps:spPr>
                              <a:xfrm>
                                <a:off x="0" y="0"/>
                                <a:ext cx="1877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0810" cy="175260"/>
                      <wp:effectExtent l="0" t="0" r="0" b="0"/>
                      <wp:wrapNone/>
                      <wp:docPr id="276" name="Frame234"/>
                      <a:graphic xmlns:a="http://schemas.openxmlformats.org/drawingml/2006/main">
                        <a:graphicData uri="http://schemas.microsoft.com/office/word/2010/wordprocessingShape">
                          <wps:wsp>
                            <wps:cNvSpPr txBox="1"/>
                            <wps:spPr>
                              <a:xfrm>
                                <a:off x="0" y="0"/>
                                <a:ext cx="130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3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514985" cy="175260"/>
                      <wp:effectExtent l="0" t="0" r="0" b="0"/>
                      <wp:wrapNone/>
                      <wp:docPr id="278" name="Frame236"/>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3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43560" cy="175260"/>
                      <wp:effectExtent l="0" t="0" r="0" b="0"/>
                      <wp:wrapNone/>
                      <wp:docPr id="281" name="Frame239"/>
                      <a:graphic xmlns:a="http://schemas.openxmlformats.org/drawingml/2006/main">
                        <a:graphicData uri="http://schemas.microsoft.com/office/word/2010/wordprocessingShape">
                          <wps:wsp>
                            <wps:cNvSpPr txBox="1"/>
                            <wps:spPr>
                              <a:xfrm>
                                <a:off x="0" y="0"/>
                                <a:ext cx="543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5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20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2415" w:type="dxa"/>
            <w:gridSpan w:val="5"/>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r>
      <w:tr>
        <w:trPr/>
        <w:tc>
          <w:tcPr>
            <w:tcW w:w="295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415" w:type="dxa"/>
            <w:gridSpan w:val="5"/>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YEAR ENDED </w:t>
            </w:r>
          </w:p>
        </w:tc>
      </w:tr>
      <w:tr>
        <w:trPr/>
        <w:tc>
          <w:tcPr>
            <w:tcW w:w="295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w:t>
            </w:r>
          </w:p>
        </w:tc>
        <w:tc>
          <w:tcPr>
            <w:tcW w:w="241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2956" w:type="dxa"/>
            <w:tcBorders/>
            <w:shd w:fill="auto" w:val="clear"/>
            <w:vAlign w:val="center"/>
          </w:tcPr>
          <w:p>
            <w:pPr>
              <w:pStyle w:val="TableContents"/>
              <w:spacing w:before="0" w:after="0"/>
              <w:ind w:left="0" w:right="0" w:hanging="0"/>
              <w:rPr/>
            </w:pPr>
            <w:r>
              <w:rPr/>
              <w:t>​</w:t>
            </w:r>
          </w:p>
        </w:tc>
        <w:tc>
          <w:tcPr>
            <w:tcW w:w="206" w:type="dxa"/>
            <w:tcBorders/>
            <w:shd w:fill="auto" w:val="clear"/>
            <w:vAlign w:val="center"/>
          </w:tcPr>
          <w:p>
            <w:pPr>
              <w:pStyle w:val="TableContents"/>
              <w:spacing w:before="0" w:after="0"/>
              <w:ind w:left="0" w:right="0" w:hanging="0"/>
              <w:rPr/>
            </w:pPr>
            <w:r>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0"/>
              <w:ind w:left="0" w:right="0" w:hanging="0"/>
              <w:rPr/>
            </w:pPr>
            <w:r>
              <w:rPr/>
              <w:t>    </w:t>
            </w:r>
          </w:p>
        </w:tc>
        <w:tc>
          <w:tcPr>
            <w:tcW w:w="10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295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Loss before income expense:</w:t>
            </w:r>
          </w:p>
        </w:tc>
        <w:tc>
          <w:tcPr>
            <w:tcW w:w="20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56" w:type="dxa"/>
            <w:tcBorders/>
            <w:shd w:fill="CCEEFF" w:val="clear"/>
            <w:vAlign w:val="center"/>
          </w:tcPr>
          <w:p>
            <w:pPr>
              <w:pStyle w:val="TableContents"/>
              <w:spacing w:before="0" w:after="0"/>
              <w:ind w:left="0" w:right="0" w:hanging="0"/>
              <w:jc w:val="right"/>
              <w:rPr/>
            </w:pPr>
            <w:r>
              <w:rPr/>
              <w:t>​</w:t>
            </w:r>
          </w:p>
        </w:tc>
      </w:tr>
      <w:tr>
        <w:trPr/>
        <w:tc>
          <w:tcPr>
            <w:tcW w:w="29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Domestic loss</w:t>
            </w:r>
          </w:p>
        </w:tc>
        <w:tc>
          <w:tcPr>
            <w:tcW w:w="20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1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(44,258)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5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(35,051)</w:t>
            </w:r>
          </w:p>
        </w:tc>
      </w:tr>
      <w:tr>
        <w:trPr/>
        <w:tc>
          <w:tcPr>
            <w:tcW w:w="295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Foreign income (loss)</w:t>
            </w:r>
          </w:p>
        </w:tc>
        <w:tc>
          <w:tcPr>
            <w:tcW w:w="20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(7,046)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(2,767)</w:t>
            </w:r>
          </w:p>
        </w:tc>
      </w:tr>
      <w:tr>
        <w:trPr/>
        <w:tc>
          <w:tcPr>
            <w:tcW w:w="295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Loss before income tax expense</w:t>
            </w:r>
          </w:p>
        </w:tc>
        <w:tc>
          <w:tcPr>
            <w:tcW w:w="20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(51,304)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(37,818)</w:t>
            </w:r>
          </w:p>
        </w:tc>
      </w:tr>
      <w:tr>
        <w:trPr/>
        <w:tc>
          <w:tcPr>
            <w:tcW w:w="295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0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rPr/>
            </w:pPr>
            <w:r>
              <w:rPr/>
              <w:t>​</w:t>
            </w:r>
          </w:p>
        </w:tc>
        <w:tc>
          <w:tcPr>
            <w:tcW w:w="81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rPr/>
            </w:pPr>
            <w:r>
              <w:rPr/>
              <w:t>​</w:t>
            </w:r>
          </w:p>
        </w:tc>
        <w:tc>
          <w:tcPr>
            <w:tcW w:w="856"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200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following table presents the current and deferred income tax provision for income taxes (in thousands):</w:t>
      </w:r>
    </w:p>
    <w:tbl>
      <w:tblPr>
        <w:tblW w:w="5712" w:type="dxa"/>
        <w:jc w:val="center"/>
        <w:tblInd w:w="0" w:type="dxa"/>
        <w:tblCellMar>
          <w:top w:w="0" w:type="dxa"/>
          <w:left w:w="0" w:type="dxa"/>
          <w:bottom w:w="0" w:type="dxa"/>
          <w:right w:w="0" w:type="dxa"/>
        </w:tblCellMar>
      </w:tblPr>
      <w:tblGrid>
        <w:gridCol w:w="3736"/>
        <w:gridCol w:w="326"/>
        <w:gridCol w:w="211"/>
        <w:gridCol w:w="436"/>
        <w:gridCol w:w="326"/>
        <w:gridCol w:w="211"/>
        <w:gridCol w:w="466"/>
      </w:tblGrid>
      <w:tr>
        <w:trPr/>
        <w:tc>
          <w:tcPr>
            <w:tcW w:w="3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372360" cy="175260"/>
                      <wp:effectExtent l="0" t="0" r="0" b="0"/>
                      <wp:wrapNone/>
                      <wp:docPr id="282" name="Frame240"/>
                      <a:graphic xmlns:a="http://schemas.openxmlformats.org/drawingml/2006/main">
                        <a:graphicData uri="http://schemas.microsoft.com/office/word/2010/wordprocessingShape">
                          <wps:wsp>
                            <wps:cNvSpPr txBox="1"/>
                            <wps:spPr>
                              <a:xfrm>
                                <a:off x="0" y="0"/>
                                <a:ext cx="2372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4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76860" cy="175260"/>
                      <wp:effectExtent l="0" t="0" r="0" b="0"/>
                      <wp:wrapNone/>
                      <wp:docPr id="285" name="Frame243"/>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33985" cy="175260"/>
                      <wp:effectExtent l="0" t="0" r="0" b="0"/>
                      <wp:wrapNone/>
                      <wp:docPr id="287" name="Frame24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96545" cy="175260"/>
                      <wp:effectExtent l="0" t="0" r="0" b="0"/>
                      <wp:wrapNone/>
                      <wp:docPr id="288" name="Frame246"/>
                      <a:graphic xmlns:a="http://schemas.openxmlformats.org/drawingml/2006/main">
                        <a:graphicData uri="http://schemas.microsoft.com/office/word/2010/wordprocessingShape">
                          <wps:wsp>
                            <wps:cNvSpPr txBox="1"/>
                            <wps:spPr>
                              <a:xfrm>
                                <a:off x="0" y="0"/>
                                <a:ext cx="2965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3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1650" w:type="dxa"/>
            <w:gridSpan w:val="5"/>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r>
      <w:tr>
        <w:trPr/>
        <w:tc>
          <w:tcPr>
            <w:tcW w:w="3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50" w:type="dxa"/>
            <w:gridSpan w:val="5"/>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YEAR ENDED </w:t>
            </w:r>
          </w:p>
        </w:tc>
      </w:tr>
      <w:tr>
        <w:trPr/>
        <w:tc>
          <w:tcPr>
            <w:tcW w:w="3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5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0"/>
              <w:ind w:left="0" w:right="0" w:hanging="0"/>
              <w:rPr/>
            </w:pPr>
            <w:r>
              <w:rPr/>
              <w:t>    </w:t>
            </w:r>
          </w:p>
        </w:tc>
        <w:tc>
          <w:tcPr>
            <w:tcW w:w="67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3736"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Current tax provision (benefit):</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43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466" w:type="dxa"/>
            <w:tcBorders/>
            <w:shd w:fill="CCEEFF" w:val="clear"/>
            <w:vAlign w:val="center"/>
          </w:tcPr>
          <w:p>
            <w:pPr>
              <w:pStyle w:val="TableContents"/>
              <w:spacing w:before="0" w:after="0"/>
              <w:ind w:left="0" w:right="0" w:hanging="0"/>
              <w:jc w:val="right"/>
              <w:rPr/>
            </w:pPr>
            <w:r>
              <w:rPr/>
              <w:t>  </w:t>
            </w:r>
          </w:p>
        </w:tc>
      </w:tr>
      <w:tr>
        <w:trPr/>
        <w:tc>
          <w:tcPr>
            <w:tcW w:w="3736"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Federal</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466" w:type="dxa"/>
            <w:tcBorders/>
            <w:shd w:fill="auto" w:val="clear"/>
            <w:vAlign w:val="center"/>
          </w:tcPr>
          <w:p>
            <w:pPr>
              <w:pStyle w:val="TableContents"/>
              <w:spacing w:before="0" w:after="0"/>
              <w:ind w:left="0" w:right="0" w:hanging="0"/>
              <w:jc w:val="right"/>
              <w:rPr/>
            </w:pPr>
            <w:r>
              <w:rPr/>
              <w:t>—</w:t>
            </w:r>
          </w:p>
        </w:tc>
      </w:tr>
      <w:tr>
        <w:trPr/>
        <w:tc>
          <w:tcPr>
            <w:tcW w:w="3736"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State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466" w:type="dxa"/>
            <w:tcBorders/>
            <w:shd w:fill="CCEEFF" w:val="clear"/>
            <w:vAlign w:val="center"/>
          </w:tcPr>
          <w:p>
            <w:pPr>
              <w:pStyle w:val="TableContents"/>
              <w:spacing w:before="0" w:after="0"/>
              <w:ind w:left="0" w:right="0" w:hanging="0"/>
              <w:jc w:val="right"/>
              <w:rPr/>
            </w:pPr>
            <w:r>
              <w:rPr/>
              <w:t>—</w:t>
            </w:r>
          </w:p>
        </w:tc>
      </w:tr>
      <w:tr>
        <w:trPr/>
        <w:tc>
          <w:tcPr>
            <w:tcW w:w="3736"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Foreign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6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219</w:t>
            </w:r>
          </w:p>
        </w:tc>
      </w:tr>
      <w:tr>
        <w:trPr/>
        <w:tc>
          <w:tcPr>
            <w:tcW w:w="37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6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219</w:t>
            </w:r>
          </w:p>
        </w:tc>
      </w:tr>
      <w:tr>
        <w:trPr/>
        <w:tc>
          <w:tcPr>
            <w:tcW w:w="3736"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Deferred tax provision (benefit):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466" w:type="dxa"/>
            <w:tcBorders/>
            <w:shd w:fill="auto" w:val="clear"/>
            <w:vAlign w:val="center"/>
          </w:tcPr>
          <w:p>
            <w:pPr>
              <w:pStyle w:val="TableContents"/>
              <w:spacing w:before="0" w:after="0"/>
              <w:ind w:left="0" w:right="0" w:hanging="0"/>
              <w:jc w:val="right"/>
              <w:rPr/>
            </w:pPr>
            <w:r>
              <w:rPr/>
              <w:t>  </w:t>
            </w:r>
          </w:p>
        </w:tc>
      </w:tr>
      <w:tr>
        <w:trPr/>
        <w:tc>
          <w:tcPr>
            <w:tcW w:w="3736"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Federal</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466" w:type="dxa"/>
            <w:tcBorders/>
            <w:shd w:fill="CCEEFF" w:val="clear"/>
            <w:vAlign w:val="center"/>
          </w:tcPr>
          <w:p>
            <w:pPr>
              <w:pStyle w:val="TableContents"/>
              <w:spacing w:before="0" w:after="0"/>
              <w:ind w:left="0" w:right="0" w:hanging="0"/>
              <w:jc w:val="right"/>
              <w:rPr/>
            </w:pPr>
            <w:r>
              <w:rPr/>
              <w:t>—</w:t>
            </w:r>
          </w:p>
        </w:tc>
      </w:tr>
      <w:tr>
        <w:trPr/>
        <w:tc>
          <w:tcPr>
            <w:tcW w:w="3736" w:type="dxa"/>
            <w:tcBorders/>
            <w:shd w:fill="auto"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State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466" w:type="dxa"/>
            <w:tcBorders/>
            <w:shd w:fill="auto" w:val="clear"/>
            <w:vAlign w:val="center"/>
          </w:tcPr>
          <w:p>
            <w:pPr>
              <w:pStyle w:val="TableContents"/>
              <w:spacing w:before="0" w:after="0"/>
              <w:ind w:left="0" w:right="0" w:hanging="0"/>
              <w:jc w:val="right"/>
              <w:rPr/>
            </w:pPr>
            <w:r>
              <w:rPr/>
              <w:t>—</w:t>
            </w:r>
          </w:p>
        </w:tc>
      </w:tr>
      <w:tr>
        <w:trPr/>
        <w:tc>
          <w:tcPr>
            <w:tcW w:w="3736"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Foreign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466" w:type="dxa"/>
            <w:tcBorders/>
            <w:shd w:fill="CCEEFF" w:val="clear"/>
            <w:vAlign w:val="center"/>
          </w:tcPr>
          <w:p>
            <w:pPr>
              <w:pStyle w:val="TableContents"/>
              <w:spacing w:before="0" w:after="0"/>
              <w:ind w:left="0" w:right="0" w:hanging="0"/>
              <w:jc w:val="right"/>
              <w:rPr/>
            </w:pPr>
            <w:r>
              <w:rPr/>
              <w:t>—</w:t>
            </w:r>
          </w:p>
        </w:tc>
      </w:tr>
      <w:tr>
        <w:trPr/>
        <w:tc>
          <w:tcPr>
            <w:tcW w:w="37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46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736" w:type="dxa"/>
            <w:tcBorders/>
            <w:shd w:fill="CCEEFF" w:val="clear"/>
            <w:vAlign w:val="center"/>
          </w:tcPr>
          <w:p>
            <w:pPr>
              <w:pStyle w:val="TableContents"/>
              <w:pBdr/>
              <w:spacing w:before="0" w:after="0"/>
              <w:ind w:left="0" w:right="0" w:hanging="0"/>
              <w:rPr>
                <w:rFonts w:ascii="Arial;Helvetica;sans-serif" w:hAnsi="Arial;Helvetica;sans-serif"/>
                <w:sz w:val="20"/>
              </w:rPr>
            </w:pPr>
            <w:r>
              <w:rPr>
                <w:rFonts w:ascii="Arial;Helvetica;sans-serif" w:hAnsi="Arial;Helvetica;sans-serif"/>
                <w:sz w:val="20"/>
              </w:rPr>
              <w:t>Total provision (benefit) for income taxes: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4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4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219</w:t>
            </w:r>
          </w:p>
        </w:tc>
      </w:tr>
      <w:tr>
        <w:trPr/>
        <w:tc>
          <w:tcPr>
            <w:tcW w:w="373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3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6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is domiciled in the Cayman Islands. A reconciliation of the expected tax computed at the zero tax rate for the Cayman Islands to the total provision for income taxes was as follows:</w:t>
      </w:r>
    </w:p>
    <w:tbl>
      <w:tblPr>
        <w:tblW w:w="5491" w:type="dxa"/>
        <w:jc w:val="left"/>
        <w:tblInd w:w="0" w:type="dxa"/>
        <w:tblCellMar>
          <w:top w:w="0" w:type="dxa"/>
          <w:left w:w="0" w:type="dxa"/>
          <w:bottom w:w="0" w:type="dxa"/>
          <w:right w:w="0" w:type="dxa"/>
        </w:tblCellMar>
      </w:tblPr>
      <w:tblGrid>
        <w:gridCol w:w="3226"/>
        <w:gridCol w:w="326"/>
        <w:gridCol w:w="601"/>
        <w:gridCol w:w="406"/>
        <w:gridCol w:w="601"/>
        <w:gridCol w:w="331"/>
      </w:tblGrid>
      <w:tr>
        <w:trPr/>
        <w:tc>
          <w:tcPr>
            <w:tcW w:w="3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48510" cy="175260"/>
                      <wp:effectExtent l="0" t="0" r="0" b="0"/>
                      <wp:wrapNone/>
                      <wp:docPr id="289" name="Frame247"/>
                      <a:graphic xmlns:a="http://schemas.openxmlformats.org/drawingml/2006/main">
                        <a:graphicData uri="http://schemas.microsoft.com/office/word/2010/wordprocessingShape">
                          <wps:wsp>
                            <wps:cNvSpPr txBox="1"/>
                            <wps:spPr>
                              <a:xfrm>
                                <a:off x="0" y="0"/>
                                <a:ext cx="2048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90" name="Frame2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381635" cy="175260"/>
                      <wp:effectExtent l="0" t="0" r="0" b="0"/>
                      <wp:wrapNone/>
                      <wp:docPr id="291" name="Frame249"/>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57810" cy="175260"/>
                      <wp:effectExtent l="0" t="0" r="0" b="0"/>
                      <wp:wrapNone/>
                      <wp:docPr id="292" name="Frame250"/>
                      <a:graphic xmlns:a="http://schemas.openxmlformats.org/drawingml/2006/main">
                        <a:graphicData uri="http://schemas.microsoft.com/office/word/2010/wordprocessingShape">
                          <wps:wsp>
                            <wps:cNvSpPr txBox="1"/>
                            <wps:spPr>
                              <a:xfrm>
                                <a:off x="0" y="0"/>
                                <a:ext cx="2578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81635" cy="175260"/>
                      <wp:effectExtent l="0" t="0" r="0" b="0"/>
                      <wp:wrapNone/>
                      <wp:docPr id="293" name="Frame251"/>
                      <a:graphic xmlns:a="http://schemas.openxmlformats.org/drawingml/2006/main">
                        <a:graphicData uri="http://schemas.microsoft.com/office/word/2010/wordprocessingShape">
                          <wps:wsp>
                            <wps:cNvSpPr txBox="1"/>
                            <wps:spPr>
                              <a:xfrm>
                                <a:off x="0" y="0"/>
                                <a:ext cx="3816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0185" cy="175260"/>
                      <wp:effectExtent l="0" t="0" r="0" b="0"/>
                      <wp:wrapNone/>
                      <wp:docPr id="294" name="Frame252"/>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2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    </w:t>
            </w:r>
          </w:p>
        </w:tc>
        <w:tc>
          <w:tcPr>
            <w:tcW w:w="1608" w:type="dxa"/>
            <w:gridSpan w:val="3"/>
            <w:tcBorders>
              <w:top w:val="single" w:sz="2" w:space="0" w:color="000000"/>
            </w:tcBorders>
            <w:shd w:fill="auto" w:val="clear"/>
            <w:tcMar>
              <w:top w:w="28" w:type="dxa"/>
            </w:tcMar>
            <w:vAlign w:val="center"/>
          </w:tcPr>
          <w:p>
            <w:pPr>
              <w:pStyle w:val="TableContents"/>
              <w:spacing w:before="0" w:after="1"/>
              <w:ind w:left="0" w:right="0" w:hanging="0"/>
              <w:jc w:val="center"/>
              <w:rPr/>
            </w:pPr>
            <w:r>
              <w:rPr/>
              <w:t>​</w:t>
            </w:r>
          </w:p>
        </w:tc>
        <w:tc>
          <w:tcPr>
            <w:tcW w:w="331" w:type="dxa"/>
            <w:tcBorders>
              <w:top w:val="single" w:sz="2" w:space="0" w:color="000000"/>
            </w:tcBorders>
            <w:shd w:fill="auto" w:val="clear"/>
            <w:tcMar>
              <w:top w:w="28" w:type="dxa"/>
            </w:tcMar>
            <w:vAlign w:val="center"/>
          </w:tcPr>
          <w:p>
            <w:pPr>
              <w:pStyle w:val="TableContents"/>
              <w:spacing w:before="0" w:after="1"/>
              <w:ind w:left="0" w:right="0" w:hanging="0"/>
              <w:jc w:val="center"/>
              <w:rPr/>
            </w:pPr>
            <w:r>
              <w:rPr/>
              <w:t> </w:t>
            </w:r>
          </w:p>
        </w:tc>
      </w:tr>
      <w:tr>
        <w:trPr/>
        <w:tc>
          <w:tcPr>
            <w:tcW w:w="32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08"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c>
          <w:tcPr>
            <w:tcW w:w="331" w:type="dxa"/>
            <w:tcBorders/>
            <w:shd w:fill="auto" w:val="clear"/>
            <w:vAlign w:val="center"/>
          </w:tcPr>
          <w:p>
            <w:pPr>
              <w:pStyle w:val="TableContents"/>
              <w:spacing w:before="0" w:after="1"/>
              <w:ind w:left="0" w:right="0" w:hanging="0"/>
              <w:jc w:val="center"/>
              <w:rPr/>
            </w:pPr>
            <w:r>
              <w:rPr/>
              <w:t>​</w:t>
            </w:r>
          </w:p>
        </w:tc>
      </w:tr>
      <w:tr>
        <w:trPr/>
        <w:tc>
          <w:tcPr>
            <w:tcW w:w="322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406" w:type="dxa"/>
            <w:tcBorders/>
            <w:shd w:fill="auto" w:val="clear"/>
            <w:vAlign w:val="center"/>
          </w:tcPr>
          <w:p>
            <w:pPr>
              <w:pStyle w:val="TableContents"/>
              <w:spacing w:before="0" w:after="1"/>
              <w:ind w:left="0" w:right="0" w:hanging="0"/>
              <w:rPr/>
            </w:pPr>
            <w:r>
              <w:rPr/>
              <w:t>    </w:t>
            </w:r>
          </w:p>
        </w:tc>
        <w:tc>
          <w:tcPr>
            <w:tcW w:w="60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c>
          <w:tcPr>
            <w:tcW w:w="331" w:type="dxa"/>
            <w:tcBorders/>
            <w:shd w:fill="auto" w:val="clear"/>
            <w:vAlign w:val="center"/>
          </w:tcPr>
          <w:p>
            <w:pPr>
              <w:pStyle w:val="TableContents"/>
              <w:spacing w:before="0" w:after="1"/>
              <w:ind w:left="0" w:right="0" w:hanging="0"/>
              <w:jc w:val="center"/>
              <w:rPr/>
            </w:pPr>
            <w:r>
              <w:rPr/>
              <w:t> </w:t>
            </w:r>
          </w:p>
        </w:tc>
      </w:tr>
      <w:tr>
        <w:trPr/>
        <w:tc>
          <w:tcPr>
            <w:tcW w:w="322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Expected tax at 0%</w:t>
            </w:r>
          </w:p>
        </w:tc>
        <w:tc>
          <w:tcPr>
            <w:tcW w:w="326" w:type="dxa"/>
            <w:tcBorders/>
            <w:shd w:fill="CCEEFF" w:val="clear"/>
            <w:vAlign w:val="center"/>
          </w:tcPr>
          <w:p>
            <w:pPr>
              <w:pStyle w:val="TableContents"/>
              <w:spacing w:before="0" w:after="1"/>
              <w:ind w:left="0" w:right="0" w:hanging="0"/>
              <w:rPr/>
            </w:pPr>
            <w:r>
              <w:rPr/>
              <w:t>​</w:t>
            </w:r>
          </w:p>
        </w:tc>
        <w:tc>
          <w:tcPr>
            <w:tcW w:w="601" w:type="dxa"/>
            <w:tcBorders/>
            <w:shd w:fill="CCEEFF" w:val="clear"/>
            <w:vAlign w:val="center"/>
          </w:tcPr>
          <w:p>
            <w:pPr>
              <w:pStyle w:val="TableContents"/>
              <w:spacing w:before="0" w:after="1"/>
              <w:ind w:left="0" w:right="0" w:hanging="0"/>
              <w:jc w:val="right"/>
              <w:rPr/>
            </w:pPr>
            <w:r>
              <w:rPr/>
              <w:t>—</w:t>
            </w:r>
          </w:p>
        </w:tc>
        <w:tc>
          <w:tcPr>
            <w:tcW w:w="40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  </w:t>
            </w:r>
          </w:p>
        </w:tc>
        <w:tc>
          <w:tcPr>
            <w:tcW w:w="601" w:type="dxa"/>
            <w:tcBorders/>
            <w:shd w:fill="CCEEFF" w:val="clear"/>
            <w:vAlign w:val="center"/>
          </w:tcPr>
          <w:p>
            <w:pPr>
              <w:pStyle w:val="TableContents"/>
              <w:spacing w:before="0" w:after="1"/>
              <w:ind w:left="0" w:right="0" w:hanging="0"/>
              <w:jc w:val="right"/>
              <w:rPr/>
            </w:pPr>
            <w:r>
              <w:rPr/>
              <w:t>—</w:t>
            </w:r>
          </w:p>
        </w:tc>
        <w:tc>
          <w:tcPr>
            <w:tcW w:w="33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322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State income tax, net of federal tax</w:t>
            </w:r>
          </w:p>
        </w:tc>
        <w:tc>
          <w:tcPr>
            <w:tcW w:w="32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3.8</w:t>
            </w:r>
          </w:p>
        </w:tc>
        <w:tc>
          <w:tcPr>
            <w:tcW w:w="40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4.9</w:t>
            </w:r>
          </w:p>
        </w:tc>
        <w:tc>
          <w:tcPr>
            <w:tcW w:w="331" w:type="dxa"/>
            <w:tcBorders/>
            <w:shd w:fill="auto" w:val="clear"/>
            <w:vAlign w:val="center"/>
          </w:tcPr>
          <w:p>
            <w:pPr>
              <w:pStyle w:val="TableContents"/>
              <w:spacing w:before="0" w:after="1"/>
              <w:ind w:left="0" w:right="0" w:hanging="0"/>
              <w:rPr/>
            </w:pPr>
            <w:r>
              <w:rPr/>
              <w:t>​</w:t>
            </w:r>
          </w:p>
        </w:tc>
      </w:tr>
      <w:tr>
        <w:trPr/>
        <w:tc>
          <w:tcPr>
            <w:tcW w:w="322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Share-based compensation</w:t>
            </w:r>
          </w:p>
        </w:tc>
        <w:tc>
          <w:tcPr>
            <w:tcW w:w="32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(0.6)</w:t>
            </w:r>
          </w:p>
        </w:tc>
        <w:tc>
          <w:tcPr>
            <w:tcW w:w="40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(0.3)</w:t>
            </w:r>
          </w:p>
        </w:tc>
        <w:tc>
          <w:tcPr>
            <w:tcW w:w="331" w:type="dxa"/>
            <w:tcBorders/>
            <w:shd w:fill="CCEEFF" w:val="clear"/>
            <w:vAlign w:val="center"/>
          </w:tcPr>
          <w:p>
            <w:pPr>
              <w:pStyle w:val="TableContents"/>
              <w:spacing w:before="0" w:after="1"/>
              <w:ind w:left="0" w:right="0" w:hanging="0"/>
              <w:rPr/>
            </w:pPr>
            <w:r>
              <w:rPr/>
              <w:t>​</w:t>
            </w:r>
          </w:p>
        </w:tc>
      </w:tr>
      <w:tr>
        <w:trPr/>
        <w:tc>
          <w:tcPr>
            <w:tcW w:w="322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Non-deductible expenses</w:t>
            </w:r>
          </w:p>
        </w:tc>
        <w:tc>
          <w:tcPr>
            <w:tcW w:w="32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(0.1)</w:t>
            </w:r>
          </w:p>
        </w:tc>
        <w:tc>
          <w:tcPr>
            <w:tcW w:w="40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(0.2)</w:t>
            </w:r>
          </w:p>
        </w:tc>
        <w:tc>
          <w:tcPr>
            <w:tcW w:w="331" w:type="dxa"/>
            <w:tcBorders/>
            <w:shd w:fill="auto" w:val="clear"/>
            <w:vAlign w:val="center"/>
          </w:tcPr>
          <w:p>
            <w:pPr>
              <w:pStyle w:val="TableContents"/>
              <w:spacing w:before="0" w:after="1"/>
              <w:ind w:left="0" w:right="0" w:hanging="0"/>
              <w:rPr/>
            </w:pPr>
            <w:r>
              <w:rPr/>
              <w:t>​</w:t>
            </w:r>
          </w:p>
        </w:tc>
      </w:tr>
      <w:tr>
        <w:trPr/>
        <w:tc>
          <w:tcPr>
            <w:tcW w:w="322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U.S. income tax differential</w:t>
            </w:r>
          </w:p>
        </w:tc>
        <w:tc>
          <w:tcPr>
            <w:tcW w:w="32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18.2</w:t>
            </w:r>
          </w:p>
        </w:tc>
        <w:tc>
          <w:tcPr>
            <w:tcW w:w="40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19.5</w:t>
            </w:r>
          </w:p>
        </w:tc>
        <w:tc>
          <w:tcPr>
            <w:tcW w:w="331" w:type="dxa"/>
            <w:tcBorders/>
            <w:shd w:fill="CCEEFF" w:val="clear"/>
            <w:vAlign w:val="center"/>
          </w:tcPr>
          <w:p>
            <w:pPr>
              <w:pStyle w:val="TableContents"/>
              <w:spacing w:before="0" w:after="1"/>
              <w:ind w:left="0" w:right="0" w:hanging="0"/>
              <w:rPr/>
            </w:pPr>
            <w:r>
              <w:rPr/>
              <w:t>​</w:t>
            </w:r>
          </w:p>
        </w:tc>
      </w:tr>
      <w:tr>
        <w:trPr/>
        <w:tc>
          <w:tcPr>
            <w:tcW w:w="322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Other foreign income tax differential</w:t>
            </w:r>
          </w:p>
        </w:tc>
        <w:tc>
          <w:tcPr>
            <w:tcW w:w="32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0.3</w:t>
            </w:r>
          </w:p>
        </w:tc>
        <w:tc>
          <w:tcPr>
            <w:tcW w:w="40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2.2</w:t>
            </w:r>
          </w:p>
        </w:tc>
        <w:tc>
          <w:tcPr>
            <w:tcW w:w="331" w:type="dxa"/>
            <w:tcBorders/>
            <w:shd w:fill="auto" w:val="clear"/>
            <w:vAlign w:val="center"/>
          </w:tcPr>
          <w:p>
            <w:pPr>
              <w:pStyle w:val="TableContents"/>
              <w:spacing w:before="0" w:after="1"/>
              <w:ind w:left="0" w:right="0" w:hanging="0"/>
              <w:rPr/>
            </w:pPr>
            <w:r>
              <w:rPr/>
              <w:t>​</w:t>
            </w:r>
          </w:p>
        </w:tc>
      </w:tr>
      <w:tr>
        <w:trPr/>
        <w:tc>
          <w:tcPr>
            <w:tcW w:w="322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Research credits</w:t>
            </w:r>
          </w:p>
        </w:tc>
        <w:tc>
          <w:tcPr>
            <w:tcW w:w="32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0.8</w:t>
            </w:r>
          </w:p>
        </w:tc>
        <w:tc>
          <w:tcPr>
            <w:tcW w:w="406" w:type="dxa"/>
            <w:tcBorders/>
            <w:shd w:fill="CCEEFF" w:val="clear"/>
            <w:vAlign w:val="center"/>
          </w:tcPr>
          <w:p>
            <w:pPr>
              <w:pStyle w:val="TableContents"/>
              <w:spacing w:before="0" w:after="1"/>
              <w:ind w:left="0" w:right="0" w:hanging="0"/>
              <w:rPr/>
            </w:pPr>
            <w:r>
              <w:rPr/>
              <w:t> </w:t>
            </w:r>
          </w:p>
        </w:tc>
        <w:tc>
          <w:tcPr>
            <w:tcW w:w="60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0.9</w:t>
            </w:r>
          </w:p>
        </w:tc>
        <w:tc>
          <w:tcPr>
            <w:tcW w:w="331" w:type="dxa"/>
            <w:tcBorders/>
            <w:shd w:fill="CCEEFF" w:val="clear"/>
            <w:vAlign w:val="center"/>
          </w:tcPr>
          <w:p>
            <w:pPr>
              <w:pStyle w:val="TableContents"/>
              <w:spacing w:before="0" w:after="1"/>
              <w:ind w:left="0" w:right="0" w:hanging="0"/>
              <w:rPr/>
            </w:pPr>
            <w:r>
              <w:rPr/>
              <w:t>​</w:t>
            </w:r>
          </w:p>
        </w:tc>
      </w:tr>
      <w:tr>
        <w:trPr/>
        <w:tc>
          <w:tcPr>
            <w:tcW w:w="322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Other</w:t>
            </w:r>
          </w:p>
        </w:tc>
        <w:tc>
          <w:tcPr>
            <w:tcW w:w="32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0.5</w:t>
            </w:r>
          </w:p>
        </w:tc>
        <w:tc>
          <w:tcPr>
            <w:tcW w:w="406" w:type="dxa"/>
            <w:tcBorders/>
            <w:shd w:fill="auto" w:val="clear"/>
            <w:vAlign w:val="center"/>
          </w:tcPr>
          <w:p>
            <w:pPr>
              <w:pStyle w:val="TableContents"/>
              <w:spacing w:before="0" w:after="1"/>
              <w:ind w:left="0" w:right="0" w:hanging="0"/>
              <w:rPr/>
            </w:pPr>
            <w:r>
              <w:rPr/>
              <w:t> </w:t>
            </w:r>
          </w:p>
        </w:tc>
        <w:tc>
          <w:tcPr>
            <w:tcW w:w="60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(0.2)</w:t>
            </w:r>
          </w:p>
        </w:tc>
        <w:tc>
          <w:tcPr>
            <w:tcW w:w="331" w:type="dxa"/>
            <w:tcBorders/>
            <w:shd w:fill="auto" w:val="clear"/>
            <w:vAlign w:val="center"/>
          </w:tcPr>
          <w:p>
            <w:pPr>
              <w:pStyle w:val="TableContents"/>
              <w:spacing w:before="0" w:after="1"/>
              <w:ind w:left="0" w:right="0" w:hanging="0"/>
              <w:rPr/>
            </w:pPr>
            <w:r>
              <w:rPr/>
              <w:t>​</w:t>
            </w:r>
          </w:p>
        </w:tc>
      </w:tr>
      <w:tr>
        <w:trPr/>
        <w:tc>
          <w:tcPr>
            <w:tcW w:w="3226"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Change in valuation allowance</w:t>
            </w:r>
          </w:p>
        </w:tc>
        <w:tc>
          <w:tcPr>
            <w:tcW w:w="326" w:type="dxa"/>
            <w:tcBorders/>
            <w:shd w:fill="CCEEFF" w:val="clear"/>
            <w:vAlign w:val="center"/>
          </w:tcPr>
          <w:p>
            <w:pPr>
              <w:pStyle w:val="TableContents"/>
              <w:spacing w:before="0" w:after="1"/>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(22.9)</w:t>
            </w:r>
          </w:p>
        </w:tc>
        <w:tc>
          <w:tcPr>
            <w:tcW w:w="406" w:type="dxa"/>
            <w:tcBorders/>
            <w:shd w:fill="CCEEFF" w:val="clear"/>
            <w:vAlign w:val="center"/>
          </w:tcPr>
          <w:p>
            <w:pPr>
              <w:pStyle w:val="TableContents"/>
              <w:spacing w:before="0" w:after="1"/>
              <w:ind w:left="0" w:right="0" w:hanging="0"/>
              <w:rPr/>
            </w:pPr>
            <w:r>
              <w:rPr/>
              <w:t> </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(27.3)</w:t>
            </w:r>
          </w:p>
        </w:tc>
        <w:tc>
          <w:tcPr>
            <w:tcW w:w="331" w:type="dxa"/>
            <w:tcBorders/>
            <w:shd w:fill="CCEEFF" w:val="clear"/>
            <w:vAlign w:val="center"/>
          </w:tcPr>
          <w:p>
            <w:pPr>
              <w:pStyle w:val="TableContents"/>
              <w:spacing w:before="0" w:after="1"/>
              <w:ind w:left="0" w:right="0" w:hanging="0"/>
              <w:rPr/>
            </w:pPr>
            <w:r>
              <w:rPr/>
              <w:t>​</w:t>
            </w:r>
          </w:p>
        </w:tc>
      </w:tr>
      <w:tr>
        <w:trPr/>
        <w:tc>
          <w:tcPr>
            <w:tcW w:w="322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Effective tax rate</w:t>
            </w:r>
          </w:p>
        </w:tc>
        <w:tc>
          <w:tcPr>
            <w:tcW w:w="326" w:type="dxa"/>
            <w:tcBorders/>
            <w:shd w:fill="auto" w:val="clear"/>
            <w:vAlign w:val="center"/>
          </w:tcPr>
          <w:p>
            <w:pPr>
              <w:pStyle w:val="TableContents"/>
              <w:spacing w:before="0" w:after="1"/>
              <w:ind w:left="0" w:right="0" w:hanging="0"/>
              <w:rPr/>
            </w:pPr>
            <w:r>
              <w:rPr/>
              <w:t> </w:t>
            </w:r>
          </w:p>
        </w:tc>
        <w:tc>
          <w:tcPr>
            <w:tcW w:w="601"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406"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  </w:t>
            </w:r>
          </w:p>
        </w:tc>
        <w:tc>
          <w:tcPr>
            <w:tcW w:w="60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(0.5)</w:t>
            </w:r>
          </w:p>
        </w:tc>
        <w:tc>
          <w:tcPr>
            <w:tcW w:w="33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32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0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0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3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Deferred income taxes as of each of the following periods reflect the net tax effects of temporary differences between the carrying amounts of assets and liabilities for financial reporting purposes and the amounts used for income tax purposes.</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201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Significant components of the Company’s net deferred tax asset or liability were as follows (in thousands):</w:t>
      </w:r>
    </w:p>
    <w:tbl>
      <w:tblPr>
        <w:tblW w:w="6402" w:type="dxa"/>
        <w:jc w:val="center"/>
        <w:tblInd w:w="0" w:type="dxa"/>
        <w:tblCellMar>
          <w:top w:w="0" w:type="dxa"/>
          <w:left w:w="0" w:type="dxa"/>
          <w:bottom w:w="0" w:type="dxa"/>
          <w:right w:w="0" w:type="dxa"/>
        </w:tblCellMar>
      </w:tblPr>
      <w:tblGrid>
        <w:gridCol w:w="3661"/>
        <w:gridCol w:w="326"/>
        <w:gridCol w:w="211"/>
        <w:gridCol w:w="811"/>
        <w:gridCol w:w="326"/>
        <w:gridCol w:w="211"/>
        <w:gridCol w:w="856"/>
      </w:tblGrid>
      <w:tr>
        <w:trPr/>
        <w:tc>
          <w:tcPr>
            <w:tcW w:w="3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324735" cy="175260"/>
                      <wp:effectExtent l="0" t="0" r="0" b="0"/>
                      <wp:wrapNone/>
                      <wp:docPr id="295" name="Frame253"/>
                      <a:graphic xmlns:a="http://schemas.openxmlformats.org/drawingml/2006/main">
                        <a:graphicData uri="http://schemas.microsoft.com/office/word/2010/wordprocessingShape">
                          <wps:wsp>
                            <wps:cNvSpPr txBox="1"/>
                            <wps:spPr>
                              <a:xfrm>
                                <a:off x="0" y="0"/>
                                <a:ext cx="2324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6" name="Frame2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7" name="Frame25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514985" cy="175260"/>
                      <wp:effectExtent l="0" t="0" r="0" b="0"/>
                      <wp:wrapNone/>
                      <wp:docPr id="298" name="Frame256"/>
                      <a:graphic xmlns:a="http://schemas.openxmlformats.org/drawingml/2006/main">
                        <a:graphicData uri="http://schemas.microsoft.com/office/word/2010/wordprocessingShape">
                          <wps:wsp>
                            <wps:cNvSpPr txBox="1"/>
                            <wps:spPr>
                              <a:xfrm>
                                <a:off x="0" y="0"/>
                                <a:ext cx="514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07010" cy="175260"/>
                      <wp:effectExtent l="0" t="0" r="0" b="0"/>
                      <wp:wrapNone/>
                      <wp:docPr id="299" name="Frame2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33985" cy="175260"/>
                      <wp:effectExtent l="0" t="0" r="0" b="0"/>
                      <wp:wrapNone/>
                      <wp:docPr id="300" name="Frame25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544195" cy="175260"/>
                      <wp:effectExtent l="0" t="0" r="0" b="0"/>
                      <wp:wrapNone/>
                      <wp:docPr id="301" name="Frame259"/>
                      <a:graphic xmlns:a="http://schemas.openxmlformats.org/drawingml/2006/main">
                        <a:graphicData uri="http://schemas.microsoft.com/office/word/2010/wordprocessingShape">
                          <wps:wsp>
                            <wps:cNvSpPr txBox="1"/>
                            <wps:spPr>
                              <a:xfrm>
                                <a:off x="0" y="0"/>
                                <a:ext cx="5441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66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    </w:t>
            </w:r>
          </w:p>
        </w:tc>
        <w:tc>
          <w:tcPr>
            <w:tcW w:w="2415" w:type="dxa"/>
            <w:gridSpan w:val="5"/>
            <w:tcBorders>
              <w:top w:val="single" w:sz="2" w:space="0" w:color="000000"/>
            </w:tcBorders>
            <w:shd w:fill="auto" w:val="clear"/>
            <w:tcMar>
              <w:top w:w="28" w:type="dxa"/>
            </w:tcMar>
            <w:vAlign w:val="center"/>
          </w:tcPr>
          <w:p>
            <w:pPr>
              <w:pStyle w:val="TableContents"/>
              <w:spacing w:before="0" w:after="1"/>
              <w:ind w:left="0" w:right="0" w:hanging="0"/>
              <w:jc w:val="center"/>
              <w:rPr/>
            </w:pPr>
            <w:r>
              <w:rPr/>
              <w:t>​</w:t>
            </w:r>
          </w:p>
        </w:tc>
      </w:tr>
      <w:tr>
        <w:trPr/>
        <w:tc>
          <w:tcPr>
            <w:tcW w:w="36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41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6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2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1"/>
              <w:ind w:left="0" w:right="0" w:hanging="0"/>
              <w:rPr/>
            </w:pPr>
            <w:r>
              <w:rPr/>
              <w:t>    </w:t>
            </w:r>
          </w:p>
        </w:tc>
        <w:tc>
          <w:tcPr>
            <w:tcW w:w="106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36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Net operating loss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18,918</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5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14,501</w:t>
            </w:r>
          </w:p>
        </w:tc>
      </w:tr>
      <w:tr>
        <w:trPr/>
        <w:tc>
          <w:tcPr>
            <w:tcW w:w="366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Compensation</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1,336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779</w:t>
            </w:r>
          </w:p>
        </w:tc>
      </w:tr>
      <w:tr>
        <w:trPr/>
        <w:tc>
          <w:tcPr>
            <w:tcW w:w="36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Research and experimentation expenses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5,986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856" w:type="dxa"/>
            <w:tcBorders/>
            <w:shd w:fill="CCEEFF" w:val="clear"/>
            <w:vAlign w:val="center"/>
          </w:tcPr>
          <w:p>
            <w:pPr>
              <w:pStyle w:val="TableContents"/>
              <w:spacing w:before="0" w:after="1"/>
              <w:ind w:left="0" w:right="0" w:hanging="0"/>
              <w:jc w:val="right"/>
              <w:rPr/>
            </w:pPr>
            <w:r>
              <w:rPr/>
              <w:t>—</w:t>
            </w:r>
          </w:p>
        </w:tc>
      </w:tr>
      <w:tr>
        <w:trPr/>
        <w:tc>
          <w:tcPr>
            <w:tcW w:w="366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Property and equipment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pPr>
            <w:r>
              <w:rPr/>
              <w:t>—</w:t>
            </w:r>
          </w:p>
        </w:tc>
      </w:tr>
      <w:tr>
        <w:trPr/>
        <w:tc>
          <w:tcPr>
            <w:tcW w:w="36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Operating lease liability</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146</w:t>
            </w:r>
          </w:p>
        </w:tc>
      </w:tr>
      <w:tr>
        <w:trPr/>
        <w:tc>
          <w:tcPr>
            <w:tcW w:w="366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Related party accrued expenses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1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651</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85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1,128</w:t>
            </w:r>
          </w:p>
        </w:tc>
      </w:tr>
      <w:tr>
        <w:trPr/>
        <w:tc>
          <w:tcPr>
            <w:tcW w:w="36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Other</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66</w:t>
            </w:r>
          </w:p>
        </w:tc>
      </w:tr>
      <w:tr>
        <w:trPr/>
        <w:tc>
          <w:tcPr>
            <w:tcW w:w="366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Research credits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866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320</w:t>
            </w:r>
          </w:p>
        </w:tc>
      </w:tr>
      <w:tr>
        <w:trPr/>
        <w:tc>
          <w:tcPr>
            <w:tcW w:w="36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deferred tax assets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27,906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16,940</w:t>
            </w:r>
          </w:p>
        </w:tc>
      </w:tr>
      <w:tr>
        <w:trPr/>
        <w:tc>
          <w:tcPr>
            <w:tcW w:w="366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Valuation allowance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(27,740)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(16,797)</w:t>
            </w:r>
          </w:p>
        </w:tc>
      </w:tr>
      <w:tr>
        <w:trPr/>
        <w:tc>
          <w:tcPr>
            <w:tcW w:w="36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Net deferred tax assets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166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143</w:t>
            </w:r>
          </w:p>
        </w:tc>
      </w:tr>
      <w:tr>
        <w:trPr/>
        <w:tc>
          <w:tcPr>
            <w:tcW w:w="36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1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856" w:type="dxa"/>
            <w:tcBorders/>
            <w:shd w:fill="auto" w:val="clear"/>
            <w:vAlign w:val="center"/>
          </w:tcPr>
          <w:p>
            <w:pPr>
              <w:pStyle w:val="TableContents"/>
              <w:spacing w:before="0" w:after="1"/>
              <w:ind w:left="0" w:right="0" w:hanging="0"/>
              <w:jc w:val="right"/>
              <w:rPr/>
            </w:pPr>
            <w:r>
              <w:rPr/>
              <w:t>​</w:t>
            </w:r>
          </w:p>
        </w:tc>
      </w:tr>
      <w:tr>
        <w:trPr/>
        <w:tc>
          <w:tcPr>
            <w:tcW w:w="36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Right-of-use assets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1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(43)</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85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(143)</w:t>
            </w:r>
          </w:p>
        </w:tc>
      </w:tr>
      <w:tr>
        <w:trPr/>
        <w:tc>
          <w:tcPr>
            <w:tcW w:w="366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Unrealized gains and losses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1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(63)</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85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6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Total deferred tax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(106)</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5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(143)</w:t>
            </w:r>
          </w:p>
        </w:tc>
      </w:tr>
      <w:tr>
        <w:trPr/>
        <w:tc>
          <w:tcPr>
            <w:tcW w:w="366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Net deferred tax assets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1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c>
          <w:tcPr>
            <w:tcW w:w="856"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366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5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Realization of the Company’s deferred tax assets is dependent upon the Company generating sufficient taxable income in future years to obtain benefit from the reversal of temporary differences.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Management considered all available evidence under existing tax law and anticipated expiration of tax statutes and determined that a valuation allowance of $27.7 million and $16.8 million was required as of December 31, 2022 and 2021, respectively for those deferred tax assets that are not expected to provide future tax benefits.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of December 31, 2022, the Company had available net operating loss carryforwards of $66.4 million for federal income tax purposes, all of which were generated after 2017. The federal net operating loss carryforwards are not subject to expiration.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of December 31, 2022, the net operating losses for state purposes was $74.6 million and will begin to expire in 2037 if not utilized.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of December 31, 2022, the net operating losses for Australia purposes was $0.2 million and are not subject to expiration.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of December 31, 2022, the Company has federal and state income tax credit carryforwards, net of reserves, of $0.6 million and $0.3 million, respectively. The federal credit carryovers begin to expire in 2029 and the state credit carryovers do not expire.</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 Company has not completed a study to determine whether any ownership change per the provisions of Section 382 of the Internal Revenue Code of 1986, as amended (the “Code”), as well as similar state provisions, has occurred. Utilization of the Company’s net operating loss and income tax credit carryforwards may be subject to a substantial annual limitation due to ownership changes that may have occurred or that could occur in the future. These ownership changes may limit the amount of the net operating loss and income tax credit carryover that can be utilized annually to offset future taxable income. In general, an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202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pPr>
      <w:r>
        <w:rPr/>
        <w:t>“</w:t>
      </w:r>
      <w:r>
        <w:rPr>
          <w:rFonts w:ascii="Arial;Helvetica;sans-serif" w:hAnsi="Arial;Helvetica;sans-serif"/>
          <w:sz w:val="20"/>
        </w:rPr>
        <w:t>ownership change” as defined by Section 382 of the Code results from a transaction or series of transactions over a three-year period resulting in an ownership change of more than 50% of the outstanding ordinary shares of a company by certain shareholders.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Uncertain Tax Positions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accordance with authoritative guidance,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The Company does not anticipate that there will be a substantial change in unrecognized tax benefits within the next 12 months.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following table reconciles the change in unrecognized tax benefits for the years as follows (in thousands):</w:t>
      </w:r>
    </w:p>
    <w:tbl>
      <w:tblPr>
        <w:tblW w:w="6372" w:type="dxa"/>
        <w:jc w:val="left"/>
        <w:tblInd w:w="0" w:type="dxa"/>
        <w:tblCellMar>
          <w:top w:w="0" w:type="dxa"/>
          <w:left w:w="0" w:type="dxa"/>
          <w:bottom w:w="0" w:type="dxa"/>
          <w:right w:w="0" w:type="dxa"/>
        </w:tblCellMar>
      </w:tblPr>
      <w:tblGrid>
        <w:gridCol w:w="4396"/>
        <w:gridCol w:w="326"/>
        <w:gridCol w:w="211"/>
        <w:gridCol w:w="436"/>
        <w:gridCol w:w="326"/>
        <w:gridCol w:w="211"/>
        <w:gridCol w:w="466"/>
      </w:tblGrid>
      <w:tr>
        <w:trPr/>
        <w:tc>
          <w:tcPr>
            <w:tcW w:w="43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791460" cy="175260"/>
                      <wp:effectExtent l="0" t="0" r="0" b="0"/>
                      <wp:wrapNone/>
                      <wp:docPr id="302" name="Frame260"/>
                      <a:graphic xmlns:a="http://schemas.openxmlformats.org/drawingml/2006/main">
                        <a:graphicData uri="http://schemas.microsoft.com/office/word/2010/wordprocessingShape">
                          <wps:wsp>
                            <wps:cNvSpPr txBox="1"/>
                            <wps:spPr>
                              <a:xfrm>
                                <a:off x="0" y="0"/>
                                <a:ext cx="2791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3" name="Frame2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26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76860" cy="175260"/>
                      <wp:effectExtent l="0" t="0" r="0" b="0"/>
                      <wp:wrapNone/>
                      <wp:docPr id="305" name="Frame263"/>
                      <a:graphic xmlns:a="http://schemas.openxmlformats.org/drawingml/2006/main">
                        <a:graphicData uri="http://schemas.microsoft.com/office/word/2010/wordprocessingShape">
                          <wps:wsp>
                            <wps:cNvSpPr txBox="1"/>
                            <wps:spPr>
                              <a:xfrm>
                                <a:off x="0" y="0"/>
                                <a:ext cx="276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6" name="Frame2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33985" cy="175260"/>
                      <wp:effectExtent l="0" t="0" r="0" b="0"/>
                      <wp:wrapNone/>
                      <wp:docPr id="307" name="Frame26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95910" cy="175260"/>
                      <wp:effectExtent l="0" t="0" r="0" b="0"/>
                      <wp:wrapNone/>
                      <wp:docPr id="308" name="Frame266"/>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9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1650" w:type="dxa"/>
            <w:gridSpan w:val="5"/>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r>
      <w:tr>
        <w:trPr/>
        <w:tc>
          <w:tcPr>
            <w:tcW w:w="43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5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43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0"/>
              <w:ind w:left="0" w:right="0" w:hanging="0"/>
              <w:rPr/>
            </w:pPr>
            <w:r>
              <w:rPr/>
              <w:t>    </w:t>
            </w:r>
          </w:p>
        </w:tc>
        <w:tc>
          <w:tcPr>
            <w:tcW w:w="67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439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Beginning of year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43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466" w:type="dxa"/>
            <w:tcBorders/>
            <w:shd w:fill="CCEEFF" w:val="clear"/>
            <w:vAlign w:val="center"/>
          </w:tcPr>
          <w:p>
            <w:pPr>
              <w:pStyle w:val="TableContents"/>
              <w:spacing w:before="0" w:after="0"/>
              <w:ind w:left="0" w:right="0" w:hanging="0"/>
              <w:jc w:val="right"/>
              <w:rPr/>
            </w:pPr>
            <w:r>
              <w:rPr/>
              <w:t>—</w:t>
            </w:r>
          </w:p>
        </w:tc>
      </w:tr>
      <w:tr>
        <w:trPr/>
        <w:tc>
          <w:tcPr>
            <w:tcW w:w="439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Additions for tax positions related to current year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43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46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96</w:t>
            </w:r>
          </w:p>
        </w:tc>
      </w:tr>
      <w:tr>
        <w:trPr/>
        <w:tc>
          <w:tcPr>
            <w:tcW w:w="439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Additions for tax positions related to prior years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4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46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w:t>
            </w:r>
          </w:p>
        </w:tc>
      </w:tr>
      <w:tr>
        <w:trPr/>
        <w:tc>
          <w:tcPr>
            <w:tcW w:w="439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Reductions for tax positions related to prior years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6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439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End of year</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4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289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46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107</w:t>
            </w:r>
          </w:p>
        </w:tc>
      </w:tr>
      <w:tr>
        <w:trPr/>
        <w:tc>
          <w:tcPr>
            <w:tcW w:w="43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3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46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total unrecognized tax benefits do not impact the Company’s effective tax rate. The Company does not anticipate that there will be a substantial change in unrecognized tax benefits within the next twelve months.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recognizes interest and penalties related to unrecognized tax positions within the income tax expense line in the accompanying consolidated statements of operations and comprehensive loss. There were no accrued interest and penalties associated with uncertain tax positions as of December 31, 2022 and 2021.</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and its subsidiaries are subject to U.S. federal, state and foreign income tax, and in the normal course of business, its income tax returns are subject to examination by the relevant taxing authorities. As of December 31, 2022, the 2017 to 2021 tax years remained subject to examination in the U.S. federal tax and various state tax jurisdictions. The Company is not currently under examination by federal, state, or foreign jurisdictions.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Indefinite Reinvestment of Foreign Earnings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considers the earnings of certain subsidiaries to be indefinitely invested outside the Cayman Islands on the basis of estimates that future domestic cash generation will be sufficient to meet future domestic cash needs and the specific plans for reinvestment of those subsidiary earnings. The Company has not recorded a deferred tax liability related to the income taxes and foreign withholding taxes on indefinitely reinvested undistributed earnings of foreign subsidiaries. If the Company decides to repatriate the foreign earnings, it would need to adjust the income tax provision in the period it was determined that the earnings would no longer be indefinitely invested outside the Cayman Islands. The Company’s subsidiaries in the United States do not have undistributed earnings to distribute. As of December 31, 2022, a subsidiary in China has $0.7 million of undistributed earnings which would be subject to a 10% withholding tax if distributed.</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203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On December 22, 2017 the legislation commonly known as the Tax Cuts and Jobs Act ("TCJA") was signed into law. The TCJA resulted in significant changes to the treatment of research or experimental (“R&amp;E”) expenditures under Internal Revenue Code Section 174. For tax years beginning after December 31, 2021, taxpayers are required to capitalize and amortize all R&amp;E expenditures that are paid or incurred in connection with their trade or business which represent costs in the experimental or laboratory sense. Specifically, costs for U.S.-based R&amp;E activities must be amortized over five years and costs for foreign R&amp;E activities must be amortized over 15 years; both using a midyear convention. In 2022, the Company has capitalized $30.1 million of research and development costs. After amortization, there remains a future temporary deductible item in the amount of $28.5 million.</w:t>
      </w:r>
    </w:p>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13. Net Loss Per Share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following table sets forth the computation of basic and diluted net loss per share attributable to ordinary shareholders, which excludes unvested restricted shares and shares which are legally outstanding, but subject to repurchase by the Company (in thousands, except share and per share amounts):</w:t>
      </w:r>
    </w:p>
    <w:tbl>
      <w:tblPr>
        <w:tblW w:w="10205" w:type="dxa"/>
        <w:jc w:val="center"/>
        <w:tblInd w:w="0" w:type="dxa"/>
        <w:tblCellMar>
          <w:top w:w="0" w:type="dxa"/>
          <w:left w:w="0" w:type="dxa"/>
          <w:bottom w:w="0" w:type="dxa"/>
          <w:right w:w="0" w:type="dxa"/>
        </w:tblCellMar>
      </w:tblPr>
      <w:tblGrid>
        <w:gridCol w:w="7509"/>
        <w:gridCol w:w="326"/>
        <w:gridCol w:w="211"/>
        <w:gridCol w:w="788"/>
        <w:gridCol w:w="326"/>
        <w:gridCol w:w="211"/>
        <w:gridCol w:w="834"/>
      </w:tblGrid>
      <w:tr>
        <w:trPr/>
        <w:tc>
          <w:tcPr>
            <w:tcW w:w="75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768215" cy="175260"/>
                      <wp:effectExtent l="0" t="0" r="0" b="0"/>
                      <wp:wrapNone/>
                      <wp:docPr id="309" name="Frame267"/>
                      <a:graphic xmlns:a="http://schemas.openxmlformats.org/drawingml/2006/main">
                        <a:graphicData uri="http://schemas.microsoft.com/office/word/2010/wordprocessingShape">
                          <wps:wsp>
                            <wps:cNvSpPr txBox="1"/>
                            <wps:spPr>
                              <a:xfrm>
                                <a:off x="0" y="0"/>
                                <a:ext cx="4768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2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11" name="Frame26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500380" cy="175260"/>
                      <wp:effectExtent l="0" t="0" r="0" b="0"/>
                      <wp:wrapNone/>
                      <wp:docPr id="312" name="Frame270"/>
                      <a:graphic xmlns:a="http://schemas.openxmlformats.org/drawingml/2006/main">
                        <a:graphicData uri="http://schemas.microsoft.com/office/word/2010/wordprocessingShape">
                          <wps:wsp>
                            <wps:cNvSpPr txBox="1"/>
                            <wps:spPr>
                              <a:xfrm>
                                <a:off x="0" y="0"/>
                                <a:ext cx="5003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2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4" name="Frame27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529590" cy="175260"/>
                      <wp:effectExtent l="0" t="0" r="0" b="0"/>
                      <wp:wrapNone/>
                      <wp:docPr id="315" name="Frame273"/>
                      <a:graphic xmlns:a="http://schemas.openxmlformats.org/drawingml/2006/main">
                        <a:graphicData uri="http://schemas.microsoft.com/office/word/2010/wordprocessingShape">
                          <wps:wsp>
                            <wps:cNvSpPr txBox="1"/>
                            <wps:spPr>
                              <a:xfrm>
                                <a:off x="0" y="0"/>
                                <a:ext cx="5295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509"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2370" w:type="dxa"/>
            <w:gridSpan w:val="5"/>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r>
      <w:tr>
        <w:trPr/>
        <w:tc>
          <w:tcPr>
            <w:tcW w:w="75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70" w:type="dxa"/>
            <w:gridSpan w:val="5"/>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YEAR ENDED </w:t>
            </w:r>
          </w:p>
        </w:tc>
      </w:tr>
      <w:tr>
        <w:trPr/>
        <w:tc>
          <w:tcPr>
            <w:tcW w:w="75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7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7509"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0"/>
              <w:ind w:left="0" w:right="0" w:hanging="0"/>
              <w:rPr/>
            </w:pPr>
            <w:r>
              <w:rPr/>
              <w:t>    </w:t>
            </w:r>
          </w:p>
        </w:tc>
        <w:tc>
          <w:tcPr>
            <w:tcW w:w="104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7509"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Numerator:</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88"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834" w:type="dxa"/>
            <w:tcBorders/>
            <w:shd w:fill="CCEEFF" w:val="clear"/>
            <w:vAlign w:val="center"/>
          </w:tcPr>
          <w:p>
            <w:pPr>
              <w:pStyle w:val="TableContents"/>
              <w:spacing w:before="0" w:after="0"/>
              <w:ind w:left="0" w:right="0" w:hanging="0"/>
              <w:jc w:val="right"/>
              <w:rPr/>
            </w:pPr>
            <w:r>
              <w:rPr/>
              <w:t>  </w:t>
            </w:r>
          </w:p>
        </w:tc>
      </w:tr>
      <w:tr>
        <w:trPr/>
        <w:tc>
          <w:tcPr>
            <w:tcW w:w="7509"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Net loss attributable to ordinary shareholders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88"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(51,321)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34"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(38,049)</w:t>
            </w:r>
          </w:p>
        </w:tc>
      </w:tr>
      <w:tr>
        <w:trPr/>
        <w:tc>
          <w:tcPr>
            <w:tcW w:w="7509"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Accretion of redeemable convertible preferred shares to their redemption value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(1,515)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34"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(3,757)</w:t>
            </w:r>
          </w:p>
        </w:tc>
      </w:tr>
      <w:tr>
        <w:trPr/>
        <w:tc>
          <w:tcPr>
            <w:tcW w:w="7509"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Excess of the fair value of the consideration paid over the carrying value of NCI</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8"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3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(1,959)</w:t>
            </w:r>
          </w:p>
        </w:tc>
      </w:tr>
      <w:tr>
        <w:trPr/>
        <w:tc>
          <w:tcPr>
            <w:tcW w:w="7509"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Net loss attributable to ordinary shareholders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8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(52,836)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3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(43,765)</w:t>
            </w:r>
          </w:p>
        </w:tc>
      </w:tr>
      <w:tr>
        <w:trPr/>
        <w:tc>
          <w:tcPr>
            <w:tcW w:w="7509"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Denominator: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8"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834" w:type="dxa"/>
            <w:tcBorders/>
            <w:shd w:fill="auto" w:val="clear"/>
            <w:vAlign w:val="center"/>
          </w:tcPr>
          <w:p>
            <w:pPr>
              <w:pStyle w:val="TableContents"/>
              <w:spacing w:before="0" w:after="0"/>
              <w:ind w:left="0" w:right="0" w:hanging="0"/>
              <w:jc w:val="right"/>
              <w:rPr/>
            </w:pPr>
            <w:r>
              <w:rPr/>
              <w:t>  </w:t>
            </w:r>
          </w:p>
        </w:tc>
      </w:tr>
      <w:tr>
        <w:trPr/>
        <w:tc>
          <w:tcPr>
            <w:tcW w:w="7509"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Weighted-average ordinary shares outstanding</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8"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10,933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34"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10,889</w:t>
            </w:r>
          </w:p>
        </w:tc>
      </w:tr>
      <w:tr>
        <w:trPr/>
        <w:tc>
          <w:tcPr>
            <w:tcW w:w="7509"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Less: weighted-average unvested restricted ordinary shares subject to repurchase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(1,349)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3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(2,748)</w:t>
            </w:r>
          </w:p>
        </w:tc>
      </w:tr>
      <w:tr>
        <w:trPr/>
        <w:tc>
          <w:tcPr>
            <w:tcW w:w="7509"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Weighted-average ordinary shares used in computing net loss per share attributable to ordinary shareholders, basic and diluted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9,584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3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8,141</w:t>
            </w:r>
          </w:p>
        </w:tc>
      </w:tr>
      <w:tr>
        <w:trPr/>
        <w:tc>
          <w:tcPr>
            <w:tcW w:w="7509"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Net loss per share attributable to ordinary shareholders, basic and diluted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78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(5.51)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83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(5.38)</w:t>
            </w:r>
          </w:p>
        </w:tc>
      </w:tr>
      <w:tr>
        <w:trPr/>
        <w:tc>
          <w:tcPr>
            <w:tcW w:w="750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8"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3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following outstanding shares of potentially dilutive securities were excluded from the computation of diluted net loss per share attributable to ordinary shareholders for the periods presented because including them would have been antidilutive (in thousands):</w:t>
      </w:r>
    </w:p>
    <w:tbl>
      <w:tblPr>
        <w:tblW w:w="5860" w:type="dxa"/>
        <w:jc w:val="left"/>
        <w:tblInd w:w="0" w:type="dxa"/>
        <w:tblCellMar>
          <w:top w:w="0" w:type="dxa"/>
          <w:left w:w="0" w:type="dxa"/>
          <w:bottom w:w="0" w:type="dxa"/>
          <w:right w:w="0" w:type="dxa"/>
        </w:tblCellMar>
      </w:tblPr>
      <w:tblGrid>
        <w:gridCol w:w="3781"/>
        <w:gridCol w:w="326"/>
        <w:gridCol w:w="691"/>
        <w:gridCol w:w="326"/>
        <w:gridCol w:w="736"/>
      </w:tblGrid>
      <w:tr>
        <w:trPr/>
        <w:tc>
          <w:tcPr>
            <w:tcW w:w="3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400935" cy="175260"/>
                      <wp:effectExtent l="0" t="0" r="0" b="0"/>
                      <wp:wrapNone/>
                      <wp:docPr id="316" name="Frame274"/>
                      <a:graphic xmlns:a="http://schemas.openxmlformats.org/drawingml/2006/main">
                        <a:graphicData uri="http://schemas.microsoft.com/office/word/2010/wordprocessingShape">
                          <wps:wsp>
                            <wps:cNvSpPr txBox="1"/>
                            <wps:spPr>
                              <a:xfrm>
                                <a:off x="0" y="0"/>
                                <a:ext cx="2400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7" name="Frame2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38785" cy="175260"/>
                      <wp:effectExtent l="0" t="0" r="0" b="0"/>
                      <wp:wrapNone/>
                      <wp:docPr id="318" name="Frame276"/>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2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467360" cy="175260"/>
                      <wp:effectExtent l="0" t="0" r="0" b="0"/>
                      <wp:wrapNone/>
                      <wp:docPr id="320" name="Frame278"/>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78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    </w:t>
            </w:r>
          </w:p>
        </w:tc>
        <w:tc>
          <w:tcPr>
            <w:tcW w:w="1753" w:type="dxa"/>
            <w:gridSpan w:val="3"/>
            <w:tcBorders>
              <w:top w:val="single" w:sz="2" w:space="0" w:color="000000"/>
            </w:tcBorders>
            <w:shd w:fill="auto" w:val="clear"/>
            <w:tcMar>
              <w:top w:w="28" w:type="dxa"/>
            </w:tcMar>
            <w:vAlign w:val="center"/>
          </w:tcPr>
          <w:p>
            <w:pPr>
              <w:pStyle w:val="TableContents"/>
              <w:spacing w:before="0" w:after="0"/>
              <w:ind w:left="0" w:right="0" w:hanging="0"/>
              <w:jc w:val="center"/>
              <w:rPr/>
            </w:pPr>
            <w:r>
              <w:rPr/>
              <w:t>​</w:t>
            </w:r>
          </w:p>
        </w:tc>
      </w:tr>
      <w:tr>
        <w:trPr/>
        <w:tc>
          <w:tcPr>
            <w:tcW w:w="3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753" w:type="dxa"/>
            <w:gridSpan w:val="3"/>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 xml:space="preserve">YEAR ENDED </w:t>
            </w:r>
          </w:p>
        </w:tc>
      </w:tr>
      <w:tr>
        <w:trPr/>
        <w:tc>
          <w:tcPr>
            <w:tcW w:w="3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75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 </w:t>
            </w:r>
          </w:p>
        </w:tc>
      </w:tr>
      <w:tr>
        <w:trPr/>
        <w:tc>
          <w:tcPr>
            <w:tcW w:w="3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0"/>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378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Redeemable convertible preferred shares</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67,018</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58,863</w:t>
            </w:r>
          </w:p>
        </w:tc>
      </w:tr>
      <w:tr>
        <w:trPr/>
        <w:tc>
          <w:tcPr>
            <w:tcW w:w="378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Options to purchase ordinary shares</w:t>
            </w:r>
          </w:p>
        </w:tc>
        <w:tc>
          <w:tcPr>
            <w:tcW w:w="32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7,612</w:t>
            </w:r>
          </w:p>
        </w:tc>
        <w:tc>
          <w:tcPr>
            <w:tcW w:w="326"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4,646</w:t>
            </w:r>
          </w:p>
        </w:tc>
      </w:tr>
      <w:tr>
        <w:trPr/>
        <w:tc>
          <w:tcPr>
            <w:tcW w:w="378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Ordinary share warrants</w:t>
            </w:r>
          </w:p>
        </w:tc>
        <w:tc>
          <w:tcPr>
            <w:tcW w:w="32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112</w:t>
            </w:r>
          </w:p>
        </w:tc>
        <w:tc>
          <w:tcPr>
            <w:tcW w:w="326" w:type="dxa"/>
            <w:tcBorders/>
            <w:shd w:fill="CCEEFF" w:val="clear"/>
            <w:vAlign w:val="center"/>
          </w:tcPr>
          <w:p>
            <w:pPr>
              <w:pStyle w:val="TableContents"/>
              <w:spacing w:before="0" w:after="0"/>
              <w:ind w:left="0" w:right="0" w:hanging="0"/>
              <w:rPr/>
            </w:pPr>
            <w:r>
              <w:rPr/>
              <w:t> </w:t>
            </w:r>
          </w:p>
        </w:tc>
        <w:tc>
          <w:tcPr>
            <w:tcW w:w="73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135</w:t>
            </w:r>
          </w:p>
        </w:tc>
      </w:tr>
      <w:tr>
        <w:trPr/>
        <w:tc>
          <w:tcPr>
            <w:tcW w:w="378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Unvested restricted ordinary share awards</w:t>
            </w:r>
          </w:p>
        </w:tc>
        <w:tc>
          <w:tcPr>
            <w:tcW w:w="326" w:type="dxa"/>
            <w:tcBorders/>
            <w:shd w:fill="auto" w:val="clear"/>
            <w:vAlign w:val="center"/>
          </w:tcPr>
          <w:p>
            <w:pPr>
              <w:pStyle w:val="TableContents"/>
              <w:spacing w:before="0" w:after="0"/>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327</w:t>
            </w:r>
          </w:p>
        </w:tc>
        <w:tc>
          <w:tcPr>
            <w:tcW w:w="326" w:type="dxa"/>
            <w:tcBorders/>
            <w:shd w:fill="auto" w:val="clear"/>
            <w:vAlign w:val="center"/>
          </w:tcPr>
          <w:p>
            <w:pPr>
              <w:pStyle w:val="TableContents"/>
              <w:spacing w:before="0" w:after="0"/>
              <w:ind w:left="0" w:right="0" w:hanging="0"/>
              <w:rPr/>
            </w:pPr>
            <w:r>
              <w:rPr/>
              <w:t> </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1,513</w:t>
            </w:r>
          </w:p>
        </w:tc>
      </w:tr>
      <w:tr>
        <w:trPr/>
        <w:tc>
          <w:tcPr>
            <w:tcW w:w="378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spacing w:before="0" w:after="0"/>
              <w:ind w:left="0" w:right="0" w:hanging="0"/>
              <w:rPr/>
            </w:pPr>
            <w:r>
              <w:rPr/>
              <w:t> </w:t>
            </w:r>
          </w:p>
        </w:tc>
        <w:tc>
          <w:tcPr>
            <w:tcW w:w="6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75,069</w:t>
            </w:r>
          </w:p>
        </w:tc>
        <w:tc>
          <w:tcPr>
            <w:tcW w:w="326" w:type="dxa"/>
            <w:tcBorders/>
            <w:shd w:fill="CCEEFF" w:val="clear"/>
            <w:vAlign w:val="center"/>
          </w:tcPr>
          <w:p>
            <w:pPr>
              <w:pStyle w:val="TableContents"/>
              <w:spacing w:before="0" w:after="0"/>
              <w:ind w:left="0" w:right="0" w:hanging="0"/>
              <w:rPr/>
            </w:pPr>
            <w:r>
              <w:rPr/>
              <w:t> </w:t>
            </w:r>
          </w:p>
        </w:tc>
        <w:tc>
          <w:tcPr>
            <w:tcW w:w="7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65,157</w:t>
            </w:r>
          </w:p>
        </w:tc>
      </w:tr>
      <w:tr>
        <w:trPr/>
        <w:tc>
          <w:tcPr>
            <w:tcW w:w="378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3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pPr>
      <w:r>
        <w:rPr/>
        <w:t>​</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204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STRUCTURE THERAPEUTICS INC.</w:t>
      </w:r>
    </w:p>
    <w:p>
      <w:pPr>
        <w:pStyle w:val="TextBody"/>
        <w:spacing w:before="0" w:after="0"/>
        <w:ind w:left="0" w:right="0" w:hanging="0"/>
        <w:jc w:val="center"/>
        <w:rPr>
          <w:rFonts w:ascii="Arial;Helvetica;sans-serif" w:hAnsi="Arial;Helvetica;sans-serif"/>
          <w:sz w:val="20"/>
        </w:rPr>
      </w:pPr>
      <w:r>
        <w:rPr>
          <w:rFonts w:ascii="Arial;Helvetica;sans-serif" w:hAnsi="Arial;Helvetica;sans-serif"/>
          <w:sz w:val="20"/>
        </w:rPr>
        <w:t>NOTES TO FINANCIAL STATEMENTS (CONTINUED)</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14. Defined Contribution Plan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Company maintains a defined contribution plan under Section 401(k) of the Code covering substantially all full-time U.S. employees. Employee contributions are voluntary and are determined on an individual basis subject to the maximum allowable under federal tax regulations. For the year ended December 31, 2022, the Company started to make safe-harbor matching contributions of 100% of each dollar contributed by eligible employees, up to 4% of an employee’s eligible compensation. The Company may also make discretionary contributions to the 401(k) plan. During the year ended December 31, 2022, matching contributions were $0.2 million.</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15. Related Party Transactions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Ramy Farid, the President and Chief Executive Officer of Schrödinger, Inc. (“Schrödinger”) is a member of the Company’s board of directors. During the years ended December 31, 2022 and 2021, the Company had existing collaboration agreements to use the results provided by Schrödinger’s software platform for its research purposes. During the years ended December 31, 2022 and 2021, the Company paid $0.2 million and $0.7 million to Schrödinger, respectively, and had none and less than $0.1 million payable balance to Schrödinger as of December 31, 2022 and 2021, respectively.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As discussed in Note 8 during the year ended December 31, 2021, existing Company shareholders acquired a redeemable noncontrolling interest in Basecamp and ultimately exchanged that interest for Series B-1 redeemable convertible preferred shares of the Company.</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16. Subsequent Events</w:t>
      </w:r>
    </w:p>
    <w:p>
      <w:pPr>
        <w:pStyle w:val="TextBody"/>
        <w:spacing w:before="0" w:after="120"/>
        <w:ind w:left="0" w:right="0" w:hanging="0"/>
        <w:rPr>
          <w:rFonts w:ascii="Arial;Helvetica;sans-serif" w:hAnsi="Arial;Helvetica;sans-serif"/>
          <w:sz w:val="19"/>
        </w:rPr>
      </w:pPr>
      <w:r>
        <w:rPr>
          <w:rFonts w:ascii="Arial;Helvetica;sans-serif" w:hAnsi="Arial;Helvetica;sans-serif"/>
          <w:sz w:val="19"/>
        </w:rPr>
        <w:t>In January 2023, the Company’s board of directors approved share options for 3,550,000 ordinary shares to certain officers of the Company, which were granted under the 2023 Equity Incentive Plan on February 2, 2023. The exercise price per share of these share options are equal to $5.00, which is the fair market value of each ordinary share, based on the public offering price of $15.00 per ADS in the Company’s IPO. Each share option will vest over four years, subject to the executive’s continuous service through each vesting date. Of these share options granted, share options for 1,200,000 ordinary shares are subject to achievement of certain clinical milestones in the first year following grant.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205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120"/>
        <w:ind w:left="0" w:right="0" w:hanging="0"/>
        <w:rPr>
          <w:rFonts w:ascii="Arial;Helvetica;sans-serif" w:hAnsi="Arial;Helvetica;sans-serif"/>
          <w:b/>
          <w:sz w:val="20"/>
        </w:rPr>
      </w:pPr>
      <w:r>
        <w:rPr>
          <w:rFonts w:ascii="Arial;Helvetica;sans-serif" w:hAnsi="Arial;Helvetica;sans-serif"/>
          <w:b/>
          <w:sz w:val="20"/>
        </w:rPr>
        <w:t>Item 9. Changes in and Disagreements with Accountants on Accounting and Financial Disclosure.</w:t>
      </w:r>
      <w:bookmarkStart w:id="32" w:name="Item9_Changes_in_and_Disagreements"/>
      <w:bookmarkEnd w:id="32"/>
    </w:p>
    <w:p>
      <w:pPr>
        <w:pStyle w:val="TextBody"/>
        <w:spacing w:before="0" w:after="240"/>
        <w:ind w:left="0" w:right="0" w:hanging="0"/>
        <w:rPr>
          <w:rFonts w:ascii="Arial;Helvetica;sans-serif" w:hAnsi="Arial;Helvetica;sans-serif"/>
          <w:sz w:val="20"/>
        </w:rPr>
      </w:pPr>
      <w:r>
        <w:rPr>
          <w:rFonts w:ascii="Arial;Helvetica;sans-serif" w:hAnsi="Arial;Helvetica;sans-serif"/>
          <w:sz w:val="20"/>
        </w:rPr>
        <w:t>None.</w:t>
      </w:r>
    </w:p>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Item 9A. Controls and Procedures.</w:t>
      </w:r>
      <w:bookmarkStart w:id="33" w:name="Item9A_Controls_and_Procedures"/>
      <w:bookmarkEnd w:id="33"/>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Evaluation of Disclosure Controls and Procedures</w:t>
      </w:r>
    </w:p>
    <w:p>
      <w:pPr>
        <w:pStyle w:val="TextBody"/>
        <w:spacing w:before="0" w:after="240"/>
        <w:ind w:left="0" w:right="0" w:hanging="0"/>
        <w:rPr>
          <w:rFonts w:ascii="Arial;Helvetica;sans-serif" w:hAnsi="Arial;Helvetica;sans-serif"/>
          <w:sz w:val="20"/>
          <w:highlight w:val="white"/>
        </w:rPr>
      </w:pPr>
      <w:r>
        <w:rPr>
          <w:rFonts w:ascii="Arial;Helvetica;sans-serif" w:hAnsi="Arial;Helvetica;sans-serif"/>
          <w:sz w:val="20"/>
          <w:highlight w:val="white"/>
        </w:rPr>
        <w:t xml:space="preserve">Our management, with the participation of our Chief Executive Officer and our Chief Financial Officer, have evaluated the effectiveness of our disclosure controls and procedures (as defined in Rules 13a-15(e) and 15d-15(e) under the Exchange Act) as of the end of the period covered by this Annual Report on Form 10-K. These disclosure controls and procedures are designed to provide reasonable assurance that information required to be disclosed in the reports we file or submit under the Exchange Act is recorded, processed, summarized and reported within the time periods specified in the SEC rules and forms, and that such information is accumulated and communicated to our management, including our CEO and our CFO, to allow timely decisions regarding required disclosure. </w:t>
      </w:r>
    </w:p>
    <w:p>
      <w:pPr>
        <w:pStyle w:val="TextBody"/>
        <w:spacing w:before="0" w:after="240"/>
        <w:ind w:left="0" w:right="0" w:hanging="0"/>
        <w:rPr>
          <w:rFonts w:ascii="Arial;Helvetica;sans-serif" w:hAnsi="Arial;Helvetica;sans-serif"/>
          <w:sz w:val="20"/>
          <w:highlight w:val="white"/>
        </w:rPr>
      </w:pPr>
      <w:r>
        <w:rPr>
          <w:rFonts w:ascii="Arial;Helvetica;sans-serif" w:hAnsi="Arial;Helvetica;sans-serif"/>
          <w:sz w:val="20"/>
          <w:highlight w:val="white"/>
        </w:rPr>
        <w:t>Based on that evaluation, our Chief Executive Officer and our Chief Financial Officer have concluded that, as of December 31, 2022, our disclosure controls and procedures were not effective at the reasonable assurance level because of the material weaknesses in our internal control over financial reporting as described below.</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Material Weaknesses in Internal Controls Over Financial Reporting</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previously identified the material weaknesses in our internal control over financial reporting that continues to exists as of December 31, 2022.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 These material weaknesses are as follows: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did not design and maintain an effective control environment commensurate with our financial reporting requirements as we lacked a sufficient complement of professionals commensurate with our financial reporting requirements. Additionally, the lack of a sufficient number of professionals resulted in an inability to consistently establish appropriate authorities and responsibilities in pursuit of our financial reporting objectives, as demonstrated by, amongst other things, insufficient segregation of duties in our finance and accounting functions. This material weakness contributed to the following additional material weaknesses: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did not design and maintain effective controls to ensure adequate segregation of duties within our financial reporting function, including controls related to the procurement and payroll processes, journal entries and account reconciliations. Specifically, certain personnel have incompatible duties including the ability to (i) generate and approve invoices and authorize disbursements; (ii) add employees or modify employee data in the payroll system and authorize payments; (iii) create and post manual journal entries without an independent review; and (iv) prepare and review account reconciliations.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did not design and maintain effective controls over certain information technology (“IT”) general controls for information systems that are relevant to the preparation of our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and (iii) computer operations controls to ensure that processing of data and data backups and recovery are monitored.</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206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These material weaknesses did not result in any misstatements to the consolidated financial statements. However, these material weaknesses could result in a misstatement of substantially all of our accounts or disclosures that would result in a material misstatement to the annual or interim consolidated financial statements that would not be prevented or detected.</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Management’s Plan to Remediate the Material Weaknesses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have taken and will continue to take certain measures to remediate the material weaknesses described above.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have begun to hire additional accounting and IT personnel, including but not limited to the hiring of a senior director of SEC reporting and technical reporting in December 2021, director of finance and financial planning and analysis in February 2022 and director of information security in April 2022. In May 2022, we appointed our existing chief operating officer as our chief financial officer. In addition to the key hires, we have also engaged third-party consultants and advisors to assist us in designing and implementing controls necessary to remediate the material weakness, including formalization of our control environment using the criteria described in "Internal Control - Integrated Framework" (2013) issued by the Committee of Sponsoring Organizations of the Treadway Commission (“COSO”) , implementing segregation of duties in the areas described above which gave rise to the material weaknesses and implementation of key mitigating controls to address key risks, and establishing key IT general controls over relevant IT domains and key systems relevant to our financial reporting processes. 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 We are working to remediate the material weaknesses as efficiently and effectively as possible.</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Changes in Internal Controls Over Financial Reporting</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There were no changes in our internal controls over financial reporting identified in management’s evaluation pursuant to Rules 13a-15(f) or 15d-15(f) of the Exchange Act during our fourth quarter ended December 31, 2022 that materially affected, or are reasonably likely to materially affect, our internal control over financial reporting.</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Limitations on Effectiveness of Disclosure Controls and Procedures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A system of internal control over financial reporting is intended to provide reasonable assurance regarding the reliability of financial reporting and the preparation of financial statements in accordance with GAAP and no control system, no matter how well designed and operated, can provide absolute assurance. The design of any control system is based in part upon certain assumptions about the likelihood of future events, and there can be no assurance that any design will succeed in achieving its stated goals under all potential future conditions. Because of its inherent limitations, internal control over financial reporting may not prevent or detect financial statement errors and misstatements. Also, projection of any evaluation of effectiveness to future periods is subject to the risk that controls may become inadequate because of changes in conditions or that the degree of compliance with the policies or procedures may deteriorate. </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Management’s Annual Report on Internal Control Over Financial Reporting</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pStyle w:val="TextBody"/>
        <w:spacing w:before="0" w:after="240"/>
        <w:ind w:left="0" w:right="0" w:hanging="0"/>
        <w:rPr/>
      </w:pPr>
      <w:r>
        <w:rPr/>
        <w:t>​</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207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Item 9B. Other Information.</w:t>
      </w:r>
      <w:bookmarkStart w:id="34" w:name="Item9B_Other_Information"/>
      <w:bookmarkEnd w:id="34"/>
    </w:p>
    <w:p>
      <w:pPr>
        <w:pStyle w:val="TextBody"/>
        <w:spacing w:before="0" w:after="240"/>
        <w:ind w:left="0" w:right="0" w:hanging="0"/>
        <w:rPr>
          <w:rFonts w:ascii="Arial;Helvetica;sans-serif" w:hAnsi="Arial;Helvetica;sans-serif"/>
          <w:sz w:val="20"/>
        </w:rPr>
      </w:pPr>
      <w:r>
        <w:rPr>
          <w:rFonts w:ascii="Arial;Helvetica;sans-serif" w:hAnsi="Arial;Helvetica;sans-serif"/>
          <w:sz w:val="20"/>
        </w:rPr>
        <w:t>None.</w:t>
      </w:r>
    </w:p>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Item 9C. Disclosure Regarding Foreign Jurisdictions that Prevent Inspections.</w:t>
      </w:r>
      <w:bookmarkStart w:id="35" w:name="Item9C_Disclosure_Regarding_Foreign"/>
      <w:bookmarkEnd w:id="35"/>
    </w:p>
    <w:p>
      <w:pPr>
        <w:pStyle w:val="TextBody"/>
        <w:spacing w:before="0" w:after="240"/>
        <w:ind w:left="0" w:right="0" w:hanging="0"/>
        <w:rPr>
          <w:rFonts w:ascii="Arial;Helvetica;sans-serif" w:hAnsi="Arial;Helvetica;sans-serif"/>
          <w:sz w:val="20"/>
        </w:rPr>
      </w:pPr>
      <w:r>
        <w:rPr>
          <w:rFonts w:ascii="Arial;Helvetica;sans-serif" w:hAnsi="Arial;Helvetica;sans-serif"/>
          <w:sz w:val="20"/>
        </w:rPr>
        <w:t>Not Applicable.</w:t>
      </w:r>
    </w:p>
    <w:p>
      <w:pPr>
        <w:pStyle w:val="TextBody"/>
        <w:spacing w:before="0" w:after="240"/>
        <w:ind w:left="0" w:right="0" w:hanging="0"/>
        <w:rPr/>
      </w:pPr>
      <w:r>
        <w:rPr/>
        <w:t>​</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PART III</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Item 10. Directors, Executive Officers and Corporate Governance.</w:t>
      </w:r>
      <w:bookmarkStart w:id="36" w:name="Item10_Directors_Executive_Officers"/>
      <w:bookmarkEnd w:id="36"/>
    </w:p>
    <w:p>
      <w:pPr>
        <w:pStyle w:val="TextBody"/>
        <w:spacing w:before="0" w:after="240"/>
        <w:ind w:left="0" w:right="0" w:hanging="0"/>
        <w:rPr/>
      </w:pPr>
      <w:r>
        <w:rPr/>
        <w:t>​</w:t>
      </w:r>
    </w:p>
    <w:p>
      <w:pPr>
        <w:pStyle w:val="TextBody"/>
        <w:spacing w:lineRule="atLeast" w:line="200" w:before="240" w:after="0"/>
        <w:ind w:left="0" w:right="0" w:hanging="0"/>
        <w:rPr>
          <w:rFonts w:ascii="Arial Narrow" w:hAnsi="Arial Narrow"/>
          <w:b/>
          <w:i/>
          <w:sz w:val="19"/>
        </w:rPr>
      </w:pPr>
      <w:r>
        <w:rPr>
          <w:rFonts w:ascii="Arial Narrow" w:hAnsi="Arial Narrow"/>
          <w:b/>
          <w:i/>
          <w:sz w:val="19"/>
        </w:rPr>
        <w:t>Directors</w:t>
      </w:r>
      <w:r>
        <w:rPr>
          <w:rFonts w:ascii="Arial Narrow" w:hAnsi="Arial Narrow"/>
          <w:b/>
          <w:i/>
          <w:caps w:val="false"/>
          <w:smallCaps w:val="false"/>
          <w:sz w:val="19"/>
        </w:rPr>
        <w:t xml:space="preserve"> </w:t>
      </w:r>
    </w:p>
    <w:p>
      <w:pPr>
        <w:pStyle w:val="TextBody"/>
        <w:spacing w:lineRule="atLeast" w:line="220" w:before="360" w:after="0"/>
        <w:ind w:left="0" w:right="0" w:hanging="0"/>
        <w:rPr>
          <w:rFonts w:ascii="Arial;Helvetica;sans-serif" w:hAnsi="Arial;Helvetica;sans-serif"/>
          <w:sz w:val="19"/>
        </w:rPr>
      </w:pPr>
      <w:r>
        <w:rPr>
          <w:rFonts w:ascii="Arial;Helvetica;sans-serif" w:hAnsi="Arial;Helvetica;sans-serif"/>
          <w:sz w:val="19"/>
        </w:rPr>
        <w:t xml:space="preserve">The following table sets forth information regarding our directors as of the date of this Annual Report: </w:t>
      </w:r>
    </w:p>
    <w:p>
      <w:pPr>
        <w:pStyle w:val="TextBody"/>
        <w:spacing w:lineRule="atLeast" w:line="180" w:before="0" w:after="0"/>
        <w:ind w:left="0" w:right="0" w:hanging="0"/>
        <w:rPr/>
      </w:pPr>
      <w:r>
        <w:rPr/>
        <w:t>​</w:t>
      </w:r>
    </w:p>
    <w:tbl>
      <w:tblPr>
        <w:tblW w:w="6744" w:type="dxa"/>
        <w:jc w:val="center"/>
        <w:tblInd w:w="0" w:type="dxa"/>
        <w:tblCellMar>
          <w:top w:w="28" w:type="dxa"/>
          <w:left w:w="0" w:type="dxa"/>
          <w:bottom w:w="0" w:type="dxa"/>
          <w:right w:w="0" w:type="dxa"/>
        </w:tblCellMar>
      </w:tblPr>
      <w:tblGrid>
        <w:gridCol w:w="2716"/>
        <w:gridCol w:w="266"/>
        <w:gridCol w:w="466"/>
        <w:gridCol w:w="163"/>
        <w:gridCol w:w="163"/>
        <w:gridCol w:w="1226"/>
        <w:gridCol w:w="1744"/>
      </w:tblGrid>
      <w:tr>
        <w:trPr/>
        <w:tc>
          <w:tcPr>
            <w:tcW w:w="2716" w:type="dxa"/>
            <w:tcBorders>
              <w:top w:val="single" w:sz="2" w:space="0" w:color="000000"/>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724660" cy="175260"/>
                      <wp:effectExtent l="0" t="0" r="0" b="0"/>
                      <wp:wrapNone/>
                      <wp:docPr id="321" name="Frame279"/>
                      <a:graphic xmlns:a="http://schemas.openxmlformats.org/drawingml/2006/main">
                        <a:graphicData uri="http://schemas.microsoft.com/office/word/2010/wordprocessingShape">
                          <wps:wsp>
                            <wps:cNvSpPr txBox="1"/>
                            <wps:spPr>
                              <a:xfrm>
                                <a:off x="0" y="0"/>
                                <a:ext cx="1724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6" w:type="dxa"/>
            <w:tcBorders>
              <w:top w:val="single" w:sz="2" w:space="0" w:color="000000"/>
            </w:tcBorders>
            <w:shd w:fill="auto" w:val="clear"/>
            <w:vAlign w:val="center"/>
          </w:tcPr>
          <w:p>
            <w:pPr>
              <w:pStyle w:val="TableContents"/>
              <w:spacing w:before="0" w:after="0"/>
              <w:ind w:left="0" w:right="0" w:hanging="0"/>
              <w:rPr/>
            </w:pPr>
            <w:r>
              <w:rPr/>
              <w:t>​</w:t>
            </w:r>
          </w:p>
        </w:tc>
        <w:tc>
          <w:tcPr>
            <w:tcW w:w="466" w:type="dxa"/>
            <w:tcBorders>
              <w:top w:val="single" w:sz="2" w:space="0" w:color="000000"/>
            </w:tcBorders>
            <w:shd w:fill="auto" w:val="clear"/>
            <w:vAlign w:val="center"/>
          </w:tcPr>
          <w:p>
            <w:pPr>
              <w:pStyle w:val="TableContents"/>
              <w:spacing w:before="0" w:after="0"/>
              <w:ind w:left="0" w:right="0" w:hanging="0"/>
              <w:rPr/>
            </w:pPr>
            <w:r>
              <w:rPr/>
              <w:t>​</w:t>
            </w:r>
          </w:p>
        </w:tc>
        <w:tc>
          <w:tcPr>
            <w:tcW w:w="163" w:type="dxa"/>
            <w:tcBorders>
              <w:top w:val="single" w:sz="2" w:space="0" w:color="000000"/>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03505" cy="175260"/>
                      <wp:effectExtent l="0" t="0" r="0" b="0"/>
                      <wp:wrapNone/>
                      <wp:docPr id="322" name="Frame280"/>
                      <a:graphic xmlns:a="http://schemas.openxmlformats.org/drawingml/2006/main">
                        <a:graphicData uri="http://schemas.microsoft.com/office/word/2010/wordprocessingShape">
                          <wps:wsp>
                            <wps:cNvSpPr txBox="1"/>
                            <wps:spPr>
                              <a:xfrm>
                                <a:off x="0" y="0"/>
                                <a:ext cx="1035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63" w:type="dxa"/>
            <w:tcBorders>
              <w:top w:val="single" w:sz="2" w:space="0" w:color="000000"/>
            </w:tcBorders>
            <w:shd w:fill="auto" w:val="clear"/>
            <w:vAlign w:val="center"/>
          </w:tcPr>
          <w:p>
            <w:pPr>
              <w:pStyle w:val="TableContents"/>
              <w:spacing w:before="0" w:after="0"/>
              <w:ind w:left="0" w:right="0" w:hanging="0"/>
              <w:rPr/>
            </w:pPr>
            <w:r>
              <w:rPr/>
              <w:t>​</w:t>
            </w:r>
          </w:p>
        </w:tc>
        <w:tc>
          <w:tcPr>
            <w:tcW w:w="1226" w:type="dxa"/>
            <w:tcBorders>
              <w:top w:val="single" w:sz="2" w:space="0" w:color="000000"/>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778510" cy="175260"/>
                      <wp:effectExtent l="0" t="0" r="0" b="0"/>
                      <wp:wrapNone/>
                      <wp:docPr id="323" name="Frame281"/>
                      <a:graphic xmlns:a="http://schemas.openxmlformats.org/drawingml/2006/main">
                        <a:graphicData uri="http://schemas.microsoft.com/office/word/2010/wordprocessingShape">
                          <wps:wsp>
                            <wps:cNvSpPr txBox="1"/>
                            <wps:spPr>
                              <a:xfrm>
                                <a:off x="0" y="0"/>
                                <a:ext cx="778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744" w:type="dxa"/>
            <w:tcBorders>
              <w:top w:val="single" w:sz="2" w:space="0" w:color="000000"/>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108075" cy="175260"/>
                      <wp:effectExtent l="0" t="0" r="0" b="0"/>
                      <wp:wrapNone/>
                      <wp:docPr id="324" name="Frame282"/>
                      <a:graphic xmlns:a="http://schemas.openxmlformats.org/drawingml/2006/main">
                        <a:graphicData uri="http://schemas.microsoft.com/office/word/2010/wordprocessingShape">
                          <wps:wsp>
                            <wps:cNvSpPr txBox="1"/>
                            <wps:spPr>
                              <a:xfrm>
                                <a:off x="0" y="0"/>
                                <a:ext cx="11080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16" w:type="dxa"/>
            <w:tcBorders>
              <w:bottom w:val="single" w:sz="2" w:space="0" w:color="000000"/>
            </w:tcBorders>
            <w:shd w:fill="auto" w:val="clear"/>
            <w:tcMar>
              <w:top w:w="0" w:type="dxa"/>
              <w:bottom w:w="28" w:type="dxa"/>
            </w:tcMar>
            <w:vAlign w:val="center"/>
          </w:tcPr>
          <w:p>
            <w:pPr>
              <w:pStyle w:val="TableContents"/>
              <w:spacing w:lineRule="atLeast" w:line="180" w:before="0" w:after="0"/>
              <w:ind w:left="0" w:right="0" w:hanging="0"/>
              <w:rPr>
                <w:rFonts w:ascii="Arial;Helvetica;sans-serif" w:hAnsi="Arial;Helvetica;sans-serif"/>
                <w:b/>
                <w:caps/>
                <w:sz w:val="16"/>
              </w:rPr>
            </w:pPr>
            <w:r>
              <w:rPr>
                <w:rFonts w:ascii="Arial;Helvetica;sans-serif" w:hAnsi="Arial;Helvetica;sans-serif"/>
                <w:b/>
                <w:caps/>
                <w:sz w:val="16"/>
              </w:rPr>
              <w:t xml:space="preserve">Name </w:t>
            </w:r>
          </w:p>
        </w:tc>
        <w:tc>
          <w:tcPr>
            <w:tcW w:w="266" w:type="dxa"/>
            <w:tcBorders/>
            <w:shd w:fill="auto" w:val="clear"/>
            <w:tcMar>
              <w:top w:w="0" w:type="dxa"/>
            </w:tcMar>
            <w:vAlign w:val="center"/>
          </w:tcPr>
          <w:p>
            <w:pPr>
              <w:pStyle w:val="TableContents"/>
              <w:spacing w:lineRule="atLeast" w:line="180" w:before="0" w:after="0"/>
              <w:ind w:left="0" w:right="0" w:hanging="0"/>
              <w:rPr/>
            </w:pPr>
            <w:r>
              <w:rPr/>
              <w:t>   </w:t>
            </w:r>
          </w:p>
        </w:tc>
        <w:tc>
          <w:tcPr>
            <w:tcW w:w="466" w:type="dxa"/>
            <w:tcBorders>
              <w:bottom w:val="single" w:sz="2" w:space="0" w:color="000000"/>
            </w:tcBorders>
            <w:shd w:fill="auto" w:val="clear"/>
            <w:tcMar>
              <w:top w:w="0" w:type="dxa"/>
              <w:bottom w:w="28" w:type="dxa"/>
            </w:tcMar>
            <w:vAlign w:val="center"/>
          </w:tcPr>
          <w:p>
            <w:pPr>
              <w:pStyle w:val="TableContents"/>
              <w:spacing w:lineRule="atLeast" w:line="180" w:before="0" w:after="0"/>
              <w:ind w:left="0" w:right="0" w:hanging="0"/>
              <w:jc w:val="center"/>
              <w:rPr>
                <w:rFonts w:ascii="Arial;Helvetica;sans-serif" w:hAnsi="Arial;Helvetica;sans-serif"/>
                <w:b/>
                <w:caps/>
                <w:sz w:val="16"/>
              </w:rPr>
            </w:pPr>
            <w:r>
              <w:rPr>
                <w:rFonts w:ascii="Arial;Helvetica;sans-serif" w:hAnsi="Arial;Helvetica;sans-serif"/>
                <w:b/>
                <w:caps/>
                <w:sz w:val="16"/>
              </w:rPr>
              <w:t>AGE</w:t>
            </w:r>
          </w:p>
        </w:tc>
        <w:tc>
          <w:tcPr>
            <w:tcW w:w="326" w:type="dxa"/>
            <w:gridSpan w:val="2"/>
            <w:tcBorders/>
            <w:shd w:fill="auto" w:val="clear"/>
            <w:tcMar>
              <w:top w:w="0" w:type="dxa"/>
            </w:tcMar>
            <w:vAlign w:val="center"/>
          </w:tcPr>
          <w:p>
            <w:pPr>
              <w:pStyle w:val="TableContents"/>
              <w:spacing w:lineRule="atLeast" w:line="180" w:before="0" w:after="0"/>
              <w:ind w:left="0" w:right="0" w:hanging="0"/>
              <w:rPr>
                <w:caps/>
              </w:rPr>
            </w:pPr>
            <w:r>
              <w:rPr>
                <w:caps/>
              </w:rPr>
              <w:t>    </w:t>
            </w:r>
          </w:p>
        </w:tc>
        <w:tc>
          <w:tcPr>
            <w:tcW w:w="2970" w:type="dxa"/>
            <w:gridSpan w:val="2"/>
            <w:tcBorders>
              <w:bottom w:val="single" w:sz="2" w:space="0" w:color="000000"/>
            </w:tcBorders>
            <w:shd w:fill="auto" w:val="clear"/>
            <w:tcMar>
              <w:top w:w="0" w:type="dxa"/>
              <w:bottom w:w="28" w:type="dxa"/>
            </w:tcMar>
            <w:vAlign w:val="center"/>
          </w:tcPr>
          <w:p>
            <w:pPr>
              <w:pStyle w:val="TableContents"/>
              <w:spacing w:lineRule="atLeast" w:line="180" w:before="0" w:after="0"/>
              <w:ind w:left="0" w:right="0" w:hanging="0"/>
              <w:rPr>
                <w:rFonts w:ascii="Arial Narrow" w:hAnsi="Arial Narrow"/>
                <w:b/>
                <w:sz w:val="16"/>
              </w:rPr>
            </w:pPr>
            <w:r>
              <w:rPr>
                <w:rFonts w:ascii="Arial;Helvetica;sans-serif" w:hAnsi="Arial;Helvetica;sans-serif"/>
                <w:b/>
                <w:caps/>
                <w:sz w:val="16"/>
              </w:rPr>
              <w:t>Position(s)</w:t>
            </w:r>
            <w:r>
              <w:rPr>
                <w:rFonts w:ascii="Arial Narrow" w:hAnsi="Arial Narrow"/>
                <w:b/>
                <w:caps/>
                <w:sz w:val="16"/>
              </w:rPr>
              <w:t xml:space="preserve"> </w:t>
            </w:r>
          </w:p>
        </w:tc>
      </w:tr>
      <w:tr>
        <w:trPr/>
        <w:tc>
          <w:tcPr>
            <w:tcW w:w="2716" w:type="dxa"/>
            <w:tcBorders>
              <w:top w:val="single" w:sz="2" w:space="0" w:color="000000"/>
            </w:tcBorders>
            <w:shd w:fill="CCEEFF"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20"/>
              </w:rPr>
              <w:t>Daniel G. Welch</w:t>
            </w:r>
            <w:r>
              <w:rPr>
                <w:rFonts w:ascii="Arial;Helvetica;sans-serif" w:hAnsi="Arial;Helvetica;sans-serif"/>
                <w:sz w:val="15"/>
              </w:rPr>
              <w:t>(1)(2)(3)</w:t>
            </w:r>
          </w:p>
        </w:tc>
        <w:tc>
          <w:tcPr>
            <w:tcW w:w="266" w:type="dxa"/>
            <w:tcBorders/>
            <w:shd w:fill="CCEEFF" w:val="clear"/>
            <w:tcMar>
              <w:top w:w="0" w:type="dxa"/>
            </w:tcMar>
            <w:vAlign w:val="center"/>
          </w:tcPr>
          <w:p>
            <w:pPr>
              <w:pStyle w:val="TableContents"/>
              <w:spacing w:lineRule="atLeast" w:line="240" w:before="0" w:after="0"/>
              <w:ind w:left="0" w:right="0" w:hanging="0"/>
              <w:rPr/>
            </w:pPr>
            <w:r>
              <w:rPr/>
              <w:t>​</w:t>
            </w:r>
          </w:p>
        </w:tc>
        <w:tc>
          <w:tcPr>
            <w:tcW w:w="466" w:type="dxa"/>
            <w:tcBorders>
              <w:top w:val="single" w:sz="2" w:space="0" w:color="000000"/>
            </w:tcBorders>
            <w:shd w:fill="CCEEFF" w:val="clear"/>
            <w:vAlign w:val="center"/>
          </w:tcPr>
          <w:p>
            <w:pPr>
              <w:pStyle w:val="TableContents"/>
              <w:spacing w:lineRule="atLeast" w:line="220" w:before="0" w:after="0"/>
              <w:ind w:left="0" w:right="0" w:hanging="0"/>
              <w:jc w:val="center"/>
              <w:rPr>
                <w:rFonts w:ascii="Arial;Helvetica;sans-serif" w:hAnsi="Arial;Helvetica;sans-serif"/>
                <w:sz w:val="20"/>
              </w:rPr>
            </w:pPr>
            <w:r>
              <w:rPr>
                <w:rFonts w:ascii="Arial;Helvetica;sans-serif" w:hAnsi="Arial;Helvetica;sans-serif"/>
                <w:sz w:val="20"/>
              </w:rPr>
              <w:t>65</w:t>
            </w:r>
          </w:p>
        </w:tc>
        <w:tc>
          <w:tcPr>
            <w:tcW w:w="326" w:type="dxa"/>
            <w:gridSpan w:val="2"/>
            <w:tcBorders/>
            <w:shd w:fill="CCEEFF" w:val="clear"/>
            <w:tcMar>
              <w:top w:w="0" w:type="dxa"/>
            </w:tcMar>
            <w:vAlign w:val="center"/>
          </w:tcPr>
          <w:p>
            <w:pPr>
              <w:pStyle w:val="TableContents"/>
              <w:spacing w:lineRule="atLeast" w:line="240" w:before="0" w:after="0"/>
              <w:ind w:left="0" w:right="0" w:hanging="0"/>
              <w:rPr/>
            </w:pPr>
            <w:r>
              <w:rPr/>
              <w:t>​</w:t>
            </w:r>
          </w:p>
        </w:tc>
        <w:tc>
          <w:tcPr>
            <w:tcW w:w="2970" w:type="dxa"/>
            <w:gridSpan w:val="2"/>
            <w:tcBorders>
              <w:top w:val="single" w:sz="2" w:space="0" w:color="000000"/>
            </w:tcBorders>
            <w:shd w:fill="CCEEFF" w:val="clear"/>
            <w:vAlign w:val="center"/>
          </w:tcPr>
          <w:p>
            <w:pPr>
              <w:pStyle w:val="TableContents"/>
              <w:spacing w:lineRule="atLeast" w:line="220" w:before="0" w:after="0"/>
              <w:ind w:left="0" w:right="0" w:hanging="0"/>
              <w:rPr>
                <w:rFonts w:ascii="Arial;Helvetica;sans-serif" w:hAnsi="Arial;Helvetica;sans-serif"/>
                <w:sz w:val="20"/>
              </w:rPr>
            </w:pPr>
            <w:r>
              <w:rPr>
                <w:rFonts w:ascii="Arial;Helvetica;sans-serif" w:hAnsi="Arial;Helvetica;sans-serif"/>
                <w:sz w:val="20"/>
              </w:rPr>
              <w:t xml:space="preserve">Chairman of the Board </w:t>
            </w:r>
          </w:p>
        </w:tc>
      </w:tr>
      <w:tr>
        <w:trPr/>
        <w:tc>
          <w:tcPr>
            <w:tcW w:w="2716" w:type="dxa"/>
            <w:tcBorders/>
            <w:shd w:fill="auto" w:val="clear"/>
            <w:tcMar>
              <w:top w:w="0" w:type="dxa"/>
            </w:tcMar>
            <w:vAlign w:val="center"/>
          </w:tcPr>
          <w:p>
            <w:pPr>
              <w:pStyle w:val="TableContents"/>
              <w:spacing w:lineRule="atLeast" w:line="220" w:before="0" w:after="0"/>
              <w:ind w:left="0" w:right="0" w:hanging="0"/>
              <w:rPr>
                <w:rFonts w:ascii="Arial;Helvetica;sans-serif" w:hAnsi="Arial;Helvetica;sans-serif"/>
                <w:sz w:val="20"/>
              </w:rPr>
            </w:pPr>
            <w:r>
              <w:rPr>
                <w:rFonts w:ascii="Arial;Helvetica;sans-serif" w:hAnsi="Arial;Helvetica;sans-serif"/>
                <w:sz w:val="20"/>
              </w:rPr>
              <w:t>Raymond Stevens, Ph.D.</w:t>
            </w:r>
          </w:p>
        </w:tc>
        <w:tc>
          <w:tcPr>
            <w:tcW w:w="266" w:type="dxa"/>
            <w:tcBorders/>
            <w:shd w:fill="auto" w:val="clear"/>
            <w:tcMar>
              <w:top w:w="0" w:type="dxa"/>
            </w:tcMar>
            <w:vAlign w:val="center"/>
          </w:tcPr>
          <w:p>
            <w:pPr>
              <w:pStyle w:val="TableContents"/>
              <w:spacing w:lineRule="atLeast" w:line="240" w:before="0" w:after="0"/>
              <w:ind w:left="0" w:right="0" w:hanging="0"/>
              <w:rPr/>
            </w:pPr>
            <w:r>
              <w:rPr/>
              <w:t>​</w:t>
            </w:r>
          </w:p>
        </w:tc>
        <w:tc>
          <w:tcPr>
            <w:tcW w:w="466" w:type="dxa"/>
            <w:tcBorders/>
            <w:shd w:fill="auto" w:val="clear"/>
            <w:tcMar>
              <w:top w:w="0" w:type="dxa"/>
            </w:tcMar>
            <w:vAlign w:val="center"/>
          </w:tcPr>
          <w:p>
            <w:pPr>
              <w:pStyle w:val="TableContents"/>
              <w:spacing w:lineRule="atLeast" w:line="220" w:before="0" w:after="0"/>
              <w:ind w:left="0" w:right="0" w:hanging="0"/>
              <w:jc w:val="center"/>
              <w:rPr>
                <w:rFonts w:ascii="Arial;Helvetica;sans-serif" w:hAnsi="Arial;Helvetica;sans-serif"/>
                <w:sz w:val="20"/>
              </w:rPr>
            </w:pPr>
            <w:r>
              <w:rPr>
                <w:rFonts w:ascii="Arial;Helvetica;sans-serif" w:hAnsi="Arial;Helvetica;sans-serif"/>
                <w:sz w:val="20"/>
              </w:rPr>
              <w:t>59</w:t>
            </w:r>
          </w:p>
        </w:tc>
        <w:tc>
          <w:tcPr>
            <w:tcW w:w="326" w:type="dxa"/>
            <w:gridSpan w:val="2"/>
            <w:tcBorders/>
            <w:shd w:fill="auto" w:val="clear"/>
            <w:tcMar>
              <w:top w:w="0" w:type="dxa"/>
            </w:tcMar>
            <w:vAlign w:val="center"/>
          </w:tcPr>
          <w:p>
            <w:pPr>
              <w:pStyle w:val="TableContents"/>
              <w:spacing w:lineRule="atLeast" w:line="240" w:before="0" w:after="0"/>
              <w:ind w:left="0" w:right="0" w:hanging="0"/>
              <w:rPr/>
            </w:pPr>
            <w:r>
              <w:rPr/>
              <w:t>​</w:t>
            </w:r>
          </w:p>
        </w:tc>
        <w:tc>
          <w:tcPr>
            <w:tcW w:w="2970" w:type="dxa"/>
            <w:gridSpan w:val="2"/>
            <w:tcBorders/>
            <w:shd w:fill="auto" w:val="clear"/>
            <w:tcMar>
              <w:top w:w="0" w:type="dxa"/>
            </w:tcMar>
            <w:vAlign w:val="center"/>
          </w:tcPr>
          <w:p>
            <w:pPr>
              <w:pStyle w:val="TableContents"/>
              <w:spacing w:lineRule="atLeast" w:line="220" w:before="0" w:after="0"/>
              <w:ind w:left="0" w:right="0" w:hanging="0"/>
              <w:rPr>
                <w:rFonts w:ascii="Arial;Helvetica;sans-serif" w:hAnsi="Arial;Helvetica;sans-serif"/>
                <w:sz w:val="20"/>
              </w:rPr>
            </w:pPr>
            <w:r>
              <w:rPr>
                <w:rFonts w:ascii="Arial;Helvetica;sans-serif" w:hAnsi="Arial;Helvetica;sans-serif"/>
                <w:sz w:val="20"/>
              </w:rPr>
              <w:t>Director, Chief Executive Officer</w:t>
            </w:r>
          </w:p>
        </w:tc>
      </w:tr>
      <w:tr>
        <w:trPr/>
        <w:tc>
          <w:tcPr>
            <w:tcW w:w="2716" w:type="dxa"/>
            <w:tcBorders/>
            <w:shd w:fill="CCEEFF" w:val="clear"/>
            <w:tcMar>
              <w:top w:w="0" w:type="dxa"/>
            </w:tcM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20"/>
              </w:rPr>
              <w:t>Ramy Farid, Ph.D.</w:t>
            </w:r>
            <w:r>
              <w:rPr>
                <w:rFonts w:ascii="Arial;Helvetica;sans-serif" w:hAnsi="Arial;Helvetica;sans-serif"/>
                <w:sz w:val="15"/>
              </w:rPr>
              <w:t>(2)</w:t>
            </w:r>
          </w:p>
        </w:tc>
        <w:tc>
          <w:tcPr>
            <w:tcW w:w="266" w:type="dxa"/>
            <w:tcBorders/>
            <w:shd w:fill="CCEEFF" w:val="clear"/>
            <w:tcMar>
              <w:top w:w="0" w:type="dxa"/>
            </w:tcMar>
            <w:vAlign w:val="center"/>
          </w:tcPr>
          <w:p>
            <w:pPr>
              <w:pStyle w:val="TableContents"/>
              <w:spacing w:lineRule="atLeast" w:line="240" w:before="0" w:after="0"/>
              <w:ind w:left="0" w:right="0" w:hanging="0"/>
              <w:rPr/>
            </w:pPr>
            <w:r>
              <w:rPr/>
              <w:t>​</w:t>
            </w:r>
          </w:p>
        </w:tc>
        <w:tc>
          <w:tcPr>
            <w:tcW w:w="466" w:type="dxa"/>
            <w:tcBorders/>
            <w:shd w:fill="CCEEFF" w:val="clear"/>
            <w:tcMar>
              <w:top w:w="0" w:type="dxa"/>
            </w:tcMar>
            <w:vAlign w:val="center"/>
          </w:tcPr>
          <w:p>
            <w:pPr>
              <w:pStyle w:val="TableContents"/>
              <w:spacing w:lineRule="atLeast" w:line="220" w:before="0" w:after="0"/>
              <w:ind w:left="0" w:right="0" w:hanging="0"/>
              <w:jc w:val="center"/>
              <w:rPr>
                <w:rFonts w:ascii="Arial;Helvetica;sans-serif" w:hAnsi="Arial;Helvetica;sans-serif"/>
                <w:sz w:val="20"/>
              </w:rPr>
            </w:pPr>
            <w:r>
              <w:rPr>
                <w:rFonts w:ascii="Arial;Helvetica;sans-serif" w:hAnsi="Arial;Helvetica;sans-serif"/>
                <w:sz w:val="20"/>
              </w:rPr>
              <w:t>58</w:t>
            </w:r>
          </w:p>
        </w:tc>
        <w:tc>
          <w:tcPr>
            <w:tcW w:w="326" w:type="dxa"/>
            <w:gridSpan w:val="2"/>
            <w:tcBorders/>
            <w:shd w:fill="CCEEFF" w:val="clear"/>
            <w:tcMar>
              <w:top w:w="0" w:type="dxa"/>
            </w:tcMar>
            <w:vAlign w:val="center"/>
          </w:tcPr>
          <w:p>
            <w:pPr>
              <w:pStyle w:val="TableContents"/>
              <w:spacing w:lineRule="atLeast" w:line="240" w:before="0" w:after="0"/>
              <w:ind w:left="0" w:right="0" w:hanging="0"/>
              <w:rPr/>
            </w:pPr>
            <w:r>
              <w:rPr/>
              <w:t>​</w:t>
            </w:r>
          </w:p>
        </w:tc>
        <w:tc>
          <w:tcPr>
            <w:tcW w:w="2970" w:type="dxa"/>
            <w:gridSpan w:val="2"/>
            <w:tcBorders/>
            <w:shd w:fill="CCEEFF" w:val="clear"/>
            <w:tcMar>
              <w:top w:w="0" w:type="dxa"/>
            </w:tcMar>
            <w:vAlign w:val="center"/>
          </w:tcPr>
          <w:p>
            <w:pPr>
              <w:pStyle w:val="TableContents"/>
              <w:spacing w:lineRule="atLeast" w:line="220" w:before="0" w:after="0"/>
              <w:ind w:left="0" w:right="0" w:hanging="0"/>
              <w:rPr>
                <w:rFonts w:ascii="Arial;Helvetica;sans-serif" w:hAnsi="Arial;Helvetica;sans-serif"/>
                <w:sz w:val="20"/>
              </w:rPr>
            </w:pPr>
            <w:r>
              <w:rPr>
                <w:rFonts w:ascii="Arial;Helvetica;sans-serif" w:hAnsi="Arial;Helvetica;sans-serif"/>
                <w:sz w:val="20"/>
              </w:rPr>
              <w:t xml:space="preserve">Director </w:t>
            </w:r>
          </w:p>
        </w:tc>
      </w:tr>
      <w:tr>
        <w:trPr/>
        <w:tc>
          <w:tcPr>
            <w:tcW w:w="2716" w:type="dxa"/>
            <w:tcBorders/>
            <w:shd w:fill="auto" w:val="clear"/>
            <w:tcMar>
              <w:top w:w="0" w:type="dxa"/>
            </w:tcM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20"/>
              </w:rPr>
              <w:t>Sharon Tetlow</w:t>
            </w:r>
            <w:r>
              <w:rPr>
                <w:rFonts w:ascii="Arial;Helvetica;sans-serif" w:hAnsi="Arial;Helvetica;sans-serif"/>
                <w:sz w:val="15"/>
              </w:rPr>
              <w:t>(1)(3)</w:t>
            </w:r>
          </w:p>
        </w:tc>
        <w:tc>
          <w:tcPr>
            <w:tcW w:w="266" w:type="dxa"/>
            <w:tcBorders/>
            <w:shd w:fill="auto" w:val="clear"/>
            <w:tcMar>
              <w:top w:w="0" w:type="dxa"/>
            </w:tcMar>
            <w:vAlign w:val="center"/>
          </w:tcPr>
          <w:p>
            <w:pPr>
              <w:pStyle w:val="TableContents"/>
              <w:spacing w:lineRule="atLeast" w:line="240" w:before="0" w:after="0"/>
              <w:ind w:left="0" w:right="0" w:hanging="0"/>
              <w:rPr/>
            </w:pPr>
            <w:r>
              <w:rPr/>
              <w:t>​</w:t>
            </w:r>
          </w:p>
        </w:tc>
        <w:tc>
          <w:tcPr>
            <w:tcW w:w="466" w:type="dxa"/>
            <w:tcBorders/>
            <w:shd w:fill="auto" w:val="clear"/>
            <w:tcMar>
              <w:top w:w="0" w:type="dxa"/>
            </w:tcMar>
            <w:vAlign w:val="center"/>
          </w:tcPr>
          <w:p>
            <w:pPr>
              <w:pStyle w:val="TableContents"/>
              <w:spacing w:lineRule="atLeast" w:line="220" w:before="0" w:after="0"/>
              <w:ind w:left="0" w:right="0" w:hanging="0"/>
              <w:jc w:val="center"/>
              <w:rPr>
                <w:rFonts w:ascii="Arial;Helvetica;sans-serif" w:hAnsi="Arial;Helvetica;sans-serif"/>
                <w:sz w:val="20"/>
              </w:rPr>
            </w:pPr>
            <w:r>
              <w:rPr>
                <w:rFonts w:ascii="Arial;Helvetica;sans-serif" w:hAnsi="Arial;Helvetica;sans-serif"/>
                <w:sz w:val="20"/>
              </w:rPr>
              <w:t>63</w:t>
            </w:r>
          </w:p>
        </w:tc>
        <w:tc>
          <w:tcPr>
            <w:tcW w:w="326" w:type="dxa"/>
            <w:gridSpan w:val="2"/>
            <w:tcBorders/>
            <w:shd w:fill="auto" w:val="clear"/>
            <w:tcMar>
              <w:top w:w="0" w:type="dxa"/>
            </w:tcMar>
            <w:vAlign w:val="center"/>
          </w:tcPr>
          <w:p>
            <w:pPr>
              <w:pStyle w:val="TableContents"/>
              <w:spacing w:lineRule="atLeast" w:line="240" w:before="0" w:after="0"/>
              <w:ind w:left="0" w:right="0" w:hanging="0"/>
              <w:rPr/>
            </w:pPr>
            <w:r>
              <w:rPr/>
              <w:t>​</w:t>
            </w:r>
          </w:p>
        </w:tc>
        <w:tc>
          <w:tcPr>
            <w:tcW w:w="2970" w:type="dxa"/>
            <w:gridSpan w:val="2"/>
            <w:tcBorders/>
            <w:shd w:fill="auto" w:val="clear"/>
            <w:tcMar>
              <w:top w:w="0" w:type="dxa"/>
            </w:tcMar>
            <w:vAlign w:val="center"/>
          </w:tcPr>
          <w:p>
            <w:pPr>
              <w:pStyle w:val="TableContents"/>
              <w:spacing w:lineRule="atLeast" w:line="220" w:before="0" w:after="0"/>
              <w:ind w:left="0" w:right="0" w:hanging="0"/>
              <w:rPr>
                <w:rFonts w:ascii="Arial;Helvetica;sans-serif" w:hAnsi="Arial;Helvetica;sans-serif"/>
                <w:sz w:val="20"/>
              </w:rPr>
            </w:pPr>
            <w:r>
              <w:rPr>
                <w:rFonts w:ascii="Arial;Helvetica;sans-serif" w:hAnsi="Arial;Helvetica;sans-serif"/>
                <w:sz w:val="20"/>
              </w:rPr>
              <w:t xml:space="preserve">Director </w:t>
            </w:r>
          </w:p>
        </w:tc>
      </w:tr>
      <w:tr>
        <w:trPr/>
        <w:tc>
          <w:tcPr>
            <w:tcW w:w="2716" w:type="dxa"/>
            <w:tcBorders/>
            <w:shd w:fill="CCEEFF" w:val="clear"/>
            <w:tcMar>
              <w:top w:w="0" w:type="dxa"/>
            </w:tcM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20"/>
              </w:rPr>
              <w:t>Eric Dobmeier</w:t>
            </w:r>
            <w:r>
              <w:rPr>
                <w:rFonts w:ascii="Arial;Helvetica;sans-serif" w:hAnsi="Arial;Helvetica;sans-serif"/>
                <w:sz w:val="15"/>
              </w:rPr>
              <w:t>(1)(2)</w:t>
            </w:r>
          </w:p>
        </w:tc>
        <w:tc>
          <w:tcPr>
            <w:tcW w:w="266" w:type="dxa"/>
            <w:tcBorders/>
            <w:shd w:fill="CCEEFF" w:val="clear"/>
            <w:tcMar>
              <w:top w:w="0" w:type="dxa"/>
            </w:tcMar>
            <w:vAlign w:val="center"/>
          </w:tcPr>
          <w:p>
            <w:pPr>
              <w:pStyle w:val="TableContents"/>
              <w:spacing w:lineRule="atLeast" w:line="240" w:before="0" w:after="0"/>
              <w:ind w:left="0" w:right="0" w:hanging="0"/>
              <w:rPr/>
            </w:pPr>
            <w:r>
              <w:rPr/>
              <w:t>​</w:t>
            </w:r>
          </w:p>
        </w:tc>
        <w:tc>
          <w:tcPr>
            <w:tcW w:w="466" w:type="dxa"/>
            <w:tcBorders/>
            <w:shd w:fill="CCEEFF" w:val="clear"/>
            <w:tcMar>
              <w:top w:w="0" w:type="dxa"/>
            </w:tcMar>
            <w:vAlign w:val="center"/>
          </w:tcPr>
          <w:p>
            <w:pPr>
              <w:pStyle w:val="TableContents"/>
              <w:spacing w:lineRule="atLeast" w:line="220" w:before="0" w:after="0"/>
              <w:ind w:left="0" w:right="0" w:hanging="0"/>
              <w:jc w:val="center"/>
              <w:rPr>
                <w:rFonts w:ascii="Arial;Helvetica;sans-serif" w:hAnsi="Arial;Helvetica;sans-serif"/>
                <w:sz w:val="20"/>
              </w:rPr>
            </w:pPr>
            <w:r>
              <w:rPr>
                <w:rFonts w:ascii="Arial;Helvetica;sans-serif" w:hAnsi="Arial;Helvetica;sans-serif"/>
                <w:sz w:val="20"/>
              </w:rPr>
              <w:t>54</w:t>
            </w:r>
          </w:p>
        </w:tc>
        <w:tc>
          <w:tcPr>
            <w:tcW w:w="326" w:type="dxa"/>
            <w:gridSpan w:val="2"/>
            <w:tcBorders/>
            <w:shd w:fill="CCEEFF" w:val="clear"/>
            <w:tcMar>
              <w:top w:w="0" w:type="dxa"/>
            </w:tcMar>
            <w:vAlign w:val="center"/>
          </w:tcPr>
          <w:p>
            <w:pPr>
              <w:pStyle w:val="TableContents"/>
              <w:spacing w:lineRule="atLeast" w:line="240" w:before="0" w:after="0"/>
              <w:ind w:left="0" w:right="0" w:hanging="0"/>
              <w:rPr/>
            </w:pPr>
            <w:r>
              <w:rPr/>
              <w:t>​</w:t>
            </w:r>
          </w:p>
        </w:tc>
        <w:tc>
          <w:tcPr>
            <w:tcW w:w="2970" w:type="dxa"/>
            <w:gridSpan w:val="2"/>
            <w:tcBorders/>
            <w:shd w:fill="CCEEFF" w:val="clear"/>
            <w:tcMar>
              <w:top w:w="0" w:type="dxa"/>
            </w:tcMar>
            <w:vAlign w:val="center"/>
          </w:tcPr>
          <w:p>
            <w:pPr>
              <w:pStyle w:val="TableContents"/>
              <w:spacing w:lineRule="atLeast" w:line="220" w:before="0" w:after="0"/>
              <w:ind w:left="0" w:right="0" w:hanging="0"/>
              <w:rPr>
                <w:rFonts w:ascii="Arial;Helvetica;sans-serif" w:hAnsi="Arial;Helvetica;sans-serif"/>
                <w:sz w:val="20"/>
              </w:rPr>
            </w:pPr>
            <w:r>
              <w:rPr>
                <w:rFonts w:ascii="Arial;Helvetica;sans-serif" w:hAnsi="Arial;Helvetica;sans-serif"/>
                <w:sz w:val="20"/>
              </w:rPr>
              <w:t xml:space="preserve">Director </w:t>
            </w:r>
          </w:p>
        </w:tc>
      </w:tr>
      <w:tr>
        <w:trPr/>
        <w:tc>
          <w:tcPr>
            <w:tcW w:w="2716" w:type="dxa"/>
            <w:tcBorders/>
            <w:shd w:fill="auto" w:val="clear"/>
            <w:tcMar>
              <w:top w:w="0" w:type="dxa"/>
            </w:tcM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20"/>
              </w:rPr>
              <w:t>Joanne Waldstreicher, M.D.</w:t>
            </w:r>
            <w:r>
              <w:rPr>
                <w:rFonts w:ascii="Arial;Helvetica;sans-serif" w:hAnsi="Arial;Helvetica;sans-serif"/>
                <w:sz w:val="15"/>
              </w:rPr>
              <w:t>(3)</w:t>
            </w:r>
          </w:p>
        </w:tc>
        <w:tc>
          <w:tcPr>
            <w:tcW w:w="266" w:type="dxa"/>
            <w:tcBorders/>
            <w:shd w:fill="auto" w:val="clear"/>
            <w:tcMar>
              <w:top w:w="0" w:type="dxa"/>
            </w:tcMar>
            <w:vAlign w:val="center"/>
          </w:tcPr>
          <w:p>
            <w:pPr>
              <w:pStyle w:val="TableContents"/>
              <w:spacing w:lineRule="atLeast" w:line="240" w:before="0" w:after="0"/>
              <w:ind w:left="0" w:right="0" w:hanging="0"/>
              <w:rPr/>
            </w:pPr>
            <w:r>
              <w:rPr/>
              <w:t>​</w:t>
            </w:r>
          </w:p>
        </w:tc>
        <w:tc>
          <w:tcPr>
            <w:tcW w:w="466" w:type="dxa"/>
            <w:tcBorders/>
            <w:shd w:fill="auto" w:val="clear"/>
            <w:tcMar>
              <w:top w:w="0" w:type="dxa"/>
            </w:tcMar>
            <w:vAlign w:val="center"/>
          </w:tcPr>
          <w:p>
            <w:pPr>
              <w:pStyle w:val="TableContents"/>
              <w:spacing w:lineRule="atLeast" w:line="220" w:before="0" w:after="0"/>
              <w:ind w:left="0" w:right="0" w:hanging="0"/>
              <w:jc w:val="center"/>
              <w:rPr>
                <w:rFonts w:ascii="Arial;Helvetica;sans-serif" w:hAnsi="Arial;Helvetica;sans-serif"/>
                <w:sz w:val="20"/>
              </w:rPr>
            </w:pPr>
            <w:r>
              <w:rPr>
                <w:rFonts w:ascii="Arial;Helvetica;sans-serif" w:hAnsi="Arial;Helvetica;sans-serif"/>
                <w:sz w:val="20"/>
              </w:rPr>
              <w:t>62</w:t>
            </w:r>
          </w:p>
        </w:tc>
        <w:tc>
          <w:tcPr>
            <w:tcW w:w="326" w:type="dxa"/>
            <w:gridSpan w:val="2"/>
            <w:tcBorders/>
            <w:shd w:fill="auto" w:val="clear"/>
            <w:tcMar>
              <w:top w:w="0" w:type="dxa"/>
            </w:tcMar>
            <w:vAlign w:val="center"/>
          </w:tcPr>
          <w:p>
            <w:pPr>
              <w:pStyle w:val="TableContents"/>
              <w:spacing w:lineRule="atLeast" w:line="240" w:before="0" w:after="0"/>
              <w:ind w:left="0" w:right="0" w:hanging="0"/>
              <w:rPr/>
            </w:pPr>
            <w:r>
              <w:rPr/>
              <w:t>​</w:t>
            </w:r>
          </w:p>
        </w:tc>
        <w:tc>
          <w:tcPr>
            <w:tcW w:w="2970" w:type="dxa"/>
            <w:gridSpan w:val="2"/>
            <w:tcBorders/>
            <w:shd w:fill="auto" w:val="clear"/>
            <w:tcMar>
              <w:top w:w="0" w:type="dxa"/>
            </w:tcMar>
            <w:vAlign w:val="center"/>
          </w:tcPr>
          <w:p>
            <w:pPr>
              <w:pStyle w:val="TableContents"/>
              <w:spacing w:lineRule="atLeast" w:line="220" w:before="0" w:after="0"/>
              <w:ind w:left="0" w:right="0" w:hanging="0"/>
              <w:rPr>
                <w:rFonts w:ascii="Arial;Helvetica;sans-serif" w:hAnsi="Arial;Helvetica;sans-serif"/>
                <w:sz w:val="20"/>
              </w:rPr>
            </w:pPr>
            <w:r>
              <w:rPr>
                <w:rFonts w:ascii="Arial;Helvetica;sans-serif" w:hAnsi="Arial;Helvetica;sans-serif"/>
                <w:sz w:val="20"/>
              </w:rPr>
              <w:t>Director</w:t>
            </w:r>
          </w:p>
        </w:tc>
      </w:tr>
      <w:tr>
        <w:trPr/>
        <w:tc>
          <w:tcPr>
            <w:tcW w:w="2716" w:type="dxa"/>
            <w:tcBorders>
              <w:bottom w:val="single" w:sz="2" w:space="0" w:color="000000"/>
            </w:tcBorders>
            <w:shd w:fill="CCEEFF" w:val="clear"/>
            <w:tcMar>
              <w:top w:w="0" w:type="dxa"/>
              <w:bottom w:w="28" w:type="dxa"/>
            </w:tcMar>
            <w:vAlign w:val="center"/>
          </w:tcPr>
          <w:p>
            <w:pPr>
              <w:pStyle w:val="TableContents"/>
              <w:spacing w:lineRule="atLeast" w:line="240" w:before="0" w:after="0"/>
              <w:ind w:left="0" w:right="0" w:hanging="0"/>
              <w:rPr/>
            </w:pPr>
            <w:r>
              <w:rPr/>
              <w:t>​</w:t>
            </w:r>
          </w:p>
        </w:tc>
        <w:tc>
          <w:tcPr>
            <w:tcW w:w="266" w:type="dxa"/>
            <w:tcBorders>
              <w:bottom w:val="single" w:sz="2" w:space="0" w:color="000000"/>
            </w:tcBorders>
            <w:shd w:fill="CCEEFF" w:val="clear"/>
            <w:tcMar>
              <w:top w:w="0" w:type="dxa"/>
              <w:bottom w:w="28" w:type="dxa"/>
            </w:tcMar>
            <w:vAlign w:val="center"/>
          </w:tcPr>
          <w:p>
            <w:pPr>
              <w:pStyle w:val="TableContents"/>
              <w:spacing w:lineRule="atLeast" w:line="240" w:before="0" w:after="0"/>
              <w:ind w:left="0" w:right="0" w:hanging="0"/>
              <w:rPr/>
            </w:pPr>
            <w:r>
              <w:rPr/>
              <w:t>​</w:t>
            </w:r>
          </w:p>
        </w:tc>
        <w:tc>
          <w:tcPr>
            <w:tcW w:w="466" w:type="dxa"/>
            <w:tcBorders>
              <w:bottom w:val="single" w:sz="2" w:space="0" w:color="000000"/>
            </w:tcBorders>
            <w:shd w:fill="CCEEFF" w:val="clear"/>
            <w:tcMar>
              <w:top w:w="0" w:type="dxa"/>
              <w:bottom w:w="28" w:type="dxa"/>
            </w:tcMar>
            <w:vAlign w:val="center"/>
          </w:tcPr>
          <w:p>
            <w:pPr>
              <w:pStyle w:val="TableContents"/>
              <w:spacing w:lineRule="atLeast" w:line="240" w:before="0" w:after="0"/>
              <w:ind w:left="0" w:right="0" w:hanging="0"/>
              <w:jc w:val="center"/>
              <w:rPr/>
            </w:pPr>
            <w:r>
              <w:rPr/>
              <w:t>​</w:t>
            </w:r>
          </w:p>
        </w:tc>
        <w:tc>
          <w:tcPr>
            <w:tcW w:w="326" w:type="dxa"/>
            <w:gridSpan w:val="2"/>
            <w:tcBorders>
              <w:bottom w:val="single" w:sz="2" w:space="0" w:color="000000"/>
            </w:tcBorders>
            <w:shd w:fill="CCEEFF" w:val="clear"/>
            <w:tcMar>
              <w:top w:w="0" w:type="dxa"/>
              <w:bottom w:w="28" w:type="dxa"/>
            </w:tcMar>
            <w:vAlign w:val="center"/>
          </w:tcPr>
          <w:p>
            <w:pPr>
              <w:pStyle w:val="TableContents"/>
              <w:spacing w:lineRule="atLeast" w:line="240" w:before="0" w:after="0"/>
              <w:ind w:left="0" w:right="0" w:hanging="0"/>
              <w:rPr/>
            </w:pPr>
            <w:r>
              <w:rPr/>
              <w:t>​</w:t>
            </w:r>
          </w:p>
        </w:tc>
        <w:tc>
          <w:tcPr>
            <w:tcW w:w="2970" w:type="dxa"/>
            <w:gridSpan w:val="2"/>
            <w:tcBorders>
              <w:bottom w:val="single" w:sz="2" w:space="0" w:color="000000"/>
            </w:tcBorders>
            <w:shd w:fill="CCEEFF" w:val="clear"/>
            <w:tcMar>
              <w:top w:w="0" w:type="dxa"/>
              <w:bottom w:w="28" w:type="dxa"/>
            </w:tcMar>
            <w:vAlign w:val="center"/>
          </w:tcPr>
          <w:p>
            <w:pPr>
              <w:pStyle w:val="TableContents"/>
              <w:spacing w:lineRule="atLeast" w:line="240" w:before="0" w:after="0"/>
              <w:ind w:left="0" w:right="0" w:hanging="0"/>
              <w:rPr/>
            </w:pPr>
            <w:r>
              <w:rPr/>
              <w:t>​</w:t>
            </w:r>
          </w:p>
        </w:tc>
      </w:tr>
    </w:tbl>
    <w:p>
      <w:pPr>
        <w:pStyle w:val="HorizontalLine"/>
        <w:pBdr>
          <w:bottom w:val="single" w:sz="6" w:space="0" w:color="000000"/>
        </w:pBdr>
        <w:spacing w:before="0" w:after="0"/>
        <w:ind w:left="0" w:right="7654" w:hanging="0"/>
        <w:rPr/>
      </w:pPr>
      <w:r>
        <w:rPr/>
      </w:r>
    </w:p>
    <w:tbl>
      <w:tblPr>
        <w:tblW w:w="2125" w:type="dxa"/>
        <w:jc w:val="left"/>
        <w:tblInd w:w="0" w:type="dxa"/>
        <w:tblCellMar>
          <w:top w:w="0" w:type="dxa"/>
          <w:left w:w="0" w:type="dxa"/>
          <w:bottom w:w="0" w:type="dxa"/>
          <w:right w:w="0" w:type="dxa"/>
        </w:tblCellMar>
      </w:tblPr>
      <w:tblGrid>
        <w:gridCol w:w="125"/>
        <w:gridCol w:w="2000"/>
      </w:tblGrid>
      <w:tr>
        <w:trPr/>
        <w:tc>
          <w:tcPr>
            <w:tcW w:w="125" w:type="dxa"/>
            <w:tcBorders/>
            <w:shd w:fill="auto" w:val="clear"/>
            <w:vAlign w:val="center"/>
          </w:tcPr>
          <w:p>
            <w:pPr>
              <w:pStyle w:val="TableContents"/>
              <w:spacing w:lineRule="atLeast" w:line="160" w:before="80" w:after="0"/>
              <w:rPr>
                <w:rFonts w:ascii="Arial;Helvetica;sans-serif" w:hAnsi="Arial;Helvetica;sans-serif"/>
                <w:sz w:val="8"/>
              </w:rPr>
            </w:pPr>
            <w:r>
              <w:rPr>
                <w:rFonts w:ascii="Arial;Helvetica;sans-serif" w:hAnsi="Arial;Helvetica;sans-serif"/>
                <w:sz w:val="8"/>
              </w:rPr>
              <w:t>(1)</w:t>
            </w:r>
          </w:p>
        </w:tc>
        <w:tc>
          <w:tcPr>
            <w:tcW w:w="2000" w:type="dxa"/>
            <w:tcBorders/>
            <w:shd w:fill="auto" w:val="clear"/>
            <w:vAlign w:val="center"/>
          </w:tcPr>
          <w:p>
            <w:pPr>
              <w:pStyle w:val="TableContents"/>
              <w:spacing w:lineRule="atLeast" w:line="160" w:before="80" w:after="0"/>
              <w:rPr>
                <w:rFonts w:ascii="Arial;Helvetica;sans-serif" w:hAnsi="Arial;Helvetica;sans-serif"/>
                <w:sz w:val="11"/>
              </w:rPr>
            </w:pPr>
            <w:r>
              <w:rPr>
                <w:rFonts w:ascii="Arial;Helvetica;sans-serif" w:hAnsi="Arial;Helvetica;sans-serif"/>
                <w:sz w:val="14"/>
              </w:rPr>
              <w:t>Member of our audit committee.</w:t>
            </w:r>
            <w:r>
              <w:rPr>
                <w:rFonts w:ascii="Arial;Helvetica;sans-serif" w:hAnsi="Arial;Helvetica;sans-serif"/>
                <w:sz w:val="11"/>
              </w:rPr>
              <w:t xml:space="preserve"> </w:t>
            </w:r>
          </w:p>
        </w:tc>
      </w:tr>
    </w:tbl>
    <w:tbl>
      <w:tblPr>
        <w:tblW w:w="2650" w:type="dxa"/>
        <w:jc w:val="left"/>
        <w:tblInd w:w="0" w:type="dxa"/>
        <w:tblCellMar>
          <w:top w:w="0" w:type="dxa"/>
          <w:left w:w="0" w:type="dxa"/>
          <w:bottom w:w="0" w:type="dxa"/>
          <w:right w:w="0" w:type="dxa"/>
        </w:tblCellMar>
      </w:tblPr>
      <w:tblGrid>
        <w:gridCol w:w="125"/>
        <w:gridCol w:w="2525"/>
      </w:tblGrid>
      <w:tr>
        <w:trPr/>
        <w:tc>
          <w:tcPr>
            <w:tcW w:w="125" w:type="dxa"/>
            <w:tcBorders/>
            <w:shd w:fill="auto" w:val="clear"/>
            <w:vAlign w:val="center"/>
          </w:tcPr>
          <w:p>
            <w:pPr>
              <w:pStyle w:val="TableContents"/>
              <w:spacing w:lineRule="atLeast" w:line="160" w:before="80" w:after="0"/>
              <w:rPr>
                <w:rFonts w:ascii="Arial;Helvetica;sans-serif" w:hAnsi="Arial;Helvetica;sans-serif"/>
                <w:sz w:val="8"/>
              </w:rPr>
            </w:pPr>
            <w:r>
              <w:rPr>
                <w:rFonts w:ascii="Arial;Helvetica;sans-serif" w:hAnsi="Arial;Helvetica;sans-serif"/>
                <w:sz w:val="8"/>
              </w:rPr>
              <w:t>(2)</w:t>
            </w:r>
          </w:p>
        </w:tc>
        <w:tc>
          <w:tcPr>
            <w:tcW w:w="2525" w:type="dxa"/>
            <w:tcBorders/>
            <w:shd w:fill="auto" w:val="clear"/>
            <w:vAlign w:val="center"/>
          </w:tcPr>
          <w:p>
            <w:pPr>
              <w:pStyle w:val="TableContents"/>
              <w:spacing w:lineRule="atLeast" w:line="160" w:before="80" w:after="0"/>
              <w:rPr>
                <w:rFonts w:ascii="Arial;Helvetica;sans-serif" w:hAnsi="Arial;Helvetica;sans-serif"/>
                <w:sz w:val="14"/>
              </w:rPr>
            </w:pPr>
            <w:r>
              <w:rPr>
                <w:rFonts w:ascii="Arial;Helvetica;sans-serif" w:hAnsi="Arial;Helvetica;sans-serif"/>
                <w:sz w:val="14"/>
              </w:rPr>
              <w:t>Member of our compensation committee.</w:t>
            </w:r>
          </w:p>
        </w:tc>
      </w:tr>
    </w:tbl>
    <w:tbl>
      <w:tblPr>
        <w:tblW w:w="3490" w:type="dxa"/>
        <w:jc w:val="left"/>
        <w:tblInd w:w="0" w:type="dxa"/>
        <w:tblCellMar>
          <w:top w:w="0" w:type="dxa"/>
          <w:left w:w="0" w:type="dxa"/>
          <w:bottom w:w="0" w:type="dxa"/>
          <w:right w:w="0" w:type="dxa"/>
        </w:tblCellMar>
      </w:tblPr>
      <w:tblGrid>
        <w:gridCol w:w="125"/>
        <w:gridCol w:w="3365"/>
      </w:tblGrid>
      <w:tr>
        <w:trPr/>
        <w:tc>
          <w:tcPr>
            <w:tcW w:w="125" w:type="dxa"/>
            <w:tcBorders/>
            <w:shd w:fill="auto" w:val="clear"/>
            <w:vAlign w:val="center"/>
          </w:tcPr>
          <w:p>
            <w:pPr>
              <w:pStyle w:val="TableContents"/>
              <w:spacing w:lineRule="atLeast" w:line="160" w:before="80" w:after="0"/>
              <w:rPr>
                <w:rFonts w:ascii="Arial;Helvetica;sans-serif" w:hAnsi="Arial;Helvetica;sans-serif"/>
                <w:sz w:val="8"/>
              </w:rPr>
            </w:pPr>
            <w:r>
              <w:rPr>
                <w:rFonts w:ascii="Arial;Helvetica;sans-serif" w:hAnsi="Arial;Helvetica;sans-serif"/>
                <w:sz w:val="8"/>
              </w:rPr>
              <w:t>(3)</w:t>
            </w:r>
          </w:p>
        </w:tc>
        <w:tc>
          <w:tcPr>
            <w:tcW w:w="3365" w:type="dxa"/>
            <w:tcBorders/>
            <w:shd w:fill="auto" w:val="clear"/>
            <w:vAlign w:val="center"/>
          </w:tcPr>
          <w:p>
            <w:pPr>
              <w:pStyle w:val="TableContents"/>
              <w:spacing w:lineRule="atLeast" w:line="160" w:before="80" w:after="0"/>
              <w:rPr>
                <w:rFonts w:ascii="Arial;Helvetica;sans-serif" w:hAnsi="Arial;Helvetica;sans-serif"/>
                <w:sz w:val="14"/>
              </w:rPr>
            </w:pPr>
            <w:r>
              <w:rPr>
                <w:rFonts w:ascii="Arial;Helvetica;sans-serif" w:hAnsi="Arial;Helvetica;sans-serif"/>
                <w:sz w:val="14"/>
              </w:rPr>
              <w:t>Member of our nominating and governance committee.</w:t>
            </w:r>
          </w:p>
        </w:tc>
      </w:tr>
    </w:tbl>
    <w:p>
      <w:pPr>
        <w:pStyle w:val="TextBody"/>
        <w:spacing w:lineRule="atLeast" w:line="220" w:before="240" w:after="0"/>
        <w:ind w:left="0" w:right="0" w:hanging="0"/>
        <w:rPr/>
      </w:pPr>
      <w:r>
        <w:rPr/>
        <w:t>​</w:t>
      </w:r>
    </w:p>
    <w:p>
      <w:pPr>
        <w:pStyle w:val="TextBody"/>
        <w:spacing w:lineRule="atLeast" w:line="220" w:before="20" w:after="0"/>
        <w:ind w:left="0" w:right="0" w:hanging="0"/>
        <w:rPr>
          <w:rFonts w:ascii="Arial Narrow" w:hAnsi="Arial Narrow"/>
          <w:b/>
          <w:i/>
          <w:sz w:val="19"/>
        </w:rPr>
      </w:pPr>
      <w:r>
        <w:rPr>
          <w:rFonts w:ascii="Arial Narrow" w:hAnsi="Arial Narrow"/>
          <w:b/>
          <w:i/>
          <w:sz w:val="19"/>
        </w:rPr>
        <w:t>Daniel G. Welch</w:t>
      </w:r>
      <w:r>
        <w:rPr>
          <w:rFonts w:ascii="Arial Narrow" w:hAnsi="Arial Narrow"/>
          <w:b/>
          <w:i/>
          <w:caps w:val="false"/>
          <w:smallCaps w:val="false"/>
          <w:sz w:val="19"/>
        </w:rPr>
        <w:t xml:space="preserve"> </w:t>
      </w:r>
      <w:r>
        <w:rPr>
          <w:rFonts w:ascii="Arial;Helvetica;sans-serif" w:hAnsi="Arial;Helvetica;sans-serif"/>
          <w:b w:val="false"/>
          <w:i w:val="false"/>
          <w:caps w:val="false"/>
          <w:smallCaps w:val="false"/>
          <w:sz w:val="19"/>
        </w:rPr>
        <w:t xml:space="preserve">has served as Chairman of our board of directors since January 2022. Mr. Welch served as an Executive Partner of Sofinnova Ventures, a venture capital firm from January 2015 to February 2018. Prior to serving at Sofinnova, Mr. Welch served as Chief Executive Officer and President of InterMune, Inc., a biotechnology company, from September 2003 until its acquisition by Roche Holdings AG (OTCMKTS: RHHBY) in September 2014. Mr. Welch also served as Chairman of InterMune from May 2008 to September 2014. Prior to serving at InterMune, Mr. Welch served as Chairman and Chief Executive Officer of Triangle Pharmaceuticals, Inc., a pharmaceutical company that was acquired by Gilead Sciences, Inc. (Nasdaq: GILD) from 2002 to 2003. Prior to serving at Triangle Pharmaceuticals, Mr. Welch served as President of Biopharmaceuticals at Elan Corporation (TYO: 6099) from 2000 to 2002. Prior to serving at Elan, Mr. Welch served in various senior management roles at Sanofi-Synthelabo, now Sanofi S.A. (Nasdaq: SNY), from 1987 to 2000, including as Vice President of Worldwide Marketing and Chief Operating Officer of the U.S. business. Mr. Welch currently serves on the boards of directors of Nuvation Bio Inc. (NYSE: NUVB), SeaGen Inc. (Nasdaq: SGEN), and Ultragenyx Pharmaceutical Inc. (Nasdaq: RARE). Mr. Welch received his B.B.A. in Marketing from the University of Miami and his M.B.A. from the University of North Carolina. We believe that Mr. Welch is qualified to serve on our board of directors based on his operational and strategic expertise in the global pharmaceutical market, his experience serving on the board of directors of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208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lineRule="atLeast" w:line="220" w:before="0" w:after="200"/>
        <w:ind w:left="0" w:right="0" w:hanging="0"/>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publicly traded pharmaceutical companies and his extensive experience in leading companies from clinical-stage drug development to large-scale global commercialization.</w:t>
      </w:r>
    </w:p>
    <w:p>
      <w:pPr>
        <w:pStyle w:val="TextBody"/>
        <w:spacing w:lineRule="atLeast" w:line="220" w:before="20" w:after="200"/>
        <w:ind w:left="0" w:right="0" w:hanging="0"/>
        <w:rPr>
          <w:rFonts w:ascii="Arial Narrow" w:hAnsi="Arial Narrow"/>
          <w:b/>
          <w:i/>
          <w:sz w:val="19"/>
        </w:rPr>
      </w:pPr>
      <w:r>
        <w:rPr>
          <w:rFonts w:ascii="Arial Narrow" w:hAnsi="Arial Narrow"/>
          <w:b/>
          <w:i/>
          <w:sz w:val="19"/>
        </w:rPr>
        <w:t xml:space="preserve">Raymond Stevens, Ph.D. </w:t>
      </w:r>
      <w:r>
        <w:rPr>
          <w:rFonts w:ascii="Arial;Helvetica;sans-serif" w:hAnsi="Arial;Helvetica;sans-serif"/>
          <w:b w:val="false"/>
          <w:i w:val="false"/>
          <w:caps w:val="false"/>
          <w:smallCaps w:val="false"/>
          <w:sz w:val="19"/>
        </w:rPr>
        <w:t>has served as our Chief Executive Officer since May 2019 and as a member of our board of directors since February 2019. Previously, Dr. Stevens founded the Bridge Institute at the University of Southern California, where he served as Founding Director and Professor from July 2014 to May 2019, and since then as Professor Emeritus. Prior to founding the Bridge Institute, Dr. Stevens founded the iHuman Institute at ShanghaiTech University (“iHuman Institute”), in January 2012, where he has since served as Founding Director and Adjunct Professor. Prior to founding the iHuman Institute, Dr. Stevens served as Professor, Department of Integrative Structural and Computational Biology and Chemistry at The Scripps Research Institute from June 1999 to July 2014. Dr. Stevens also currently serves as a member of the board of directors of Danaher Corporation (NYSE: DHR). Dr. Stevens completed a post-doctoral fellowship in Chemistry at Harvard University. Dr. Stevens received his B.A. in Chemistry from the University of Southern Maine, and his Ph.D. in Organic Chemistry from the University of Southern California. We believe that Dr. Stevens is qualified to serve on our board of directors based on his extensive experience in the field of structure-based drug discovery and as a director of public and private companies. As our Chief Executive Officer, Dr. Stevens also provides invaluable insight to our management’s perspective in the board’s discussions regarding our company’s business and strategic plans.</w:t>
      </w:r>
    </w:p>
    <w:p>
      <w:pPr>
        <w:pStyle w:val="TextBody"/>
        <w:spacing w:lineRule="atLeast" w:line="220" w:before="160" w:after="0"/>
        <w:ind w:left="0" w:right="0" w:hanging="0"/>
        <w:rPr>
          <w:rFonts w:ascii="Arial Narrow" w:hAnsi="Arial Narrow"/>
          <w:b/>
          <w:i/>
          <w:sz w:val="19"/>
        </w:rPr>
      </w:pPr>
      <w:r>
        <w:rPr>
          <w:rFonts w:ascii="Arial Narrow" w:hAnsi="Arial Narrow"/>
          <w:b/>
          <w:i/>
          <w:sz w:val="19"/>
        </w:rPr>
        <w:t>Ramy Farid, Ph.D.</w:t>
      </w:r>
      <w:r>
        <w:rPr>
          <w:rFonts w:ascii="Arial Narrow" w:hAnsi="Arial Narrow"/>
          <w:b/>
          <w:i/>
          <w:caps w:val="false"/>
          <w:smallCaps w:val="false"/>
          <w:sz w:val="19"/>
        </w:rPr>
        <w:t xml:space="preserve"> </w:t>
      </w:r>
      <w:r>
        <w:rPr>
          <w:rFonts w:ascii="Arial;Helvetica;sans-serif" w:hAnsi="Arial;Helvetica;sans-serif"/>
          <w:b w:val="false"/>
          <w:i w:val="false"/>
          <w:caps w:val="false"/>
          <w:smallCaps w:val="false"/>
          <w:sz w:val="19"/>
        </w:rPr>
        <w:t>has served as a member of our board of directors since April 2019. Since January 2017, Dr. Farid has served as the President and Chief Executive Officer at Schrödinger, Inc. (Nasdaq: SDGR), where he has served in various roles since 1987, including President from January 2008 to December 2016, Senior Vice President from January 2005 to December 2007, and Vice President, Scientific Development and Product Management from January 2003 to December 2004. Prior to joining Schrödinger, Dr. Farid was an Assistant Professor in the Chemistry Department at Rutgers University from July 1994 to December 2001. Dr. Farid currently serves as a member of the board of directors of Schrödinger and Ajax Therapeutics, Inc. a private biotechnology company applying computational chemistry and structure-based technologies to develop small molecules for hematologic malignancies. Dr. Farid was previously a National Institute of Health Postdoctoral Fellow in the Department of Biochemistry and Biophysics at the University of Pennsylvania. Dr. Farid received his B.S. in Chemistry from the University of Rochester and his Ph.D. in Chemistry from the California Institute of Technology. We believe that Dr. Farid is qualified to serve on our board of directors because of his extensive experience in the biopharmaceutical industry, including his expertise in drug discovery and development.</w:t>
      </w:r>
      <w:r>
        <w:rPr>
          <w:rFonts w:ascii="Arial Narrow" w:hAnsi="Arial Narrow"/>
          <w:b/>
          <w:i/>
          <w:caps w:val="false"/>
          <w:smallCaps w:val="false"/>
          <w:sz w:val="19"/>
        </w:rPr>
        <w:t xml:space="preserve"> </w:t>
      </w:r>
    </w:p>
    <w:p>
      <w:pPr>
        <w:pStyle w:val="TextBody"/>
        <w:spacing w:lineRule="atLeast" w:line="220" w:before="140" w:after="0"/>
        <w:ind w:left="0" w:right="0" w:hanging="0"/>
        <w:rPr>
          <w:rFonts w:ascii="Arial Narrow" w:hAnsi="Arial Narrow"/>
          <w:b/>
          <w:i/>
          <w:sz w:val="19"/>
        </w:rPr>
      </w:pPr>
      <w:r>
        <w:rPr>
          <w:rFonts w:ascii="Arial Narrow" w:hAnsi="Arial Narrow"/>
          <w:b/>
          <w:i/>
          <w:sz w:val="19"/>
        </w:rPr>
        <w:t>Sharon Tetlow</w:t>
      </w:r>
      <w:r>
        <w:rPr>
          <w:rFonts w:ascii="Arial Narrow" w:hAnsi="Arial Narrow"/>
          <w:b/>
          <w:i/>
          <w:caps w:val="false"/>
          <w:smallCaps w:val="false"/>
          <w:sz w:val="19"/>
        </w:rPr>
        <w:t xml:space="preserve"> </w:t>
      </w:r>
      <w:r>
        <w:rPr>
          <w:rFonts w:ascii="Arial;Helvetica;sans-serif" w:hAnsi="Arial;Helvetica;sans-serif"/>
          <w:b w:val="false"/>
          <w:i w:val="false"/>
          <w:caps w:val="false"/>
          <w:smallCaps w:val="false"/>
          <w:sz w:val="19"/>
        </w:rPr>
        <w:t>has served as a member of our board of directors since March 2022. Since January 2016, Ms. Tetlow has served as Managing Partner of Potrero Hill Advisors, an advisory firm providing strategic and operational financial support to life sciences companies. Prior to Potrero Hill Advisors, Ms. Tetlow served as chief financial officer of several public and private biotech companies for the previous twenty years. Ms. Tetlow currently serves on the board of directors, on the nominating and governance committee and as chair of the audit committee of DICE Therapeutics, Inc. (Nasdaq: DICE), a biopharmaceutical company, on the board of directors and as chair of the audit committee of Catalyst Biosciences, Inc. (Nasdaq: CBIO), a biopharmaceutical company, and on the supervisory board and as chair of the audit committee of Valneva SE (Nasdaq: VALN, EPA: VLA), a global commercial stage, public vaccine company. Ms. Tetlow received her B.S. in Psychology from the University of Delaware and her M.B.A. from Stanford University. We believe that Ms. Tetlow is qualified to serve as a member of our board of directors because of her expertise in corporate finance and strategy in the biotechnology and pharmaceutical industries and her public company board experience.</w:t>
      </w:r>
      <w:r>
        <w:rPr>
          <w:rFonts w:ascii="Arial Narrow" w:hAnsi="Arial Narrow"/>
          <w:b/>
          <w:i/>
          <w:caps w:val="false"/>
          <w:smallCaps w:val="false"/>
          <w:sz w:val="19"/>
        </w:rPr>
        <w:t xml:space="preserve"> </w:t>
      </w:r>
    </w:p>
    <w:p>
      <w:pPr>
        <w:pStyle w:val="TextBody"/>
        <w:spacing w:lineRule="atLeast" w:line="220" w:before="160" w:after="0"/>
        <w:ind w:left="0" w:right="0" w:hanging="0"/>
        <w:rPr>
          <w:rFonts w:ascii="Arial Narrow" w:hAnsi="Arial Narrow"/>
          <w:b/>
          <w:i/>
          <w:sz w:val="19"/>
        </w:rPr>
      </w:pPr>
      <w:r>
        <w:rPr>
          <w:rFonts w:ascii="Arial Narrow" w:hAnsi="Arial Narrow"/>
          <w:b/>
          <w:i/>
          <w:sz w:val="19"/>
        </w:rPr>
        <w:t>Eric Dobmeier</w:t>
      </w:r>
      <w:r>
        <w:rPr>
          <w:rFonts w:ascii="Arial Narrow" w:hAnsi="Arial Narrow"/>
          <w:b/>
          <w:i/>
          <w:caps w:val="false"/>
          <w:smallCaps w:val="false"/>
          <w:sz w:val="19"/>
        </w:rPr>
        <w:t xml:space="preserve"> </w:t>
      </w:r>
      <w:r>
        <w:rPr>
          <w:rFonts w:ascii="Arial;Helvetica;sans-serif" w:hAnsi="Arial;Helvetica;sans-serif"/>
          <w:b w:val="false"/>
          <w:i w:val="false"/>
          <w:caps w:val="false"/>
          <w:smallCaps w:val="false"/>
          <w:sz w:val="19"/>
        </w:rPr>
        <w:t xml:space="preserve">has served as a member of our board of directors since December 2022. Since April 2019, Mr. Dobmeier has served as President, Chief Executive Officer and a member of the Board of Directors of Chinook Therapeutics, Inc. (NASDAQ: KDNY), a publicly traded biotechnology company focused on kidney diseases. Prior to joining Chinook Therapeutics, Mr. Dobmeier served as President and Chief Executive Officer of Silverback Therapeutics, Inc. from January 2018 to June 2018. Prior to that, Mr. Dobmeier held positions of increasing responsibility at Seattle Genetics, Inc. (NASDAQ: SGEN), a publicly traded biotechnology company, from 2002 to December 2017, including as Chief Operating Officer from June 2011 to December 2017. Previously, Mr. Dobmeier was an attorney with the law firms of Venture Law Group and Heller Ehrman LLP, where he represented technology companies in connection with public and private financings, mergers and acquisitions and corporate partnering transactions. Mr. Dobmeier currently serves on the board of directors of Atara Biotherapeutics, Inc. (NASDAQ: ATRA), a publicly traded biotechnology company, where he has served since 2015. Mr. Dobmeier previously served on the boards of directors of Adaptive Biotechnologies Corp (NASDAQ: ADPT) from 2016 to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209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lineRule="atLeast" w:line="220" w:before="0" w:after="0"/>
        <w:ind w:left="0" w:right="0" w:hanging="0"/>
        <w:rPr>
          <w:rFonts w:ascii="Arial Narrow" w:hAnsi="Arial Narrow"/>
          <w:b/>
          <w:i/>
          <w:sz w:val="19"/>
        </w:rPr>
      </w:pPr>
      <w:r>
        <w:rPr>
          <w:rFonts w:ascii="Arial;Helvetica;sans-serif" w:hAnsi="Arial;Helvetica;sans-serif"/>
          <w:b w:val="false"/>
          <w:i w:val="false"/>
          <w:caps w:val="false"/>
          <w:smallCaps w:val="false"/>
          <w:sz w:val="19"/>
        </w:rPr>
        <w:t>2021, Stemline Therapeutics, Inc. (NASDAQ: STML) from 2012 to 2018 and Versartis from 2017 to 2018, each a publicly traded biopharmaceutical company. He received his A.B. in History from Princeton University and his J.D. from the University of California, Berkeley School of Law. We believe Mr. Dobmeier is qualified to serve as a member of our board of directors because of his legal, business development and operating experience, senior management experience at public biotechnology companies and his service as a director of other biopharmaceutical companies.</w:t>
      </w:r>
      <w:r>
        <w:rPr>
          <w:rFonts w:ascii="Arial Narrow" w:hAnsi="Arial Narrow"/>
          <w:b/>
          <w:i/>
          <w:caps w:val="false"/>
          <w:smallCaps w:val="false"/>
          <w:sz w:val="19"/>
        </w:rPr>
        <w:t xml:space="preserve"> </w:t>
      </w:r>
    </w:p>
    <w:p>
      <w:pPr>
        <w:pStyle w:val="TextBody"/>
        <w:spacing w:lineRule="atLeast" w:line="220" w:before="160" w:after="280"/>
        <w:ind w:left="0" w:right="0" w:hanging="0"/>
        <w:rPr>
          <w:rFonts w:ascii="Arial Narrow" w:hAnsi="Arial Narrow"/>
          <w:b/>
          <w:i/>
          <w:sz w:val="19"/>
        </w:rPr>
      </w:pPr>
      <w:r>
        <w:rPr>
          <w:rFonts w:ascii="Arial Narrow" w:hAnsi="Arial Narrow"/>
          <w:b/>
          <w:i/>
          <w:sz w:val="19"/>
        </w:rPr>
        <w:t>Joanne Waldstreicher, M.D.,</w:t>
      </w:r>
      <w:r>
        <w:rPr>
          <w:rFonts w:ascii="Arial Narrow" w:hAnsi="Arial Narrow"/>
          <w:b/>
          <w:i/>
          <w:caps w:val="false"/>
          <w:smallCaps w:val="false"/>
          <w:sz w:val="19"/>
        </w:rPr>
        <w:t xml:space="preserve"> </w:t>
      </w:r>
      <w:r>
        <w:rPr>
          <w:rFonts w:ascii="Arial;Helvetica;sans-serif" w:hAnsi="Arial;Helvetica;sans-serif"/>
          <w:b w:val="false"/>
          <w:i w:val="false"/>
          <w:caps w:val="false"/>
          <w:smallCaps w:val="false"/>
          <w:sz w:val="19"/>
        </w:rPr>
        <w:t>has served as a member of our board of directors since December 2022. Since December 2012, Dr. Waldstreicher has served as Chief Medical Officer at Johnson &amp; Johnson (NYSE: JNJ), where she has served in various roles since 2002, including Chief Medical Officer &amp; Head, Asia Pacific Medical Science at Janssen Pharmaceutical Companies of Johnson &amp; Johnson from 2011 to 2012 and Senior Vice President, Head, Global Drug Development from 2007 to 2009. Prior to joining Johnson &amp; Johnson, Dr. Waldstreicher oversaw endocrinology and metabolism clinical research at Merck Research Laboratories. Dr. Waldstreicher also currently serves as a faculty affiliate of the Division of Medical Ethics, Department of Population Health at New York University School of Medicine. Dr. Waldstreicher received her B.A. in Chemistry at City University of New York, Brooklyn College, and her M.D. at Harvard Medical School. We believe Dr. Waldstreicher is qualified to serve on our board of directors based on her extensive experience as a pharmaceutical executive with significant expertise in clinical development, drug development strategy and regulatory affairs.</w:t>
      </w:r>
    </w:p>
    <w:p>
      <w:pPr>
        <w:pStyle w:val="TextBody"/>
        <w:spacing w:lineRule="atLeast" w:line="200" w:before="80" w:after="0"/>
        <w:ind w:left="0" w:right="0" w:hanging="0"/>
        <w:rPr>
          <w:rFonts w:ascii="Arial Narrow" w:hAnsi="Arial Narrow"/>
          <w:b/>
          <w:i/>
          <w:sz w:val="19"/>
        </w:rPr>
      </w:pPr>
      <w:r>
        <w:rPr>
          <w:rFonts w:ascii="Arial Narrow" w:hAnsi="Arial Narrow"/>
          <w:b/>
          <w:i/>
          <w:sz w:val="19"/>
        </w:rPr>
        <w:t>Executive Officers</w:t>
      </w:r>
      <w:r>
        <w:rPr>
          <w:rFonts w:ascii="Arial Narrow" w:hAnsi="Arial Narrow"/>
          <w:b/>
          <w:i/>
          <w:caps w:val="false"/>
          <w:smallCaps w:val="false"/>
          <w:sz w:val="19"/>
        </w:rPr>
        <w:t xml:space="preserve"> </w:t>
      </w:r>
    </w:p>
    <w:p>
      <w:pPr>
        <w:pStyle w:val="TextBody"/>
        <w:spacing w:lineRule="atLeast" w:line="220" w:before="360" w:after="0"/>
        <w:ind w:left="0" w:right="0" w:hanging="0"/>
        <w:rPr>
          <w:rFonts w:ascii="Arial;Helvetica;sans-serif" w:hAnsi="Arial;Helvetica;sans-serif"/>
          <w:sz w:val="19"/>
        </w:rPr>
      </w:pPr>
      <w:r>
        <w:rPr>
          <w:rFonts w:ascii="Arial;Helvetica;sans-serif" w:hAnsi="Arial;Helvetica;sans-serif"/>
          <w:sz w:val="19"/>
        </w:rPr>
        <w:t xml:space="preserve">The following table sets forth information regarding our executive officers: </w:t>
      </w:r>
    </w:p>
    <w:p>
      <w:pPr>
        <w:pStyle w:val="TextBody"/>
        <w:spacing w:lineRule="atLeast" w:line="180" w:before="0" w:after="0"/>
        <w:ind w:left="0" w:right="0" w:hanging="0"/>
        <w:rPr/>
      </w:pPr>
      <w:r>
        <w:rPr/>
        <w:t>​</w:t>
      </w:r>
    </w:p>
    <w:tbl>
      <w:tblPr>
        <w:tblW w:w="6670" w:type="dxa"/>
        <w:jc w:val="center"/>
        <w:tblInd w:w="0" w:type="dxa"/>
        <w:tblCellMar>
          <w:top w:w="28" w:type="dxa"/>
          <w:left w:w="0" w:type="dxa"/>
          <w:bottom w:w="0" w:type="dxa"/>
          <w:right w:w="0" w:type="dxa"/>
        </w:tblCellMar>
      </w:tblPr>
      <w:tblGrid>
        <w:gridCol w:w="2521"/>
        <w:gridCol w:w="326"/>
        <w:gridCol w:w="466"/>
        <w:gridCol w:w="326"/>
        <w:gridCol w:w="3031"/>
      </w:tblGrid>
      <w:tr>
        <w:trPr/>
        <w:tc>
          <w:tcPr>
            <w:tcW w:w="2521" w:type="dxa"/>
            <w:tcBorders>
              <w:top w:val="single" w:sz="2" w:space="0" w:color="000000"/>
            </w:tcBorders>
            <w:shd w:fill="auto" w:val="clear"/>
            <w:vAlign w:val="center"/>
          </w:tcPr>
          <w:p>
            <w:pPr>
              <w:pStyle w:val="TableContents"/>
              <w:spacing w:lineRule="atLeast" w:line="200" w:before="0" w:after="0"/>
              <w:ind w:left="0" w:right="0" w:hanging="0"/>
              <w:rPr>
                <w:caps/>
              </w:rPr>
            </w:pPr>
            <w:r>
              <w:rPr>
                <w:caps/>
              </w:rPr>
              <w:t>​</w:t>
            </w:r>
          </w:p>
        </w:tc>
        <w:tc>
          <w:tcPr>
            <w:tcW w:w="326" w:type="dxa"/>
            <w:tcBorders>
              <w:top w:val="single" w:sz="2" w:space="0" w:color="000000"/>
            </w:tcBorders>
            <w:shd w:fill="auto" w:val="clear"/>
            <w:vAlign w:val="center"/>
          </w:tcPr>
          <w:p>
            <w:pPr>
              <w:pStyle w:val="TableContents"/>
              <w:spacing w:lineRule="atLeast" w:line="200" w:before="0" w:after="0"/>
              <w:ind w:left="0" w:right="0" w:hanging="0"/>
              <w:rPr>
                <w:caps/>
              </w:rPr>
            </w:pPr>
            <w:r>
              <w:rPr>
                <w:caps/>
              </w:rPr>
              <w:t>​</w:t>
            </w:r>
          </w:p>
        </w:tc>
        <w:tc>
          <w:tcPr>
            <w:tcW w:w="466" w:type="dxa"/>
            <w:tcBorders>
              <w:top w:val="single" w:sz="2" w:space="0" w:color="000000"/>
            </w:tcBorders>
            <w:shd w:fill="auto" w:val="clear"/>
            <w:vAlign w:val="center"/>
          </w:tcPr>
          <w:p>
            <w:pPr>
              <w:pStyle w:val="TableContents"/>
              <w:spacing w:lineRule="atLeast" w:line="200" w:before="0" w:after="0"/>
              <w:ind w:left="0" w:right="0" w:hanging="0"/>
              <w:jc w:val="center"/>
              <w:rPr>
                <w:caps/>
              </w:rPr>
            </w:pPr>
            <w:r>
              <w:rPr>
                <w:caps/>
              </w:rPr>
              <w:t>​</w:t>
            </w:r>
          </w:p>
        </w:tc>
        <w:tc>
          <w:tcPr>
            <w:tcW w:w="326" w:type="dxa"/>
            <w:tcBorders>
              <w:top w:val="single" w:sz="2" w:space="0" w:color="000000"/>
            </w:tcBorders>
            <w:shd w:fill="auto" w:val="clear"/>
            <w:vAlign w:val="center"/>
          </w:tcPr>
          <w:p>
            <w:pPr>
              <w:pStyle w:val="TableContents"/>
              <w:spacing w:lineRule="atLeast" w:line="200" w:before="0" w:after="0"/>
              <w:ind w:left="0" w:right="0" w:hanging="0"/>
              <w:rPr>
                <w:caps/>
              </w:rPr>
            </w:pPr>
            <w:r>
              <w:rPr>
                <w:caps/>
              </w:rPr>
              <w:t>​</w:t>
            </w:r>
          </w:p>
        </w:tc>
        <w:tc>
          <w:tcPr>
            <w:tcW w:w="3031" w:type="dxa"/>
            <w:tcBorders>
              <w:top w:val="single" w:sz="2" w:space="0" w:color="000000"/>
            </w:tcBorders>
            <w:shd w:fill="auto" w:val="clear"/>
            <w:vAlign w:val="center"/>
          </w:tcPr>
          <w:p>
            <w:pPr>
              <w:pStyle w:val="TableContents"/>
              <w:spacing w:lineRule="atLeast" w:line="200" w:before="0" w:after="0"/>
              <w:ind w:left="0" w:right="0" w:hanging="0"/>
              <w:rPr>
                <w:caps/>
              </w:rPr>
            </w:pPr>
            <w:r>
              <w:rPr>
                <w:caps/>
              </w:rPr>
              <w:t>​</w:t>
            </w:r>
          </w:p>
        </w:tc>
      </w:tr>
      <w:tr>
        <w:trPr/>
        <w:tc>
          <w:tcPr>
            <w:tcW w:w="2521" w:type="dxa"/>
            <w:tcBorders>
              <w:bottom w:val="single" w:sz="2" w:space="0" w:color="000000"/>
            </w:tcBorders>
            <w:shd w:fill="auto" w:val="clear"/>
            <w:tcMar>
              <w:top w:w="0" w:type="dxa"/>
              <w:bottom w:w="28" w:type="dxa"/>
            </w:tcMar>
            <w:vAlign w:val="center"/>
          </w:tcPr>
          <w:p>
            <w:pPr>
              <w:pStyle w:val="TableContents"/>
              <w:spacing w:lineRule="atLeast" w:line="180" w:before="0" w:after="0"/>
              <w:ind w:left="0" w:right="0" w:hanging="0"/>
              <w:rPr>
                <w:rFonts w:ascii="Arial;Helvetica;sans-serif" w:hAnsi="Arial;Helvetica;sans-serif"/>
                <w:b/>
                <w:caps/>
                <w:sz w:val="16"/>
              </w:rPr>
            </w:pPr>
            <w:r>
              <w:rPr>
                <w:rFonts w:ascii="Arial;Helvetica;sans-serif" w:hAnsi="Arial;Helvetica;sans-serif"/>
                <w:b/>
                <w:caps/>
                <w:sz w:val="16"/>
              </w:rPr>
              <w:t xml:space="preserve">Name </w:t>
            </w:r>
          </w:p>
        </w:tc>
        <w:tc>
          <w:tcPr>
            <w:tcW w:w="326" w:type="dxa"/>
            <w:tcBorders/>
            <w:shd w:fill="auto" w:val="clear"/>
            <w:tcMar>
              <w:top w:w="0" w:type="dxa"/>
            </w:tcMar>
            <w:vAlign w:val="center"/>
          </w:tcPr>
          <w:p>
            <w:pPr>
              <w:pStyle w:val="TableContents"/>
              <w:spacing w:lineRule="atLeast" w:line="180" w:before="0" w:after="0"/>
              <w:ind w:left="0" w:right="0" w:hanging="0"/>
              <w:rPr>
                <w:caps/>
              </w:rPr>
            </w:pPr>
            <w:r>
              <w:rPr>
                <w:caps/>
              </w:rPr>
              <w:t>    </w:t>
            </w:r>
          </w:p>
        </w:tc>
        <w:tc>
          <w:tcPr>
            <w:tcW w:w="466" w:type="dxa"/>
            <w:tcBorders>
              <w:bottom w:val="single" w:sz="2" w:space="0" w:color="000000"/>
            </w:tcBorders>
            <w:shd w:fill="auto" w:val="clear"/>
            <w:tcMar>
              <w:top w:w="0" w:type="dxa"/>
              <w:bottom w:w="28" w:type="dxa"/>
            </w:tcMar>
            <w:vAlign w:val="center"/>
          </w:tcPr>
          <w:p>
            <w:pPr>
              <w:pStyle w:val="TableContents"/>
              <w:spacing w:lineRule="atLeast" w:line="180" w:before="0" w:after="0"/>
              <w:ind w:left="0" w:right="0" w:hanging="0"/>
              <w:jc w:val="center"/>
              <w:rPr>
                <w:rFonts w:ascii="Arial;Helvetica;sans-serif" w:hAnsi="Arial;Helvetica;sans-serif"/>
                <w:b/>
                <w:caps/>
                <w:sz w:val="16"/>
              </w:rPr>
            </w:pPr>
            <w:r>
              <w:rPr>
                <w:rFonts w:ascii="Arial;Helvetica;sans-serif" w:hAnsi="Arial;Helvetica;sans-serif"/>
                <w:b/>
                <w:caps/>
                <w:sz w:val="16"/>
              </w:rPr>
              <w:t>Age</w:t>
            </w:r>
          </w:p>
        </w:tc>
        <w:tc>
          <w:tcPr>
            <w:tcW w:w="326" w:type="dxa"/>
            <w:tcBorders/>
            <w:shd w:fill="auto" w:val="clear"/>
            <w:tcMar>
              <w:top w:w="0" w:type="dxa"/>
            </w:tcMar>
            <w:vAlign w:val="center"/>
          </w:tcPr>
          <w:p>
            <w:pPr>
              <w:pStyle w:val="TableContents"/>
              <w:spacing w:lineRule="atLeast" w:line="180" w:before="0" w:after="0"/>
              <w:ind w:left="0" w:right="0" w:hanging="0"/>
              <w:rPr>
                <w:caps/>
              </w:rPr>
            </w:pPr>
            <w:r>
              <w:rPr>
                <w:caps/>
              </w:rPr>
              <w:t>    </w:t>
            </w:r>
          </w:p>
        </w:tc>
        <w:tc>
          <w:tcPr>
            <w:tcW w:w="3031" w:type="dxa"/>
            <w:tcBorders>
              <w:bottom w:val="single" w:sz="2" w:space="0" w:color="000000"/>
            </w:tcBorders>
            <w:shd w:fill="auto" w:val="clear"/>
            <w:tcMar>
              <w:top w:w="0" w:type="dxa"/>
              <w:bottom w:w="28" w:type="dxa"/>
            </w:tcMar>
            <w:vAlign w:val="center"/>
          </w:tcPr>
          <w:p>
            <w:pPr>
              <w:pStyle w:val="TableContents"/>
              <w:spacing w:lineRule="atLeast" w:line="180" w:before="0" w:after="0"/>
              <w:ind w:left="0" w:right="0" w:hanging="0"/>
              <w:rPr>
                <w:rFonts w:ascii="Arial;Helvetica;sans-serif" w:hAnsi="Arial;Helvetica;sans-serif"/>
                <w:b/>
                <w:caps/>
                <w:sz w:val="16"/>
              </w:rPr>
            </w:pPr>
            <w:r>
              <w:rPr>
                <w:rFonts w:ascii="Arial;Helvetica;sans-serif" w:hAnsi="Arial;Helvetica;sans-serif"/>
                <w:b/>
                <w:caps/>
                <w:sz w:val="16"/>
              </w:rPr>
              <w:t>Position(s)</w:t>
            </w:r>
          </w:p>
        </w:tc>
      </w:tr>
      <w:tr>
        <w:trPr/>
        <w:tc>
          <w:tcPr>
            <w:tcW w:w="2521" w:type="dxa"/>
            <w:tcBorders>
              <w:top w:val="single" w:sz="2" w:space="0" w:color="000000"/>
            </w:tcBorders>
            <w:shd w:fill="CCEEFF" w:val="clear"/>
            <w:vAlign w:val="center"/>
          </w:tcPr>
          <w:p>
            <w:pPr>
              <w:pStyle w:val="TableContents"/>
              <w:spacing w:before="0" w:after="0"/>
              <w:ind w:left="0" w:right="0" w:hanging="0"/>
              <w:rPr>
                <w:rFonts w:ascii="Arial;Helvetica;sans-serif" w:hAnsi="Arial;Helvetica;sans-serif"/>
                <w:sz w:val="19"/>
              </w:rPr>
            </w:pPr>
            <w:r>
              <w:rPr>
                <w:rFonts w:ascii="Arial;Helvetica;sans-serif" w:hAnsi="Arial;Helvetica;sans-serif"/>
                <w:sz w:val="20"/>
              </w:rPr>
              <w:t>Raymond Stevens, Ph.D.</w:t>
            </w:r>
            <w:r>
              <w:rPr>
                <w:rFonts w:ascii="Arial;Helvetica;sans-serif" w:hAnsi="Arial;Helvetica;sans-serif"/>
                <w:sz w:val="15"/>
              </w:rPr>
              <w:t>(1)</w:t>
            </w:r>
          </w:p>
        </w:tc>
        <w:tc>
          <w:tcPr>
            <w:tcW w:w="326" w:type="dxa"/>
            <w:tcBorders/>
            <w:shd w:fill="CCEEFF" w:val="clear"/>
            <w:tcMar>
              <w:top w:w="0" w:type="dxa"/>
            </w:tcMar>
            <w:vAlign w:val="center"/>
          </w:tcPr>
          <w:p>
            <w:pPr>
              <w:pStyle w:val="TableContents"/>
              <w:spacing w:lineRule="atLeast" w:line="240" w:before="0" w:after="0"/>
              <w:ind w:left="0" w:right="0" w:hanging="0"/>
              <w:rPr/>
            </w:pPr>
            <w:r>
              <w:rPr/>
              <w:t>​</w:t>
            </w:r>
          </w:p>
        </w:tc>
        <w:tc>
          <w:tcPr>
            <w:tcW w:w="466" w:type="dxa"/>
            <w:tcBorders>
              <w:top w:val="single" w:sz="2" w:space="0" w:color="000000"/>
            </w:tcBorders>
            <w:shd w:fill="CCEEFF" w:val="clear"/>
            <w:vAlign w:val="center"/>
          </w:tcPr>
          <w:p>
            <w:pPr>
              <w:pStyle w:val="TableContents"/>
              <w:spacing w:lineRule="atLeast" w:line="220" w:before="0" w:after="0"/>
              <w:ind w:left="0" w:right="0" w:hanging="0"/>
              <w:jc w:val="center"/>
              <w:rPr>
                <w:rFonts w:ascii="Arial;Helvetica;sans-serif" w:hAnsi="Arial;Helvetica;sans-serif"/>
                <w:sz w:val="20"/>
              </w:rPr>
            </w:pPr>
            <w:r>
              <w:rPr>
                <w:rFonts w:ascii="Arial;Helvetica;sans-serif" w:hAnsi="Arial;Helvetica;sans-serif"/>
                <w:sz w:val="20"/>
              </w:rPr>
              <w:t>59</w:t>
            </w:r>
          </w:p>
        </w:tc>
        <w:tc>
          <w:tcPr>
            <w:tcW w:w="326" w:type="dxa"/>
            <w:tcBorders/>
            <w:shd w:fill="CCEEFF" w:val="clear"/>
            <w:tcMar>
              <w:top w:w="0" w:type="dxa"/>
            </w:tcMar>
            <w:vAlign w:val="center"/>
          </w:tcPr>
          <w:p>
            <w:pPr>
              <w:pStyle w:val="TableContents"/>
              <w:spacing w:lineRule="atLeast" w:line="240" w:before="0" w:after="0"/>
              <w:ind w:left="0" w:right="0" w:hanging="0"/>
              <w:rPr/>
            </w:pPr>
            <w:r>
              <w:rPr/>
              <w:t>​</w:t>
            </w:r>
          </w:p>
        </w:tc>
        <w:tc>
          <w:tcPr>
            <w:tcW w:w="3031" w:type="dxa"/>
            <w:tcBorders/>
            <w:shd w:fill="CCEEFF" w:val="clear"/>
            <w:tcMar>
              <w:top w:w="0" w:type="dxa"/>
            </w:tcMar>
            <w:vAlign w:val="center"/>
          </w:tcPr>
          <w:p>
            <w:pPr>
              <w:pStyle w:val="TableContents"/>
              <w:spacing w:lineRule="atLeast" w:line="220" w:before="0" w:after="0"/>
              <w:ind w:left="0" w:right="0" w:hanging="0"/>
              <w:rPr>
                <w:rFonts w:ascii="Arial;Helvetica;sans-serif" w:hAnsi="Arial;Helvetica;sans-serif"/>
                <w:sz w:val="20"/>
              </w:rPr>
            </w:pPr>
            <w:r>
              <w:rPr>
                <w:rFonts w:ascii="Arial;Helvetica;sans-serif" w:hAnsi="Arial;Helvetica;sans-serif"/>
                <w:sz w:val="20"/>
              </w:rPr>
              <w:t xml:space="preserve">Director, Chief Executive Officer </w:t>
            </w:r>
          </w:p>
        </w:tc>
      </w:tr>
      <w:tr>
        <w:trPr/>
        <w:tc>
          <w:tcPr>
            <w:tcW w:w="2521" w:type="dxa"/>
            <w:tcBorders/>
            <w:shd w:fill="auto" w:val="clear"/>
            <w:tcMar>
              <w:top w:w="0" w:type="dxa"/>
            </w:tcMar>
            <w:vAlign w:val="center"/>
          </w:tcPr>
          <w:p>
            <w:pPr>
              <w:pStyle w:val="TableContents"/>
              <w:spacing w:lineRule="atLeast" w:line="220" w:before="0" w:after="0"/>
              <w:ind w:left="0" w:right="0" w:hanging="0"/>
              <w:rPr>
                <w:rFonts w:ascii="Arial;Helvetica;sans-serif" w:hAnsi="Arial;Helvetica;sans-serif"/>
                <w:sz w:val="20"/>
              </w:rPr>
            </w:pPr>
            <w:r>
              <w:rPr>
                <w:rFonts w:ascii="Arial;Helvetica;sans-serif" w:hAnsi="Arial;Helvetica;sans-serif"/>
                <w:sz w:val="20"/>
              </w:rPr>
              <w:t>Jun Yoon</w:t>
            </w:r>
          </w:p>
        </w:tc>
        <w:tc>
          <w:tcPr>
            <w:tcW w:w="326" w:type="dxa"/>
            <w:tcBorders/>
            <w:shd w:fill="auto" w:val="clear"/>
            <w:tcMar>
              <w:top w:w="0" w:type="dxa"/>
            </w:tcMar>
            <w:vAlign w:val="center"/>
          </w:tcPr>
          <w:p>
            <w:pPr>
              <w:pStyle w:val="TableContents"/>
              <w:spacing w:lineRule="atLeast" w:line="240" w:before="0" w:after="0"/>
              <w:ind w:left="0" w:right="0" w:hanging="0"/>
              <w:rPr/>
            </w:pPr>
            <w:r>
              <w:rPr/>
              <w:t>​</w:t>
            </w:r>
          </w:p>
        </w:tc>
        <w:tc>
          <w:tcPr>
            <w:tcW w:w="466" w:type="dxa"/>
            <w:tcBorders/>
            <w:shd w:fill="auto" w:val="clear"/>
            <w:tcMar>
              <w:top w:w="0" w:type="dxa"/>
            </w:tcMar>
            <w:vAlign w:val="center"/>
          </w:tcPr>
          <w:p>
            <w:pPr>
              <w:pStyle w:val="TableContents"/>
              <w:spacing w:lineRule="atLeast" w:line="220" w:before="0" w:after="0"/>
              <w:ind w:left="0" w:right="0" w:hanging="0"/>
              <w:jc w:val="center"/>
              <w:rPr>
                <w:rFonts w:ascii="Arial;Helvetica;sans-serif" w:hAnsi="Arial;Helvetica;sans-serif"/>
                <w:sz w:val="20"/>
              </w:rPr>
            </w:pPr>
            <w:r>
              <w:rPr>
                <w:rFonts w:ascii="Arial;Helvetica;sans-serif" w:hAnsi="Arial;Helvetica;sans-serif"/>
                <w:sz w:val="20"/>
              </w:rPr>
              <w:t>45</w:t>
            </w:r>
          </w:p>
        </w:tc>
        <w:tc>
          <w:tcPr>
            <w:tcW w:w="326" w:type="dxa"/>
            <w:tcBorders/>
            <w:shd w:fill="auto" w:val="clear"/>
            <w:tcMar>
              <w:top w:w="0" w:type="dxa"/>
            </w:tcMar>
            <w:vAlign w:val="center"/>
          </w:tcPr>
          <w:p>
            <w:pPr>
              <w:pStyle w:val="TableContents"/>
              <w:spacing w:lineRule="atLeast" w:line="240" w:before="0" w:after="0"/>
              <w:ind w:left="0" w:right="0" w:hanging="0"/>
              <w:rPr/>
            </w:pPr>
            <w:r>
              <w:rPr/>
              <w:t>​</w:t>
            </w:r>
          </w:p>
        </w:tc>
        <w:tc>
          <w:tcPr>
            <w:tcW w:w="3031" w:type="dxa"/>
            <w:tcBorders/>
            <w:shd w:fill="auto" w:val="clear"/>
            <w:tcMar>
              <w:top w:w="0" w:type="dxa"/>
            </w:tcMar>
            <w:vAlign w:val="center"/>
          </w:tcPr>
          <w:p>
            <w:pPr>
              <w:pStyle w:val="TableContents"/>
              <w:spacing w:lineRule="atLeast" w:line="220" w:before="0" w:after="0"/>
              <w:ind w:left="0" w:right="0" w:hanging="0"/>
              <w:rPr>
                <w:rFonts w:ascii="Arial;Helvetica;sans-serif" w:hAnsi="Arial;Helvetica;sans-serif"/>
                <w:sz w:val="20"/>
              </w:rPr>
            </w:pPr>
            <w:r>
              <w:rPr>
                <w:rFonts w:ascii="Arial;Helvetica;sans-serif" w:hAnsi="Arial;Helvetica;sans-serif"/>
                <w:sz w:val="20"/>
              </w:rPr>
              <w:t xml:space="preserve">Chief Financial Officer </w:t>
            </w:r>
          </w:p>
        </w:tc>
      </w:tr>
      <w:tr>
        <w:trPr/>
        <w:tc>
          <w:tcPr>
            <w:tcW w:w="2521" w:type="dxa"/>
            <w:tcBorders/>
            <w:shd w:fill="CCEEFF" w:val="clear"/>
            <w:tcMar>
              <w:top w:w="0" w:type="dxa"/>
            </w:tcMar>
            <w:vAlign w:val="center"/>
          </w:tcPr>
          <w:p>
            <w:pPr>
              <w:pStyle w:val="TableContents"/>
              <w:spacing w:lineRule="atLeast" w:line="220" w:before="0" w:after="0"/>
              <w:ind w:left="0" w:right="0" w:hanging="0"/>
              <w:rPr>
                <w:rFonts w:ascii="Arial;Helvetica;sans-serif" w:hAnsi="Arial;Helvetica;sans-serif"/>
                <w:sz w:val="20"/>
              </w:rPr>
            </w:pPr>
            <w:r>
              <w:rPr>
                <w:rFonts w:ascii="Arial;Helvetica;sans-serif" w:hAnsi="Arial;Helvetica;sans-serif"/>
                <w:sz w:val="20"/>
              </w:rPr>
              <w:t>Xichen Lin, Ph.D.</w:t>
            </w:r>
          </w:p>
        </w:tc>
        <w:tc>
          <w:tcPr>
            <w:tcW w:w="326" w:type="dxa"/>
            <w:tcBorders/>
            <w:shd w:fill="CCEEFF" w:val="clear"/>
            <w:tcMar>
              <w:top w:w="0" w:type="dxa"/>
            </w:tcMar>
            <w:vAlign w:val="center"/>
          </w:tcPr>
          <w:p>
            <w:pPr>
              <w:pStyle w:val="TableContents"/>
              <w:spacing w:lineRule="atLeast" w:line="240" w:before="0" w:after="0"/>
              <w:ind w:left="0" w:right="0" w:hanging="0"/>
              <w:rPr/>
            </w:pPr>
            <w:r>
              <w:rPr/>
              <w:t>​</w:t>
            </w:r>
          </w:p>
        </w:tc>
        <w:tc>
          <w:tcPr>
            <w:tcW w:w="466" w:type="dxa"/>
            <w:tcBorders/>
            <w:shd w:fill="CCEEFF" w:val="clear"/>
            <w:tcMar>
              <w:top w:w="0" w:type="dxa"/>
            </w:tcMar>
            <w:vAlign w:val="center"/>
          </w:tcPr>
          <w:p>
            <w:pPr>
              <w:pStyle w:val="TableContents"/>
              <w:spacing w:lineRule="atLeast" w:line="220" w:before="0" w:after="0"/>
              <w:ind w:left="0" w:right="0" w:hanging="0"/>
              <w:jc w:val="center"/>
              <w:rPr>
                <w:rFonts w:ascii="Arial;Helvetica;sans-serif" w:hAnsi="Arial;Helvetica;sans-serif"/>
                <w:sz w:val="20"/>
              </w:rPr>
            </w:pPr>
            <w:r>
              <w:rPr>
                <w:rFonts w:ascii="Arial;Helvetica;sans-serif" w:hAnsi="Arial;Helvetica;sans-serif"/>
                <w:sz w:val="20"/>
              </w:rPr>
              <w:t>49</w:t>
            </w:r>
          </w:p>
        </w:tc>
        <w:tc>
          <w:tcPr>
            <w:tcW w:w="326" w:type="dxa"/>
            <w:tcBorders/>
            <w:shd w:fill="CCEEFF" w:val="clear"/>
            <w:tcMar>
              <w:top w:w="0" w:type="dxa"/>
            </w:tcMar>
            <w:vAlign w:val="center"/>
          </w:tcPr>
          <w:p>
            <w:pPr>
              <w:pStyle w:val="TableContents"/>
              <w:spacing w:lineRule="atLeast" w:line="240" w:before="0" w:after="0"/>
              <w:ind w:left="0" w:right="0" w:hanging="0"/>
              <w:rPr/>
            </w:pPr>
            <w:r>
              <w:rPr/>
              <w:t>​</w:t>
            </w:r>
          </w:p>
        </w:tc>
        <w:tc>
          <w:tcPr>
            <w:tcW w:w="3031" w:type="dxa"/>
            <w:tcBorders/>
            <w:shd w:fill="CCEEFF" w:val="clear"/>
            <w:tcMar>
              <w:top w:w="0" w:type="dxa"/>
            </w:tcMar>
            <w:vAlign w:val="center"/>
          </w:tcPr>
          <w:p>
            <w:pPr>
              <w:pStyle w:val="TableContents"/>
              <w:spacing w:lineRule="atLeast" w:line="220" w:before="0" w:after="0"/>
              <w:ind w:left="0" w:right="0" w:hanging="0"/>
              <w:rPr>
                <w:rFonts w:ascii="Arial;Helvetica;sans-serif" w:hAnsi="Arial;Helvetica;sans-serif"/>
                <w:sz w:val="20"/>
              </w:rPr>
            </w:pPr>
            <w:r>
              <w:rPr>
                <w:rFonts w:ascii="Arial;Helvetica;sans-serif" w:hAnsi="Arial;Helvetica;sans-serif"/>
                <w:sz w:val="20"/>
              </w:rPr>
              <w:t xml:space="preserve">Chief Scientific Officer </w:t>
            </w:r>
          </w:p>
        </w:tc>
      </w:tr>
      <w:tr>
        <w:trPr/>
        <w:tc>
          <w:tcPr>
            <w:tcW w:w="2521" w:type="dxa"/>
            <w:tcBorders/>
            <w:shd w:fill="auto" w:val="clear"/>
            <w:tcMar>
              <w:top w:w="0" w:type="dxa"/>
            </w:tcMar>
            <w:vAlign w:val="center"/>
          </w:tcPr>
          <w:p>
            <w:pPr>
              <w:pStyle w:val="TableContents"/>
              <w:spacing w:lineRule="atLeast" w:line="220" w:before="0" w:after="0"/>
              <w:ind w:left="0" w:right="0" w:hanging="0"/>
              <w:rPr>
                <w:rFonts w:ascii="Arial;Helvetica;sans-serif" w:hAnsi="Arial;Helvetica;sans-serif"/>
                <w:sz w:val="20"/>
              </w:rPr>
            </w:pPr>
            <w:r>
              <w:rPr>
                <w:rFonts w:ascii="Arial;Helvetica;sans-serif" w:hAnsi="Arial;Helvetica;sans-serif"/>
                <w:sz w:val="20"/>
              </w:rPr>
              <w:t>Mark Bach, M.D., Ph.D.</w:t>
            </w:r>
          </w:p>
        </w:tc>
        <w:tc>
          <w:tcPr>
            <w:tcW w:w="326" w:type="dxa"/>
            <w:tcBorders/>
            <w:shd w:fill="auto" w:val="clear"/>
            <w:tcMar>
              <w:top w:w="0" w:type="dxa"/>
            </w:tcMar>
            <w:vAlign w:val="center"/>
          </w:tcPr>
          <w:p>
            <w:pPr>
              <w:pStyle w:val="TableContents"/>
              <w:spacing w:lineRule="atLeast" w:line="240" w:before="0" w:after="0"/>
              <w:ind w:left="0" w:right="0" w:hanging="0"/>
              <w:rPr/>
            </w:pPr>
            <w:r>
              <w:rPr/>
              <w:t>​</w:t>
            </w:r>
          </w:p>
        </w:tc>
        <w:tc>
          <w:tcPr>
            <w:tcW w:w="466" w:type="dxa"/>
            <w:tcBorders/>
            <w:shd w:fill="auto" w:val="clear"/>
            <w:tcMar>
              <w:top w:w="0" w:type="dxa"/>
            </w:tcMar>
            <w:vAlign w:val="center"/>
          </w:tcPr>
          <w:p>
            <w:pPr>
              <w:pStyle w:val="TableContents"/>
              <w:spacing w:lineRule="atLeast" w:line="220" w:before="0" w:after="0"/>
              <w:ind w:left="0" w:right="0" w:hanging="0"/>
              <w:jc w:val="center"/>
              <w:rPr>
                <w:rFonts w:ascii="Arial;Helvetica;sans-serif" w:hAnsi="Arial;Helvetica;sans-serif"/>
                <w:sz w:val="20"/>
              </w:rPr>
            </w:pPr>
            <w:r>
              <w:rPr>
                <w:rFonts w:ascii="Arial;Helvetica;sans-serif" w:hAnsi="Arial;Helvetica;sans-serif"/>
                <w:sz w:val="20"/>
              </w:rPr>
              <w:t>66</w:t>
            </w:r>
          </w:p>
        </w:tc>
        <w:tc>
          <w:tcPr>
            <w:tcW w:w="326" w:type="dxa"/>
            <w:tcBorders/>
            <w:shd w:fill="auto" w:val="clear"/>
            <w:tcMar>
              <w:top w:w="0" w:type="dxa"/>
            </w:tcMar>
            <w:vAlign w:val="center"/>
          </w:tcPr>
          <w:p>
            <w:pPr>
              <w:pStyle w:val="TableContents"/>
              <w:spacing w:lineRule="atLeast" w:line="240" w:before="0" w:after="0"/>
              <w:ind w:left="0" w:right="0" w:hanging="0"/>
              <w:rPr/>
            </w:pPr>
            <w:r>
              <w:rPr/>
              <w:t>​</w:t>
            </w:r>
          </w:p>
        </w:tc>
        <w:tc>
          <w:tcPr>
            <w:tcW w:w="3031" w:type="dxa"/>
            <w:tcBorders/>
            <w:shd w:fill="auto" w:val="clear"/>
            <w:tcMar>
              <w:top w:w="0" w:type="dxa"/>
            </w:tcMar>
            <w:vAlign w:val="center"/>
          </w:tcPr>
          <w:p>
            <w:pPr>
              <w:pStyle w:val="TableContents"/>
              <w:spacing w:lineRule="atLeast" w:line="220" w:before="0" w:after="0"/>
              <w:ind w:left="0" w:right="0" w:hanging="0"/>
              <w:rPr>
                <w:rFonts w:ascii="Arial;Helvetica;sans-serif" w:hAnsi="Arial;Helvetica;sans-serif"/>
                <w:sz w:val="20"/>
              </w:rPr>
            </w:pPr>
            <w:r>
              <w:rPr>
                <w:rFonts w:ascii="Arial;Helvetica;sans-serif" w:hAnsi="Arial;Helvetica;sans-serif"/>
                <w:sz w:val="20"/>
              </w:rPr>
              <w:t xml:space="preserve">Chief Medical Officer </w:t>
            </w:r>
          </w:p>
        </w:tc>
      </w:tr>
      <w:tr>
        <w:trPr/>
        <w:tc>
          <w:tcPr>
            <w:tcW w:w="2521" w:type="dxa"/>
            <w:tcBorders/>
            <w:shd w:fill="CCEEFF" w:val="clear"/>
            <w:tcMar>
              <w:top w:w="0" w:type="dxa"/>
            </w:tcMar>
            <w:vAlign w:val="center"/>
          </w:tcPr>
          <w:p>
            <w:pPr>
              <w:pStyle w:val="TableContents"/>
              <w:spacing w:lineRule="atLeast" w:line="220" w:before="0" w:after="0"/>
              <w:ind w:left="0" w:right="0" w:hanging="0"/>
              <w:rPr>
                <w:rFonts w:ascii="Arial;Helvetica;sans-serif" w:hAnsi="Arial;Helvetica;sans-serif"/>
                <w:sz w:val="20"/>
              </w:rPr>
            </w:pPr>
            <w:r>
              <w:rPr>
                <w:rFonts w:ascii="Arial;Helvetica;sans-serif" w:hAnsi="Arial;Helvetica;sans-serif"/>
                <w:sz w:val="20"/>
              </w:rPr>
              <w:t>Melita Sun Jung</w:t>
            </w:r>
          </w:p>
        </w:tc>
        <w:tc>
          <w:tcPr>
            <w:tcW w:w="326" w:type="dxa"/>
            <w:tcBorders/>
            <w:shd w:fill="CCEEFF" w:val="clear"/>
            <w:tcMar>
              <w:top w:w="0" w:type="dxa"/>
            </w:tcMar>
            <w:vAlign w:val="center"/>
          </w:tcPr>
          <w:p>
            <w:pPr>
              <w:pStyle w:val="TableContents"/>
              <w:spacing w:lineRule="atLeast" w:line="240" w:before="0" w:after="0"/>
              <w:ind w:left="0" w:right="0" w:hanging="0"/>
              <w:rPr/>
            </w:pPr>
            <w:r>
              <w:rPr/>
              <w:t>​</w:t>
            </w:r>
          </w:p>
        </w:tc>
        <w:tc>
          <w:tcPr>
            <w:tcW w:w="466" w:type="dxa"/>
            <w:tcBorders/>
            <w:shd w:fill="CCEEFF" w:val="clear"/>
            <w:tcMar>
              <w:top w:w="0" w:type="dxa"/>
            </w:tcMar>
            <w:vAlign w:val="center"/>
          </w:tcPr>
          <w:p>
            <w:pPr>
              <w:pStyle w:val="TableContents"/>
              <w:spacing w:lineRule="atLeast" w:line="220" w:before="0" w:after="0"/>
              <w:ind w:left="0" w:right="0" w:hanging="0"/>
              <w:jc w:val="center"/>
              <w:rPr>
                <w:rFonts w:ascii="Arial;Helvetica;sans-serif" w:hAnsi="Arial;Helvetica;sans-serif"/>
                <w:sz w:val="20"/>
              </w:rPr>
            </w:pPr>
            <w:r>
              <w:rPr>
                <w:rFonts w:ascii="Arial;Helvetica;sans-serif" w:hAnsi="Arial;Helvetica;sans-serif"/>
                <w:sz w:val="20"/>
              </w:rPr>
              <w:t>46</w:t>
            </w:r>
          </w:p>
        </w:tc>
        <w:tc>
          <w:tcPr>
            <w:tcW w:w="326" w:type="dxa"/>
            <w:tcBorders/>
            <w:shd w:fill="CCEEFF" w:val="clear"/>
            <w:tcMar>
              <w:top w:w="0" w:type="dxa"/>
            </w:tcMar>
            <w:vAlign w:val="center"/>
          </w:tcPr>
          <w:p>
            <w:pPr>
              <w:pStyle w:val="TableContents"/>
              <w:spacing w:lineRule="atLeast" w:line="240" w:before="0" w:after="0"/>
              <w:ind w:left="0" w:right="0" w:hanging="0"/>
              <w:rPr/>
            </w:pPr>
            <w:r>
              <w:rPr/>
              <w:t>​</w:t>
            </w:r>
          </w:p>
        </w:tc>
        <w:tc>
          <w:tcPr>
            <w:tcW w:w="3031" w:type="dxa"/>
            <w:tcBorders/>
            <w:shd w:fill="CCEEFF" w:val="clear"/>
            <w:tcMar>
              <w:top w:w="0" w:type="dxa"/>
            </w:tcMar>
            <w:vAlign w:val="center"/>
          </w:tcPr>
          <w:p>
            <w:pPr>
              <w:pStyle w:val="TableContents"/>
              <w:spacing w:lineRule="atLeast" w:line="220" w:before="0" w:after="0"/>
              <w:ind w:left="0" w:right="0" w:hanging="0"/>
              <w:rPr>
                <w:rFonts w:ascii="Arial;Helvetica;sans-serif" w:hAnsi="Arial;Helvetica;sans-serif"/>
                <w:sz w:val="20"/>
              </w:rPr>
            </w:pPr>
            <w:r>
              <w:rPr>
                <w:rFonts w:ascii="Arial;Helvetica;sans-serif" w:hAnsi="Arial;Helvetica;sans-serif"/>
                <w:sz w:val="20"/>
              </w:rPr>
              <w:t xml:space="preserve">Chief Business Officer </w:t>
            </w:r>
          </w:p>
        </w:tc>
      </w:tr>
      <w:tr>
        <w:trPr/>
        <w:tc>
          <w:tcPr>
            <w:tcW w:w="2521" w:type="dxa"/>
            <w:tcBorders/>
            <w:shd w:fill="auto" w:val="clear"/>
            <w:tcMar>
              <w:top w:w="0" w:type="dxa"/>
            </w:tcMar>
            <w:vAlign w:val="center"/>
          </w:tcPr>
          <w:p>
            <w:pPr>
              <w:pStyle w:val="TableContents"/>
              <w:spacing w:lineRule="atLeast" w:line="220" w:before="0" w:after="0"/>
              <w:ind w:left="0" w:right="0" w:hanging="0"/>
              <w:rPr>
                <w:rFonts w:ascii="Arial;Helvetica;sans-serif" w:hAnsi="Arial;Helvetica;sans-serif"/>
                <w:sz w:val="20"/>
              </w:rPr>
            </w:pPr>
            <w:r>
              <w:rPr>
                <w:rFonts w:ascii="Arial;Helvetica;sans-serif" w:hAnsi="Arial;Helvetica;sans-serif"/>
                <w:sz w:val="20"/>
              </w:rPr>
              <w:t>Yingli Ma, Ph.D.</w:t>
            </w:r>
          </w:p>
        </w:tc>
        <w:tc>
          <w:tcPr>
            <w:tcW w:w="326" w:type="dxa"/>
            <w:tcBorders/>
            <w:shd w:fill="auto" w:val="clear"/>
            <w:tcMar>
              <w:top w:w="0" w:type="dxa"/>
            </w:tcMar>
            <w:vAlign w:val="center"/>
          </w:tcPr>
          <w:p>
            <w:pPr>
              <w:pStyle w:val="TableContents"/>
              <w:spacing w:lineRule="atLeast" w:line="240" w:before="0" w:after="0"/>
              <w:ind w:left="0" w:right="0" w:hanging="0"/>
              <w:rPr/>
            </w:pPr>
            <w:r>
              <w:rPr/>
              <w:t>​</w:t>
            </w:r>
          </w:p>
        </w:tc>
        <w:tc>
          <w:tcPr>
            <w:tcW w:w="466" w:type="dxa"/>
            <w:tcBorders/>
            <w:shd w:fill="auto" w:val="clear"/>
            <w:tcMar>
              <w:top w:w="0" w:type="dxa"/>
            </w:tcMar>
            <w:vAlign w:val="center"/>
          </w:tcPr>
          <w:p>
            <w:pPr>
              <w:pStyle w:val="TableContents"/>
              <w:spacing w:lineRule="atLeast" w:line="220" w:before="0" w:after="0"/>
              <w:ind w:left="0" w:right="0" w:hanging="0"/>
              <w:jc w:val="center"/>
              <w:rPr>
                <w:rFonts w:ascii="Arial;Helvetica;sans-serif" w:hAnsi="Arial;Helvetica;sans-serif"/>
                <w:sz w:val="20"/>
              </w:rPr>
            </w:pPr>
            <w:r>
              <w:rPr>
                <w:rFonts w:ascii="Arial;Helvetica;sans-serif" w:hAnsi="Arial;Helvetica;sans-serif"/>
                <w:sz w:val="20"/>
              </w:rPr>
              <w:t>49</w:t>
            </w:r>
          </w:p>
        </w:tc>
        <w:tc>
          <w:tcPr>
            <w:tcW w:w="326" w:type="dxa"/>
            <w:tcBorders/>
            <w:shd w:fill="auto" w:val="clear"/>
            <w:tcMar>
              <w:top w:w="0" w:type="dxa"/>
            </w:tcMar>
            <w:vAlign w:val="center"/>
          </w:tcPr>
          <w:p>
            <w:pPr>
              <w:pStyle w:val="TableContents"/>
              <w:spacing w:lineRule="atLeast" w:line="240" w:before="0" w:after="0"/>
              <w:ind w:left="0" w:right="0" w:hanging="0"/>
              <w:rPr/>
            </w:pPr>
            <w:r>
              <w:rPr/>
              <w:t>​</w:t>
            </w:r>
          </w:p>
        </w:tc>
        <w:tc>
          <w:tcPr>
            <w:tcW w:w="3031" w:type="dxa"/>
            <w:tcBorders/>
            <w:shd w:fill="auto" w:val="clear"/>
            <w:tcMar>
              <w:top w:w="0" w:type="dxa"/>
            </w:tcMar>
            <w:vAlign w:val="center"/>
          </w:tcPr>
          <w:p>
            <w:pPr>
              <w:pStyle w:val="TableContents"/>
              <w:spacing w:lineRule="atLeast" w:line="220" w:before="0" w:after="0"/>
              <w:ind w:left="0" w:right="0" w:hanging="0"/>
              <w:rPr>
                <w:rFonts w:ascii="Arial;Helvetica;sans-serif" w:hAnsi="Arial;Helvetica;sans-serif"/>
                <w:sz w:val="20"/>
              </w:rPr>
            </w:pPr>
            <w:r>
              <w:rPr>
                <w:rFonts w:ascii="Arial;Helvetica;sans-serif" w:hAnsi="Arial;Helvetica;sans-serif"/>
                <w:sz w:val="20"/>
              </w:rPr>
              <w:t xml:space="preserve">Chief Technology Officer </w:t>
            </w:r>
          </w:p>
        </w:tc>
      </w:tr>
      <w:tr>
        <w:trPr/>
        <w:tc>
          <w:tcPr>
            <w:tcW w:w="6670" w:type="dxa"/>
            <w:gridSpan w:val="5"/>
            <w:tcBorders>
              <w:bottom w:val="single" w:sz="2" w:space="0" w:color="000000"/>
            </w:tcBorders>
            <w:shd w:fill="CCEEFF" w:val="clear"/>
            <w:tcMar>
              <w:top w:w="0" w:type="dxa"/>
              <w:bottom w:w="28" w:type="dxa"/>
            </w:tcMar>
            <w:vAlign w:val="center"/>
          </w:tcPr>
          <w:p>
            <w:pPr>
              <w:pStyle w:val="TableContents"/>
              <w:spacing w:lineRule="atLeast" w:line="240" w:before="0" w:after="0"/>
              <w:ind w:left="0" w:right="0" w:hanging="0"/>
              <w:rPr/>
            </w:pPr>
            <w:r>
              <w:rPr/>
              <w:t>​</w:t>
            </w:r>
          </w:p>
        </w:tc>
      </w:tr>
    </w:tbl>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Arial;Helvetica;sans-serif" w:hAnsi="Arial;Helvetica;sans-serif"/>
          <w:sz w:val="16"/>
        </w:rPr>
      </w:pPr>
      <w:r>
        <w:rPr>
          <w:rFonts w:ascii="Arial;Helvetica;sans-serif" w:hAnsi="Arial;Helvetica;sans-serif"/>
          <w:sz w:val="12"/>
        </w:rPr>
        <w:t>(1)</w:t>
      </w:r>
      <w:r>
        <w:rPr>
          <w:rFonts w:ascii="Arial;Helvetica;sans-serif" w:hAnsi="Arial;Helvetica;sans-serif"/>
          <w:sz w:val="16"/>
        </w:rPr>
        <w:t xml:space="preserve"> For Dr. Stevens’ biographical information, please refer to “Directors” in the preceding section.</w:t>
      </w:r>
    </w:p>
    <w:p>
      <w:pPr>
        <w:pStyle w:val="TextBody"/>
        <w:spacing w:lineRule="atLeast" w:line="240" w:before="80" w:after="0"/>
        <w:ind w:left="0" w:right="0" w:hanging="0"/>
        <w:rPr/>
      </w:pPr>
      <w:r>
        <w:rPr/>
        <w:t>​</w:t>
      </w:r>
    </w:p>
    <w:p>
      <w:pPr>
        <w:pStyle w:val="TextBody"/>
        <w:spacing w:lineRule="atLeast" w:line="220" w:before="80" w:after="0"/>
        <w:ind w:left="0" w:right="0" w:hanging="0"/>
        <w:rPr>
          <w:rFonts w:ascii="Arial Narrow" w:hAnsi="Arial Narrow"/>
          <w:b/>
          <w:i/>
          <w:sz w:val="19"/>
        </w:rPr>
      </w:pPr>
      <w:r>
        <w:rPr>
          <w:rFonts w:ascii="Arial Narrow" w:hAnsi="Arial Narrow"/>
          <w:b/>
          <w:i/>
          <w:sz w:val="19"/>
        </w:rPr>
        <w:t>Jun Yoon</w:t>
      </w:r>
      <w:r>
        <w:rPr>
          <w:rFonts w:ascii="Arial Narrow" w:hAnsi="Arial Narrow"/>
          <w:b/>
          <w:i/>
          <w:caps w:val="false"/>
          <w:smallCaps w:val="false"/>
          <w:sz w:val="19"/>
        </w:rPr>
        <w:t xml:space="preserve"> </w:t>
      </w:r>
      <w:r>
        <w:rPr>
          <w:rFonts w:ascii="Arial;Helvetica;sans-serif" w:hAnsi="Arial;Helvetica;sans-serif"/>
          <w:b w:val="false"/>
          <w:i w:val="false"/>
          <w:caps w:val="false"/>
          <w:smallCaps w:val="false"/>
          <w:sz w:val="19"/>
        </w:rPr>
        <w:t>has served as our Chief Financial Officer since May 2022. He previously served as our Chief Operating Officer since February 2019. Prior to joining our company, Mr. Yoon served as Vice President, Corporate Development at Cellerant Therapeutics, Inc., a biotechnology company developing immunotherapies for hematologic malignancies and other blood-related disorders, from May 2010 to January 2016. Prior to joining Cellerant Therapeutics, Mr. Yoon served as Senior Director, Licensing &amp; Business Development at VIA Pharmaceuticals, Inc., a biotechnology company focused on the treatment of cardiovascular disease, from August 2004 to March 2010. Previously, Mr. Yoon worked in Business Development for Syrrx, Inc., prior to its acquisition by Takeda Pharmaceutical Company Limited, from July 2000 to October 2002. Mr. Yoon currently serves as director of the GPCR Consortium, a public-private global collaboration advancing GPCR research. Mr. Yoon received his B.A. in Molecular Cell Biology from the University of California, Berkeley.</w:t>
      </w:r>
      <w:r>
        <w:rPr>
          <w:rFonts w:ascii="Arial Narrow" w:hAnsi="Arial Narrow"/>
          <w:b/>
          <w:i/>
          <w:caps w:val="false"/>
          <w:smallCaps w:val="false"/>
          <w:sz w:val="19"/>
        </w:rPr>
        <w:t xml:space="preserve"> </w:t>
      </w:r>
    </w:p>
    <w:p>
      <w:pPr>
        <w:pStyle w:val="TextBody"/>
        <w:spacing w:lineRule="atLeast" w:line="220" w:before="140" w:after="200"/>
        <w:ind w:left="0" w:right="0" w:hanging="0"/>
        <w:rPr>
          <w:rFonts w:ascii="Arial Narrow" w:hAnsi="Arial Narrow"/>
          <w:b/>
          <w:i/>
          <w:sz w:val="19"/>
        </w:rPr>
      </w:pPr>
      <w:r>
        <w:rPr>
          <w:rFonts w:ascii="Arial Narrow" w:hAnsi="Arial Narrow"/>
          <w:b/>
          <w:i/>
          <w:sz w:val="19"/>
        </w:rPr>
        <w:t>Xichen Lin, Ph.D.</w:t>
      </w:r>
      <w:r>
        <w:rPr>
          <w:rFonts w:ascii="Arial Narrow" w:hAnsi="Arial Narrow"/>
          <w:b/>
          <w:i/>
          <w:caps w:val="false"/>
          <w:smallCaps w:val="false"/>
          <w:sz w:val="19"/>
        </w:rPr>
        <w:t xml:space="preserve"> </w:t>
      </w:r>
      <w:r>
        <w:rPr>
          <w:rFonts w:ascii="Arial;Helvetica;sans-serif" w:hAnsi="Arial;Helvetica;sans-serif"/>
          <w:b w:val="false"/>
          <w:i w:val="false"/>
          <w:caps w:val="false"/>
          <w:smallCaps w:val="false"/>
          <w:sz w:val="19"/>
        </w:rPr>
        <w:t>has served as our Chief Scientific Officer since July 2019. Prior to joining our company, Dr. Lin served as Head of External Innovation, Asia Pacific at Novo Nordisk from May 2016 to July 2019. Prior to joining Novo Nordisk A/S, Dr. Lin served as Operation Partner at C-Bridge Capital, a biotechnology investment firm, from December 2015 to May 2016. Prior to serving at C-Bridge Capital, Dr. Lin held various scientific and strategy roles at GlaxoSmithKline (“GSK”), from July 2002 to December 2015, including Head of GSK’s Global Neuroinflammation Discovery Performance Unit. Dr. Lin received his B.S. in Chemistry from Peking University, and his Ph.D. in Organic Chemistry from The Pennsylvania State University.</w:t>
      </w:r>
      <w:r>
        <w:rPr>
          <w:rFonts w:ascii="Arial Narrow" w:hAnsi="Arial Narrow"/>
          <w:b/>
          <w:i/>
          <w:caps w:val="false"/>
          <w:smallCaps w:val="false"/>
          <w:sz w:val="19"/>
        </w:rPr>
        <w:t xml:space="preserve">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210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lineRule="atLeast" w:line="220" w:before="0" w:after="0"/>
        <w:ind w:left="0" w:right="0" w:hanging="0"/>
        <w:rPr>
          <w:rFonts w:ascii="Arial Narrow" w:hAnsi="Arial Narrow"/>
          <w:b/>
          <w:i/>
          <w:sz w:val="19"/>
        </w:rPr>
      </w:pPr>
      <w:r>
        <w:rPr>
          <w:rFonts w:ascii="Arial Narrow" w:hAnsi="Arial Narrow"/>
          <w:b/>
          <w:i/>
          <w:sz w:val="19"/>
        </w:rPr>
        <w:t>Mark Bach, M.D., Ph.D.</w:t>
      </w:r>
      <w:r>
        <w:rPr>
          <w:rFonts w:ascii="Arial Narrow" w:hAnsi="Arial Narrow"/>
          <w:b/>
          <w:i/>
          <w:caps w:val="false"/>
          <w:smallCaps w:val="false"/>
          <w:sz w:val="19"/>
        </w:rPr>
        <w:t xml:space="preserve"> </w:t>
      </w:r>
      <w:r>
        <w:rPr>
          <w:rFonts w:ascii="Arial;Helvetica;sans-serif" w:hAnsi="Arial;Helvetica;sans-serif"/>
          <w:b w:val="false"/>
          <w:i w:val="false"/>
          <w:caps w:val="false"/>
          <w:smallCaps w:val="false"/>
          <w:sz w:val="19"/>
        </w:rPr>
        <w:t>has served as our Chief Medical Officer since June 2021. Prior to joining our company, Dr. Bach served as Senior Vice President, Endocrine Medical Sciences at Ascendis Pharma, Inc. (Nasdaq: ASND), a Danish biopharmaceutical company, from November 2020 to June 2021. Prior to serving at Ascendis Pharma, Dr. Bach served as Interim Chief Executive Officer of Accumulus Synergy, Inc., a non-profit biopharmaceutical information exchange platform, from July 2020 to October 2020. Prior to serving at Accumulus Synergy, Dr. Bach held various roles at Janssen Pharmaceuticals, Inc. from January 2010 to October 2020, including Vice President, Office of the Chief Medical Officer and Vice President Head, Asia Pacific Medical Sciences and China Innovation. Prior to serving at Janssen, Dr. Bach held various roles at Merck &amp; Co., Inc. (NYSE: MRK) from June 1993 to January 2010, including Vice President and Executive Director, Global Medical Organization. Dr. Bach received his B.A. in Chemistry from Carleton College, his Ph.D. in Pathology from The University of Chicago Graduate School of Biological Sciences, and his M.D. from Baylor College of Medicine.</w:t>
      </w:r>
      <w:r>
        <w:rPr>
          <w:rFonts w:ascii="Arial Narrow" w:hAnsi="Arial Narrow"/>
          <w:b/>
          <w:i/>
          <w:caps w:val="false"/>
          <w:smallCaps w:val="false"/>
          <w:sz w:val="19"/>
        </w:rPr>
        <w:t xml:space="preserve"> </w:t>
      </w:r>
    </w:p>
    <w:p>
      <w:pPr>
        <w:pStyle w:val="TextBody"/>
        <w:spacing w:lineRule="atLeast" w:line="220" w:before="140" w:after="0"/>
        <w:ind w:left="0" w:right="0" w:hanging="0"/>
        <w:rPr>
          <w:rFonts w:ascii="Arial Narrow" w:hAnsi="Arial Narrow"/>
          <w:b/>
          <w:i/>
          <w:sz w:val="19"/>
        </w:rPr>
      </w:pPr>
      <w:r>
        <w:rPr>
          <w:rFonts w:ascii="Arial Narrow" w:hAnsi="Arial Narrow"/>
          <w:b/>
          <w:i/>
          <w:sz w:val="19"/>
        </w:rPr>
        <w:t>Melita Sun Jung</w:t>
      </w:r>
      <w:r>
        <w:rPr>
          <w:rFonts w:ascii="Arial Narrow" w:hAnsi="Arial Narrow"/>
          <w:b/>
          <w:i/>
          <w:caps w:val="false"/>
          <w:smallCaps w:val="false"/>
          <w:sz w:val="19"/>
        </w:rPr>
        <w:t xml:space="preserve"> </w:t>
      </w:r>
      <w:r>
        <w:rPr>
          <w:rFonts w:ascii="Arial;Helvetica;sans-serif" w:hAnsi="Arial;Helvetica;sans-serif"/>
          <w:b w:val="false"/>
          <w:i w:val="false"/>
          <w:caps w:val="false"/>
          <w:smallCaps w:val="false"/>
          <w:sz w:val="19"/>
        </w:rPr>
        <w:t>has served as our Chief Business Officer since May 2021. Prior to joining our company, Ms. Jung served as Senior Vice President, Head of Business Development at Sangamo Therapeutics, Inc. (Nasdaq: SGMO), a genomic medicines company, from July 2017 to May 2021. Prior to joining Sangamo Therapeutics, Ms. Jung served as Senior Director, Corporate Development at Adamas Pharmaceuticals, Inc., a biopharmaceutical company focused on neurological diseases, from July 2014 to June 2017. Prior to that, Ms. Jung served as Vice President, Business Development at Ascendancy Healthcare, Inc., a company focused on commercializing pharmaceutical products for China and other Asian markets, from April 2012 to May 2014. Prior to serving at Ascendancy Healthcare, Ms. Jung held corporate development and commercial roles for Ipsen, Ltd. (OTCMKTS: IPSEY), a biopharmaceutical company focused on oncology, rare disease and neuroscience. Previously, Ms. Jung started her career in venture capital and fund management, at Bay City Capital and Lombard Odier. Ms. Jung received her B.A. in Integrative Biology from the University of California, Berkeley.</w:t>
      </w:r>
      <w:r>
        <w:rPr>
          <w:rFonts w:ascii="Arial Narrow" w:hAnsi="Arial Narrow"/>
          <w:b/>
          <w:i/>
          <w:caps w:val="false"/>
          <w:smallCaps w:val="false"/>
          <w:sz w:val="19"/>
        </w:rPr>
        <w:t xml:space="preserve"> </w:t>
      </w:r>
    </w:p>
    <w:p>
      <w:pPr>
        <w:pStyle w:val="TextBody"/>
        <w:spacing w:lineRule="atLeast" w:line="220" w:before="160" w:after="280"/>
        <w:ind w:left="0" w:right="0" w:hanging="0"/>
        <w:rPr>
          <w:rFonts w:ascii="Arial Narrow" w:hAnsi="Arial Narrow"/>
          <w:b/>
          <w:i/>
          <w:sz w:val="19"/>
        </w:rPr>
      </w:pPr>
      <w:r>
        <w:rPr>
          <w:rFonts w:ascii="Arial Narrow" w:hAnsi="Arial Narrow"/>
          <w:b/>
          <w:i/>
          <w:sz w:val="19"/>
        </w:rPr>
        <w:t>Yingli Ma, Ph.D.</w:t>
      </w:r>
      <w:r>
        <w:rPr>
          <w:rFonts w:ascii="Arial Narrow" w:hAnsi="Arial Narrow"/>
          <w:b/>
          <w:i/>
          <w:caps w:val="false"/>
          <w:smallCaps w:val="false"/>
          <w:sz w:val="19"/>
        </w:rPr>
        <w:t xml:space="preserve"> </w:t>
      </w:r>
      <w:r>
        <w:rPr>
          <w:rFonts w:ascii="Arial;Helvetica;sans-serif" w:hAnsi="Arial;Helvetica;sans-serif"/>
          <w:b w:val="false"/>
          <w:i w:val="false"/>
          <w:caps w:val="false"/>
          <w:smallCaps w:val="false"/>
          <w:sz w:val="19"/>
        </w:rPr>
        <w:t>has served as our Chief Technology Officer since August 2022. Previously, Dr. Ma served as General Manager and President of Basecamp Bio Inc., our wholly-owned subsidiary, from May 2021 to August 2022. Prior to joining Basecamp Bio, Dr. Ma served as General Manager of Amgen Biopharmaceutical R&amp;D (Shanghai), the R&amp;D site of Amgen, Inc. (Nasdaq: AMGN) in Shanghai from June 2020 to May 2021. Previously, Dr. Ma served in various roles at Amgen, including Executive Director, Structural Biology and China Research Shanghai Platforms from July 2018 to December 2019, and Principal Scientist, Structural Biology and Protein Expression from June 2014 to July 2018. Prior to serving at Amgen, Dr. Ma was Senior Scientist and Principal Scientist, Structural Chemistry Lead at GSK from April 2009 to May 2014. Dr. Ma completed her post-doctoral fellowship in Molecular Biology at Rockefeller University. Dr. Ma received her B.S. in Clinical Medicine from China Medical University, and her Ph.D. in Biochemistry and Molecular Biophysics from the University of Pennsylvania.</w:t>
      </w:r>
    </w:p>
    <w:p>
      <w:pPr>
        <w:pStyle w:val="TextBody"/>
        <w:spacing w:lineRule="atLeast" w:line="200" w:before="240" w:after="0"/>
        <w:ind w:left="0" w:right="0" w:hanging="0"/>
        <w:rPr>
          <w:rFonts w:ascii="Arial Narrow" w:hAnsi="Arial Narrow"/>
          <w:b/>
          <w:sz w:val="19"/>
        </w:rPr>
      </w:pPr>
      <w:r>
        <w:rPr>
          <w:rFonts w:ascii="Arial Narrow" w:hAnsi="Arial Narrow"/>
          <w:b/>
          <w:sz w:val="19"/>
        </w:rPr>
        <w:t xml:space="preserve">Family Relationships and Other Arrangements </w:t>
      </w:r>
    </w:p>
    <w:p>
      <w:pPr>
        <w:pStyle w:val="TextBody"/>
        <w:spacing w:lineRule="atLeast" w:line="220" w:before="60" w:after="0"/>
        <w:ind w:left="0" w:right="0" w:hanging="0"/>
        <w:rPr>
          <w:rFonts w:ascii="Arial;Helvetica;sans-serif" w:hAnsi="Arial;Helvetica;sans-serif"/>
          <w:sz w:val="19"/>
        </w:rPr>
      </w:pPr>
      <w:r>
        <w:rPr>
          <w:rFonts w:ascii="Arial;Helvetica;sans-serif" w:hAnsi="Arial;Helvetica;sans-serif"/>
          <w:sz w:val="19"/>
        </w:rPr>
        <w:t xml:space="preserve">Pursuant to our voting agreement, as amended, which terminated upon the closing of the IPO, the following directors were designated as directors to our board of directors: </w:t>
      </w:r>
    </w:p>
    <w:tbl>
      <w:tblPr>
        <w:tblW w:w="6783" w:type="dxa"/>
        <w:jc w:val="left"/>
        <w:tblInd w:w="0" w:type="dxa"/>
        <w:tblCellMar>
          <w:top w:w="0" w:type="dxa"/>
          <w:left w:w="0" w:type="dxa"/>
          <w:bottom w:w="0" w:type="dxa"/>
          <w:right w:w="0" w:type="dxa"/>
        </w:tblCellMar>
      </w:tblPr>
      <w:tblGrid>
        <w:gridCol w:w="23"/>
        <w:gridCol w:w="110"/>
        <w:gridCol w:w="6650"/>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80" w:after="0"/>
              <w:rPr/>
            </w:pPr>
            <w:r>
              <w:rPr/>
              <w:t>▪</w:t>
            </w:r>
          </w:p>
        </w:tc>
        <w:tc>
          <w:tcPr>
            <w:tcW w:w="6650" w:type="dxa"/>
            <w:tcBorders/>
            <w:shd w:fill="auto" w:val="clear"/>
            <w:vAlign w:val="center"/>
          </w:tcPr>
          <w:p>
            <w:pPr>
              <w:pStyle w:val="TableContents"/>
              <w:spacing w:lineRule="atLeast" w:line="220" w:before="80" w:after="0"/>
              <w:rPr>
                <w:rFonts w:ascii="Arial;Helvetica;sans-serif" w:hAnsi="Arial;Helvetica;sans-serif"/>
                <w:sz w:val="19"/>
              </w:rPr>
            </w:pPr>
            <w:r>
              <w:rPr>
                <w:rFonts w:ascii="Arial;Helvetica;sans-serif" w:hAnsi="Arial;Helvetica;sans-serif"/>
                <w:sz w:val="19"/>
              </w:rPr>
              <w:t xml:space="preserve">Dr. Stevens was elected by the holders of a majority of our ordinary shares.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80" w:after="0"/>
              <w:rPr/>
            </w:pPr>
            <w:r>
              <w:rPr/>
              <w:t>▪</w:t>
            </w:r>
          </w:p>
        </w:tc>
        <w:tc>
          <w:tcPr>
            <w:tcW w:w="10072" w:type="dxa"/>
            <w:tcBorders/>
            <w:shd w:fill="auto" w:val="clear"/>
            <w:vAlign w:val="center"/>
          </w:tcPr>
          <w:p>
            <w:pPr>
              <w:pStyle w:val="TableContents"/>
              <w:spacing w:lineRule="atLeast" w:line="220" w:before="80" w:after="0"/>
              <w:rPr>
                <w:rFonts w:ascii="Arial;Helvetica;sans-serif" w:hAnsi="Arial;Helvetica;sans-serif"/>
                <w:sz w:val="19"/>
              </w:rPr>
            </w:pPr>
            <w:r>
              <w:rPr>
                <w:rFonts w:ascii="Arial;Helvetica;sans-serif" w:hAnsi="Arial;Helvetica;sans-serif"/>
                <w:sz w:val="19"/>
              </w:rPr>
              <w:t xml:space="preserve">Dr. Waldstreicher was approved by our board of directors and elected by the holders of a majority of our Series A+ convertible preferred shares.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80" w:after="0"/>
              <w:rPr/>
            </w:pPr>
            <w:r>
              <w:rPr/>
              <w:t>▪</w:t>
            </w:r>
          </w:p>
        </w:tc>
        <w:tc>
          <w:tcPr>
            <w:tcW w:w="10072" w:type="dxa"/>
            <w:tcBorders/>
            <w:shd w:fill="auto" w:val="clear"/>
            <w:vAlign w:val="center"/>
          </w:tcPr>
          <w:p>
            <w:pPr>
              <w:pStyle w:val="TableContents"/>
              <w:spacing w:lineRule="atLeast" w:line="220" w:before="80" w:after="0"/>
              <w:rPr>
                <w:rFonts w:ascii="Arial;Helvetica;sans-serif" w:hAnsi="Arial;Helvetica;sans-serif"/>
                <w:sz w:val="19"/>
              </w:rPr>
            </w:pPr>
            <w:r>
              <w:rPr>
                <w:rFonts w:ascii="Arial;Helvetica;sans-serif" w:hAnsi="Arial;Helvetica;sans-serif"/>
                <w:sz w:val="19"/>
              </w:rPr>
              <w:t>Ms. Tetlow and Mr. Dobmeier were approved by our board of directors and elected by the holders of a majority of our Series A convertible preferred shares.</w:t>
            </w:r>
          </w:p>
        </w:tc>
      </w:tr>
    </w:tbl>
    <w:tbl>
      <w:tblPr>
        <w:tblW w:w="9033" w:type="dxa"/>
        <w:jc w:val="left"/>
        <w:tblInd w:w="0" w:type="dxa"/>
        <w:tblCellMar>
          <w:top w:w="0" w:type="dxa"/>
          <w:left w:w="0" w:type="dxa"/>
          <w:bottom w:w="0" w:type="dxa"/>
          <w:right w:w="0" w:type="dxa"/>
        </w:tblCellMar>
      </w:tblPr>
      <w:tblGrid>
        <w:gridCol w:w="23"/>
        <w:gridCol w:w="110"/>
        <w:gridCol w:w="8900"/>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80" w:after="0"/>
              <w:rPr/>
            </w:pPr>
            <w:r>
              <w:rPr/>
              <w:t>▪</w:t>
            </w:r>
          </w:p>
        </w:tc>
        <w:tc>
          <w:tcPr>
            <w:tcW w:w="8900" w:type="dxa"/>
            <w:tcBorders/>
            <w:shd w:fill="auto" w:val="clear"/>
            <w:vAlign w:val="center"/>
          </w:tcPr>
          <w:p>
            <w:pPr>
              <w:pStyle w:val="TableContents"/>
              <w:spacing w:lineRule="atLeast" w:line="220" w:before="80" w:after="0"/>
              <w:rPr>
                <w:rFonts w:ascii="Arial;Helvetica;sans-serif" w:hAnsi="Arial;Helvetica;sans-serif"/>
                <w:sz w:val="19"/>
              </w:rPr>
            </w:pPr>
            <w:r>
              <w:rPr>
                <w:rFonts w:ascii="Arial;Helvetica;sans-serif" w:hAnsi="Arial;Helvetica;sans-serif"/>
                <w:sz w:val="19"/>
              </w:rPr>
              <w:t xml:space="preserve">Dr. Farid was designated mutually by our board of directors and approved by certain affiliated entities. </w:t>
            </w:r>
          </w:p>
        </w:tc>
      </w:tr>
    </w:tbl>
    <w:p>
      <w:pPr>
        <w:pStyle w:val="TextBody"/>
        <w:spacing w:lineRule="atLeast" w:line="220" w:before="160" w:after="0"/>
        <w:ind w:left="0" w:right="0" w:hanging="0"/>
        <w:rPr>
          <w:rFonts w:ascii="Arial;Helvetica;sans-serif" w:hAnsi="Arial;Helvetica;sans-serif"/>
          <w:sz w:val="19"/>
        </w:rPr>
      </w:pPr>
      <w:r>
        <w:rPr>
          <w:rFonts w:ascii="Arial;Helvetica;sans-serif" w:hAnsi="Arial;Helvetica;sans-serif"/>
          <w:sz w:val="19"/>
        </w:rPr>
        <w:t xml:space="preserve">There are no family relationships among any of our executive officers and directors. </w:t>
      </w:r>
    </w:p>
    <w:p>
      <w:pPr>
        <w:pStyle w:val="TextBody"/>
        <w:spacing w:lineRule="atLeast" w:line="200" w:before="240" w:after="0"/>
        <w:ind w:left="0" w:right="0" w:hanging="0"/>
        <w:rPr>
          <w:rFonts w:ascii="Arial Narrow" w:hAnsi="Arial Narrow"/>
          <w:b/>
          <w:sz w:val="19"/>
        </w:rPr>
      </w:pPr>
      <w:r>
        <w:rPr>
          <w:rFonts w:ascii="Arial Narrow" w:hAnsi="Arial Narrow"/>
          <w:b/>
          <w:sz w:val="19"/>
        </w:rPr>
        <w:t xml:space="preserve">Board Composition </w:t>
      </w:r>
    </w:p>
    <w:p>
      <w:pPr>
        <w:pStyle w:val="TextBody"/>
        <w:spacing w:lineRule="atLeast" w:line="220" w:before="60" w:after="0"/>
        <w:ind w:left="0" w:right="0" w:hanging="0"/>
        <w:rPr>
          <w:rFonts w:ascii="Arial;Helvetica;sans-serif" w:hAnsi="Arial;Helvetica;sans-serif"/>
          <w:sz w:val="19"/>
        </w:rPr>
      </w:pPr>
      <w:r>
        <w:rPr>
          <w:rFonts w:ascii="Arial;Helvetica;sans-serif" w:hAnsi="Arial;Helvetica;sans-serif"/>
          <w:sz w:val="19"/>
        </w:rPr>
        <w:t xml:space="preserve">Our board of directors currently consists of six members, with three vacancies. In accordance with our amended and restated memorandum and articles of association, our board of directors is divided into three classes with staggered three-year terms. At each annual meeting of shareholders, the successors to the directors whose terms then expire will be elected to serve from the time of election and qualification until the third annual meeting following election. Our directors are divided among the three classes as follows: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211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0" w:after="0"/>
              <w:rPr/>
            </w:pPr>
            <w:r>
              <w:rPr/>
              <w:t>▪</w:t>
            </w:r>
          </w:p>
        </w:tc>
        <w:tc>
          <w:tcPr>
            <w:tcW w:w="10072" w:type="dxa"/>
            <w:tcBorders/>
            <w:shd w:fill="auto" w:val="clear"/>
            <w:vAlign w:val="center"/>
          </w:tcPr>
          <w:p>
            <w:pPr>
              <w:pStyle w:val="TableContents"/>
              <w:spacing w:lineRule="atLeast" w:line="220" w:before="0" w:after="0"/>
              <w:rPr>
                <w:rFonts w:ascii="Arial;Helvetica;sans-serif" w:hAnsi="Arial;Helvetica;sans-serif"/>
                <w:sz w:val="19"/>
              </w:rPr>
            </w:pPr>
            <w:r>
              <w:rPr>
                <w:rFonts w:ascii="Arial;Helvetica;sans-serif" w:hAnsi="Arial;Helvetica;sans-serif"/>
                <w:sz w:val="19"/>
              </w:rPr>
              <w:t xml:space="preserve">The Class I directors are Ms. Tetlow and Dr. Farid, and their terms will expire at the annual meeting of shareholders to be held in 2024;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80" w:after="0"/>
              <w:rPr/>
            </w:pPr>
            <w:r>
              <w:rPr/>
              <w:t>▪</w:t>
            </w:r>
          </w:p>
        </w:tc>
        <w:tc>
          <w:tcPr>
            <w:tcW w:w="10072" w:type="dxa"/>
            <w:tcBorders/>
            <w:shd w:fill="auto" w:val="clear"/>
            <w:vAlign w:val="center"/>
          </w:tcPr>
          <w:p>
            <w:pPr>
              <w:pStyle w:val="TableContents"/>
              <w:spacing w:lineRule="atLeast" w:line="220" w:before="80" w:after="0"/>
              <w:rPr>
                <w:rFonts w:ascii="Arial;Helvetica;sans-serif" w:hAnsi="Arial;Helvetica;sans-serif"/>
                <w:sz w:val="19"/>
              </w:rPr>
            </w:pPr>
            <w:r>
              <w:rPr>
                <w:rFonts w:ascii="Arial;Helvetica;sans-serif" w:hAnsi="Arial;Helvetica;sans-serif"/>
                <w:sz w:val="19"/>
              </w:rPr>
              <w:t xml:space="preserve">The Class II directors are Mr. Dobmeier and Dr. Waldstreicher, and their terms will expire at the annual meeting of shareholders to be held in 2025; and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80" w:after="0"/>
              <w:rPr/>
            </w:pPr>
            <w:r>
              <w:rPr/>
              <w:t>▪</w:t>
            </w:r>
          </w:p>
        </w:tc>
        <w:tc>
          <w:tcPr>
            <w:tcW w:w="10072" w:type="dxa"/>
            <w:tcBorders/>
            <w:shd w:fill="auto" w:val="clear"/>
            <w:vAlign w:val="center"/>
          </w:tcPr>
          <w:p>
            <w:pPr>
              <w:pStyle w:val="TableContents"/>
              <w:spacing w:lineRule="atLeast" w:line="220" w:before="80" w:after="0"/>
              <w:rPr>
                <w:rFonts w:ascii="Arial;Helvetica;sans-serif" w:hAnsi="Arial;Helvetica;sans-serif"/>
                <w:sz w:val="19"/>
              </w:rPr>
            </w:pPr>
            <w:r>
              <w:rPr>
                <w:rFonts w:ascii="Arial;Helvetica;sans-serif" w:hAnsi="Arial;Helvetica;sans-serif"/>
                <w:sz w:val="19"/>
              </w:rPr>
              <w:t xml:space="preserve">The Class III directors are Dr. Stevens and Mr. Welch, and their terms will expire at the annual meeting of shareholders to be held in 2026. </w:t>
            </w:r>
          </w:p>
        </w:tc>
      </w:tr>
    </w:tbl>
    <w:p>
      <w:pPr>
        <w:pStyle w:val="TextBody"/>
        <w:spacing w:lineRule="atLeast" w:line="220" w:before="100" w:after="0"/>
        <w:ind w:left="0" w:right="0" w:hanging="0"/>
        <w:rPr>
          <w:rFonts w:ascii="Arial;Helvetica;sans-serif" w:hAnsi="Arial;Helvetica;sans-serif"/>
          <w:sz w:val="19"/>
        </w:rPr>
      </w:pPr>
      <w:r>
        <w:rPr>
          <w:rFonts w:ascii="Arial;Helvetica;sans-serif" w:hAnsi="Arial;Helvetica;sans-serif"/>
          <w:sz w:val="19"/>
        </w:rPr>
        <w:t xml:space="preserve">We expect that any additional directorships resulting from an increase in the number of directors or from the filling of any current vacancies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w:t>
      </w:r>
    </w:p>
    <w:p>
      <w:pPr>
        <w:pStyle w:val="TextBody"/>
        <w:spacing w:lineRule="atLeast" w:line="220" w:before="100" w:after="0"/>
        <w:ind w:left="0" w:right="0" w:hanging="0"/>
        <w:rPr>
          <w:rFonts w:ascii="Arial;Helvetica;sans-serif" w:hAnsi="Arial;Helvetica;sans-serif"/>
          <w:sz w:val="19"/>
        </w:rPr>
      </w:pPr>
      <w:r>
        <w:rPr>
          <w:rFonts w:ascii="Arial;Helvetica;sans-serif" w:hAnsi="Arial;Helvetica;sans-serif"/>
          <w:sz w:val="19"/>
        </w:rPr>
        <w:t xml:space="preserve">Under the Nasdaq Stock Market LLC Marketplace Rules (the “Nasdaq Listing Rules”), independent directors must comprise a majority of our board of directors as a public company within 12 months of listing. </w:t>
      </w:r>
    </w:p>
    <w:p>
      <w:pPr>
        <w:pStyle w:val="TextBody"/>
        <w:spacing w:lineRule="atLeast" w:line="220" w:before="100" w:after="0"/>
        <w:ind w:left="0" w:right="0" w:hanging="0"/>
        <w:rPr>
          <w:rFonts w:ascii="Arial;Helvetica;sans-serif" w:hAnsi="Arial;Helvetica;sans-serif"/>
          <w:sz w:val="19"/>
        </w:rPr>
      </w:pPr>
      <w:r>
        <w:rPr>
          <w:rFonts w:ascii="Arial;Helvetica;sans-serif" w:hAnsi="Arial;Helvetica;sans-serif"/>
          <w:sz w:val="19"/>
        </w:rPr>
        <w:t xml:space="preserve">Our board of directors has undertaken a review of its composition, the composition of its committees and the independence of each director. Based on information requested from and provided by each director concerning his or her background, employment and affiliations, including family relationships, our board of directors has determined that all of our directors other than Raymond Stevens, Ph.D. are independent directors, as defined by Rule 5605(a)(2) of the Nasdaq Listing Rules. </w:t>
      </w:r>
    </w:p>
    <w:p>
      <w:pPr>
        <w:pStyle w:val="TextBody"/>
        <w:spacing w:lineRule="atLeast" w:line="200" w:before="100" w:after="0"/>
        <w:ind w:left="0" w:right="0" w:hanging="0"/>
        <w:rPr>
          <w:rFonts w:ascii="Arial Narrow" w:hAnsi="Arial Narrow"/>
          <w:b/>
          <w:sz w:val="19"/>
        </w:rPr>
      </w:pPr>
      <w:r>
        <w:rPr>
          <w:rFonts w:ascii="Arial Narrow" w:hAnsi="Arial Narrow"/>
          <w:b/>
          <w:sz w:val="19"/>
        </w:rPr>
        <w:t xml:space="preserve">Duties of Directors </w:t>
      </w:r>
    </w:p>
    <w:p>
      <w:pPr>
        <w:pStyle w:val="TextBody"/>
        <w:spacing w:lineRule="atLeast" w:line="220" w:before="100" w:after="0"/>
        <w:ind w:left="0" w:right="0" w:hanging="0"/>
        <w:rPr>
          <w:rFonts w:ascii="Arial;Helvetica;sans-serif" w:hAnsi="Arial;Helvetica;sans-serif"/>
          <w:sz w:val="19"/>
        </w:rPr>
      </w:pPr>
      <w:r>
        <w:rPr>
          <w:rFonts w:ascii="Arial;Helvetica;sans-serif" w:hAnsi="Arial;Helvetica;sans-serif"/>
          <w:sz w:val="19"/>
        </w:rPr>
        <w:t xml:space="preserve">Under Cayman Islands law, all of our directors owe us fiduciary duties, including a duty of loyalty, a duty to act honestly and a duty to act in good faith and in a manner they believe to be in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amended and restated memorandum and articles of association, as amended and restated from time to time. We have the right to seek damages if a duty owed by any of our directors is breached. </w:t>
      </w:r>
    </w:p>
    <w:p>
      <w:pPr>
        <w:pStyle w:val="TextBody"/>
        <w:spacing w:lineRule="atLeast" w:line="200" w:before="240" w:after="0"/>
        <w:ind w:left="0" w:right="0" w:hanging="0"/>
        <w:rPr>
          <w:rFonts w:ascii="Arial Narrow" w:hAnsi="Arial Narrow"/>
          <w:b/>
          <w:sz w:val="19"/>
        </w:rPr>
      </w:pPr>
      <w:r>
        <w:rPr>
          <w:rFonts w:ascii="Arial Narrow" w:hAnsi="Arial Narrow"/>
          <w:b/>
          <w:sz w:val="19"/>
        </w:rPr>
        <w:t xml:space="preserve">Board Committees </w:t>
      </w:r>
    </w:p>
    <w:p>
      <w:pPr>
        <w:pStyle w:val="TextBody"/>
        <w:spacing w:lineRule="atLeast" w:line="220" w:before="60" w:after="240"/>
        <w:ind w:left="0" w:right="0" w:hanging="0"/>
        <w:rPr>
          <w:rFonts w:ascii="Arial;Helvetica;sans-serif" w:hAnsi="Arial;Helvetica;sans-serif"/>
          <w:sz w:val="19"/>
        </w:rPr>
      </w:pPr>
      <w:r>
        <w:rPr>
          <w:rFonts w:ascii="Arial;Helvetica;sans-serif" w:hAnsi="Arial;Helvetica;sans-serif"/>
          <w:sz w:val="19"/>
        </w:rPr>
        <w:t xml:space="preserve">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Each committee has adopted a written charter that satisfies the applicable rules and regulations of the SEC and Nasdaq Listing Rules, which is available on our website at www.structuretx.com. </w:t>
      </w:r>
    </w:p>
    <w:p>
      <w:pPr>
        <w:pStyle w:val="TextBody"/>
        <w:spacing w:lineRule="atLeast" w:line="200" w:before="80" w:after="0"/>
        <w:ind w:left="0" w:right="0" w:hanging="0"/>
        <w:rPr>
          <w:rFonts w:ascii="Arial;Helvetica;sans-serif" w:hAnsi="Arial;Helvetica;sans-serif"/>
          <w:i/>
          <w:sz w:val="19"/>
        </w:rPr>
      </w:pPr>
      <w:r>
        <w:rPr>
          <w:rFonts w:ascii="Arial;Helvetica;sans-serif" w:hAnsi="Arial;Helvetica;sans-serif"/>
          <w:i/>
          <w:sz w:val="19"/>
        </w:rPr>
        <w:t>Audit Committee</w:t>
      </w:r>
      <w:r>
        <w:rPr>
          <w:rFonts w:ascii="Arial;Helvetica;sans-serif" w:hAnsi="Arial;Helvetica;sans-serif"/>
          <w:i/>
          <w:caps w:val="false"/>
          <w:smallCaps w:val="false"/>
          <w:sz w:val="19"/>
        </w:rPr>
        <w:t xml:space="preserve"> </w:t>
      </w:r>
    </w:p>
    <w:p>
      <w:pPr>
        <w:pStyle w:val="TextBody"/>
        <w:spacing w:lineRule="atLeast" w:line="220" w:before="0" w:after="0"/>
        <w:ind w:left="0" w:right="0" w:hanging="0"/>
        <w:rPr>
          <w:rFonts w:ascii="Arial;Helvetica;sans-serif" w:hAnsi="Arial;Helvetica;sans-serif"/>
          <w:sz w:val="19"/>
        </w:rPr>
      </w:pPr>
      <w:r>
        <w:rPr>
          <w:rFonts w:ascii="Arial;Helvetica;sans-serif" w:hAnsi="Arial;Helvetica;sans-serif"/>
          <w:sz w:val="19"/>
        </w:rPr>
        <w:t xml:space="preserve">Our audit committee consists of Sharon Tetlow, Daniel Welch and Eric Dobmeier. Our board of directors has determined that each of the members of our audit committee satisfies the Nasdaq Stock Market and SEC independence requirements. Ms. Tetlow serves as the chair of our audit committee. The functions of this committee include, among other things: </w:t>
      </w:r>
    </w:p>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evaluating the performance, independence and qualifications of our independent auditors and determining whether to retain our existing independent auditors or engage new independent auditors;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reviewing and approving the engagement of our independent auditors to perform audit services and any permissible non-audit services; </w:t>
            </w:r>
          </w:p>
        </w:tc>
      </w:tr>
    </w:tbl>
    <w:tbl>
      <w:tblPr>
        <w:tblW w:w="9468" w:type="dxa"/>
        <w:jc w:val="left"/>
        <w:tblInd w:w="0" w:type="dxa"/>
        <w:tblCellMar>
          <w:top w:w="0" w:type="dxa"/>
          <w:left w:w="0" w:type="dxa"/>
          <w:bottom w:w="0" w:type="dxa"/>
          <w:right w:w="0" w:type="dxa"/>
        </w:tblCellMar>
      </w:tblPr>
      <w:tblGrid>
        <w:gridCol w:w="23"/>
        <w:gridCol w:w="110"/>
        <w:gridCol w:w="9335"/>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9335"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monitoring the rotation of partners of our independent auditors on our engagement team as required by law;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prior to engagement of any independent auditor, and at least annually thereafter, reviewing relationships that may reasonably be thought to bear on their independence, and assessing and otherwise taking the appropriate action to oversee the independence of our independent auditor;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reviewing our annual and quarterly financial statements and reports, including the disclosures contained under the section titled “Management’s Discussion and Analysis of Financial Condition and Results of Operations,” and discussing the statements and reports with our independent auditors and management; </w:t>
            </w:r>
          </w:p>
        </w:tc>
      </w:tr>
    </w:tbl>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212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0" w:after="0"/>
              <w:rPr/>
            </w:pPr>
            <w:r>
              <w:rPr/>
              <w:t>▪</w:t>
            </w:r>
          </w:p>
        </w:tc>
        <w:tc>
          <w:tcPr>
            <w:tcW w:w="10072" w:type="dxa"/>
            <w:tcBorders/>
            <w:shd w:fill="auto" w:val="clear"/>
            <w:vAlign w:val="center"/>
          </w:tcPr>
          <w:p>
            <w:pPr>
              <w:pStyle w:val="TableContents"/>
              <w:spacing w:lineRule="atLeast" w:line="220" w:before="0" w:after="0"/>
              <w:rPr>
                <w:rFonts w:ascii="Arial;Helvetica;sans-serif" w:hAnsi="Arial;Helvetica;sans-serif"/>
                <w:sz w:val="19"/>
              </w:rPr>
            </w:pPr>
            <w:r>
              <w:rPr>
                <w:rFonts w:ascii="Arial;Helvetica;sans-serif" w:hAnsi="Arial;Helvetica;sans-serif"/>
                <w:sz w:val="19"/>
              </w:rPr>
              <w:t xml:space="preserve">reviewing, with our independent auditors and management, significant issues that arise regarding accounting principles and financial statement presentation and matters concerning the scope, adequacy and effectiveness of our financial controls; </w:t>
            </w:r>
          </w:p>
        </w:tc>
      </w:tr>
    </w:tbl>
    <w:tbl>
      <w:tblPr>
        <w:tblW w:w="7848" w:type="dxa"/>
        <w:jc w:val="left"/>
        <w:tblInd w:w="0" w:type="dxa"/>
        <w:tblCellMar>
          <w:top w:w="0" w:type="dxa"/>
          <w:left w:w="0" w:type="dxa"/>
          <w:bottom w:w="0" w:type="dxa"/>
          <w:right w:w="0" w:type="dxa"/>
        </w:tblCellMar>
      </w:tblPr>
      <w:tblGrid>
        <w:gridCol w:w="23"/>
        <w:gridCol w:w="110"/>
        <w:gridCol w:w="7715"/>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7715"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reviewing with management and our independent auditors any earnings announcements;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establishing procedures for the receipt, retention and treatment of complaints received by us regarding financial controls, accounting or auditing matters and other matters; </w:t>
            </w:r>
          </w:p>
        </w:tc>
      </w:tr>
    </w:tbl>
    <w:tbl>
      <w:tblPr>
        <w:tblW w:w="6528" w:type="dxa"/>
        <w:jc w:val="left"/>
        <w:tblInd w:w="0" w:type="dxa"/>
        <w:tblCellMar>
          <w:top w:w="0" w:type="dxa"/>
          <w:left w:w="0" w:type="dxa"/>
          <w:bottom w:w="0" w:type="dxa"/>
          <w:right w:w="0" w:type="dxa"/>
        </w:tblCellMar>
      </w:tblPr>
      <w:tblGrid>
        <w:gridCol w:w="23"/>
        <w:gridCol w:w="110"/>
        <w:gridCol w:w="6395"/>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6395"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preparing the report that the SEC requires in our annual proxy statement;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reviewing and providing oversight of any related-person transactions in accordance with our related person transaction policy and reviewing and monitoring compliance with legal and regulatory responsibilities, including our code of business conduct and ethics;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reviewing our major financial risk exposures, including the guidelines and policies to govern the process by which risk assessment and risk management are implemented; </w:t>
            </w:r>
          </w:p>
        </w:tc>
      </w:tr>
    </w:tbl>
    <w:tbl>
      <w:tblPr>
        <w:tblW w:w="5073" w:type="dxa"/>
        <w:jc w:val="left"/>
        <w:tblInd w:w="0" w:type="dxa"/>
        <w:tblCellMar>
          <w:top w:w="0" w:type="dxa"/>
          <w:left w:w="0" w:type="dxa"/>
          <w:bottom w:w="0" w:type="dxa"/>
          <w:right w:w="0" w:type="dxa"/>
        </w:tblCellMar>
      </w:tblPr>
      <w:tblGrid>
        <w:gridCol w:w="23"/>
        <w:gridCol w:w="110"/>
        <w:gridCol w:w="4940"/>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4940"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reviewing on a periodic basis our investment policy; and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reviewing and evaluating on an annual basis the performance of the audit committee and the audit committee charter. </w:t>
            </w:r>
          </w:p>
        </w:tc>
      </w:tr>
    </w:tbl>
    <w:p>
      <w:pPr>
        <w:pStyle w:val="TextBody"/>
        <w:spacing w:lineRule="atLeast" w:line="220" w:before="120" w:after="200"/>
        <w:ind w:left="0" w:right="0" w:hanging="0"/>
        <w:rPr>
          <w:rFonts w:ascii="Arial;Helvetica;sans-serif" w:hAnsi="Arial;Helvetica;sans-serif"/>
          <w:sz w:val="19"/>
        </w:rPr>
      </w:pPr>
      <w:r>
        <w:rPr>
          <w:rFonts w:ascii="Arial;Helvetica;sans-serif" w:hAnsi="Arial;Helvetica;sans-serif"/>
          <w:sz w:val="19"/>
        </w:rPr>
        <w:t xml:space="preserve">Our board of directors has determined that Sharon Tetlow qualifies as an audit committee financial expert within the meaning of SEC regulations and meets the financial sophistication requirements of the Nasdaq Listing Rules. In making this determination, our board has considered Ms. Tetlow’s prior experience, business acumen and independence. Both our independent registered public accounting firm and management periodically meet privately with our audit committee. </w:t>
      </w:r>
    </w:p>
    <w:p>
      <w:pPr>
        <w:pStyle w:val="TextBody"/>
        <w:spacing w:lineRule="atLeast" w:line="220" w:before="160" w:after="0"/>
        <w:ind w:left="0" w:right="0" w:hanging="0"/>
        <w:rPr>
          <w:rFonts w:ascii="Arial;Helvetica;sans-serif" w:hAnsi="Arial;Helvetica;sans-serif"/>
          <w:sz w:val="19"/>
        </w:rPr>
      </w:pPr>
      <w:r>
        <w:rPr>
          <w:rFonts w:ascii="Arial;Helvetica;sans-serif" w:hAnsi="Arial;Helvetica;sans-serif"/>
          <w:sz w:val="19"/>
        </w:rPr>
        <w:t xml:space="preserve">We believe that the composition and functioning of our audit committee complies with all applicable requirements of the Sarbanes-Oxley Act, and all applicable SEC and Nasdaq rules and regulations. We intend to comply with future requirements to the extent they become applicable to us. </w:t>
      </w:r>
    </w:p>
    <w:p>
      <w:pPr>
        <w:pStyle w:val="TextBody"/>
        <w:spacing w:lineRule="atLeast" w:line="200" w:before="80" w:after="0"/>
        <w:ind w:left="0" w:right="0" w:hanging="0"/>
        <w:rPr>
          <w:rFonts w:ascii="Arial;Helvetica;sans-serif" w:hAnsi="Arial;Helvetica;sans-serif"/>
          <w:i/>
          <w:sz w:val="19"/>
        </w:rPr>
      </w:pPr>
      <w:r>
        <w:rPr>
          <w:rFonts w:ascii="Arial;Helvetica;sans-serif" w:hAnsi="Arial;Helvetica;sans-serif"/>
          <w:i/>
          <w:sz w:val="19"/>
        </w:rPr>
        <w:t>Compensation Committee</w:t>
      </w:r>
      <w:r>
        <w:rPr>
          <w:rFonts w:ascii="Arial;Helvetica;sans-serif" w:hAnsi="Arial;Helvetica;sans-serif"/>
          <w:i/>
          <w:caps w:val="false"/>
          <w:smallCaps w:val="false"/>
          <w:sz w:val="19"/>
        </w:rPr>
        <w:t xml:space="preserve"> </w:t>
      </w:r>
    </w:p>
    <w:p>
      <w:pPr>
        <w:pStyle w:val="TextBody"/>
        <w:spacing w:lineRule="atLeast" w:line="220" w:before="0" w:after="0"/>
        <w:ind w:left="0" w:right="0" w:hanging="0"/>
        <w:rPr>
          <w:rFonts w:ascii="Arial;Helvetica;sans-serif" w:hAnsi="Arial;Helvetica;sans-serif"/>
          <w:sz w:val="19"/>
        </w:rPr>
      </w:pPr>
      <w:r>
        <w:rPr>
          <w:rFonts w:ascii="Arial;Helvetica;sans-serif" w:hAnsi="Arial;Helvetica;sans-serif"/>
          <w:sz w:val="19"/>
        </w:rPr>
        <w:t xml:space="preserve">Our compensation committee consists of Ramy Farid, Ph.D., Daniel Welch and Eric Dobmeier. Dr. Farid serves as the chair of our compensation committee. Our board of directors has determined that each of the members of our compensation committee satisfies the Nasdaq Stock Market independence requirements. The functions of this committee include, among other things: </w:t>
      </w:r>
    </w:p>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reviewing, modifying and approving (or if it deems appropriate, making recommendations to the full board of directors regarding) our overall compensation strategy and policies;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reviewing and approving (or if it deems appropriate, making recommendations to the full board of directors regarding) the compensation and other terms of employment of our executive officers;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reviewing and approving (or if it deems it appropriate, making recommendations to the full board of directors regarding) performance goals and objectives relevant to the compensation of our executive officers and assessing their performance against these goals and objectives;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reviewing and approving (or if it deems it appropriate, making recommendations to the full board of directors regarding) the equity incentive plans, compensation plans and similar programs advisable for us, as well as modifying, amending or terminating existing plans and programs;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evaluating risks associated with our compensation policies and practices and assessing whether risks arising from our compensation policies and practices for our employees are reasonably likely to have a material adverse effect on us;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reviewing and making recommendations to the full board of directors regarding the type and amount of compensation to be paid or awarded to our non-employee board members;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establishing policies with respect to votes by our shareholders to approve executive compensation as required by Section 14A of the Exchange Act and determining our recommendations regarding the frequency of advisory votes on executive compensation, to the extent required by law;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reviewing and assessing the independence of compensation consultants, legal counsel and other advisors as required by Section 10C of the Exchange Act; </w:t>
            </w:r>
          </w:p>
        </w:tc>
      </w:tr>
    </w:tbl>
    <w:tbl>
      <w:tblPr>
        <w:tblW w:w="3708" w:type="dxa"/>
        <w:jc w:val="left"/>
        <w:tblInd w:w="0" w:type="dxa"/>
        <w:tblCellMar>
          <w:top w:w="0" w:type="dxa"/>
          <w:left w:w="0" w:type="dxa"/>
          <w:bottom w:w="0" w:type="dxa"/>
          <w:right w:w="0" w:type="dxa"/>
        </w:tblCellMar>
      </w:tblPr>
      <w:tblGrid>
        <w:gridCol w:w="23"/>
        <w:gridCol w:w="110"/>
        <w:gridCol w:w="3575"/>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3575"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administering our equity incentive plans; </w:t>
            </w:r>
          </w:p>
        </w:tc>
      </w:tr>
    </w:tbl>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213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tbl>
      <w:tblPr>
        <w:tblW w:w="6468" w:type="dxa"/>
        <w:jc w:val="left"/>
        <w:tblInd w:w="0" w:type="dxa"/>
        <w:tblCellMar>
          <w:top w:w="0" w:type="dxa"/>
          <w:left w:w="0" w:type="dxa"/>
          <w:bottom w:w="0" w:type="dxa"/>
          <w:right w:w="0" w:type="dxa"/>
        </w:tblCellMar>
      </w:tblPr>
      <w:tblGrid>
        <w:gridCol w:w="23"/>
        <w:gridCol w:w="110"/>
        <w:gridCol w:w="6335"/>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0" w:after="0"/>
              <w:rPr/>
            </w:pPr>
            <w:r>
              <w:rPr/>
              <w:t>▪</w:t>
            </w:r>
          </w:p>
        </w:tc>
        <w:tc>
          <w:tcPr>
            <w:tcW w:w="6335" w:type="dxa"/>
            <w:tcBorders/>
            <w:shd w:fill="auto" w:val="clear"/>
            <w:vAlign w:val="center"/>
          </w:tcPr>
          <w:p>
            <w:pPr>
              <w:pStyle w:val="TableContents"/>
              <w:spacing w:lineRule="atLeast" w:line="220" w:before="0" w:after="0"/>
              <w:rPr>
                <w:rFonts w:ascii="Arial;Helvetica;sans-serif" w:hAnsi="Arial;Helvetica;sans-serif"/>
                <w:sz w:val="19"/>
              </w:rPr>
            </w:pPr>
            <w:r>
              <w:rPr>
                <w:rFonts w:ascii="Arial;Helvetica;sans-serif" w:hAnsi="Arial;Helvetica;sans-serif"/>
                <w:sz w:val="19"/>
              </w:rPr>
              <w:t xml:space="preserve">establishing policies with respect to equity compensation arrangements;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reviewing the competitiveness of our executive compensation programs and evaluating the effectiveness of our compensation policy and strategy in achieving expected benefits to us;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reviewing and making recommendations to the full board of directors regarding the terms of any employment agreements, severance arrangements, change in control protections and any other compensatory arrangements for our executive officers;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reviewing with management and approving our disclosures under the caption “Compensation Discussion and Analysis” in our periodic reports or proxy statements to be filed with the SEC, to the extent such caption is included in any such report or proxy statement; </w:t>
            </w:r>
          </w:p>
        </w:tc>
      </w:tr>
    </w:tbl>
    <w:tbl>
      <w:tblPr>
        <w:tblW w:w="8118" w:type="dxa"/>
        <w:jc w:val="left"/>
        <w:tblInd w:w="0" w:type="dxa"/>
        <w:tblCellMar>
          <w:top w:w="0" w:type="dxa"/>
          <w:left w:w="0" w:type="dxa"/>
          <w:bottom w:w="0" w:type="dxa"/>
          <w:right w:w="0" w:type="dxa"/>
        </w:tblCellMar>
      </w:tblPr>
      <w:tblGrid>
        <w:gridCol w:w="23"/>
        <w:gridCol w:w="110"/>
        <w:gridCol w:w="7985"/>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7985"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preparing the report that the SEC requires in our annual proxy statement (if applicable); and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reviewing and assessing on an annual basis the performance of the compensation committee and the compensation committee charter. </w:t>
            </w:r>
          </w:p>
        </w:tc>
      </w:tr>
    </w:tbl>
    <w:p>
      <w:pPr>
        <w:pStyle w:val="TextBody"/>
        <w:spacing w:lineRule="atLeast" w:line="220" w:before="120" w:after="0"/>
        <w:ind w:left="0" w:right="0" w:hanging="0"/>
        <w:rPr>
          <w:rFonts w:ascii="Arial;Helvetica;sans-serif" w:hAnsi="Arial;Helvetica;sans-serif"/>
          <w:sz w:val="19"/>
        </w:rPr>
      </w:pPr>
      <w:r>
        <w:rPr>
          <w:rFonts w:ascii="Arial;Helvetica;sans-serif" w:hAnsi="Arial;Helvetica;sans-serif"/>
          <w:sz w:val="19"/>
        </w:rPr>
        <w:t xml:space="preserve">We believe that the composition and functioning of our compensation committee complies with all applicable requirements of the Sarbanes-Oxley Act, and all applicable SEC and Nasdaq rules and regulations. We intend to comply with future requirements to the extent they become applicable to us. </w:t>
      </w:r>
    </w:p>
    <w:p>
      <w:pPr>
        <w:pStyle w:val="TextBody"/>
        <w:spacing w:lineRule="atLeast" w:line="200" w:before="80" w:after="0"/>
        <w:ind w:left="0" w:right="0" w:hanging="0"/>
        <w:rPr>
          <w:rFonts w:ascii="Arial;Helvetica;sans-serif" w:hAnsi="Arial;Helvetica;sans-serif"/>
          <w:i/>
          <w:sz w:val="19"/>
        </w:rPr>
      </w:pPr>
      <w:r>
        <w:rPr>
          <w:rFonts w:ascii="Arial;Helvetica;sans-serif" w:hAnsi="Arial;Helvetica;sans-serif"/>
          <w:i/>
          <w:sz w:val="19"/>
        </w:rPr>
        <w:t>Nominating and Corporate Governance Committee</w:t>
      </w:r>
      <w:r>
        <w:rPr>
          <w:rFonts w:ascii="Arial;Helvetica;sans-serif" w:hAnsi="Arial;Helvetica;sans-serif"/>
          <w:i/>
          <w:caps w:val="false"/>
          <w:smallCaps w:val="false"/>
          <w:sz w:val="19"/>
        </w:rPr>
        <w:t xml:space="preserve"> </w:t>
      </w:r>
    </w:p>
    <w:p>
      <w:pPr>
        <w:pStyle w:val="TextBody"/>
        <w:spacing w:lineRule="atLeast" w:line="220" w:before="0" w:after="120"/>
        <w:ind w:left="0" w:right="0" w:hanging="0"/>
        <w:rPr>
          <w:rFonts w:ascii="Arial;Helvetica;sans-serif" w:hAnsi="Arial;Helvetica;sans-serif"/>
          <w:sz w:val="19"/>
        </w:rPr>
      </w:pPr>
      <w:r>
        <w:rPr>
          <w:rFonts w:ascii="Arial;Helvetica;sans-serif" w:hAnsi="Arial;Helvetica;sans-serif"/>
          <w:sz w:val="19"/>
        </w:rPr>
        <w:t xml:space="preserve">Our nominating and corporate governance committee consists of Daniel Welch, Sharon Tetlow and Joanne Waldstreicher, M.D. Our board of directors has determined that each of the members of this committee satisfies the Nasdaq Stock Market independence requirements. Mr. Welch serves as the chair of our nominating and governance committee. The functions of this committee include, among other things: </w:t>
      </w:r>
    </w:p>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120" w:after="0"/>
              <w:rPr/>
            </w:pPr>
            <w:r>
              <w:rPr/>
              <w:t>▪</w:t>
            </w:r>
          </w:p>
        </w:tc>
        <w:tc>
          <w:tcPr>
            <w:tcW w:w="10072" w:type="dxa"/>
            <w:tcBorders/>
            <w:shd w:fill="auto" w:val="clear"/>
            <w:vAlign w:val="center"/>
          </w:tcPr>
          <w:p>
            <w:pPr>
              <w:pStyle w:val="TableContents"/>
              <w:spacing w:lineRule="atLeast" w:line="220" w:before="120" w:after="0"/>
              <w:rPr>
                <w:rFonts w:ascii="Arial;Helvetica;sans-serif" w:hAnsi="Arial;Helvetica;sans-serif"/>
                <w:sz w:val="19"/>
              </w:rPr>
            </w:pPr>
            <w:r>
              <w:rPr>
                <w:rFonts w:ascii="Arial;Helvetica;sans-serif" w:hAnsi="Arial;Helvetica;sans-serif"/>
                <w:sz w:val="19"/>
              </w:rPr>
              <w:t xml:space="preserve">identifying, reviewing and evaluating candidates to serve on our board of directors consistent with criteria approved by our board of directors; </w:t>
            </w:r>
          </w:p>
        </w:tc>
      </w:tr>
    </w:tbl>
    <w:tbl>
      <w:tblPr>
        <w:tblW w:w="6813" w:type="dxa"/>
        <w:jc w:val="left"/>
        <w:tblInd w:w="0" w:type="dxa"/>
        <w:tblCellMar>
          <w:top w:w="0" w:type="dxa"/>
          <w:left w:w="0" w:type="dxa"/>
          <w:bottom w:w="0" w:type="dxa"/>
          <w:right w:w="0" w:type="dxa"/>
        </w:tblCellMar>
      </w:tblPr>
      <w:tblGrid>
        <w:gridCol w:w="23"/>
        <w:gridCol w:w="110"/>
        <w:gridCol w:w="6680"/>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6680"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determining the minimum qualifications for service on our board of directors;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evaluating director performance on the board and applicable committees of the board and determining whether continued service on our board is appropriate; </w:t>
            </w:r>
          </w:p>
        </w:tc>
      </w:tr>
    </w:tbl>
    <w:tbl>
      <w:tblPr>
        <w:tblW w:w="8493" w:type="dxa"/>
        <w:jc w:val="left"/>
        <w:tblInd w:w="0" w:type="dxa"/>
        <w:tblCellMar>
          <w:top w:w="0" w:type="dxa"/>
          <w:left w:w="0" w:type="dxa"/>
          <w:bottom w:w="0" w:type="dxa"/>
          <w:right w:w="0" w:type="dxa"/>
        </w:tblCellMar>
      </w:tblPr>
      <w:tblGrid>
        <w:gridCol w:w="23"/>
        <w:gridCol w:w="110"/>
        <w:gridCol w:w="8360"/>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8360"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evaluating, nominating and recommending individuals for membership on our board of directors; </w:t>
            </w:r>
          </w:p>
        </w:tc>
      </w:tr>
    </w:tbl>
    <w:tbl>
      <w:tblPr>
        <w:tblW w:w="8088" w:type="dxa"/>
        <w:jc w:val="left"/>
        <w:tblInd w:w="0" w:type="dxa"/>
        <w:tblCellMar>
          <w:top w:w="0" w:type="dxa"/>
          <w:left w:w="0" w:type="dxa"/>
          <w:bottom w:w="0" w:type="dxa"/>
          <w:right w:w="0" w:type="dxa"/>
        </w:tblCellMar>
      </w:tblPr>
      <w:tblGrid>
        <w:gridCol w:w="23"/>
        <w:gridCol w:w="110"/>
        <w:gridCol w:w="7955"/>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7955"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evaluating nominations by shareholders of candidates for election to our board of directors; </w:t>
            </w:r>
          </w:p>
        </w:tc>
      </w:tr>
    </w:tbl>
    <w:tbl>
      <w:tblPr>
        <w:tblW w:w="7398" w:type="dxa"/>
        <w:jc w:val="left"/>
        <w:tblInd w:w="0" w:type="dxa"/>
        <w:tblCellMar>
          <w:top w:w="0" w:type="dxa"/>
          <w:left w:w="0" w:type="dxa"/>
          <w:bottom w:w="0" w:type="dxa"/>
          <w:right w:w="0" w:type="dxa"/>
        </w:tblCellMar>
      </w:tblPr>
      <w:tblGrid>
        <w:gridCol w:w="23"/>
        <w:gridCol w:w="110"/>
        <w:gridCol w:w="7265"/>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7265"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considering and assessing the independence of members of our board of directors;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developing a set of corporate governance policies and principles, and periodically reviewing and assessing these policies and principles and their application and recommending to our board of directors any changes to such policies and principles; </w:t>
            </w:r>
          </w:p>
        </w:tc>
      </w:tr>
    </w:tbl>
    <w:tbl>
      <w:tblPr>
        <w:tblW w:w="8433" w:type="dxa"/>
        <w:jc w:val="left"/>
        <w:tblInd w:w="0" w:type="dxa"/>
        <w:tblCellMar>
          <w:top w:w="0" w:type="dxa"/>
          <w:left w:w="0" w:type="dxa"/>
          <w:bottom w:w="0" w:type="dxa"/>
          <w:right w:w="0" w:type="dxa"/>
        </w:tblCellMar>
      </w:tblPr>
      <w:tblGrid>
        <w:gridCol w:w="23"/>
        <w:gridCol w:w="110"/>
        <w:gridCol w:w="8300"/>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8300"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considering questions of possible conflicts of interest of directors as such questions arise; and </w:t>
            </w:r>
          </w:p>
        </w:tc>
      </w:tr>
    </w:tbl>
    <w:tbl>
      <w:tblPr>
        <w:tblW w:w="10205" w:type="dxa"/>
        <w:jc w:val="left"/>
        <w:tblInd w:w="0" w:type="dxa"/>
        <w:tblCellMar>
          <w:top w:w="0" w:type="dxa"/>
          <w:left w:w="0" w:type="dxa"/>
          <w:bottom w:w="0" w:type="dxa"/>
          <w:right w:w="0" w:type="dxa"/>
        </w:tblCellMar>
      </w:tblPr>
      <w:tblGrid>
        <w:gridCol w:w="23"/>
        <w:gridCol w:w="110"/>
        <w:gridCol w:w="10072"/>
      </w:tblGrid>
      <w:tr>
        <w:trPr/>
        <w:tc>
          <w:tcPr>
            <w:tcW w:w="2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lineRule="atLeast" w:line="220" w:before="60" w:after="0"/>
              <w:rPr/>
            </w:pPr>
            <w:r>
              <w:rPr/>
              <w:t>▪</w:t>
            </w:r>
          </w:p>
        </w:tc>
        <w:tc>
          <w:tcPr>
            <w:tcW w:w="10072" w:type="dxa"/>
            <w:tcBorders/>
            <w:shd w:fill="auto" w:val="clear"/>
            <w:vAlign w:val="center"/>
          </w:tcPr>
          <w:p>
            <w:pPr>
              <w:pStyle w:val="TableContents"/>
              <w:spacing w:lineRule="atLeast" w:line="220" w:before="60" w:after="0"/>
              <w:rPr>
                <w:rFonts w:ascii="Arial;Helvetica;sans-serif" w:hAnsi="Arial;Helvetica;sans-serif"/>
                <w:sz w:val="19"/>
              </w:rPr>
            </w:pPr>
            <w:r>
              <w:rPr>
                <w:rFonts w:ascii="Arial;Helvetica;sans-serif" w:hAnsi="Arial;Helvetica;sans-serif"/>
                <w:sz w:val="19"/>
              </w:rPr>
              <w:t xml:space="preserve">reviewing and assessing on an annual basis the performance of the nominating and governance committee and the nominating and governance committee charter. </w:t>
            </w:r>
          </w:p>
        </w:tc>
      </w:tr>
    </w:tbl>
    <w:p>
      <w:pPr>
        <w:pStyle w:val="TextBody"/>
        <w:spacing w:lineRule="atLeast" w:line="220" w:before="140" w:after="0"/>
        <w:ind w:left="0" w:right="0" w:hanging="0"/>
        <w:rPr>
          <w:rFonts w:ascii="Arial;Helvetica;sans-serif" w:hAnsi="Arial;Helvetica;sans-serif"/>
          <w:sz w:val="19"/>
        </w:rPr>
      </w:pPr>
      <w:r>
        <w:rPr>
          <w:rFonts w:ascii="Arial;Helvetica;sans-serif" w:hAnsi="Arial;Helvetica;sans-serif"/>
          <w:sz w:val="19"/>
        </w:rPr>
        <w:t xml:space="preserve">We believe that the composition and functioning of our nominating and governance committee complies with all applicable requirements of the Sarbanes-Oxley Act, and all applicable SEC and Nasdaq rules and regulations. We intend to comply with future requirements to the extent they become applicable to us. </w:t>
      </w:r>
    </w:p>
    <w:p>
      <w:pPr>
        <w:pStyle w:val="TextBody"/>
        <w:spacing w:lineRule="atLeast" w:line="200" w:before="140" w:after="0"/>
        <w:ind w:left="0" w:right="0" w:hanging="0"/>
        <w:rPr>
          <w:rFonts w:ascii="Arial Narrow" w:hAnsi="Arial Narrow"/>
          <w:b/>
          <w:sz w:val="19"/>
        </w:rPr>
      </w:pPr>
      <w:r>
        <w:rPr>
          <w:rFonts w:ascii="Arial Narrow" w:hAnsi="Arial Narrow"/>
          <w:b/>
          <w:sz w:val="19"/>
        </w:rPr>
        <w:t xml:space="preserve">Role of the Board in Risk Oversight </w:t>
      </w:r>
    </w:p>
    <w:p>
      <w:pPr>
        <w:pStyle w:val="TextBody"/>
        <w:spacing w:lineRule="atLeast" w:line="220" w:before="60" w:after="0"/>
        <w:ind w:left="0" w:right="0" w:hanging="0"/>
        <w:rPr>
          <w:rFonts w:ascii="Arial;Helvetica;sans-serif" w:hAnsi="Arial;Helvetica;sans-serif"/>
          <w:sz w:val="19"/>
        </w:rPr>
      </w:pPr>
      <w:r>
        <w:rPr>
          <w:rFonts w:ascii="Arial;Helvetica;sans-serif" w:hAnsi="Arial;Helvetica;sans-serif"/>
          <w:sz w:val="19"/>
        </w:rPr>
        <w:t xml:space="preserve">Our board of directors has an active role, as a whole and also at the committee level, in overseeing the management of our risks. Our board of directors is responsible for general oversight of risks and regular review of information regarding our risks, including liquidity risks and operational risks. The audit committee is responsible for overseeing the management of risks relating to accounting matters and financial reporting. The compensation committee is responsible for overseeing the management of risks relating to our executive compensation plans and arrangements. The nominating and governance committee is responsible for overseeing the management of risks associated with the independence of our board of directors and potential conflicts of interest. Although each committee is responsible for evaluating certain risks and overseeing the management of such risks, the entire board of directors is regularly informed through discussions from committee members about such risks. Our board of directors believes its administration of its risk oversight function has not negatively affected our board of directors’ leadership structure.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214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lineRule="atLeast" w:line="200" w:before="0" w:after="0"/>
        <w:ind w:left="0" w:right="0" w:hanging="0"/>
        <w:rPr>
          <w:rFonts w:ascii="Arial Narrow" w:hAnsi="Arial Narrow"/>
          <w:b/>
          <w:sz w:val="19"/>
        </w:rPr>
      </w:pPr>
      <w:r>
        <w:rPr>
          <w:rFonts w:ascii="Arial Narrow" w:hAnsi="Arial Narrow"/>
          <w:b/>
          <w:sz w:val="19"/>
        </w:rPr>
        <w:t xml:space="preserve">Compensation Committee Interlocks and Insider Participation </w:t>
      </w:r>
    </w:p>
    <w:p>
      <w:pPr>
        <w:pStyle w:val="TextBody"/>
        <w:spacing w:lineRule="atLeast" w:line="220" w:before="60" w:after="0"/>
        <w:ind w:left="0" w:right="0" w:hanging="0"/>
        <w:rPr>
          <w:rFonts w:ascii="Arial;Helvetica;sans-serif" w:hAnsi="Arial;Helvetica;sans-serif"/>
          <w:sz w:val="19"/>
        </w:rPr>
      </w:pPr>
      <w:r>
        <w:rPr>
          <w:rFonts w:ascii="Arial;Helvetica;sans-serif" w:hAnsi="Arial;Helvetica;sans-serif"/>
          <w:sz w:val="19"/>
        </w:rPr>
        <w:t xml:space="preserve">None of the members of the compensation committee is currently, or has been at any time, one of our executive officers or employees. None of our executive officers currently serves, or has served during the year ended December 31, 2022, as a member of the board of directors or compensation committee of any entity that has one or more executive officers serving as a member of our board of directors or on our compensation committee. </w:t>
      </w:r>
    </w:p>
    <w:p>
      <w:pPr>
        <w:pStyle w:val="TextBody"/>
        <w:spacing w:lineRule="atLeast" w:line="200" w:before="140" w:after="0"/>
        <w:ind w:left="0" w:right="0" w:hanging="0"/>
        <w:rPr>
          <w:rFonts w:ascii="Arial Narrow" w:hAnsi="Arial Narrow"/>
          <w:b/>
          <w:sz w:val="19"/>
        </w:rPr>
      </w:pPr>
      <w:r>
        <w:rPr>
          <w:rFonts w:ascii="Arial Narrow" w:hAnsi="Arial Narrow"/>
          <w:b/>
          <w:sz w:val="19"/>
        </w:rPr>
        <w:t xml:space="preserve">Code of Business Conduct and Ethics and Corporate Governance Guidelines </w:t>
      </w:r>
    </w:p>
    <w:p>
      <w:pPr>
        <w:pStyle w:val="TextBody"/>
        <w:spacing w:lineRule="atLeast" w:line="220" w:before="60" w:after="0"/>
        <w:ind w:left="0" w:right="0" w:hanging="0"/>
        <w:rPr>
          <w:rFonts w:ascii="Arial;Helvetica;sans-serif" w:hAnsi="Arial;Helvetica;sans-serif"/>
          <w:sz w:val="19"/>
        </w:rPr>
      </w:pPr>
      <w:r>
        <w:rPr>
          <w:rFonts w:ascii="Arial;Helvetica;sans-serif" w:hAnsi="Arial;Helvetica;sans-serif"/>
          <w:sz w:val="19"/>
        </w:rPr>
        <w:t xml:space="preserve">We have adopted a Code of Business Conduct and Ethics, which is applicable to all of our directors, executive officers and employees, including our principal executive officer, principal financial officer and principal accounting officer. Our Code of Business Conduct and Ethics is publicly available on our website at www.structuretx.com. Our Code of Business Conduct and Ethics is a “code of ethics,” as defined in Item 406(b) of Regulation S-K. The information contained on, or accessible from, our website is not part of this Annual Report by reference or otherwise. We will make any legally required disclosures regarding amendments to, or waivers of, provisions of our Code of Business Conduct and Ethics as required by Item 5.05 of Form 8-K on our website. </w:t>
      </w:r>
    </w:p>
    <w:p>
      <w:pPr>
        <w:pStyle w:val="TextBody"/>
        <w:spacing w:lineRule="atLeast" w:line="220" w:before="140" w:after="0"/>
        <w:ind w:left="0" w:right="0" w:hanging="0"/>
        <w:rPr>
          <w:rFonts w:ascii="Arial;Helvetica;sans-serif" w:hAnsi="Arial;Helvetica;sans-serif"/>
          <w:sz w:val="19"/>
        </w:rPr>
      </w:pPr>
      <w:r>
        <w:rPr>
          <w:rFonts w:ascii="Arial;Helvetica;sans-serif" w:hAnsi="Arial;Helvetica;sans-serif"/>
          <w:sz w:val="19"/>
        </w:rPr>
        <w:t>In addition, we have adopted a set of corporate governance guidelines which reflect certain guiding principles with respect to our board’s structure, procedures and committees. The guidelines are not intended to change or interpret any applicable law, rule or regulation or our amended and restated memorandum and articles of association. Our Corporate Governance Guidelines are publicly available on our website at www.structuretx.com.</w:t>
      </w:r>
    </w:p>
    <w:p>
      <w:pPr>
        <w:pStyle w:val="TextBody"/>
        <w:spacing w:before="0" w:after="240"/>
        <w:ind w:left="0" w:right="0" w:hanging="0"/>
        <w:jc w:val="center"/>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Item 11. Executive Compensation.</w:t>
      </w:r>
      <w:bookmarkStart w:id="37" w:name="Item11_Executive_Compensation"/>
      <w:bookmarkEnd w:id="37"/>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named executive officers for the year ended December 31, 2022, consisting of our principal executive officer and two other most highly compensated officers serving at the end of such year, were:</w:t>
      </w:r>
    </w:p>
    <w:tbl>
      <w:tblPr>
        <w:tblW w:w="4968" w:type="dxa"/>
        <w:jc w:val="left"/>
        <w:tblInd w:w="0" w:type="dxa"/>
        <w:tblCellMar>
          <w:top w:w="0" w:type="dxa"/>
          <w:left w:w="0" w:type="dxa"/>
          <w:bottom w:w="0" w:type="dxa"/>
          <w:right w:w="0" w:type="dxa"/>
        </w:tblCellMar>
      </w:tblPr>
      <w:tblGrid>
        <w:gridCol w:w="23"/>
        <w:gridCol w:w="170"/>
        <w:gridCol w:w="47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77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Raymond Stevens, Ph.D., our Chief Executive Officer;</w:t>
            </w:r>
          </w:p>
        </w:tc>
      </w:tr>
    </w:tbl>
    <w:tbl>
      <w:tblPr>
        <w:tblW w:w="5028" w:type="dxa"/>
        <w:jc w:val="left"/>
        <w:tblInd w:w="0" w:type="dxa"/>
        <w:tblCellMar>
          <w:top w:w="0" w:type="dxa"/>
          <w:left w:w="0" w:type="dxa"/>
          <w:bottom w:w="0" w:type="dxa"/>
          <w:right w:w="0" w:type="dxa"/>
        </w:tblCellMar>
      </w:tblPr>
      <w:tblGrid>
        <w:gridCol w:w="23"/>
        <w:gridCol w:w="170"/>
        <w:gridCol w:w="483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83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Mark Bach, M.D., Ph.D., our Chief Medical Officer; and</w:t>
            </w:r>
          </w:p>
        </w:tc>
      </w:tr>
    </w:tbl>
    <w:tbl>
      <w:tblPr>
        <w:tblW w:w="4308" w:type="dxa"/>
        <w:jc w:val="left"/>
        <w:tblInd w:w="0" w:type="dxa"/>
        <w:tblCellMar>
          <w:top w:w="0" w:type="dxa"/>
          <w:left w:w="0" w:type="dxa"/>
          <w:bottom w:w="0" w:type="dxa"/>
          <w:right w:w="0" w:type="dxa"/>
        </w:tblCellMar>
      </w:tblPr>
      <w:tblGrid>
        <w:gridCol w:w="23"/>
        <w:gridCol w:w="170"/>
        <w:gridCol w:w="411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11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Yingli Ma, Ph.D., our Chief Technology Officer.</w:t>
            </w:r>
          </w:p>
        </w:tc>
      </w:tr>
    </w:tbl>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Summary Compensation Table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following table presents all of the compensation awarded to or earned by or paid to our named executive officers during the fiscal year ended December 31, 2022.</w:t>
      </w:r>
    </w:p>
    <w:tbl>
      <w:tblPr>
        <w:tblW w:w="10450" w:type="dxa"/>
        <w:jc w:val="center"/>
        <w:tblInd w:w="0" w:type="dxa"/>
        <w:tblCellMar>
          <w:top w:w="0" w:type="dxa"/>
          <w:left w:w="0" w:type="dxa"/>
          <w:bottom w:w="0" w:type="dxa"/>
          <w:right w:w="0" w:type="dxa"/>
        </w:tblCellMar>
      </w:tblPr>
      <w:tblGrid>
        <w:gridCol w:w="1126"/>
        <w:gridCol w:w="326"/>
        <w:gridCol w:w="706"/>
        <w:gridCol w:w="326"/>
        <w:gridCol w:w="796"/>
        <w:gridCol w:w="326"/>
        <w:gridCol w:w="706"/>
        <w:gridCol w:w="326"/>
        <w:gridCol w:w="841"/>
        <w:gridCol w:w="326"/>
        <w:gridCol w:w="1531"/>
        <w:gridCol w:w="326"/>
        <w:gridCol w:w="1456"/>
        <w:gridCol w:w="326"/>
        <w:gridCol w:w="1006"/>
      </w:tblGrid>
      <w:tr>
        <w:trPr/>
        <w:tc>
          <w:tcPr>
            <w:tcW w:w="1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714375" cy="175260"/>
                      <wp:effectExtent l="0" t="0" r="0" b="0"/>
                      <wp:wrapNone/>
                      <wp:docPr id="325" name="Frame283"/>
                      <a:graphic xmlns:a="http://schemas.openxmlformats.org/drawingml/2006/main">
                        <a:graphicData uri="http://schemas.microsoft.com/office/word/2010/wordprocessingShape">
                          <wps:wsp>
                            <wps:cNvSpPr txBox="1"/>
                            <wps:spPr>
                              <a:xfrm>
                                <a:off x="0" y="0"/>
                                <a:ext cx="7143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6" name="Frame2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48310" cy="175260"/>
                      <wp:effectExtent l="0" t="0" r="0" b="0"/>
                      <wp:wrapNone/>
                      <wp:docPr id="327" name="Frame285"/>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2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505460" cy="175260"/>
                      <wp:effectExtent l="0" t="0" r="0" b="0"/>
                      <wp:wrapNone/>
                      <wp:docPr id="329" name="Frame287"/>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30" name="Frame2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48310" cy="175260"/>
                      <wp:effectExtent l="0" t="0" r="0" b="0"/>
                      <wp:wrapNone/>
                      <wp:docPr id="331" name="Frame289"/>
                      <a:graphic xmlns:a="http://schemas.openxmlformats.org/drawingml/2006/main">
                        <a:graphicData uri="http://schemas.microsoft.com/office/word/2010/wordprocessingShape">
                          <wps:wsp>
                            <wps:cNvSpPr txBox="1"/>
                            <wps:spPr>
                              <a:xfrm>
                                <a:off x="0" y="0"/>
                                <a:ext cx="448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32" name="Frame2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534035" cy="175260"/>
                      <wp:effectExtent l="0" t="0" r="0" b="0"/>
                      <wp:wrapNone/>
                      <wp:docPr id="333" name="Frame291"/>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2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972185" cy="175260"/>
                      <wp:effectExtent l="0" t="0" r="0" b="0"/>
                      <wp:wrapNone/>
                      <wp:docPr id="335" name="Frame293"/>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29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924560" cy="175260"/>
                      <wp:effectExtent l="0" t="0" r="0" b="0"/>
                      <wp:wrapNone/>
                      <wp:docPr id="337" name="Frame295"/>
                      <a:graphic xmlns:a="http://schemas.openxmlformats.org/drawingml/2006/main">
                        <a:graphicData uri="http://schemas.microsoft.com/office/word/2010/wordprocessingShape">
                          <wps:wsp>
                            <wps:cNvSpPr txBox="1"/>
                            <wps:spPr>
                              <a:xfrm>
                                <a:off x="0" y="0"/>
                                <a:ext cx="924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2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38810" cy="175260"/>
                      <wp:effectExtent l="0" t="0" r="0" b="0"/>
                      <wp:wrapNone/>
                      <wp:docPr id="339" name="Frame297"/>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1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70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79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70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84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53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45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00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11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53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NON-EQUITY</w:t>
            </w:r>
          </w:p>
        </w:tc>
        <w:tc>
          <w:tcPr>
            <w:tcW w:w="326" w:type="dxa"/>
            <w:tcBorders/>
            <w:shd w:fill="auto" w:val="clear"/>
            <w:vAlign w:val="center"/>
          </w:tcPr>
          <w:p>
            <w:pPr>
              <w:pStyle w:val="TableContents"/>
              <w:spacing w:before="0" w:after="0"/>
              <w:ind w:left="0" w:right="0" w:hanging="0"/>
              <w:rPr/>
            </w:pPr>
            <w:r>
              <w:rPr/>
              <w:t>    </w:t>
            </w:r>
          </w:p>
        </w:tc>
        <w:tc>
          <w:tcPr>
            <w:tcW w:w="145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center"/>
              <w:rPr/>
            </w:pPr>
            <w:r>
              <w:rPr/>
              <w:t>​</w:t>
            </w:r>
          </w:p>
        </w:tc>
      </w:tr>
      <w:tr>
        <w:trPr/>
        <w:tc>
          <w:tcPr>
            <w:tcW w:w="11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OPTION</w:t>
            </w:r>
          </w:p>
        </w:tc>
        <w:tc>
          <w:tcPr>
            <w:tcW w:w="326"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jc w:val="center"/>
              <w:rPr/>
            </w:pPr>
            <w:r>
              <w:rPr/>
              <w:t> </w:t>
            </w:r>
            <w:r>
              <w:rPr>
                <w:rFonts w:ascii="Arial;Helvetica;sans-serif" w:hAnsi="Arial;Helvetica;sans-serif"/>
                <w:b/>
                <w:sz w:val="16"/>
              </w:rPr>
              <w:t>INCENTIVE PLAN</w:t>
            </w:r>
          </w:p>
        </w:tc>
        <w:tc>
          <w:tcPr>
            <w:tcW w:w="326"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ALL OTHER</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center"/>
              <w:rPr/>
            </w:pPr>
            <w:r>
              <w:rPr/>
              <w:t>​</w:t>
            </w:r>
          </w:p>
        </w:tc>
      </w:tr>
      <w:tr>
        <w:trPr/>
        <w:tc>
          <w:tcPr>
            <w:tcW w:w="1126" w:type="dxa"/>
            <w:tcBorders/>
            <w:shd w:fill="auto" w:val="clear"/>
            <w:vAlign w:val="center"/>
          </w:tcPr>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NAME AND</w:t>
            </w:r>
          </w:p>
        </w:tc>
        <w:tc>
          <w:tcPr>
            <w:tcW w:w="326"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FISCAL</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SALARY</w:t>
            </w:r>
          </w:p>
        </w:tc>
        <w:tc>
          <w:tcPr>
            <w:tcW w:w="326"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BONUS</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AWARDS</w:t>
            </w:r>
          </w:p>
        </w:tc>
        <w:tc>
          <w:tcPr>
            <w:tcW w:w="326"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COMPENSATION</w:t>
            </w:r>
          </w:p>
        </w:tc>
        <w:tc>
          <w:tcPr>
            <w:tcW w:w="326"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COMPENSATION</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1126"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PRINCIPAL POSITION</w:t>
            </w:r>
          </w:p>
        </w:tc>
        <w:tc>
          <w:tcPr>
            <w:tcW w:w="326" w:type="dxa"/>
            <w:tcBorders/>
            <w:shd w:fill="auto" w:val="clear"/>
            <w:vAlign w:val="center"/>
          </w:tcPr>
          <w:p>
            <w:pPr>
              <w:pStyle w:val="TableContents"/>
              <w:spacing w:before="0" w:after="0"/>
              <w:ind w:left="0" w:right="0" w:hanging="0"/>
              <w:rPr/>
            </w:pPr>
            <w:r>
              <w:rPr/>
              <w:t>​</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YEAR</w:t>
            </w:r>
          </w:p>
        </w:tc>
        <w:tc>
          <w:tcPr>
            <w:tcW w:w="326" w:type="dxa"/>
            <w:tcBorders/>
            <w:shd w:fill="auto" w:val="cle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326" w:type="dxa"/>
            <w:tcBorders/>
            <w:shd w:fill="auto" w:val="clear"/>
            <w:vAlign w:val="center"/>
          </w:tcPr>
          <w:p>
            <w:pPr>
              <w:pStyle w:val="TableContents"/>
              <w:spacing w:before="0" w:after="0"/>
              <w:ind w:left="0" w:right="0" w:hanging="0"/>
              <w:rPr/>
            </w:pPr>
            <w:r>
              <w:rPr/>
              <w:t>​</w:t>
            </w:r>
          </w:p>
        </w:tc>
        <w:tc>
          <w:tcPr>
            <w:tcW w:w="7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326" w:type="dxa"/>
            <w:tcBorders/>
            <w:shd w:fill="auto" w:val="clear"/>
            <w:vAlign w:val="center"/>
          </w:tcPr>
          <w:p>
            <w:pPr>
              <w:pStyle w:val="TableContents"/>
              <w:spacing w:before="0" w:after="0"/>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b/>
                <w:sz w:val="16"/>
              </w:rPr>
              <w:t>($)</w:t>
            </w:r>
            <w:r>
              <w:rPr>
                <w:rFonts w:ascii="Arial;Helvetica;sans-serif" w:hAnsi="Arial;Helvetica;sans-serif"/>
                <w:b/>
                <w:sz w:val="12"/>
              </w:rPr>
              <w:t>(1)</w:t>
            </w:r>
          </w:p>
        </w:tc>
        <w:tc>
          <w:tcPr>
            <w:tcW w:w="326" w:type="dxa"/>
            <w:tcBorders/>
            <w:shd w:fill="auto" w:val="clear"/>
            <w:vAlign w:val="center"/>
          </w:tcPr>
          <w:p>
            <w:pPr>
              <w:pStyle w:val="TableContents"/>
              <w:spacing w:before="0" w:after="0"/>
              <w:ind w:left="0" w:right="0" w:hanging="0"/>
              <w:rPr/>
            </w:pPr>
            <w:r>
              <w:rPr/>
              <w:t>​</w:t>
            </w:r>
          </w:p>
        </w:tc>
        <w:tc>
          <w:tcPr>
            <w:tcW w:w="15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b/>
                <w:sz w:val="16"/>
              </w:rPr>
              <w:t>($)</w:t>
            </w:r>
            <w:r>
              <w:rPr>
                <w:rFonts w:ascii="Arial;Helvetica;sans-serif" w:hAnsi="Arial;Helvetica;sans-serif"/>
                <w:b/>
                <w:sz w:val="12"/>
              </w:rPr>
              <w:t>(2)</w:t>
            </w:r>
          </w:p>
        </w:tc>
        <w:tc>
          <w:tcPr>
            <w:tcW w:w="326" w:type="dxa"/>
            <w:tcBorders/>
            <w:shd w:fill="auto" w:val="clear"/>
            <w:vAlign w:val="center"/>
          </w:tcPr>
          <w:p>
            <w:pPr>
              <w:pStyle w:val="TableContents"/>
              <w:spacing w:before="0" w:after="0"/>
              <w:ind w:left="0" w:right="0" w:hanging="0"/>
              <w:rPr/>
            </w:pPr>
            <w:r>
              <w:rPr/>
              <w:t>​</w:t>
            </w:r>
          </w:p>
        </w:tc>
        <w:tc>
          <w:tcPr>
            <w:tcW w:w="145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326" w:type="dxa"/>
            <w:tcBorders/>
            <w:shd w:fill="auto" w:val="clear"/>
            <w:vAlign w:val="center"/>
          </w:tcPr>
          <w:p>
            <w:pPr>
              <w:pStyle w:val="TableContents"/>
              <w:spacing w:before="0" w:after="0"/>
              <w:ind w:left="0" w:right="0" w:hanging="0"/>
              <w:rPr/>
            </w:pPr>
            <w:r>
              <w:rPr/>
              <w:t>​</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r>
      <w:tr>
        <w:trPr/>
        <w:tc>
          <w:tcPr>
            <w:tcW w:w="112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Raymond Stevens, Ph.D.</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2022</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487,333</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247,500</w:t>
            </w:r>
          </w:p>
        </w:tc>
        <w:tc>
          <w:tcPr>
            <w:tcW w:w="326" w:type="dxa"/>
            <w:tcBorders/>
            <w:shd w:fill="CCEEFF" w:val="clear"/>
            <w:vAlign w:val="center"/>
          </w:tcPr>
          <w:p>
            <w:pPr>
              <w:pStyle w:val="TableContents"/>
              <w:spacing w:before="0" w:after="0"/>
              <w:ind w:left="0" w:right="0" w:hanging="0"/>
              <w:rPr/>
            </w:pPr>
            <w:r>
              <w:rPr/>
              <w:t> </w:t>
            </w:r>
          </w:p>
        </w:tc>
        <w:tc>
          <w:tcPr>
            <w:tcW w:w="145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12,500</w:t>
            </w:r>
          </w:p>
        </w:tc>
        <w:tc>
          <w:tcPr>
            <w:tcW w:w="32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15"/>
              </w:rPr>
              <w:t>(5)</w:t>
            </w:r>
            <w:r>
              <w:rPr>
                <w:rFonts w:ascii="Arial;Helvetica;sans-serif" w:hAnsi="Arial;Helvetica;sans-serif"/>
                <w:sz w:val="20"/>
              </w:rPr>
              <w:t>​</w:t>
            </w:r>
          </w:p>
        </w:tc>
        <w:tc>
          <w:tcPr>
            <w:tcW w:w="100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747,333</w:t>
            </w:r>
          </w:p>
        </w:tc>
      </w:tr>
      <w:tr>
        <w:trPr/>
        <w:tc>
          <w:tcPr>
            <w:tcW w:w="1126" w:type="dxa"/>
            <w:tcBorders/>
            <w:shd w:fill="auto" w:val="clear"/>
            <w:vAlign w:val="center"/>
          </w:tcPr>
          <w:p>
            <w:pPr>
              <w:pStyle w:val="TableContents"/>
              <w:spacing w:before="0" w:after="0"/>
              <w:ind w:left="0" w:right="0" w:hanging="0"/>
              <w:rPr>
                <w:rFonts w:ascii="Arial;Helvetica;sans-serif" w:hAnsi="Arial;Helvetica;sans-serif"/>
                <w:i/>
                <w:sz w:val="20"/>
              </w:rPr>
            </w:pPr>
            <w:r>
              <w:rPr>
                <w:rFonts w:ascii="Arial;Helvetica;sans-serif" w:hAnsi="Arial;Helvetica;sans-serif"/>
                <w:i/>
                <w:sz w:val="20"/>
              </w:rPr>
              <w:t>Chief Executive Officer</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2021</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420,000</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377,596</w:t>
            </w:r>
          </w:p>
        </w:tc>
        <w:tc>
          <w:tcPr>
            <w:tcW w:w="326" w:type="dxa"/>
            <w:tcBorders/>
            <w:shd w:fill="auto" w:val="clear"/>
            <w:vAlign w:val="center"/>
          </w:tcPr>
          <w:p>
            <w:pPr>
              <w:pStyle w:val="TableContents"/>
              <w:spacing w:before="0" w:after="0"/>
              <w:ind w:left="0" w:right="0" w:hanging="0"/>
              <w:rPr/>
            </w:pPr>
            <w:r>
              <w:rPr/>
              <w:t> </w:t>
            </w:r>
          </w:p>
        </w:tc>
        <w:tc>
          <w:tcPr>
            <w:tcW w:w="153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283,200</w:t>
            </w:r>
          </w:p>
        </w:tc>
        <w:tc>
          <w:tcPr>
            <w:tcW w:w="326" w:type="dxa"/>
            <w:tcBorders/>
            <w:shd w:fill="auto" w:val="clear"/>
            <w:vAlign w:val="center"/>
          </w:tcPr>
          <w:p>
            <w:pPr>
              <w:pStyle w:val="TableContents"/>
              <w:spacing w:before="0" w:after="0"/>
              <w:ind w:left="0" w:right="0" w:hanging="0"/>
              <w:rPr/>
            </w:pPr>
            <w:r>
              <w:rPr/>
              <w:t> </w:t>
            </w:r>
          </w:p>
        </w:tc>
        <w:tc>
          <w:tcPr>
            <w:tcW w:w="14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1,080,796</w:t>
            </w:r>
          </w:p>
        </w:tc>
      </w:tr>
      <w:tr>
        <w:trPr/>
        <w:tc>
          <w:tcPr>
            <w:tcW w:w="112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Mark Bach, M.D., Ph.D.</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2022</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466,375</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149,499</w:t>
            </w:r>
          </w:p>
        </w:tc>
        <w:tc>
          <w:tcPr>
            <w:tcW w:w="326" w:type="dxa"/>
            <w:tcBorders/>
            <w:shd w:fill="CCEEFF" w:val="clear"/>
            <w:vAlign w:val="center"/>
          </w:tcPr>
          <w:p>
            <w:pPr>
              <w:pStyle w:val="TableContents"/>
              <w:spacing w:before="0" w:after="0"/>
              <w:ind w:left="0" w:right="0" w:hanging="0"/>
              <w:rPr/>
            </w:pPr>
            <w:r>
              <w:rPr/>
              <w:t> </w:t>
            </w:r>
          </w:p>
        </w:tc>
        <w:tc>
          <w:tcPr>
            <w:tcW w:w="145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12,500</w:t>
            </w:r>
          </w:p>
        </w:tc>
        <w:tc>
          <w:tcPr>
            <w:tcW w:w="32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15"/>
              </w:rPr>
              <w:t>(5)</w:t>
            </w:r>
            <w:r>
              <w:rPr>
                <w:rFonts w:ascii="Arial;Helvetica;sans-serif" w:hAnsi="Arial;Helvetica;sans-serif"/>
                <w:sz w:val="20"/>
              </w:rPr>
              <w:t>​</w:t>
            </w:r>
          </w:p>
        </w:tc>
        <w:tc>
          <w:tcPr>
            <w:tcW w:w="100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628,374</w:t>
            </w:r>
          </w:p>
        </w:tc>
      </w:tr>
      <w:tr>
        <w:trPr/>
        <w:tc>
          <w:tcPr>
            <w:tcW w:w="1126" w:type="dxa"/>
            <w:tcBorders/>
            <w:shd w:fill="auto" w:val="clear"/>
            <w:vAlign w:val="center"/>
          </w:tcPr>
          <w:p>
            <w:pPr>
              <w:pStyle w:val="TableContents"/>
              <w:spacing w:before="0" w:after="0"/>
              <w:ind w:left="0" w:right="0" w:hanging="0"/>
              <w:rPr>
                <w:rFonts w:ascii="Arial;Helvetica;sans-serif" w:hAnsi="Arial;Helvetica;sans-serif"/>
                <w:i/>
                <w:sz w:val="20"/>
              </w:rPr>
            </w:pPr>
            <w:r>
              <w:rPr>
                <w:rFonts w:ascii="Arial;Helvetica;sans-serif" w:hAnsi="Arial;Helvetica;sans-serif"/>
                <w:i/>
                <w:sz w:val="20"/>
              </w:rPr>
              <w:t>Chief Medical Officer</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2021</w:t>
            </w:r>
          </w:p>
        </w:tc>
        <w:tc>
          <w:tcPr>
            <w:tcW w:w="326"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241,288</w:t>
            </w:r>
          </w:p>
        </w:tc>
        <w:tc>
          <w:tcPr>
            <w:tcW w:w="326" w:type="dxa"/>
            <w:tcBorders/>
            <w:shd w:fill="auto" w:val="clear"/>
            <w:vAlign w:val="center"/>
          </w:tcPr>
          <w:p>
            <w:pPr>
              <w:pStyle w:val="TableContents"/>
              <w:spacing w:before="0" w:after="0"/>
              <w:ind w:left="0" w:right="0" w:hanging="0"/>
              <w:rPr/>
            </w:pPr>
            <w:r>
              <w:rPr/>
              <w:t> </w:t>
            </w:r>
          </w:p>
        </w:tc>
        <w:tc>
          <w:tcPr>
            <w:tcW w:w="70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66,000</w:t>
            </w:r>
          </w:p>
        </w:tc>
        <w:tc>
          <w:tcPr>
            <w:tcW w:w="326" w:type="dxa"/>
            <w:tcBorders/>
            <w:shd w:fill="auto" w:val="clear"/>
            <w:vAlign w:val="center"/>
          </w:tcPr>
          <w:p>
            <w:pPr>
              <w:pStyle w:val="TableContents"/>
              <w:spacing w:before="0" w:after="0"/>
              <w:ind w:left="0" w:right="0" w:hanging="0"/>
              <w:rPr/>
            </w:pPr>
            <w:r>
              <w:rPr/>
              <w:t> </w:t>
            </w:r>
          </w:p>
        </w:tc>
        <w:tc>
          <w:tcPr>
            <w:tcW w:w="84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704,928</w:t>
            </w:r>
          </w:p>
        </w:tc>
        <w:tc>
          <w:tcPr>
            <w:tcW w:w="326" w:type="dxa"/>
            <w:tcBorders/>
            <w:shd w:fill="auto" w:val="clear"/>
            <w:vAlign w:val="center"/>
          </w:tcPr>
          <w:p>
            <w:pPr>
              <w:pStyle w:val="TableContents"/>
              <w:spacing w:before="0" w:after="0"/>
              <w:ind w:left="0" w:right="0" w:hanging="0"/>
              <w:rPr/>
            </w:pPr>
            <w:r>
              <w:rPr/>
              <w:t> </w:t>
            </w:r>
          </w:p>
        </w:tc>
        <w:tc>
          <w:tcPr>
            <w:tcW w:w="153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84,206</w:t>
            </w:r>
          </w:p>
        </w:tc>
        <w:tc>
          <w:tcPr>
            <w:tcW w:w="326" w:type="dxa"/>
            <w:tcBorders/>
            <w:shd w:fill="auto" w:val="clear"/>
            <w:vAlign w:val="center"/>
          </w:tcPr>
          <w:p>
            <w:pPr>
              <w:pStyle w:val="TableContents"/>
              <w:spacing w:before="0" w:after="0"/>
              <w:ind w:left="0" w:right="0" w:hanging="0"/>
              <w:rPr/>
            </w:pPr>
            <w:r>
              <w:rPr/>
              <w:t> </w:t>
            </w:r>
          </w:p>
        </w:tc>
        <w:tc>
          <w:tcPr>
            <w:tcW w:w="14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1,096,422</w:t>
            </w:r>
          </w:p>
        </w:tc>
      </w:tr>
      <w:tr>
        <w:trPr/>
        <w:tc>
          <w:tcPr>
            <w:tcW w:w="112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Yingli Ma, Ph.D.</w:t>
            </w:r>
          </w:p>
        </w:tc>
        <w:tc>
          <w:tcPr>
            <w:tcW w:w="326" w:type="dxa"/>
            <w:tcBorders/>
            <w:shd w:fill="CCEEFF" w:val="clear"/>
            <w:vAlign w:val="center"/>
          </w:tcPr>
          <w:p>
            <w:pPr>
              <w:pStyle w:val="TableContents"/>
              <w:spacing w:before="0" w:after="0"/>
              <w:ind w:left="0" w:right="0" w:hanging="0"/>
              <w:rPr/>
            </w:pPr>
            <w:r>
              <w:rPr/>
              <w:t> </w:t>
            </w:r>
          </w:p>
        </w:tc>
        <w:tc>
          <w:tcPr>
            <w:tcW w:w="70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2022</w:t>
            </w:r>
          </w:p>
        </w:tc>
        <w:tc>
          <w:tcPr>
            <w:tcW w:w="326"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374,421</w:t>
            </w:r>
          </w:p>
        </w:tc>
        <w:tc>
          <w:tcPr>
            <w:tcW w:w="32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15"/>
              </w:rPr>
              <w:t>(3)</w:t>
            </w:r>
            <w:r>
              <w:rPr>
                <w:rFonts w:ascii="Arial;Helvetica;sans-serif" w:hAnsi="Arial;Helvetica;sans-serif"/>
                <w:sz w:val="20"/>
              </w:rPr>
              <w:t>​</w:t>
            </w:r>
          </w:p>
        </w:tc>
        <w:tc>
          <w:tcPr>
            <w:tcW w:w="7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744,738</w:t>
            </w:r>
          </w:p>
        </w:tc>
        <w:tc>
          <w:tcPr>
            <w:tcW w:w="326" w:type="dxa"/>
            <w:tcBorders/>
            <w:shd w:fill="CCEEFF" w:val="clear"/>
            <w:vAlign w:val="center"/>
          </w:tcPr>
          <w:p>
            <w:pPr>
              <w:pStyle w:val="TableContents"/>
              <w:spacing w:before="0" w:after="0"/>
              <w:ind w:left="0" w:right="0" w:hanging="0"/>
              <w:rPr/>
            </w:pPr>
            <w:r>
              <w:rPr/>
              <w:t> </w:t>
            </w:r>
          </w:p>
        </w:tc>
        <w:tc>
          <w:tcPr>
            <w:tcW w:w="153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120,117</w:t>
            </w:r>
          </w:p>
        </w:tc>
        <w:tc>
          <w:tcPr>
            <w:tcW w:w="32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15"/>
              </w:rPr>
              <w:t>(4)</w:t>
            </w:r>
            <w:r>
              <w:rPr>
                <w:rFonts w:ascii="Arial;Helvetica;sans-serif" w:hAnsi="Arial;Helvetica;sans-serif"/>
                <w:sz w:val="20"/>
              </w:rPr>
              <w:t>​</w:t>
            </w:r>
          </w:p>
        </w:tc>
        <w:tc>
          <w:tcPr>
            <w:tcW w:w="145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3,047</w:t>
            </w:r>
          </w:p>
        </w:tc>
        <w:tc>
          <w:tcPr>
            <w:tcW w:w="32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15"/>
              </w:rPr>
              <w:t>(6)</w:t>
            </w:r>
            <w:r>
              <w:rPr>
                <w:rFonts w:ascii="Arial;Helvetica;sans-serif" w:hAnsi="Arial;Helvetica;sans-serif"/>
                <w:sz w:val="20"/>
              </w:rPr>
              <w:t>​</w:t>
            </w:r>
          </w:p>
        </w:tc>
        <w:tc>
          <w:tcPr>
            <w:tcW w:w="100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1,242,323</w:t>
            </w:r>
          </w:p>
        </w:tc>
      </w:tr>
      <w:tr>
        <w:trPr/>
        <w:tc>
          <w:tcPr>
            <w:tcW w:w="1126" w:type="dxa"/>
            <w:tcBorders/>
            <w:shd w:fill="auto" w:val="clear"/>
            <w:vAlign w:val="center"/>
          </w:tcPr>
          <w:p>
            <w:pPr>
              <w:pStyle w:val="TableContents"/>
              <w:spacing w:before="0" w:after="0"/>
              <w:ind w:left="0" w:right="0" w:hanging="0"/>
              <w:rPr>
                <w:rFonts w:ascii="Arial;Helvetica;sans-serif" w:hAnsi="Arial;Helvetica;sans-serif"/>
                <w:i/>
                <w:sz w:val="20"/>
              </w:rPr>
            </w:pPr>
            <w:r>
              <w:rPr>
                <w:rFonts w:ascii="Arial;Helvetica;sans-serif" w:hAnsi="Arial;Helvetica;sans-serif"/>
                <w:i/>
                <w:sz w:val="20"/>
              </w:rPr>
              <w:t>Chief Technology Officer</w:t>
            </w:r>
          </w:p>
        </w:tc>
        <w:tc>
          <w:tcPr>
            <w:tcW w:w="326"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5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r>
      <w:tr>
        <w:trPr/>
        <w:tc>
          <w:tcPr>
            <w:tcW w:w="11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0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53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45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0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215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vAlign w:val="center"/>
          </w:tcPr>
          <w:p>
            <w:pPr>
              <w:pStyle w:val="TableContents"/>
              <w:spacing w:before="0" w:after="100"/>
              <w:rPr>
                <w:rFonts w:ascii="Arial;Helvetica;sans-serif" w:hAnsi="Arial;Helvetica;sans-serif"/>
                <w:sz w:val="12"/>
              </w:rPr>
            </w:pPr>
            <w:r>
              <w:rPr>
                <w:rFonts w:ascii="Arial;Helvetica;sans-serif" w:hAnsi="Arial;Helvetica;sans-serif"/>
                <w:sz w:val="12"/>
              </w:rPr>
              <w:t>(1)</w:t>
            </w:r>
          </w:p>
        </w:tc>
        <w:tc>
          <w:tcPr>
            <w:tcW w:w="10065" w:type="dxa"/>
            <w:tcBorders/>
            <w:shd w:fill="auto" w:val="clear"/>
            <w:vAlign w:val="center"/>
          </w:tcPr>
          <w:p>
            <w:pPr>
              <w:pStyle w:val="TableContents"/>
              <w:spacing w:before="0" w:after="100"/>
              <w:rPr>
                <w:rFonts w:ascii="Arial;Helvetica;sans-serif" w:hAnsi="Arial;Helvetica;sans-serif"/>
                <w:sz w:val="16"/>
              </w:rPr>
            </w:pPr>
            <w:r>
              <w:rPr>
                <w:rFonts w:ascii="Arial;Helvetica;sans-serif" w:hAnsi="Arial;Helvetica;sans-serif"/>
                <w:sz w:val="16"/>
              </w:rPr>
              <w:t>The amount disclosed represents the aggregate grant date fair value of the share option granted to our named executive officers during fiscal years 2022 and 2021, as applicable, under our 2019 Equity Incentive Plan, computed in accordance with FASB ASC Topic 718. This amount does not reflect the actual economic value that may be realized by the named executive officer.</w:t>
            </w:r>
          </w:p>
        </w:tc>
      </w:tr>
    </w:tbl>
    <w:tbl>
      <w:tblPr>
        <w:tblW w:w="10205" w:type="dxa"/>
        <w:jc w:val="left"/>
        <w:tblInd w:w="0" w:type="dxa"/>
        <w:tblCellMar>
          <w:top w:w="0" w:type="dxa"/>
          <w:left w:w="0" w:type="dxa"/>
          <w:bottom w:w="0" w:type="dxa"/>
          <w:right w:w="0" w:type="dxa"/>
        </w:tblCellMar>
      </w:tblPr>
      <w:tblGrid>
        <w:gridCol w:w="151"/>
        <w:gridCol w:w="10054"/>
      </w:tblGrid>
      <w:tr>
        <w:trPr/>
        <w:tc>
          <w:tcPr>
            <w:tcW w:w="151" w:type="dxa"/>
            <w:tcBorders/>
            <w:shd w:fill="auto" w:val="clear"/>
            <w:vAlign w:val="center"/>
          </w:tcPr>
          <w:p>
            <w:pPr>
              <w:pStyle w:val="TableContents"/>
              <w:spacing w:before="0" w:after="100"/>
              <w:rPr>
                <w:rFonts w:ascii="Arial;Helvetica;sans-serif" w:hAnsi="Arial;Helvetica;sans-serif"/>
                <w:sz w:val="12"/>
              </w:rPr>
            </w:pPr>
            <w:r>
              <w:rPr>
                <w:rFonts w:ascii="Arial;Helvetica;sans-serif" w:hAnsi="Arial;Helvetica;sans-serif"/>
                <w:sz w:val="12"/>
              </w:rPr>
              <w:t>(2)</w:t>
            </w:r>
          </w:p>
        </w:tc>
        <w:tc>
          <w:tcPr>
            <w:tcW w:w="10054" w:type="dxa"/>
            <w:tcBorders/>
            <w:shd w:fill="auto" w:val="clear"/>
            <w:vAlign w:val="center"/>
          </w:tcPr>
          <w:p>
            <w:pPr>
              <w:pStyle w:val="TableContents"/>
              <w:spacing w:before="0" w:after="100"/>
              <w:rPr>
                <w:rFonts w:ascii="Arial;Helvetica;sans-serif" w:hAnsi="Arial;Helvetica;sans-serif"/>
                <w:sz w:val="16"/>
              </w:rPr>
            </w:pPr>
            <w:r>
              <w:rPr>
                <w:rFonts w:ascii="Arial;Helvetica;sans-serif" w:hAnsi="Arial;Helvetica;sans-serif"/>
                <w:sz w:val="16"/>
              </w:rPr>
              <w:t>Amounts represent the applicable named executive officer’s performance bonus earned for fiscal years 2021 and 2022, as applicable, as described below under the subsection titled “—Non-Equity Incentive Plan Compensation.”</w:t>
            </w:r>
          </w:p>
        </w:tc>
      </w:tr>
    </w:tbl>
    <w:tbl>
      <w:tblPr>
        <w:tblW w:w="10205" w:type="dxa"/>
        <w:jc w:val="left"/>
        <w:tblInd w:w="0" w:type="dxa"/>
        <w:tblCellMar>
          <w:top w:w="0" w:type="dxa"/>
          <w:left w:w="0" w:type="dxa"/>
          <w:bottom w:w="0" w:type="dxa"/>
          <w:right w:w="0" w:type="dxa"/>
        </w:tblCellMar>
      </w:tblPr>
      <w:tblGrid>
        <w:gridCol w:w="160"/>
        <w:gridCol w:w="10045"/>
      </w:tblGrid>
      <w:tr>
        <w:trPr/>
        <w:tc>
          <w:tcPr>
            <w:tcW w:w="160" w:type="dxa"/>
            <w:tcBorders/>
            <w:shd w:fill="auto" w:val="clear"/>
            <w:vAlign w:val="center"/>
          </w:tcPr>
          <w:p>
            <w:pPr>
              <w:pStyle w:val="TableContents"/>
              <w:spacing w:before="0" w:after="100"/>
              <w:rPr>
                <w:rFonts w:ascii="Arial;Helvetica;sans-serif" w:hAnsi="Arial;Helvetica;sans-serif"/>
                <w:sz w:val="12"/>
              </w:rPr>
            </w:pPr>
            <w:r>
              <w:rPr>
                <w:rFonts w:ascii="Arial;Helvetica;sans-serif" w:hAnsi="Arial;Helvetica;sans-serif"/>
                <w:sz w:val="12"/>
              </w:rPr>
              <w:t>(3)</w:t>
            </w:r>
          </w:p>
        </w:tc>
        <w:tc>
          <w:tcPr>
            <w:tcW w:w="10045" w:type="dxa"/>
            <w:tcBorders/>
            <w:shd w:fill="auto" w:val="clear"/>
            <w:vAlign w:val="center"/>
          </w:tcPr>
          <w:p>
            <w:pPr>
              <w:pStyle w:val="TableContents"/>
              <w:spacing w:before="0" w:after="100"/>
              <w:rPr>
                <w:rFonts w:ascii="Arial;Helvetica;sans-serif" w:hAnsi="Arial;Helvetica;sans-serif"/>
                <w:sz w:val="16"/>
              </w:rPr>
            </w:pPr>
            <w:r>
              <w:rPr>
                <w:rFonts w:ascii="Arial;Helvetica;sans-serif" w:hAnsi="Arial;Helvetica;sans-serif"/>
                <w:sz w:val="16"/>
              </w:rPr>
              <w:t>Dr. Ma’s salary in 2022 was RMB 2,519,400. Conversion to U.S. dollars is based on the average monthly exchange rate of RMB 6.73 per U.S. dollar during fiscal year 2022.</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100"/>
              <w:rPr>
                <w:rFonts w:ascii="Arial;Helvetica;sans-serif" w:hAnsi="Arial;Helvetica;sans-serif"/>
                <w:sz w:val="12"/>
              </w:rPr>
            </w:pPr>
            <w:r>
              <w:rPr>
                <w:rFonts w:ascii="Arial;Helvetica;sans-serif" w:hAnsi="Arial;Helvetica;sans-serif"/>
                <w:sz w:val="12"/>
              </w:rPr>
              <w:t>(4)</w:t>
            </w:r>
          </w:p>
        </w:tc>
        <w:tc>
          <w:tcPr>
            <w:tcW w:w="10050" w:type="dxa"/>
            <w:tcBorders/>
            <w:shd w:fill="auto" w:val="clear"/>
            <w:vAlign w:val="center"/>
          </w:tcPr>
          <w:p>
            <w:pPr>
              <w:pStyle w:val="TableContents"/>
              <w:spacing w:before="0" w:after="100"/>
              <w:rPr>
                <w:rFonts w:ascii="Arial;Helvetica;sans-serif" w:hAnsi="Arial;Helvetica;sans-serif"/>
                <w:sz w:val="16"/>
              </w:rPr>
            </w:pPr>
            <w:r>
              <w:rPr>
                <w:rFonts w:ascii="Arial;Helvetica;sans-serif" w:hAnsi="Arial;Helvetica;sans-serif"/>
                <w:sz w:val="16"/>
              </w:rPr>
              <w:t>Dr. Ma's performance bonus for fiscal year 2022 was RMB 808,244. Conversion to U.S. dollars is based on the average monthly exchange rate of RMB 6.73 per U.S. dollar during fiscal year 2022.</w:t>
            </w:r>
          </w:p>
        </w:tc>
      </w:tr>
    </w:tbl>
    <w:tbl>
      <w:tblPr>
        <w:tblW w:w="2785" w:type="dxa"/>
        <w:jc w:val="left"/>
        <w:tblInd w:w="0" w:type="dxa"/>
        <w:tblCellMar>
          <w:top w:w="0" w:type="dxa"/>
          <w:left w:w="0" w:type="dxa"/>
          <w:bottom w:w="0" w:type="dxa"/>
          <w:right w:w="0" w:type="dxa"/>
        </w:tblCellMar>
      </w:tblPr>
      <w:tblGrid>
        <w:gridCol w:w="170"/>
        <w:gridCol w:w="2615"/>
      </w:tblGrid>
      <w:tr>
        <w:trPr/>
        <w:tc>
          <w:tcPr>
            <w:tcW w:w="170" w:type="dxa"/>
            <w:tcBorders/>
            <w:shd w:fill="auto" w:val="clear"/>
            <w:vAlign w:val="center"/>
          </w:tcPr>
          <w:p>
            <w:pPr>
              <w:pStyle w:val="TableContents"/>
              <w:spacing w:before="0" w:after="120"/>
              <w:rPr>
                <w:rFonts w:ascii="Arial;Helvetica;sans-serif" w:hAnsi="Arial;Helvetica;sans-serif"/>
                <w:sz w:val="12"/>
              </w:rPr>
            </w:pPr>
            <w:r>
              <w:rPr>
                <w:rFonts w:ascii="Arial;Helvetica;sans-serif" w:hAnsi="Arial;Helvetica;sans-serif"/>
                <w:sz w:val="12"/>
              </w:rPr>
              <w:t>(5)</w:t>
            </w:r>
          </w:p>
        </w:tc>
        <w:tc>
          <w:tcPr>
            <w:tcW w:w="2615" w:type="dxa"/>
            <w:tcBorders/>
            <w:shd w:fill="auto" w:val="clear"/>
            <w:vAlign w:val="center"/>
          </w:tcPr>
          <w:p>
            <w:pPr>
              <w:pStyle w:val="TableContents"/>
              <w:spacing w:before="0" w:after="120"/>
              <w:rPr>
                <w:rFonts w:ascii="Arial;Helvetica;sans-serif" w:hAnsi="Arial;Helvetica;sans-serif"/>
                <w:sz w:val="16"/>
              </w:rPr>
            </w:pPr>
            <w:r>
              <w:rPr>
                <w:rFonts w:ascii="Arial;Helvetica;sans-serif" w:hAnsi="Arial;Helvetica;sans-serif"/>
                <w:sz w:val="16"/>
              </w:rPr>
              <w:t>Amount represents a 401(k) match.</w:t>
            </w:r>
          </w:p>
        </w:tc>
      </w:tr>
    </w:tbl>
    <w:tbl>
      <w:tblPr>
        <w:tblW w:w="10205" w:type="dxa"/>
        <w:jc w:val="left"/>
        <w:tblInd w:w="0" w:type="dxa"/>
        <w:tblCellMar>
          <w:top w:w="0" w:type="dxa"/>
          <w:left w:w="0" w:type="dxa"/>
          <w:bottom w:w="0" w:type="dxa"/>
          <w:right w:w="0" w:type="dxa"/>
        </w:tblCellMar>
      </w:tblPr>
      <w:tblGrid>
        <w:gridCol w:w="148"/>
        <w:gridCol w:w="10057"/>
      </w:tblGrid>
      <w:tr>
        <w:trPr/>
        <w:tc>
          <w:tcPr>
            <w:tcW w:w="148" w:type="dxa"/>
            <w:tcBorders/>
            <w:shd w:fill="auto" w:val="clear"/>
            <w:vAlign w:val="center"/>
          </w:tcPr>
          <w:p>
            <w:pPr>
              <w:pStyle w:val="TableContents"/>
              <w:spacing w:before="0" w:after="120"/>
              <w:rPr>
                <w:rFonts w:ascii="Arial;Helvetica;sans-serif" w:hAnsi="Arial;Helvetica;sans-serif"/>
                <w:sz w:val="12"/>
              </w:rPr>
            </w:pPr>
            <w:r>
              <w:rPr>
                <w:rFonts w:ascii="Arial;Helvetica;sans-serif" w:hAnsi="Arial;Helvetica;sans-serif"/>
                <w:sz w:val="12"/>
              </w:rPr>
              <w:t>(6)</w:t>
            </w:r>
          </w:p>
        </w:tc>
        <w:tc>
          <w:tcPr>
            <w:tcW w:w="10057" w:type="dxa"/>
            <w:tcBorders/>
            <w:shd w:fill="auto" w:val="clear"/>
            <w:vAlign w:val="center"/>
          </w:tcPr>
          <w:p>
            <w:pPr>
              <w:pStyle w:val="TableContents"/>
              <w:spacing w:before="0" w:after="120"/>
              <w:rPr>
                <w:rFonts w:ascii="Arial;Helvetica;sans-serif" w:hAnsi="Arial;Helvetica;sans-serif"/>
                <w:sz w:val="16"/>
              </w:rPr>
            </w:pPr>
            <w:r>
              <w:rPr>
                <w:rFonts w:ascii="Arial;Helvetica;sans-serif" w:hAnsi="Arial;Helvetica;sans-serif"/>
                <w:sz w:val="16"/>
              </w:rPr>
              <w:t>Amount represents transportation and meal allowances paid by us on behalf of Dr. Ma. The amount paid was RMB 20,500. Conversion to U.S. dollars is based on the average monthly exchange rate of RMB 6.73 per U.S. dollar during fiscal year 2022.</w:t>
            </w:r>
          </w:p>
        </w:tc>
      </w:tr>
    </w:tbl>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Annual Base Salary</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2022 annual base salary rates for our named executive officers are set forth in the table below.</w:t>
      </w:r>
    </w:p>
    <w:tbl>
      <w:tblPr>
        <w:tblW w:w="4168" w:type="dxa"/>
        <w:jc w:val="left"/>
        <w:tblInd w:w="0" w:type="dxa"/>
        <w:tblCellMar>
          <w:top w:w="0" w:type="dxa"/>
          <w:left w:w="0" w:type="dxa"/>
          <w:bottom w:w="0" w:type="dxa"/>
          <w:right w:w="0" w:type="dxa"/>
        </w:tblCellMar>
      </w:tblPr>
      <w:tblGrid>
        <w:gridCol w:w="2521"/>
        <w:gridCol w:w="326"/>
        <w:gridCol w:w="264"/>
        <w:gridCol w:w="1057"/>
      </w:tblGrid>
      <w:tr>
        <w:trPr/>
        <w:tc>
          <w:tcPr>
            <w:tcW w:w="25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600835" cy="175260"/>
                      <wp:effectExtent l="0" t="0" r="0" b="0"/>
                      <wp:wrapNone/>
                      <wp:docPr id="340" name="Frame298"/>
                      <a:graphic xmlns:a="http://schemas.openxmlformats.org/drawingml/2006/main">
                        <a:graphicData uri="http://schemas.microsoft.com/office/word/2010/wordprocessingShape">
                          <wps:wsp>
                            <wps:cNvSpPr txBox="1"/>
                            <wps:spPr>
                              <a:xfrm>
                                <a:off x="0" y="0"/>
                                <a:ext cx="1600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2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67640" cy="175260"/>
                      <wp:effectExtent l="0" t="0" r="0" b="0"/>
                      <wp:wrapNone/>
                      <wp:docPr id="342" name="Frame300"/>
                      <a:graphic xmlns:a="http://schemas.openxmlformats.org/drawingml/2006/main">
                        <a:graphicData uri="http://schemas.microsoft.com/office/word/2010/wordprocessingShape">
                          <wps:wsp>
                            <wps:cNvSpPr txBox="1"/>
                            <wps:spPr>
                              <a:xfrm>
                                <a:off x="0" y="0"/>
                                <a:ext cx="1676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71195" cy="175260"/>
                      <wp:effectExtent l="0" t="0" r="0" b="0"/>
                      <wp:wrapNone/>
                      <wp:docPr id="343" name="Frame301"/>
                      <a:graphic xmlns:a="http://schemas.openxmlformats.org/drawingml/2006/main">
                        <a:graphicData uri="http://schemas.microsoft.com/office/word/2010/wordprocessingShape">
                          <wps:wsp>
                            <wps:cNvSpPr txBox="1"/>
                            <wps:spPr>
                              <a:xfrm>
                                <a:off x="0" y="0"/>
                                <a:ext cx="6711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2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264"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057"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252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321" w:type="dxa"/>
            <w:gridSpan w:val="2"/>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 BASE</w:t>
            </w:r>
          </w:p>
        </w:tc>
      </w:tr>
      <w:tr>
        <w:trPr/>
        <w:tc>
          <w:tcPr>
            <w:tcW w:w="2521"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NAME</w:t>
            </w:r>
          </w:p>
        </w:tc>
        <w:tc>
          <w:tcPr>
            <w:tcW w:w="326" w:type="dxa"/>
            <w:tcBorders/>
            <w:shd w:fill="auto" w:val="clear"/>
            <w:vAlign w:val="center"/>
          </w:tcPr>
          <w:p>
            <w:pPr>
              <w:pStyle w:val="TableContents"/>
              <w:spacing w:before="0" w:after="0"/>
              <w:ind w:left="0" w:right="0" w:hanging="0"/>
              <w:jc w:val="center"/>
              <w:rPr/>
            </w:pPr>
            <w:r>
              <w:rPr/>
              <w:t>​</w:t>
            </w:r>
          </w:p>
        </w:tc>
        <w:tc>
          <w:tcPr>
            <w:tcW w:w="13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SALARY RATE</w:t>
            </w:r>
          </w:p>
        </w:tc>
      </w:tr>
      <w:tr>
        <w:trPr/>
        <w:tc>
          <w:tcPr>
            <w:tcW w:w="252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Raymond Stevens, Ph.D.</w:t>
            </w:r>
            <w:r>
              <w:rPr>
                <w:rFonts w:ascii="Arial;Helvetica;sans-serif" w:hAnsi="Arial;Helvetica;sans-serif"/>
                <w:sz w:val="15"/>
              </w:rPr>
              <w:t>(1)</w:t>
            </w:r>
          </w:p>
        </w:tc>
        <w:tc>
          <w:tcPr>
            <w:tcW w:w="326" w:type="dxa"/>
            <w:tcBorders/>
            <w:shd w:fill="CCEEFF" w:val="clear"/>
            <w:vAlign w:val="center"/>
          </w:tcPr>
          <w:p>
            <w:pPr>
              <w:pStyle w:val="TableContents"/>
              <w:spacing w:before="0" w:after="0"/>
              <w:ind w:left="0" w:right="0" w:hanging="0"/>
              <w:rPr/>
            </w:pPr>
            <w:r>
              <w:rPr/>
              <w:t>​</w:t>
            </w:r>
          </w:p>
        </w:tc>
        <w:tc>
          <w:tcPr>
            <w:tcW w:w="264"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57"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500,000</w:t>
            </w:r>
          </w:p>
        </w:tc>
      </w:tr>
      <w:tr>
        <w:trPr/>
        <w:tc>
          <w:tcPr>
            <w:tcW w:w="2521"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Mark Bach, M.D., Ph.D.</w:t>
            </w:r>
            <w:r>
              <w:rPr>
                <w:rFonts w:ascii="Arial;Helvetica;sans-serif" w:hAnsi="Arial;Helvetica;sans-serif"/>
                <w:sz w:val="15"/>
              </w:rPr>
              <w:t>(2)</w:t>
            </w:r>
          </w:p>
        </w:tc>
        <w:tc>
          <w:tcPr>
            <w:tcW w:w="326" w:type="dxa"/>
            <w:tcBorders/>
            <w:shd w:fill="auto" w:val="clear"/>
            <w:vAlign w:val="center"/>
          </w:tcPr>
          <w:p>
            <w:pPr>
              <w:pStyle w:val="TableContents"/>
              <w:spacing w:before="0" w:after="0"/>
              <w:ind w:left="0" w:right="0" w:hanging="0"/>
              <w:rPr/>
            </w:pPr>
            <w:r>
              <w:rPr/>
              <w:t>​</w:t>
            </w:r>
          </w:p>
        </w:tc>
        <w:tc>
          <w:tcPr>
            <w:tcW w:w="264" w:type="dxa"/>
            <w:tcBorders/>
            <w:shd w:fill="auto" w:val="clear"/>
            <w:vAlign w:val="center"/>
          </w:tcPr>
          <w:p>
            <w:pPr>
              <w:pStyle w:val="TableContents"/>
              <w:spacing w:before="0" w:after="0"/>
              <w:ind w:left="0" w:right="0" w:hanging="0"/>
              <w:rPr/>
            </w:pPr>
            <w:r>
              <w:rPr/>
              <w:t>​</w:t>
            </w:r>
          </w:p>
        </w:tc>
        <w:tc>
          <w:tcPr>
            <w:tcW w:w="1057"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468,650</w:t>
            </w:r>
          </w:p>
        </w:tc>
      </w:tr>
      <w:tr>
        <w:trPr/>
        <w:tc>
          <w:tcPr>
            <w:tcW w:w="252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Yingli Ma, Ph.D.</w:t>
            </w:r>
            <w:r>
              <w:rPr>
                <w:rFonts w:ascii="Arial;Helvetica;sans-serif" w:hAnsi="Arial;Helvetica;sans-serif"/>
                <w:sz w:val="15"/>
              </w:rPr>
              <w:t>(3)</w:t>
            </w:r>
          </w:p>
        </w:tc>
        <w:tc>
          <w:tcPr>
            <w:tcW w:w="326" w:type="dxa"/>
            <w:tcBorders/>
            <w:shd w:fill="CCEEFF" w:val="clear"/>
            <w:vAlign w:val="center"/>
          </w:tcPr>
          <w:p>
            <w:pPr>
              <w:pStyle w:val="TableContents"/>
              <w:spacing w:before="0" w:after="0"/>
              <w:ind w:left="0" w:right="0" w:hanging="0"/>
              <w:rPr/>
            </w:pPr>
            <w:r>
              <w:rPr/>
              <w:t>​</w:t>
            </w:r>
          </w:p>
        </w:tc>
        <w:tc>
          <w:tcPr>
            <w:tcW w:w="264" w:type="dxa"/>
            <w:tcBorders/>
            <w:shd w:fill="CCEEFF" w:val="clear"/>
            <w:vAlign w:val="center"/>
          </w:tcPr>
          <w:p>
            <w:pPr>
              <w:pStyle w:val="TableContents"/>
              <w:spacing w:before="0" w:after="0"/>
              <w:ind w:left="0" w:right="0" w:hanging="0"/>
              <w:rPr/>
            </w:pPr>
            <w:r>
              <w:rPr/>
              <w:t>​</w:t>
            </w:r>
          </w:p>
        </w:tc>
        <w:tc>
          <w:tcPr>
            <w:tcW w:w="1057"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376,544</w:t>
            </w:r>
          </w:p>
        </w:tc>
      </w:tr>
      <w:tr>
        <w:trPr/>
        <w:tc>
          <w:tcPr>
            <w:tcW w:w="252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6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5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bl>
    <w:p>
      <w:pPr>
        <w:pStyle w:val="HorizontalLine"/>
        <w:pBdr>
          <w:bottom w:val="single" w:sz="6" w:space="0" w:color="000000"/>
        </w:pBdr>
        <w:spacing w:before="0" w:after="0"/>
        <w:ind w:left="0" w:right="7654" w:hanging="0"/>
        <w:rPr/>
      </w:pPr>
      <w:r>
        <w:rPr/>
      </w:r>
    </w:p>
    <w:tbl>
      <w:tblPr>
        <w:tblW w:w="10205" w:type="dxa"/>
        <w:jc w:val="left"/>
        <w:tblInd w:w="0" w:type="dxa"/>
        <w:tblCellMar>
          <w:top w:w="0" w:type="dxa"/>
          <w:left w:w="0" w:type="dxa"/>
          <w:bottom w:w="0" w:type="dxa"/>
          <w:right w:w="0" w:type="dxa"/>
        </w:tblCellMar>
      </w:tblPr>
      <w:tblGrid>
        <w:gridCol w:w="160"/>
        <w:gridCol w:w="10045"/>
      </w:tblGrid>
      <w:tr>
        <w:trPr/>
        <w:tc>
          <w:tcPr>
            <w:tcW w:w="160" w:type="dxa"/>
            <w:tcBorders/>
            <w:shd w:fill="auto" w:val="clear"/>
            <w:vAlign w:val="center"/>
          </w:tcPr>
          <w:p>
            <w:pPr>
              <w:pStyle w:val="TableContents"/>
              <w:spacing w:before="0" w:after="120"/>
              <w:rPr>
                <w:rFonts w:ascii="Arial;Helvetica;sans-serif" w:hAnsi="Arial;Helvetica;sans-serif"/>
                <w:sz w:val="12"/>
              </w:rPr>
            </w:pPr>
            <w:r>
              <w:rPr>
                <w:rFonts w:ascii="Arial;Helvetica;sans-serif" w:hAnsi="Arial;Helvetica;sans-serif"/>
                <w:sz w:val="12"/>
              </w:rPr>
              <w:t>(1)</w:t>
            </w:r>
          </w:p>
        </w:tc>
        <w:tc>
          <w:tcPr>
            <w:tcW w:w="10045" w:type="dxa"/>
            <w:tcBorders/>
            <w:shd w:fill="auto" w:val="clear"/>
            <w:vAlign w:val="center"/>
          </w:tcPr>
          <w:p>
            <w:pPr>
              <w:pStyle w:val="TableContents"/>
              <w:spacing w:before="0" w:after="120"/>
              <w:rPr>
                <w:rFonts w:ascii="Arial;Helvetica;sans-serif" w:hAnsi="Arial;Helvetica;sans-serif"/>
                <w:sz w:val="16"/>
              </w:rPr>
            </w:pPr>
            <w:r>
              <w:rPr>
                <w:rFonts w:ascii="Arial;Helvetica;sans-serif" w:hAnsi="Arial;Helvetica;sans-serif"/>
                <w:sz w:val="16"/>
              </w:rPr>
              <w:t>Dr. Stevens’ annual base salary rate was effective as of March 1, 2022. Dr. Stevens’ annual base salary rate was $424,000 from January 1, 2022 until February 28, 2022.</w:t>
            </w:r>
          </w:p>
        </w:tc>
      </w:tr>
    </w:tbl>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vAlign w:val="center"/>
          </w:tcPr>
          <w:p>
            <w:pPr>
              <w:pStyle w:val="TableContents"/>
              <w:spacing w:before="0" w:after="120"/>
              <w:rPr>
                <w:rFonts w:ascii="Arial;Helvetica;sans-serif" w:hAnsi="Arial;Helvetica;sans-serif"/>
                <w:sz w:val="12"/>
              </w:rPr>
            </w:pPr>
            <w:r>
              <w:rPr>
                <w:rFonts w:ascii="Arial;Helvetica;sans-serif" w:hAnsi="Arial;Helvetica;sans-serif"/>
                <w:sz w:val="12"/>
              </w:rPr>
              <w:t>(2)</w:t>
            </w:r>
          </w:p>
        </w:tc>
        <w:tc>
          <w:tcPr>
            <w:tcW w:w="10044" w:type="dxa"/>
            <w:tcBorders/>
            <w:shd w:fill="auto" w:val="clear"/>
            <w:vAlign w:val="center"/>
          </w:tcPr>
          <w:p>
            <w:pPr>
              <w:pStyle w:val="TableContents"/>
              <w:spacing w:before="0" w:after="120"/>
              <w:rPr>
                <w:rFonts w:ascii="Arial;Helvetica;sans-serif" w:hAnsi="Arial;Helvetica;sans-serif"/>
                <w:sz w:val="16"/>
              </w:rPr>
            </w:pPr>
            <w:r>
              <w:rPr>
                <w:rFonts w:ascii="Arial;Helvetica;sans-serif" w:hAnsi="Arial;Helvetica;sans-serif"/>
                <w:sz w:val="16"/>
              </w:rPr>
              <w:t>Dr. Bach’s annual base salary rate was effective as of March 1, 2022. Dr. Bach’s annual base salary rate was $455,000 from January 1, 2022 until February 28, 2022.</w:t>
            </w:r>
          </w:p>
        </w:tc>
      </w:tr>
    </w:tbl>
    <w:tbl>
      <w:tblPr>
        <w:tblW w:w="10205" w:type="dxa"/>
        <w:jc w:val="left"/>
        <w:tblInd w:w="0" w:type="dxa"/>
        <w:tblCellMar>
          <w:top w:w="0" w:type="dxa"/>
          <w:left w:w="0" w:type="dxa"/>
          <w:bottom w:w="0" w:type="dxa"/>
          <w:right w:w="0" w:type="dxa"/>
        </w:tblCellMar>
      </w:tblPr>
      <w:tblGrid>
        <w:gridCol w:w="140"/>
        <w:gridCol w:w="10065"/>
      </w:tblGrid>
      <w:tr>
        <w:trPr/>
        <w:tc>
          <w:tcPr>
            <w:tcW w:w="140" w:type="dxa"/>
            <w:tcBorders/>
            <w:shd w:fill="auto" w:val="clear"/>
            <w:vAlign w:val="center"/>
          </w:tcPr>
          <w:p>
            <w:pPr>
              <w:pStyle w:val="TableContents"/>
              <w:spacing w:before="0" w:after="240"/>
              <w:rPr>
                <w:rFonts w:ascii="Arial;Helvetica;sans-serif" w:hAnsi="Arial;Helvetica;sans-serif"/>
                <w:sz w:val="12"/>
              </w:rPr>
            </w:pPr>
            <w:r>
              <w:rPr>
                <w:rFonts w:ascii="Arial;Helvetica;sans-serif" w:hAnsi="Arial;Helvetica;sans-serif"/>
                <w:sz w:val="12"/>
              </w:rPr>
              <w:t>(3)</w:t>
            </w:r>
          </w:p>
        </w:tc>
        <w:tc>
          <w:tcPr>
            <w:tcW w:w="10065" w:type="dxa"/>
            <w:tcBorders/>
            <w:shd w:fill="auto" w:val="clear"/>
            <w:vAlign w:val="center"/>
          </w:tcPr>
          <w:p>
            <w:pPr>
              <w:pStyle w:val="TableContents"/>
              <w:spacing w:before="0" w:after="240"/>
              <w:rPr>
                <w:rFonts w:ascii="Arial;Helvetica;sans-serif" w:hAnsi="Arial;Helvetica;sans-serif"/>
                <w:sz w:val="16"/>
              </w:rPr>
            </w:pPr>
            <w:r>
              <w:rPr>
                <w:rFonts w:ascii="Arial;Helvetica;sans-serif" w:hAnsi="Arial;Helvetica;sans-serif"/>
                <w:sz w:val="16"/>
              </w:rPr>
              <w:t>Dr. Ma’s annual base salary rate of RMB 2,533,680 (USD $376,544) was effective as of March 1, 2022. Previously, Dr. Ma’s annual base salary rate was RMB 2,448,000 (USD $363,810) from January 1, 2022 until February 28, 2022. All amounts reported herein were converted to U.S. dollars based on the average monthly exchange rate of RMB 6.73 per U.S. dollar during fiscal year 2022.</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In January 2023, based upon the recommendation of our independent compensation consultant, our board of directors approved the following base salaries for each of our named executive officers, which became effective on February 2, 2023: Dr. Stevens, $605,000; Dr. Bach, $487,450; and Dr. Ma, RMB 2,676,930 (USD $382,420).</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Non-Equity Incentive Plan Compensation</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We seek to motivate and reward our executives for achievements relative to our corporate goals and expectations for each fiscal year. In 2022, Drs. Stevens, Bach and Ma were each eligible to receive an annual performance bonus based on the achievement of certain pre-established corporate performance goals determined by our board of directors (100% weighting for Dr. Stevens and 90% weighting for Drs. Bach and Ma) and, in the case of Drs. Bach and Ma, individual performance goals (10% weighting for Drs. Bach and Ma). Pursuant to the terms of his executive employment agreement, Dr. Stevens’ target bonus was equal to 33% of his annual base salary and could have been as high as 55% if the level of achievement exceeded expectations. Pursuant to the terms of his offer letter, Dr. Bach’s target bonus was equal to 35% of his annual base salary. Pursuant to the terms of the New Ma Employment Contract (as defined below under “—Agreements With Our Named Executive Officers”), Dr. Ma’s target bonus was equal to 35% of her annual base salary. In January 2023, our board of directors determined that the 2022 corporate goals were achieved at 90% overall, Dr. Stevens’ target bonus was determined to be 55% and that Drs. Bach and Ma each achieved 100% of their individual performance goals. As a result, our board of directors approved 2022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216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annual performance bonuses for each of our named executive officers, as reflected in the “Non-Equity Incentive Plan Compensation” column of the Summary Compensation Table above.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January 2023, based upon the recommendation of our independent compensation consultant, our board of directors approved the following target bonus amounts for each of our named executive officers, expressed as a percentage of annual base salary, which became effective on February 2, 2023: Dr. Stevens, 50%; Dr. Bach, 40%; and Dr. Ma, 40%.</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Equity-Based Incentive Awards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equity-based incentive awards are designed to align our interests and those of our shareholders with those of our employees and consultants, including our executive officers. Our board of directors or an authorized committee thereof is responsible for approving equity grants.</w:t>
      </w:r>
    </w:p>
    <w:p>
      <w:pPr>
        <w:pStyle w:val="TextBody"/>
        <w:spacing w:before="0" w:after="240"/>
        <w:ind w:left="0" w:right="0" w:hanging="0"/>
        <w:rPr>
          <w:rFonts w:ascii="Arial;Helvetica;sans-serif" w:hAnsi="Arial;Helvetica;sans-serif"/>
          <w:sz w:val="19"/>
        </w:rPr>
      </w:pPr>
      <w:r>
        <w:rPr>
          <w:rFonts w:ascii="Arial;Helvetica;sans-serif" w:hAnsi="Arial;Helvetica;sans-serif"/>
          <w:sz w:val="19"/>
        </w:rPr>
        <w:t>We have generally used share options and restricted share awards as an incentive for long-term compensation to our executive officers because share options allow our executive officers to realize value from this form of equity compensation only if our share price increases, and restricted share awards align the interests of our executive officers with the interests of our shareholders generally. Certain share options that we have granted to our executive officers permit “early exercise,” whereby the executive officer can purchase shares subject to the share option prior to vesting, subject to our right of repurchase which lapses in accordance with the vesting schedule of the share option. Similarly, ordinary shares issued pursuant to restricted share awards are subject to our right of repurchase which lapses in accordance with the vesting schedule of the restricted share award.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may grant equity awards at such times as our board of directors determines appropriate. Our executives generally are awarded an initial grant in the form of a share option in connection with their commencement of employment with us. Additional grants may occur periodically in order to specifically incentivize executives with respect to achieving certain corporate goals or to reward executives for exceptional performance.</w:t>
      </w:r>
    </w:p>
    <w:p>
      <w:pPr>
        <w:pStyle w:val="TextBody"/>
        <w:spacing w:before="0" w:after="240"/>
        <w:ind w:left="0" w:right="0" w:hanging="0"/>
        <w:rPr>
          <w:rFonts w:ascii="Arial;Helvetica;sans-serif" w:hAnsi="Arial;Helvetica;sans-serif"/>
          <w:sz w:val="19"/>
        </w:rPr>
      </w:pPr>
      <w:r>
        <w:rPr>
          <w:rFonts w:ascii="Arial;Helvetica;sans-serif" w:hAnsi="Arial;Helvetica;sans-serif"/>
          <w:sz w:val="19"/>
        </w:rPr>
        <w:t>All share options are granted with an exercise price per share that is no less than the fair market value of one ordinary share on the date of grant of such award. Our share options generally vest over a four-year period. Equity awards granted to our named executive officers may be subject to acceleration of vesting and exercisability under certain termination and change in control events, as described in more detail below under the subsection titled “—Potential Payments Upon Termination or Change in Control.”</w:t>
      </w:r>
    </w:p>
    <w:p>
      <w:pPr>
        <w:pStyle w:val="TextBody"/>
        <w:spacing w:before="0" w:after="200"/>
        <w:ind w:left="0" w:right="0" w:hanging="0"/>
        <w:rPr>
          <w:rFonts w:ascii="Arial;Helvetica;sans-serif" w:hAnsi="Arial;Helvetica;sans-serif"/>
          <w:sz w:val="19"/>
        </w:rPr>
      </w:pPr>
      <w:r>
        <w:rPr>
          <w:rFonts w:ascii="Arial;Helvetica;sans-serif" w:hAnsi="Arial;Helvetica;sans-serif"/>
          <w:sz w:val="19"/>
        </w:rPr>
        <w:t>On January 20, 2022, in connection with Dr. Ma’s commencement of employment with us, we granted Dr. Ma a share option to purchase 400,000 ordinary shares with an exercise price of $2.60 per share and a vesting commencement date of May 11, 2021. Dr. Ma’s share option vests as follows: one-fourth of the shares subject to the share option vest on the first anniversary of the vesting commencement date, and the remaining shares vest in 36 equal monthly installments thereafter, subject to Dr. Ma’s continuous service through each such vesting date.</w:t>
      </w:r>
    </w:p>
    <w:p>
      <w:pPr>
        <w:pStyle w:val="TextBody"/>
        <w:spacing w:before="0" w:after="120"/>
        <w:ind w:left="0" w:right="0" w:hanging="0"/>
        <w:rPr>
          <w:rFonts w:ascii="Arial;Helvetica;sans-serif" w:hAnsi="Arial;Helvetica;sans-serif"/>
          <w:sz w:val="19"/>
        </w:rPr>
      </w:pPr>
      <w:r>
        <w:rPr>
          <w:rFonts w:ascii="Arial;Helvetica;sans-serif" w:hAnsi="Arial;Helvetica;sans-serif"/>
          <w:sz w:val="19"/>
        </w:rPr>
        <w:t>In January 2023, based upon the recommendation of our independent compensation consultant, our board of directors approved the following share options to each of our named executive officers, which were granted under the 2023 Equity Incentive Plan (the “2023 Plan”) on February 2, 2023: Dr. Stevens, 1,600,000 ordinary shares; Dr. Bach, 450,000 ordinary shares; and Dr. Ma, 250,000 ordinary shares. The exercise price per share of these share options is equal to $5.00, which is the fair market value of each ordinary share, based on the public offering price of $15.00 for our ADSs in our IPO. Each share option will vest over four years, subject to the executive’s continuous service through each vesting date and, for Drs. Bach and Ma, subject to achievement of certain clinical milestones in the first year following grant. The options are subject to acceleration of vesting and exercisability under certain circumstances.</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217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Outstanding Equity Awards as of December 31, 2022</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following table presents the outstanding equity awards held by each named executive officer as of December 31, 2022.</w:t>
      </w:r>
    </w:p>
    <w:tbl>
      <w:tblPr>
        <w:tblW w:w="10205" w:type="dxa"/>
        <w:jc w:val="center"/>
        <w:tblInd w:w="0" w:type="dxa"/>
        <w:tblCellMar>
          <w:top w:w="0" w:type="dxa"/>
          <w:left w:w="0" w:type="dxa"/>
          <w:bottom w:w="0" w:type="dxa"/>
          <w:right w:w="0" w:type="dxa"/>
        </w:tblCellMar>
      </w:tblPr>
      <w:tblGrid>
        <w:gridCol w:w="1043"/>
        <w:gridCol w:w="326"/>
        <w:gridCol w:w="677"/>
        <w:gridCol w:w="326"/>
        <w:gridCol w:w="1201"/>
        <w:gridCol w:w="326"/>
        <w:gridCol w:w="1396"/>
        <w:gridCol w:w="326"/>
        <w:gridCol w:w="896"/>
        <w:gridCol w:w="326"/>
        <w:gridCol w:w="1036"/>
        <w:gridCol w:w="326"/>
        <w:gridCol w:w="812"/>
        <w:gridCol w:w="326"/>
        <w:gridCol w:w="862"/>
      </w:tblGrid>
      <w:tr>
        <w:trPr/>
        <w:tc>
          <w:tcPr>
            <w:tcW w:w="10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62305" cy="175260"/>
                      <wp:effectExtent l="0" t="0" r="0" b="0"/>
                      <wp:wrapNone/>
                      <wp:docPr id="344" name="Frame302"/>
                      <a:graphic xmlns:a="http://schemas.openxmlformats.org/drawingml/2006/main">
                        <a:graphicData uri="http://schemas.microsoft.com/office/word/2010/wordprocessingShape">
                          <wps:wsp>
                            <wps:cNvSpPr txBox="1"/>
                            <wps:spPr>
                              <a:xfrm>
                                <a:off x="0" y="0"/>
                                <a:ext cx="6623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45" name="Frame30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429895" cy="175260"/>
                      <wp:effectExtent l="0" t="0" r="0" b="0"/>
                      <wp:wrapNone/>
                      <wp:docPr id="346" name="Frame304"/>
                      <a:graphic xmlns:a="http://schemas.openxmlformats.org/drawingml/2006/main">
                        <a:graphicData uri="http://schemas.microsoft.com/office/word/2010/wordprocessingShape">
                          <wps:wsp>
                            <wps:cNvSpPr txBox="1"/>
                            <wps:spPr>
                              <a:xfrm>
                                <a:off x="0" y="0"/>
                                <a:ext cx="429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7" name="Frame3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762635" cy="175260"/>
                      <wp:effectExtent l="0" t="0" r="0" b="0"/>
                      <wp:wrapNone/>
                      <wp:docPr id="348" name="Frame306"/>
                      <a:graphic xmlns:a="http://schemas.openxmlformats.org/drawingml/2006/main">
                        <a:graphicData uri="http://schemas.microsoft.com/office/word/2010/wordprocessingShape">
                          <wps:wsp>
                            <wps:cNvSpPr txBox="1"/>
                            <wps:spPr>
                              <a:xfrm>
                                <a:off x="0" y="0"/>
                                <a:ext cx="762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9" name="Frame3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886460" cy="175260"/>
                      <wp:effectExtent l="0" t="0" r="0" b="0"/>
                      <wp:wrapNone/>
                      <wp:docPr id="350" name="Frame308"/>
                      <a:graphic xmlns:a="http://schemas.openxmlformats.org/drawingml/2006/main">
                        <a:graphicData uri="http://schemas.microsoft.com/office/word/2010/wordprocessingShape">
                          <wps:wsp>
                            <wps:cNvSpPr txBox="1"/>
                            <wps:spPr>
                              <a:xfrm>
                                <a:off x="0" y="0"/>
                                <a:ext cx="886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51" name="Frame30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68960" cy="175260"/>
                      <wp:effectExtent l="0" t="0" r="0" b="0"/>
                      <wp:wrapNone/>
                      <wp:docPr id="352" name="Frame310"/>
                      <a:graphic xmlns:a="http://schemas.openxmlformats.org/drawingml/2006/main">
                        <a:graphicData uri="http://schemas.microsoft.com/office/word/2010/wordprocessingShape">
                          <wps:wsp>
                            <wps:cNvSpPr txBox="1"/>
                            <wps:spPr>
                              <a:xfrm>
                                <a:off x="0" y="0"/>
                                <a:ext cx="568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3" name="Frame3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57860" cy="175260"/>
                      <wp:effectExtent l="0" t="0" r="0" b="0"/>
                      <wp:wrapNone/>
                      <wp:docPr id="354" name="Frame312"/>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5" name="Frame3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15620" cy="175260"/>
                      <wp:effectExtent l="0" t="0" r="0" b="0"/>
                      <wp:wrapNone/>
                      <wp:docPr id="356" name="Frame314"/>
                      <a:graphic xmlns:a="http://schemas.openxmlformats.org/drawingml/2006/main">
                        <a:graphicData uri="http://schemas.microsoft.com/office/word/2010/wordprocessingShape">
                          <wps:wsp>
                            <wps:cNvSpPr txBox="1"/>
                            <wps:spPr>
                              <a:xfrm>
                                <a:off x="0" y="0"/>
                                <a:ext cx="5156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7" name="Frame3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547370" cy="175260"/>
                      <wp:effectExtent l="0" t="0" r="0" b="0"/>
                      <wp:wrapNone/>
                      <wp:docPr id="358" name="Frame316"/>
                      <a:graphic xmlns:a="http://schemas.openxmlformats.org/drawingml/2006/main">
                        <a:graphicData uri="http://schemas.microsoft.com/office/word/2010/wordprocessingShape">
                          <wps:wsp>
                            <wps:cNvSpPr txBox="1"/>
                            <wps:spPr>
                              <a:xfrm>
                                <a:off x="0" y="0"/>
                                <a:ext cx="5473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043"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677"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20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39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89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03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812"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862"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10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510" w:type="dxa"/>
            <w:gridSpan w:val="9"/>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14"/>
              </w:rPr>
            </w:pPr>
            <w:r>
              <w:rPr>
                <w:rFonts w:ascii="Arial;Helvetica;sans-serif" w:hAnsi="Arial;Helvetica;sans-serif"/>
                <w:b/>
                <w:sz w:val="15"/>
              </w:rPr>
              <w:t>OPTION AWARDS</w:t>
            </w:r>
            <w:r>
              <w:rPr>
                <w:rFonts w:ascii="Arial;Helvetica;sans-serif" w:hAnsi="Arial;Helvetica;sans-serif"/>
                <w:b/>
                <w:sz w:val="11"/>
              </w:rPr>
              <w:t>(1)</w:t>
            </w:r>
          </w:p>
        </w:tc>
        <w:tc>
          <w:tcPr>
            <w:tcW w:w="326" w:type="dxa"/>
            <w:tcBorders/>
            <w:shd w:fill="auto" w:val="clear"/>
            <w:vAlign w:val="center"/>
          </w:tcPr>
          <w:p>
            <w:pPr>
              <w:pStyle w:val="TableContents"/>
              <w:spacing w:before="0" w:after="0"/>
              <w:ind w:left="0" w:right="0" w:hanging="0"/>
              <w:rPr/>
            </w:pPr>
            <w:r>
              <w:rPr/>
              <w:t>    </w:t>
            </w:r>
          </w:p>
        </w:tc>
        <w:tc>
          <w:tcPr>
            <w:tcW w:w="2000"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14"/>
              </w:rPr>
            </w:pPr>
            <w:r>
              <w:rPr>
                <w:rFonts w:ascii="Arial;Helvetica;sans-serif" w:hAnsi="Arial;Helvetica;sans-serif"/>
                <w:b/>
                <w:sz w:val="15"/>
              </w:rPr>
              <w:t>SHARE AWARDS</w:t>
            </w:r>
            <w:r>
              <w:rPr>
                <w:rFonts w:ascii="Arial;Helvetica;sans-serif" w:hAnsi="Arial;Helvetica;sans-serif"/>
                <w:b/>
                <w:sz w:val="11"/>
              </w:rPr>
              <w:t>(1)</w:t>
            </w:r>
          </w:p>
        </w:tc>
      </w:tr>
      <w:tr>
        <w:trPr/>
        <w:tc>
          <w:tcPr>
            <w:tcW w:w="104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67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20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3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812"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NUMBER OF</w:t>
            </w:r>
          </w:p>
        </w:tc>
        <w:tc>
          <w:tcPr>
            <w:tcW w:w="326" w:type="dxa"/>
            <w:tcBorders/>
            <w:shd w:fill="auto" w:val="clear"/>
            <w:vAlign w:val="center"/>
          </w:tcPr>
          <w:p>
            <w:pPr>
              <w:pStyle w:val="TableContents"/>
              <w:spacing w:before="0" w:after="0"/>
              <w:ind w:left="0" w:right="0" w:hanging="0"/>
              <w:rPr/>
            </w:pPr>
            <w:r>
              <w:rPr/>
              <w:t>    </w:t>
            </w:r>
          </w:p>
        </w:tc>
        <w:tc>
          <w:tcPr>
            <w:tcW w:w="862"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MARKET</w:t>
            </w:r>
          </w:p>
        </w:tc>
      </w:tr>
      <w:tr>
        <w:trPr/>
        <w:tc>
          <w:tcPr>
            <w:tcW w:w="10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201"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NUMBER OF</w:t>
            </w:r>
          </w:p>
        </w:tc>
        <w:tc>
          <w:tcPr>
            <w:tcW w:w="326" w:type="dxa"/>
            <w:tcBorders/>
            <w:shd w:fill="auto" w:val="clear"/>
            <w:vAlign w:val="center"/>
          </w:tcPr>
          <w:p>
            <w:pPr>
              <w:pStyle w:val="TableContents"/>
              <w:spacing w:before="0" w:after="0"/>
              <w:ind w:left="0" w:right="0" w:hanging="0"/>
              <w:rPr/>
            </w:pPr>
            <w:r>
              <w:rPr/>
              <w:t>    </w:t>
            </w:r>
          </w:p>
        </w:tc>
        <w:tc>
          <w:tcPr>
            <w:tcW w:w="1396"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NUMBER OF</w:t>
            </w:r>
          </w:p>
        </w:tc>
        <w:tc>
          <w:tcPr>
            <w:tcW w:w="326" w:type="dxa"/>
            <w:tcBorders/>
            <w:shd w:fill="auto" w:val="clear"/>
            <w:vAlign w:val="center"/>
          </w:tcPr>
          <w:p>
            <w:pPr>
              <w:pStyle w:val="TableContents"/>
              <w:spacing w:before="0" w:after="0"/>
              <w:ind w:left="0" w:right="0" w:hanging="0"/>
              <w:rPr/>
            </w:pPr>
            <w:r>
              <w:rPr/>
              <w:t>    </w:t>
            </w:r>
          </w:p>
        </w:tc>
        <w:tc>
          <w:tcPr>
            <w:tcW w:w="8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12"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SHARES OR</w:t>
            </w:r>
          </w:p>
        </w:tc>
        <w:tc>
          <w:tcPr>
            <w:tcW w:w="326" w:type="dxa"/>
            <w:tcBorders/>
            <w:shd w:fill="auto" w:val="clear"/>
            <w:vAlign w:val="center"/>
          </w:tcPr>
          <w:p>
            <w:pPr>
              <w:pStyle w:val="TableContents"/>
              <w:spacing w:before="0" w:after="0"/>
              <w:ind w:left="0" w:right="0" w:hanging="0"/>
              <w:rPr/>
            </w:pPr>
            <w:r>
              <w:rPr/>
              <w:t>​</w:t>
            </w:r>
          </w:p>
        </w:tc>
        <w:tc>
          <w:tcPr>
            <w:tcW w:w="862"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VALUE OF</w:t>
            </w:r>
          </w:p>
        </w:tc>
      </w:tr>
      <w:tr>
        <w:trPr/>
        <w:tc>
          <w:tcPr>
            <w:tcW w:w="10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SECURITIES</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SECURITIES</w:t>
            </w:r>
          </w:p>
        </w:tc>
        <w:tc>
          <w:tcPr>
            <w:tcW w:w="326" w:type="dxa"/>
            <w:tcBorders/>
            <w:shd w:fill="auto" w:val="clear"/>
            <w:vAlign w:val="center"/>
          </w:tcPr>
          <w:p>
            <w:pPr>
              <w:pStyle w:val="TableContents"/>
              <w:spacing w:before="0" w:after="0"/>
              <w:ind w:left="0" w:right="0" w:hanging="0"/>
              <w:rPr/>
            </w:pPr>
            <w:r>
              <w:rPr/>
              <w:t>​</w:t>
            </w:r>
          </w:p>
        </w:tc>
        <w:tc>
          <w:tcPr>
            <w:tcW w:w="8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12"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UNITS OF</w:t>
            </w:r>
          </w:p>
        </w:tc>
        <w:tc>
          <w:tcPr>
            <w:tcW w:w="326" w:type="dxa"/>
            <w:tcBorders/>
            <w:shd w:fill="auto" w:val="clear"/>
            <w:vAlign w:val="center"/>
          </w:tcPr>
          <w:p>
            <w:pPr>
              <w:pStyle w:val="TableContents"/>
              <w:spacing w:before="0" w:after="0"/>
              <w:ind w:left="0" w:right="0" w:hanging="0"/>
              <w:rPr/>
            </w:pPr>
            <w:r>
              <w:rPr/>
              <w:t>​</w:t>
            </w:r>
          </w:p>
        </w:tc>
        <w:tc>
          <w:tcPr>
            <w:tcW w:w="862"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SHARES OR</w:t>
            </w:r>
          </w:p>
        </w:tc>
      </w:tr>
      <w:tr>
        <w:trPr/>
        <w:tc>
          <w:tcPr>
            <w:tcW w:w="10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UNDERLYING</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UNDERLYING</w:t>
            </w:r>
          </w:p>
        </w:tc>
        <w:tc>
          <w:tcPr>
            <w:tcW w:w="326" w:type="dxa"/>
            <w:tcBorders/>
            <w:shd w:fill="auto" w:val="clear"/>
            <w:vAlign w:val="center"/>
          </w:tcPr>
          <w:p>
            <w:pPr>
              <w:pStyle w:val="TableContents"/>
              <w:spacing w:before="0" w:after="0"/>
              <w:ind w:left="0" w:right="0" w:hanging="0"/>
              <w:rPr/>
            </w:pPr>
            <w:r>
              <w:rPr/>
              <w:t>​</w:t>
            </w:r>
          </w:p>
        </w:tc>
        <w:tc>
          <w:tcPr>
            <w:tcW w:w="896"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OPTION</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12"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STOCK</w:t>
            </w:r>
          </w:p>
        </w:tc>
        <w:tc>
          <w:tcPr>
            <w:tcW w:w="326" w:type="dxa"/>
            <w:tcBorders/>
            <w:shd w:fill="auto" w:val="clear"/>
            <w:vAlign w:val="center"/>
          </w:tcPr>
          <w:p>
            <w:pPr>
              <w:pStyle w:val="TableContents"/>
              <w:spacing w:before="0" w:after="0"/>
              <w:ind w:left="0" w:right="0" w:hanging="0"/>
              <w:rPr/>
            </w:pPr>
            <w:r>
              <w:rPr/>
              <w:t>​</w:t>
            </w:r>
          </w:p>
        </w:tc>
        <w:tc>
          <w:tcPr>
            <w:tcW w:w="862"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UNITS OF</w:t>
            </w:r>
          </w:p>
        </w:tc>
      </w:tr>
      <w:tr>
        <w:trPr/>
        <w:tc>
          <w:tcPr>
            <w:tcW w:w="10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UNEXERCISED</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UNEXERCISED</w:t>
            </w:r>
          </w:p>
        </w:tc>
        <w:tc>
          <w:tcPr>
            <w:tcW w:w="326" w:type="dxa"/>
            <w:tcBorders/>
            <w:shd w:fill="auto" w:val="clear"/>
            <w:vAlign w:val="center"/>
          </w:tcPr>
          <w:p>
            <w:pPr>
              <w:pStyle w:val="TableContents"/>
              <w:spacing w:before="0" w:after="0"/>
              <w:ind w:left="0" w:right="0" w:hanging="0"/>
              <w:rPr/>
            </w:pPr>
            <w:r>
              <w:rPr/>
              <w:t>​</w:t>
            </w:r>
          </w:p>
        </w:tc>
        <w:tc>
          <w:tcPr>
            <w:tcW w:w="896"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EXERCISE</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12"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THAT</w:t>
            </w:r>
          </w:p>
        </w:tc>
        <w:tc>
          <w:tcPr>
            <w:tcW w:w="326" w:type="dxa"/>
            <w:tcBorders/>
            <w:shd w:fill="auto" w:val="clear"/>
            <w:vAlign w:val="center"/>
          </w:tcPr>
          <w:p>
            <w:pPr>
              <w:pStyle w:val="TableContents"/>
              <w:spacing w:before="0" w:after="0"/>
              <w:ind w:left="0" w:right="0" w:hanging="0"/>
              <w:rPr/>
            </w:pPr>
            <w:r>
              <w:rPr/>
              <w:t>​</w:t>
            </w:r>
          </w:p>
        </w:tc>
        <w:tc>
          <w:tcPr>
            <w:tcW w:w="862"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STOCK THAT</w:t>
            </w:r>
          </w:p>
        </w:tc>
      </w:tr>
      <w:tr>
        <w:trPr/>
        <w:tc>
          <w:tcPr>
            <w:tcW w:w="10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OPTIONS</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OPTIONS</w:t>
            </w:r>
          </w:p>
        </w:tc>
        <w:tc>
          <w:tcPr>
            <w:tcW w:w="326" w:type="dxa"/>
            <w:tcBorders/>
            <w:shd w:fill="auto" w:val="clear"/>
            <w:vAlign w:val="center"/>
          </w:tcPr>
          <w:p>
            <w:pPr>
              <w:pStyle w:val="TableContents"/>
              <w:spacing w:before="0" w:after="0"/>
              <w:ind w:left="0" w:right="0" w:hanging="0"/>
              <w:rPr/>
            </w:pPr>
            <w:r>
              <w:rPr/>
              <w:t>​</w:t>
            </w:r>
          </w:p>
        </w:tc>
        <w:tc>
          <w:tcPr>
            <w:tcW w:w="896"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PRICE PER</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OPTION</w:t>
            </w:r>
          </w:p>
        </w:tc>
        <w:tc>
          <w:tcPr>
            <w:tcW w:w="326" w:type="dxa"/>
            <w:tcBorders/>
            <w:shd w:fill="auto" w:val="clear"/>
            <w:vAlign w:val="center"/>
          </w:tcPr>
          <w:p>
            <w:pPr>
              <w:pStyle w:val="TableContents"/>
              <w:spacing w:before="0" w:after="0"/>
              <w:ind w:left="0" w:right="0" w:hanging="0"/>
              <w:rPr/>
            </w:pPr>
            <w:r>
              <w:rPr/>
              <w:t>​</w:t>
            </w:r>
          </w:p>
        </w:tc>
        <w:tc>
          <w:tcPr>
            <w:tcW w:w="812"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HAVE NOT</w:t>
            </w:r>
          </w:p>
        </w:tc>
        <w:tc>
          <w:tcPr>
            <w:tcW w:w="326" w:type="dxa"/>
            <w:tcBorders/>
            <w:shd w:fill="auto" w:val="clear"/>
            <w:vAlign w:val="center"/>
          </w:tcPr>
          <w:p>
            <w:pPr>
              <w:pStyle w:val="TableContents"/>
              <w:spacing w:before="0" w:after="0"/>
              <w:ind w:left="0" w:right="0" w:hanging="0"/>
              <w:rPr/>
            </w:pPr>
            <w:r>
              <w:rPr/>
              <w:t>​</w:t>
            </w:r>
          </w:p>
        </w:tc>
        <w:tc>
          <w:tcPr>
            <w:tcW w:w="862"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HAVE NOT</w:t>
            </w:r>
          </w:p>
        </w:tc>
      </w:tr>
      <w:tr>
        <w:trPr/>
        <w:tc>
          <w:tcPr>
            <w:tcW w:w="10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7"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GRANT</w:t>
            </w:r>
          </w:p>
        </w:tc>
        <w:tc>
          <w:tcPr>
            <w:tcW w:w="326" w:type="dxa"/>
            <w:tcBorders/>
            <w:shd w:fill="auto" w:val="clear"/>
            <w:vAlign w:val="center"/>
          </w:tcPr>
          <w:p>
            <w:pPr>
              <w:pStyle w:val="TableContents"/>
              <w:spacing w:before="0" w:after="0"/>
              <w:ind w:left="0" w:right="0" w:hanging="0"/>
              <w:rPr/>
            </w:pPr>
            <w:r>
              <w:rPr/>
              <w:t>​</w:t>
            </w:r>
          </w:p>
        </w:tc>
        <w:tc>
          <w:tcPr>
            <w:tcW w:w="1201"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EXERCISABLE</w:t>
            </w:r>
          </w:p>
        </w:tc>
        <w:tc>
          <w:tcPr>
            <w:tcW w:w="326" w:type="dxa"/>
            <w:tcBorders/>
            <w:shd w:fill="auto" w:val="clear"/>
            <w:vAlign w:val="center"/>
          </w:tcPr>
          <w:p>
            <w:pPr>
              <w:pStyle w:val="TableContents"/>
              <w:spacing w:before="0" w:after="0"/>
              <w:ind w:left="0" w:right="0" w:hanging="0"/>
              <w:rPr/>
            </w:pPr>
            <w:r>
              <w:rPr/>
              <w:t>​</w:t>
            </w:r>
          </w:p>
        </w:tc>
        <w:tc>
          <w:tcPr>
            <w:tcW w:w="1396"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UNEXERCISABLE</w:t>
            </w:r>
          </w:p>
        </w:tc>
        <w:tc>
          <w:tcPr>
            <w:tcW w:w="326" w:type="dxa"/>
            <w:tcBorders/>
            <w:shd w:fill="auto" w:val="clear"/>
            <w:vAlign w:val="center"/>
          </w:tcPr>
          <w:p>
            <w:pPr>
              <w:pStyle w:val="TableContents"/>
              <w:spacing w:before="0" w:after="0"/>
              <w:ind w:left="0" w:right="0" w:hanging="0"/>
              <w:rPr/>
            </w:pPr>
            <w:r>
              <w:rPr/>
              <w:t>​</w:t>
            </w:r>
          </w:p>
        </w:tc>
        <w:tc>
          <w:tcPr>
            <w:tcW w:w="896"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SHARE</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EXPIRATION</w:t>
            </w:r>
          </w:p>
        </w:tc>
        <w:tc>
          <w:tcPr>
            <w:tcW w:w="326" w:type="dxa"/>
            <w:tcBorders/>
            <w:shd w:fill="auto" w:val="clear"/>
            <w:vAlign w:val="center"/>
          </w:tcPr>
          <w:p>
            <w:pPr>
              <w:pStyle w:val="TableContents"/>
              <w:spacing w:before="0" w:after="0"/>
              <w:ind w:left="0" w:right="0" w:hanging="0"/>
              <w:rPr/>
            </w:pPr>
            <w:r>
              <w:rPr/>
              <w:t>​</w:t>
            </w:r>
          </w:p>
        </w:tc>
        <w:tc>
          <w:tcPr>
            <w:tcW w:w="812"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VESTED</w:t>
            </w:r>
          </w:p>
        </w:tc>
        <w:tc>
          <w:tcPr>
            <w:tcW w:w="326" w:type="dxa"/>
            <w:tcBorders/>
            <w:shd w:fill="auto" w:val="clear"/>
            <w:vAlign w:val="center"/>
          </w:tcPr>
          <w:p>
            <w:pPr>
              <w:pStyle w:val="TableContents"/>
              <w:spacing w:before="0" w:after="0"/>
              <w:ind w:left="0" w:right="0" w:hanging="0"/>
              <w:rPr/>
            </w:pPr>
            <w:r>
              <w:rPr/>
              <w:t>​</w:t>
            </w:r>
          </w:p>
        </w:tc>
        <w:tc>
          <w:tcPr>
            <w:tcW w:w="862" w:type="dxa"/>
            <w:tcBorders/>
            <w:shd w:fill="auto" w:val="cle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VESTED</w:t>
            </w:r>
          </w:p>
        </w:tc>
      </w:tr>
      <w:tr>
        <w:trPr/>
        <w:tc>
          <w:tcPr>
            <w:tcW w:w="1043"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b/>
                <w:sz w:val="15"/>
              </w:rPr>
            </w:pPr>
            <w:r>
              <w:rPr>
                <w:rFonts w:ascii="Arial;Helvetica;sans-serif" w:hAnsi="Arial;Helvetica;sans-serif"/>
                <w:b/>
                <w:sz w:val="15"/>
              </w:rPr>
              <w:t>Name</w:t>
            </w:r>
          </w:p>
        </w:tc>
        <w:tc>
          <w:tcPr>
            <w:tcW w:w="326" w:type="dxa"/>
            <w:tcBorders/>
            <w:shd w:fill="auto" w:val="clear"/>
            <w:vAlign w:val="center"/>
          </w:tcPr>
          <w:p>
            <w:pPr>
              <w:pStyle w:val="TableContents"/>
              <w:spacing w:before="0" w:after="0"/>
              <w:ind w:left="0" w:right="0" w:hanging="0"/>
              <w:rPr/>
            </w:pPr>
            <w:r>
              <w:rPr/>
              <w:t>​</w:t>
            </w:r>
          </w:p>
        </w:tc>
        <w:tc>
          <w:tcPr>
            <w:tcW w:w="67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DATE</w:t>
            </w:r>
          </w:p>
        </w:tc>
        <w:tc>
          <w:tcPr>
            <w:tcW w:w="326" w:type="dxa"/>
            <w:tcBorders/>
            <w:shd w:fill="auto" w:val="clear"/>
            <w:vAlign w:val="center"/>
          </w:tcPr>
          <w:p>
            <w:pPr>
              <w:pStyle w:val="TableContents"/>
              <w:spacing w:before="0" w:after="0"/>
              <w:ind w:left="0" w:right="0" w:hanging="0"/>
              <w:rPr/>
            </w:pPr>
            <w:r>
              <w:rPr/>
              <w:t>​</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w:t>
            </w:r>
          </w:p>
        </w:tc>
        <w:tc>
          <w:tcPr>
            <w:tcW w:w="326" w:type="dxa"/>
            <w:tcBorders/>
            <w:shd w:fill="auto" w:val="clear"/>
            <w:vAlign w:val="center"/>
          </w:tcPr>
          <w:p>
            <w:pPr>
              <w:pStyle w:val="TableContents"/>
              <w:spacing w:before="0" w:after="0"/>
              <w:ind w:left="0" w:right="0" w:hanging="0"/>
              <w:rPr/>
            </w:pPr>
            <w:r>
              <w:rPr/>
              <w:t>​</w:t>
            </w:r>
          </w:p>
        </w:tc>
        <w:tc>
          <w:tcPr>
            <w:tcW w:w="13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w:t>
            </w:r>
          </w:p>
        </w:tc>
        <w:tc>
          <w:tcPr>
            <w:tcW w:w="326" w:type="dxa"/>
            <w:tcBorders/>
            <w:shd w:fill="auto" w:val="clear"/>
            <w:vAlign w:val="center"/>
          </w:tcPr>
          <w:p>
            <w:pPr>
              <w:pStyle w:val="TableContents"/>
              <w:spacing w:before="0" w:after="0"/>
              <w:ind w:left="0" w:right="0" w:hanging="0"/>
              <w:rPr/>
            </w:pPr>
            <w:r>
              <w:rPr/>
              <w:t>​</w:t>
            </w:r>
          </w:p>
        </w:tc>
        <w:tc>
          <w:tcPr>
            <w:tcW w:w="8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14"/>
              </w:rPr>
            </w:pPr>
            <w:r>
              <w:rPr>
                <w:rFonts w:ascii="Arial;Helvetica;sans-serif" w:hAnsi="Arial;Helvetica;sans-serif"/>
                <w:b/>
                <w:sz w:val="15"/>
              </w:rPr>
              <w:t>($)</w:t>
            </w:r>
            <w:r>
              <w:rPr>
                <w:rFonts w:ascii="Arial;Helvetica;sans-serif" w:hAnsi="Arial;Helvetica;sans-serif"/>
                <w:b/>
                <w:sz w:val="11"/>
              </w:rPr>
              <w:t>(2)</w:t>
            </w:r>
          </w:p>
        </w:tc>
        <w:tc>
          <w:tcPr>
            <w:tcW w:w="326" w:type="dxa"/>
            <w:tcBorders/>
            <w:shd w:fill="auto" w:val="cle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DATE</w:t>
            </w:r>
          </w:p>
        </w:tc>
        <w:tc>
          <w:tcPr>
            <w:tcW w:w="326" w:type="dxa"/>
            <w:tcBorders/>
            <w:shd w:fill="auto" w:val="clear"/>
            <w:vAlign w:val="center"/>
          </w:tcPr>
          <w:p>
            <w:pPr>
              <w:pStyle w:val="TableContents"/>
              <w:spacing w:before="0" w:after="0"/>
              <w:ind w:left="0" w:right="0" w:hanging="0"/>
              <w:rPr/>
            </w:pPr>
            <w:r>
              <w:rPr/>
              <w:t>​</w:t>
            </w:r>
          </w:p>
        </w:tc>
        <w:tc>
          <w:tcPr>
            <w:tcW w:w="81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5"/>
              </w:rPr>
            </w:pPr>
            <w:r>
              <w:rPr>
                <w:rFonts w:ascii="Arial;Helvetica;sans-serif" w:hAnsi="Arial;Helvetica;sans-serif"/>
                <w:b/>
                <w:sz w:val="15"/>
              </w:rPr>
              <w:t>(#)</w:t>
            </w:r>
          </w:p>
        </w:tc>
        <w:tc>
          <w:tcPr>
            <w:tcW w:w="326" w:type="dxa"/>
            <w:tcBorders/>
            <w:shd w:fill="auto" w:val="clear"/>
            <w:vAlign w:val="center"/>
          </w:tcPr>
          <w:p>
            <w:pPr>
              <w:pStyle w:val="TableContents"/>
              <w:spacing w:before="0" w:after="0"/>
              <w:ind w:left="0" w:right="0" w:hanging="0"/>
              <w:rPr/>
            </w:pPr>
            <w:r>
              <w:rPr/>
              <w:t>​</w:t>
            </w:r>
          </w:p>
        </w:tc>
        <w:tc>
          <w:tcPr>
            <w:tcW w:w="86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14"/>
              </w:rPr>
            </w:pPr>
            <w:r>
              <w:rPr>
                <w:rFonts w:ascii="Arial;Helvetica;sans-serif" w:hAnsi="Arial;Helvetica;sans-serif"/>
                <w:b/>
                <w:sz w:val="15"/>
              </w:rPr>
              <w:t>($)</w:t>
            </w:r>
            <w:r>
              <w:rPr>
                <w:rFonts w:ascii="Arial;Helvetica;sans-serif" w:hAnsi="Arial;Helvetica;sans-serif"/>
                <w:b/>
                <w:sz w:val="11"/>
              </w:rPr>
              <w:t>(3)</w:t>
            </w:r>
          </w:p>
        </w:tc>
      </w:tr>
      <w:tr>
        <w:trPr/>
        <w:tc>
          <w:tcPr>
            <w:tcW w:w="1043" w:type="dxa"/>
            <w:tcBorders/>
            <w:shd w:fill="CCEEFF" w:val="clear"/>
            <w:vAlign w:val="center"/>
          </w:tcPr>
          <w:p>
            <w:pPr>
              <w:pStyle w:val="TableContents"/>
              <w:spacing w:before="0" w:after="0"/>
              <w:ind w:left="0" w:right="0" w:hanging="0"/>
              <w:rPr>
                <w:rFonts w:ascii="Arial;Helvetica;sans-serif" w:hAnsi="Arial;Helvetica;sans-serif"/>
                <w:sz w:val="15"/>
              </w:rPr>
            </w:pPr>
            <w:r>
              <w:rPr>
                <w:rFonts w:ascii="Arial;Helvetica;sans-serif" w:hAnsi="Arial;Helvetica;sans-serif"/>
                <w:sz w:val="15"/>
              </w:rPr>
              <w:t>Raymond Stevens, Ph.D.</w:t>
            </w:r>
          </w:p>
        </w:tc>
        <w:tc>
          <w:tcPr>
            <w:tcW w:w="326" w:type="dxa"/>
            <w:tcBorders/>
            <w:shd w:fill="CCEEFF" w:val="clear"/>
            <w:vAlign w:val="center"/>
          </w:tcPr>
          <w:p>
            <w:pPr>
              <w:pStyle w:val="TableContents"/>
              <w:spacing w:before="0" w:after="0"/>
              <w:ind w:left="0" w:right="0" w:hanging="0"/>
              <w:rPr/>
            </w:pPr>
            <w:r>
              <w:rPr/>
              <w:t> </w:t>
            </w:r>
          </w:p>
        </w:tc>
        <w:tc>
          <w:tcPr>
            <w:tcW w:w="677" w:type="dxa"/>
            <w:tcBorders/>
            <w:shd w:fill="CCEEFF" w:val="clear"/>
            <w:vAlign w:val="center"/>
          </w:tcPr>
          <w:p>
            <w:pPr>
              <w:pStyle w:val="TableContents"/>
              <w:spacing w:before="0" w:after="0"/>
              <w:ind w:left="0" w:right="0" w:hanging="0"/>
              <w:jc w:val="center"/>
              <w:rPr>
                <w:rFonts w:ascii="Arial;Helvetica;sans-serif" w:hAnsi="Arial;Helvetica;sans-serif"/>
                <w:sz w:val="15"/>
              </w:rPr>
            </w:pPr>
            <w:r>
              <w:rPr>
                <w:rFonts w:ascii="Arial;Helvetica;sans-serif" w:hAnsi="Arial;Helvetica;sans-serif"/>
                <w:sz w:val="15"/>
              </w:rPr>
              <w:t>4/29/2019</w:t>
            </w:r>
          </w:p>
        </w:tc>
        <w:tc>
          <w:tcPr>
            <w:tcW w:w="326" w:type="dxa"/>
            <w:tcBorders/>
            <w:shd w:fill="CCEEFF" w:val="clear"/>
            <w:vAlign w:val="center"/>
          </w:tcPr>
          <w:p>
            <w:pPr>
              <w:pStyle w:val="TableContents"/>
              <w:spacing w:before="0" w:after="0"/>
              <w:ind w:left="0" w:right="0" w:hanging="0"/>
              <w:rPr>
                <w:rFonts w:ascii="Arial;Helvetica;sans-serif" w:hAnsi="Arial;Helvetica;sans-serif"/>
                <w:sz w:val="14"/>
              </w:rPr>
            </w:pPr>
            <w:r>
              <w:rPr>
                <w:rFonts w:ascii="Arial;Helvetica;sans-serif" w:hAnsi="Arial;Helvetica;sans-serif"/>
                <w:sz w:val="11"/>
              </w:rPr>
              <w:t>(4)</w:t>
            </w:r>
            <w:r>
              <w:rPr>
                <w:rFonts w:ascii="Arial;Helvetica;sans-serif" w:hAnsi="Arial;Helvetica;sans-serif"/>
                <w:sz w:val="14"/>
              </w:rPr>
              <w:t>​</w:t>
            </w:r>
          </w:p>
        </w:tc>
        <w:tc>
          <w:tcPr>
            <w:tcW w:w="12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3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812" w:type="dxa"/>
            <w:tcBorders/>
            <w:shd w:fill="CCEEFF" w:val="clear"/>
            <w:vAlign w:val="center"/>
          </w:tcPr>
          <w:p>
            <w:pPr>
              <w:pStyle w:val="TableContents"/>
              <w:spacing w:before="0" w:after="0"/>
              <w:ind w:left="0" w:right="0" w:hanging="0"/>
              <w:jc w:val="right"/>
              <w:rPr>
                <w:rFonts w:ascii="Arial;Helvetica;sans-serif" w:hAnsi="Arial;Helvetica;sans-serif"/>
                <w:sz w:val="15"/>
              </w:rPr>
            </w:pPr>
            <w:r>
              <w:rPr>
                <w:rFonts w:ascii="Arial;Helvetica;sans-serif" w:hAnsi="Arial;Helvetica;sans-serif"/>
                <w:sz w:val="15"/>
              </w:rPr>
              <w:t>163,641</w:t>
            </w:r>
          </w:p>
        </w:tc>
        <w:tc>
          <w:tcPr>
            <w:tcW w:w="326" w:type="dxa"/>
            <w:tcBorders/>
            <w:shd w:fill="CCEEFF" w:val="clear"/>
            <w:vAlign w:val="center"/>
          </w:tcPr>
          <w:p>
            <w:pPr>
              <w:pStyle w:val="TableContents"/>
              <w:spacing w:before="0" w:after="0"/>
              <w:ind w:left="0" w:right="0" w:hanging="0"/>
              <w:rPr/>
            </w:pPr>
            <w:r>
              <w:rPr/>
              <w:t> </w:t>
            </w:r>
          </w:p>
        </w:tc>
        <w:tc>
          <w:tcPr>
            <w:tcW w:w="862" w:type="dxa"/>
            <w:tcBorders/>
            <w:shd w:fill="CCEEFF" w:val="clear"/>
            <w:vAlign w:val="center"/>
          </w:tcPr>
          <w:p>
            <w:pPr>
              <w:pStyle w:val="TableContents"/>
              <w:spacing w:before="0" w:after="0"/>
              <w:ind w:left="0" w:right="0" w:hanging="0"/>
              <w:jc w:val="right"/>
              <w:rPr>
                <w:rFonts w:ascii="Arial;Helvetica;sans-serif" w:hAnsi="Arial;Helvetica;sans-serif"/>
                <w:sz w:val="15"/>
              </w:rPr>
            </w:pPr>
            <w:r>
              <w:rPr>
                <w:rFonts w:ascii="Arial;Helvetica;sans-serif" w:hAnsi="Arial;Helvetica;sans-serif"/>
                <w:sz w:val="15"/>
              </w:rPr>
              <w:t>818,205</w:t>
            </w:r>
          </w:p>
        </w:tc>
      </w:tr>
      <w:tr>
        <w:trPr/>
        <w:tc>
          <w:tcPr>
            <w:tcW w:w="104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677" w:type="dxa"/>
            <w:tcBorders/>
            <w:shd w:fill="auto" w:val="clear"/>
            <w:vAlign w:val="center"/>
          </w:tcPr>
          <w:p>
            <w:pPr>
              <w:pStyle w:val="TableContents"/>
              <w:spacing w:before="0" w:after="0"/>
              <w:ind w:left="0" w:right="0" w:hanging="0"/>
              <w:jc w:val="center"/>
              <w:rPr>
                <w:rFonts w:ascii="Arial;Helvetica;sans-serif" w:hAnsi="Arial;Helvetica;sans-serif"/>
                <w:sz w:val="15"/>
              </w:rPr>
            </w:pPr>
            <w:r>
              <w:rPr>
                <w:rFonts w:ascii="Arial;Helvetica;sans-serif" w:hAnsi="Arial;Helvetica;sans-serif"/>
                <w:sz w:val="15"/>
              </w:rPr>
              <w:t>1/22/2020</w:t>
            </w:r>
          </w:p>
        </w:tc>
        <w:tc>
          <w:tcPr>
            <w:tcW w:w="326" w:type="dxa"/>
            <w:tcBorders/>
            <w:shd w:fill="auto" w:val="clear"/>
            <w:vAlign w:val="center"/>
          </w:tcPr>
          <w:p>
            <w:pPr>
              <w:pStyle w:val="TableContents"/>
              <w:spacing w:before="0" w:after="0"/>
              <w:ind w:left="0" w:right="0" w:hanging="0"/>
              <w:rPr>
                <w:rFonts w:ascii="Arial;Helvetica;sans-serif" w:hAnsi="Arial;Helvetica;sans-serif"/>
                <w:sz w:val="14"/>
              </w:rPr>
            </w:pPr>
            <w:r>
              <w:rPr>
                <w:rFonts w:ascii="Arial;Helvetica;sans-serif" w:hAnsi="Arial;Helvetica;sans-serif"/>
                <w:sz w:val="11"/>
              </w:rPr>
              <w:t>(5)</w:t>
            </w:r>
            <w:r>
              <w:rPr>
                <w:rFonts w:ascii="Arial;Helvetica;sans-serif" w:hAnsi="Arial;Helvetica;sans-serif"/>
                <w:sz w:val="14"/>
              </w:rPr>
              <w:t>​</w:t>
            </w:r>
          </w:p>
        </w:tc>
        <w:tc>
          <w:tcPr>
            <w:tcW w:w="1201" w:type="dxa"/>
            <w:tcBorders/>
            <w:shd w:fill="auto" w:val="clear"/>
            <w:vAlign w:val="center"/>
          </w:tcPr>
          <w:p>
            <w:pPr>
              <w:pStyle w:val="TableContents"/>
              <w:spacing w:before="0" w:after="0"/>
              <w:ind w:left="0" w:right="0" w:hanging="0"/>
              <w:jc w:val="right"/>
              <w:rPr>
                <w:rFonts w:ascii="Arial;Helvetica;sans-serif" w:hAnsi="Arial;Helvetica;sans-serif"/>
                <w:sz w:val="15"/>
              </w:rPr>
            </w:pPr>
            <w:r>
              <w:rPr>
                <w:rFonts w:ascii="Arial;Helvetica;sans-serif" w:hAnsi="Arial;Helvetica;sans-serif"/>
                <w:sz w:val="15"/>
              </w:rPr>
              <w:t>100,000</w:t>
            </w:r>
          </w:p>
        </w:tc>
        <w:tc>
          <w:tcPr>
            <w:tcW w:w="326" w:type="dxa"/>
            <w:tcBorders/>
            <w:shd w:fill="auto" w:val="clear"/>
            <w:vAlign w:val="center"/>
          </w:tcPr>
          <w:p>
            <w:pPr>
              <w:pStyle w:val="TableContents"/>
              <w:spacing w:before="0" w:after="0"/>
              <w:ind w:left="0" w:right="0" w:hanging="0"/>
              <w:rPr/>
            </w:pPr>
            <w:r>
              <w:rPr/>
              <w:t> </w:t>
            </w:r>
          </w:p>
        </w:tc>
        <w:tc>
          <w:tcPr>
            <w:tcW w:w="13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96" w:type="dxa"/>
            <w:tcBorders/>
            <w:shd w:fill="auto" w:val="clear"/>
            <w:vAlign w:val="center"/>
          </w:tcPr>
          <w:p>
            <w:pPr>
              <w:pStyle w:val="TableContents"/>
              <w:spacing w:before="0" w:after="0"/>
              <w:ind w:left="0" w:right="0" w:hanging="0"/>
              <w:jc w:val="right"/>
              <w:rPr>
                <w:rFonts w:ascii="Arial;Helvetica;sans-serif" w:hAnsi="Arial;Helvetica;sans-serif"/>
                <w:sz w:val="15"/>
              </w:rPr>
            </w:pPr>
            <w:r>
              <w:rPr>
                <w:rFonts w:ascii="Arial;Helvetica;sans-serif" w:hAnsi="Arial;Helvetica;sans-serif"/>
                <w:sz w:val="15"/>
              </w:rPr>
              <w:t>0.39</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rFonts w:ascii="Arial;Helvetica;sans-serif" w:hAnsi="Arial;Helvetica;sans-serif"/>
                <w:sz w:val="15"/>
              </w:rPr>
            </w:pPr>
            <w:r>
              <w:rPr>
                <w:rFonts w:ascii="Arial;Helvetica;sans-serif" w:hAnsi="Arial;Helvetica;sans-serif"/>
                <w:sz w:val="15"/>
              </w:rPr>
              <w:t>1/21/2030</w:t>
            </w:r>
          </w:p>
        </w:tc>
        <w:tc>
          <w:tcPr>
            <w:tcW w:w="326" w:type="dxa"/>
            <w:tcBorders/>
            <w:shd w:fill="auto" w:val="clear"/>
            <w:vAlign w:val="center"/>
          </w:tcPr>
          <w:p>
            <w:pPr>
              <w:pStyle w:val="TableContents"/>
              <w:spacing w:before="0" w:after="0"/>
              <w:ind w:left="0" w:right="0" w:hanging="0"/>
              <w:rPr/>
            </w:pPr>
            <w:r>
              <w:rPr/>
              <w:t>​</w:t>
            </w:r>
          </w:p>
        </w:tc>
        <w:tc>
          <w:tcPr>
            <w:tcW w:w="81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62" w:type="dxa"/>
            <w:tcBorders/>
            <w:shd w:fill="auto" w:val="clear"/>
            <w:vAlign w:val="center"/>
          </w:tcPr>
          <w:p>
            <w:pPr>
              <w:pStyle w:val="TableContents"/>
              <w:spacing w:before="0" w:after="0"/>
              <w:ind w:left="0" w:right="0" w:hanging="0"/>
              <w:jc w:val="right"/>
              <w:rPr/>
            </w:pPr>
            <w:r>
              <w:rPr/>
              <w:t>—</w:t>
            </w:r>
          </w:p>
        </w:tc>
      </w:tr>
      <w:tr>
        <w:trPr/>
        <w:tc>
          <w:tcPr>
            <w:tcW w:w="1043"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677" w:type="dxa"/>
            <w:tcBorders/>
            <w:shd w:fill="CCEEFF" w:val="clear"/>
            <w:vAlign w:val="center"/>
          </w:tcPr>
          <w:p>
            <w:pPr>
              <w:pStyle w:val="TableContents"/>
              <w:spacing w:before="0" w:after="0"/>
              <w:ind w:left="0" w:right="0" w:hanging="0"/>
              <w:jc w:val="center"/>
              <w:rPr>
                <w:rFonts w:ascii="Arial;Helvetica;sans-serif" w:hAnsi="Arial;Helvetica;sans-serif"/>
                <w:sz w:val="15"/>
              </w:rPr>
            </w:pPr>
            <w:r>
              <w:rPr>
                <w:rFonts w:ascii="Arial;Helvetica;sans-serif" w:hAnsi="Arial;Helvetica;sans-serif"/>
                <w:sz w:val="15"/>
              </w:rPr>
              <w:t>1/22/2021</w:t>
            </w:r>
          </w:p>
        </w:tc>
        <w:tc>
          <w:tcPr>
            <w:tcW w:w="326" w:type="dxa"/>
            <w:tcBorders/>
            <w:shd w:fill="CCEEFF" w:val="clear"/>
            <w:vAlign w:val="center"/>
          </w:tcPr>
          <w:p>
            <w:pPr>
              <w:pStyle w:val="TableContents"/>
              <w:spacing w:before="0" w:after="0"/>
              <w:ind w:left="0" w:right="0" w:hanging="0"/>
              <w:rPr>
                <w:rFonts w:ascii="Arial;Helvetica;sans-serif" w:hAnsi="Arial;Helvetica;sans-serif"/>
                <w:sz w:val="14"/>
              </w:rPr>
            </w:pPr>
            <w:r>
              <w:rPr>
                <w:rFonts w:ascii="Arial;Helvetica;sans-serif" w:hAnsi="Arial;Helvetica;sans-serif"/>
                <w:sz w:val="11"/>
              </w:rPr>
              <w:t>(6)</w:t>
            </w:r>
            <w:r>
              <w:rPr>
                <w:rFonts w:ascii="Arial;Helvetica;sans-serif" w:hAnsi="Arial;Helvetica;sans-serif"/>
                <w:sz w:val="14"/>
              </w:rPr>
              <w:t>​</w:t>
            </w:r>
          </w:p>
        </w:tc>
        <w:tc>
          <w:tcPr>
            <w:tcW w:w="1201" w:type="dxa"/>
            <w:tcBorders/>
            <w:shd w:fill="CCEEFF" w:val="clear"/>
            <w:vAlign w:val="center"/>
          </w:tcPr>
          <w:p>
            <w:pPr>
              <w:pStyle w:val="TableContents"/>
              <w:spacing w:before="0" w:after="0"/>
              <w:ind w:left="0" w:right="0" w:hanging="0"/>
              <w:jc w:val="right"/>
              <w:rPr>
                <w:rFonts w:ascii="Arial;Helvetica;sans-serif" w:hAnsi="Arial;Helvetica;sans-serif"/>
                <w:sz w:val="15"/>
              </w:rPr>
            </w:pPr>
            <w:r>
              <w:rPr>
                <w:rFonts w:ascii="Arial;Helvetica;sans-serif" w:hAnsi="Arial;Helvetica;sans-serif"/>
                <w:sz w:val="15"/>
              </w:rPr>
              <w:t>258,159</w:t>
            </w:r>
          </w:p>
        </w:tc>
        <w:tc>
          <w:tcPr>
            <w:tcW w:w="326" w:type="dxa"/>
            <w:tcBorders/>
            <w:shd w:fill="CCEEFF" w:val="clear"/>
            <w:vAlign w:val="center"/>
          </w:tcPr>
          <w:p>
            <w:pPr>
              <w:pStyle w:val="TableContents"/>
              <w:spacing w:before="0" w:after="0"/>
              <w:ind w:left="0" w:right="0" w:hanging="0"/>
              <w:rPr/>
            </w:pPr>
            <w:r>
              <w:rPr/>
              <w:t> </w:t>
            </w:r>
          </w:p>
        </w:tc>
        <w:tc>
          <w:tcPr>
            <w:tcW w:w="1396" w:type="dxa"/>
            <w:tcBorders/>
            <w:shd w:fill="CCEEFF" w:val="clear"/>
            <w:vAlign w:val="center"/>
          </w:tcPr>
          <w:p>
            <w:pPr>
              <w:pStyle w:val="TableContents"/>
              <w:spacing w:before="0" w:after="0"/>
              <w:ind w:left="0" w:right="0" w:hanging="0"/>
              <w:jc w:val="right"/>
              <w:rPr>
                <w:rFonts w:ascii="Arial;Helvetica;sans-serif" w:hAnsi="Arial;Helvetica;sans-serif"/>
                <w:sz w:val="15"/>
              </w:rPr>
            </w:pPr>
            <w:r>
              <w:rPr>
                <w:rFonts w:ascii="Arial;Helvetica;sans-serif" w:hAnsi="Arial;Helvetica;sans-serif"/>
                <w:sz w:val="15"/>
              </w:rPr>
              <w:t>280,608</w:t>
            </w:r>
          </w:p>
        </w:tc>
        <w:tc>
          <w:tcPr>
            <w:tcW w:w="326" w:type="dxa"/>
            <w:tcBorders/>
            <w:shd w:fill="CCEEFF" w:val="clear"/>
            <w:vAlign w:val="center"/>
          </w:tcPr>
          <w:p>
            <w:pPr>
              <w:pStyle w:val="TableContents"/>
              <w:spacing w:before="0" w:after="0"/>
              <w:ind w:left="0" w:right="0" w:hanging="0"/>
              <w:rPr/>
            </w:pPr>
            <w:r>
              <w:rPr/>
              <w:t> </w:t>
            </w:r>
          </w:p>
        </w:tc>
        <w:tc>
          <w:tcPr>
            <w:tcW w:w="896" w:type="dxa"/>
            <w:tcBorders/>
            <w:shd w:fill="CCEEFF" w:val="clear"/>
            <w:vAlign w:val="center"/>
          </w:tcPr>
          <w:p>
            <w:pPr>
              <w:pStyle w:val="TableContents"/>
              <w:spacing w:before="0" w:after="0"/>
              <w:ind w:left="0" w:right="0" w:hanging="0"/>
              <w:jc w:val="right"/>
              <w:rPr>
                <w:rFonts w:ascii="Arial;Helvetica;sans-serif" w:hAnsi="Arial;Helvetica;sans-serif"/>
                <w:sz w:val="15"/>
              </w:rPr>
            </w:pPr>
            <w:r>
              <w:rPr>
                <w:rFonts w:ascii="Arial;Helvetica;sans-serif" w:hAnsi="Arial;Helvetica;sans-serif"/>
                <w:sz w:val="15"/>
              </w:rPr>
              <w:t>0.48</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center"/>
              <w:rPr>
                <w:rFonts w:ascii="Arial;Helvetica;sans-serif" w:hAnsi="Arial;Helvetica;sans-serif"/>
                <w:sz w:val="15"/>
              </w:rPr>
            </w:pPr>
            <w:r>
              <w:rPr>
                <w:rFonts w:ascii="Arial;Helvetica;sans-serif" w:hAnsi="Arial;Helvetica;sans-serif"/>
                <w:sz w:val="15"/>
              </w:rPr>
              <w:t>1/21/2031</w:t>
            </w:r>
          </w:p>
        </w:tc>
        <w:tc>
          <w:tcPr>
            <w:tcW w:w="326" w:type="dxa"/>
            <w:tcBorders/>
            <w:shd w:fill="CCEEFF" w:val="clear"/>
            <w:vAlign w:val="center"/>
          </w:tcPr>
          <w:p>
            <w:pPr>
              <w:pStyle w:val="TableContents"/>
              <w:spacing w:before="0" w:after="0"/>
              <w:ind w:left="0" w:right="0" w:hanging="0"/>
              <w:rPr/>
            </w:pPr>
            <w:r>
              <w:rPr/>
              <w:t>​</w:t>
            </w:r>
          </w:p>
        </w:tc>
        <w:tc>
          <w:tcPr>
            <w:tcW w:w="81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62" w:type="dxa"/>
            <w:tcBorders/>
            <w:shd w:fill="CCEEFF" w:val="clear"/>
            <w:vAlign w:val="center"/>
          </w:tcPr>
          <w:p>
            <w:pPr>
              <w:pStyle w:val="TableContents"/>
              <w:spacing w:before="0" w:after="0"/>
              <w:ind w:left="0" w:right="0" w:hanging="0"/>
              <w:jc w:val="right"/>
              <w:rPr/>
            </w:pPr>
            <w:r>
              <w:rPr/>
              <w:t>—</w:t>
            </w:r>
          </w:p>
        </w:tc>
      </w:tr>
      <w:tr>
        <w:trPr/>
        <w:tc>
          <w:tcPr>
            <w:tcW w:w="1043" w:type="dxa"/>
            <w:tcBorders/>
            <w:shd w:fill="auto" w:val="clear"/>
            <w:vAlign w:val="center"/>
          </w:tcPr>
          <w:p>
            <w:pPr>
              <w:pStyle w:val="TableContents"/>
              <w:spacing w:before="0" w:after="0"/>
              <w:ind w:left="0" w:right="0" w:hanging="0"/>
              <w:rPr>
                <w:rFonts w:ascii="Arial;Helvetica;sans-serif" w:hAnsi="Arial;Helvetica;sans-serif"/>
                <w:sz w:val="15"/>
              </w:rPr>
            </w:pPr>
            <w:r>
              <w:rPr>
                <w:rFonts w:ascii="Arial;Helvetica;sans-serif" w:hAnsi="Arial;Helvetica;sans-serif"/>
                <w:sz w:val="15"/>
              </w:rPr>
              <w:t>Mark Bach, M.D., Ph.D.</w:t>
            </w:r>
          </w:p>
        </w:tc>
        <w:tc>
          <w:tcPr>
            <w:tcW w:w="326" w:type="dxa"/>
            <w:tcBorders/>
            <w:shd w:fill="auto" w:val="clear"/>
            <w:vAlign w:val="center"/>
          </w:tcPr>
          <w:p>
            <w:pPr>
              <w:pStyle w:val="TableContents"/>
              <w:spacing w:before="0" w:after="0"/>
              <w:ind w:left="0" w:right="0" w:hanging="0"/>
              <w:rPr/>
            </w:pPr>
            <w:r>
              <w:rPr/>
              <w:t> </w:t>
            </w:r>
          </w:p>
        </w:tc>
        <w:tc>
          <w:tcPr>
            <w:tcW w:w="677" w:type="dxa"/>
            <w:tcBorders/>
            <w:shd w:fill="auto" w:val="clear"/>
            <w:vAlign w:val="center"/>
          </w:tcPr>
          <w:p>
            <w:pPr>
              <w:pStyle w:val="TableContents"/>
              <w:spacing w:before="0" w:after="0"/>
              <w:ind w:left="0" w:right="0" w:hanging="0"/>
              <w:jc w:val="center"/>
              <w:rPr>
                <w:rFonts w:ascii="Arial;Helvetica;sans-serif" w:hAnsi="Arial;Helvetica;sans-serif"/>
                <w:sz w:val="15"/>
              </w:rPr>
            </w:pPr>
            <w:r>
              <w:rPr>
                <w:rFonts w:ascii="Arial;Helvetica;sans-serif" w:hAnsi="Arial;Helvetica;sans-serif"/>
                <w:sz w:val="15"/>
              </w:rPr>
              <w:t>9/23/2021</w:t>
            </w:r>
          </w:p>
        </w:tc>
        <w:tc>
          <w:tcPr>
            <w:tcW w:w="326" w:type="dxa"/>
            <w:tcBorders/>
            <w:shd w:fill="auto" w:val="clear"/>
            <w:vAlign w:val="center"/>
          </w:tcPr>
          <w:p>
            <w:pPr>
              <w:pStyle w:val="TableContents"/>
              <w:spacing w:before="0" w:after="0"/>
              <w:ind w:left="0" w:right="0" w:hanging="0"/>
              <w:rPr>
                <w:rFonts w:ascii="Arial;Helvetica;sans-serif" w:hAnsi="Arial;Helvetica;sans-serif"/>
                <w:sz w:val="14"/>
              </w:rPr>
            </w:pPr>
            <w:r>
              <w:rPr>
                <w:rFonts w:ascii="Arial;Helvetica;sans-serif" w:hAnsi="Arial;Helvetica;sans-serif"/>
                <w:sz w:val="11"/>
              </w:rPr>
              <w:t>(7)</w:t>
            </w:r>
            <w:r>
              <w:rPr>
                <w:rFonts w:ascii="Arial;Helvetica;sans-serif" w:hAnsi="Arial;Helvetica;sans-serif"/>
                <w:sz w:val="14"/>
              </w:rPr>
              <w:t>​</w:t>
            </w:r>
          </w:p>
        </w:tc>
        <w:tc>
          <w:tcPr>
            <w:tcW w:w="1201" w:type="dxa"/>
            <w:tcBorders/>
            <w:shd w:fill="auto" w:val="clear"/>
            <w:vAlign w:val="center"/>
          </w:tcPr>
          <w:p>
            <w:pPr>
              <w:pStyle w:val="TableContents"/>
              <w:spacing w:before="0" w:after="0"/>
              <w:ind w:left="0" w:right="0" w:hanging="0"/>
              <w:jc w:val="right"/>
              <w:rPr>
                <w:rFonts w:ascii="Arial;Helvetica;sans-serif" w:hAnsi="Arial;Helvetica;sans-serif"/>
                <w:sz w:val="15"/>
              </w:rPr>
            </w:pPr>
            <w:r>
              <w:rPr>
                <w:rFonts w:ascii="Arial;Helvetica;sans-serif" w:hAnsi="Arial;Helvetica;sans-serif"/>
                <w:sz w:val="15"/>
              </w:rPr>
              <w:t>218,103</w:t>
            </w:r>
          </w:p>
        </w:tc>
        <w:tc>
          <w:tcPr>
            <w:tcW w:w="326" w:type="dxa"/>
            <w:tcBorders/>
            <w:shd w:fill="auto" w:val="clear"/>
            <w:vAlign w:val="center"/>
          </w:tcPr>
          <w:p>
            <w:pPr>
              <w:pStyle w:val="TableContents"/>
              <w:spacing w:before="0" w:after="0"/>
              <w:ind w:left="0" w:right="0" w:hanging="0"/>
              <w:rPr/>
            </w:pPr>
            <w:r>
              <w:rPr/>
              <w:t> </w:t>
            </w:r>
          </w:p>
        </w:tc>
        <w:tc>
          <w:tcPr>
            <w:tcW w:w="1396" w:type="dxa"/>
            <w:tcBorders/>
            <w:shd w:fill="auto" w:val="clear"/>
            <w:vAlign w:val="center"/>
          </w:tcPr>
          <w:p>
            <w:pPr>
              <w:pStyle w:val="TableContents"/>
              <w:spacing w:before="0" w:after="0"/>
              <w:ind w:left="0" w:right="0" w:hanging="0"/>
              <w:jc w:val="right"/>
              <w:rPr>
                <w:rFonts w:ascii="Arial;Helvetica;sans-serif" w:hAnsi="Arial;Helvetica;sans-serif"/>
                <w:sz w:val="15"/>
              </w:rPr>
            </w:pPr>
            <w:r>
              <w:rPr>
                <w:rFonts w:ascii="Arial;Helvetica;sans-serif" w:hAnsi="Arial;Helvetica;sans-serif"/>
                <w:sz w:val="15"/>
              </w:rPr>
              <w:t>363,507</w:t>
            </w:r>
          </w:p>
        </w:tc>
        <w:tc>
          <w:tcPr>
            <w:tcW w:w="326" w:type="dxa"/>
            <w:tcBorders/>
            <w:shd w:fill="auto" w:val="clear"/>
            <w:vAlign w:val="center"/>
          </w:tcPr>
          <w:p>
            <w:pPr>
              <w:pStyle w:val="TableContents"/>
              <w:spacing w:before="0" w:after="0"/>
              <w:ind w:left="0" w:right="0" w:hanging="0"/>
              <w:rPr/>
            </w:pPr>
            <w:r>
              <w:rPr/>
              <w:t> </w:t>
            </w:r>
          </w:p>
        </w:tc>
        <w:tc>
          <w:tcPr>
            <w:tcW w:w="896" w:type="dxa"/>
            <w:tcBorders/>
            <w:shd w:fill="auto" w:val="clear"/>
            <w:vAlign w:val="center"/>
          </w:tcPr>
          <w:p>
            <w:pPr>
              <w:pStyle w:val="TableContents"/>
              <w:spacing w:before="0" w:after="0"/>
              <w:ind w:left="0" w:right="0" w:hanging="0"/>
              <w:jc w:val="right"/>
              <w:rPr>
                <w:rFonts w:ascii="Arial;Helvetica;sans-serif" w:hAnsi="Arial;Helvetica;sans-serif"/>
                <w:sz w:val="15"/>
              </w:rPr>
            </w:pPr>
            <w:r>
              <w:rPr>
                <w:rFonts w:ascii="Arial;Helvetica;sans-serif" w:hAnsi="Arial;Helvetica;sans-serif"/>
                <w:sz w:val="15"/>
              </w:rPr>
              <w:t>1.21</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rFonts w:ascii="Arial;Helvetica;sans-serif" w:hAnsi="Arial;Helvetica;sans-serif"/>
                <w:sz w:val="15"/>
              </w:rPr>
            </w:pPr>
            <w:r>
              <w:rPr>
                <w:rFonts w:ascii="Arial;Helvetica;sans-serif" w:hAnsi="Arial;Helvetica;sans-serif"/>
                <w:sz w:val="15"/>
              </w:rPr>
              <w:t>9/22/2031</w:t>
            </w:r>
          </w:p>
        </w:tc>
        <w:tc>
          <w:tcPr>
            <w:tcW w:w="326" w:type="dxa"/>
            <w:tcBorders/>
            <w:shd w:fill="auto" w:val="clear"/>
            <w:vAlign w:val="center"/>
          </w:tcPr>
          <w:p>
            <w:pPr>
              <w:pStyle w:val="TableContents"/>
              <w:spacing w:before="0" w:after="0"/>
              <w:ind w:left="0" w:right="0" w:hanging="0"/>
              <w:rPr/>
            </w:pPr>
            <w:r>
              <w:rPr/>
              <w:t>​</w:t>
            </w:r>
          </w:p>
        </w:tc>
        <w:tc>
          <w:tcPr>
            <w:tcW w:w="81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862" w:type="dxa"/>
            <w:tcBorders/>
            <w:shd w:fill="auto" w:val="clear"/>
            <w:vAlign w:val="center"/>
          </w:tcPr>
          <w:p>
            <w:pPr>
              <w:pStyle w:val="TableContents"/>
              <w:spacing w:before="0" w:after="0"/>
              <w:ind w:left="0" w:right="0" w:hanging="0"/>
              <w:jc w:val="right"/>
              <w:rPr/>
            </w:pPr>
            <w:r>
              <w:rPr/>
              <w:t>—</w:t>
            </w:r>
          </w:p>
        </w:tc>
      </w:tr>
      <w:tr>
        <w:trPr/>
        <w:tc>
          <w:tcPr>
            <w:tcW w:w="1043" w:type="dxa"/>
            <w:tcBorders/>
            <w:shd w:fill="CCEEFF" w:val="clear"/>
            <w:vAlign w:val="center"/>
          </w:tcPr>
          <w:p>
            <w:pPr>
              <w:pStyle w:val="TableContents"/>
              <w:spacing w:before="0" w:after="0"/>
              <w:ind w:left="0" w:right="0" w:hanging="0"/>
              <w:rPr>
                <w:rFonts w:ascii="Arial;Helvetica;sans-serif" w:hAnsi="Arial;Helvetica;sans-serif"/>
                <w:sz w:val="15"/>
              </w:rPr>
            </w:pPr>
            <w:r>
              <w:rPr>
                <w:rFonts w:ascii="Arial;Helvetica;sans-serif" w:hAnsi="Arial;Helvetica;sans-serif"/>
                <w:sz w:val="15"/>
              </w:rPr>
              <w:t>Yingli Ma, Ph.D.</w:t>
            </w:r>
          </w:p>
        </w:tc>
        <w:tc>
          <w:tcPr>
            <w:tcW w:w="326" w:type="dxa"/>
            <w:tcBorders/>
            <w:shd w:fill="CCEEFF" w:val="clear"/>
            <w:vAlign w:val="center"/>
          </w:tcPr>
          <w:p>
            <w:pPr>
              <w:pStyle w:val="TableContents"/>
              <w:spacing w:before="0" w:after="0"/>
              <w:ind w:left="0" w:right="0" w:hanging="0"/>
              <w:rPr/>
            </w:pPr>
            <w:r>
              <w:rPr/>
              <w:t> </w:t>
            </w:r>
          </w:p>
        </w:tc>
        <w:tc>
          <w:tcPr>
            <w:tcW w:w="677" w:type="dxa"/>
            <w:tcBorders/>
            <w:shd w:fill="CCEEFF" w:val="clear"/>
            <w:vAlign w:val="center"/>
          </w:tcPr>
          <w:p>
            <w:pPr>
              <w:pStyle w:val="TableContents"/>
              <w:spacing w:before="0" w:after="0"/>
              <w:ind w:left="0" w:right="0" w:hanging="0"/>
              <w:jc w:val="center"/>
              <w:rPr>
                <w:rFonts w:ascii="Arial;Helvetica;sans-serif" w:hAnsi="Arial;Helvetica;sans-serif"/>
                <w:sz w:val="15"/>
              </w:rPr>
            </w:pPr>
            <w:r>
              <w:rPr>
                <w:rFonts w:ascii="Arial;Helvetica;sans-serif" w:hAnsi="Arial;Helvetica;sans-serif"/>
                <w:sz w:val="15"/>
              </w:rPr>
              <w:t>1/20/2022</w:t>
            </w:r>
          </w:p>
        </w:tc>
        <w:tc>
          <w:tcPr>
            <w:tcW w:w="326" w:type="dxa"/>
            <w:tcBorders/>
            <w:shd w:fill="CCEEFF" w:val="clear"/>
            <w:vAlign w:val="center"/>
          </w:tcPr>
          <w:p>
            <w:pPr>
              <w:pStyle w:val="TableContents"/>
              <w:spacing w:before="0" w:after="0"/>
              <w:ind w:left="0" w:right="0" w:hanging="0"/>
              <w:rPr>
                <w:rFonts w:ascii="Arial;Helvetica;sans-serif" w:hAnsi="Arial;Helvetica;sans-serif"/>
                <w:sz w:val="14"/>
              </w:rPr>
            </w:pPr>
            <w:r>
              <w:rPr>
                <w:rFonts w:ascii="Arial;Helvetica;sans-serif" w:hAnsi="Arial;Helvetica;sans-serif"/>
                <w:sz w:val="11"/>
              </w:rPr>
              <w:t>(8)</w:t>
            </w:r>
            <w:r>
              <w:rPr>
                <w:rFonts w:ascii="Arial;Helvetica;sans-serif" w:hAnsi="Arial;Helvetica;sans-serif"/>
                <w:sz w:val="14"/>
              </w:rPr>
              <w:t>​</w:t>
            </w:r>
          </w:p>
        </w:tc>
        <w:tc>
          <w:tcPr>
            <w:tcW w:w="1201" w:type="dxa"/>
            <w:tcBorders/>
            <w:shd w:fill="CCEEFF" w:val="clear"/>
            <w:vAlign w:val="center"/>
          </w:tcPr>
          <w:p>
            <w:pPr>
              <w:pStyle w:val="TableContents"/>
              <w:spacing w:before="0" w:after="0"/>
              <w:ind w:left="0" w:right="0" w:hanging="0"/>
              <w:jc w:val="right"/>
              <w:rPr>
                <w:rFonts w:ascii="Arial;Helvetica;sans-serif" w:hAnsi="Arial;Helvetica;sans-serif"/>
                <w:sz w:val="15"/>
              </w:rPr>
            </w:pPr>
            <w:r>
              <w:rPr>
                <w:rFonts w:ascii="Arial;Helvetica;sans-serif" w:hAnsi="Arial;Helvetica;sans-serif"/>
                <w:sz w:val="15"/>
              </w:rPr>
              <w:t>158,333</w:t>
            </w:r>
          </w:p>
        </w:tc>
        <w:tc>
          <w:tcPr>
            <w:tcW w:w="326" w:type="dxa"/>
            <w:tcBorders/>
            <w:shd w:fill="CCEEFF" w:val="clear"/>
            <w:vAlign w:val="center"/>
          </w:tcPr>
          <w:p>
            <w:pPr>
              <w:pStyle w:val="TableContents"/>
              <w:spacing w:before="0" w:after="0"/>
              <w:ind w:left="0" w:right="0" w:hanging="0"/>
              <w:rPr/>
            </w:pPr>
            <w:r>
              <w:rPr/>
              <w:t> </w:t>
            </w:r>
          </w:p>
        </w:tc>
        <w:tc>
          <w:tcPr>
            <w:tcW w:w="1396" w:type="dxa"/>
            <w:tcBorders/>
            <w:shd w:fill="CCEEFF" w:val="clear"/>
            <w:vAlign w:val="center"/>
          </w:tcPr>
          <w:p>
            <w:pPr>
              <w:pStyle w:val="TableContents"/>
              <w:spacing w:before="0" w:after="0"/>
              <w:ind w:left="0" w:right="0" w:hanging="0"/>
              <w:jc w:val="right"/>
              <w:rPr>
                <w:rFonts w:ascii="Arial;Helvetica;sans-serif" w:hAnsi="Arial;Helvetica;sans-serif"/>
                <w:sz w:val="15"/>
              </w:rPr>
            </w:pPr>
            <w:r>
              <w:rPr>
                <w:rFonts w:ascii="Arial;Helvetica;sans-serif" w:hAnsi="Arial;Helvetica;sans-serif"/>
                <w:sz w:val="15"/>
              </w:rPr>
              <w:t>241,667</w:t>
            </w:r>
          </w:p>
        </w:tc>
        <w:tc>
          <w:tcPr>
            <w:tcW w:w="326" w:type="dxa"/>
            <w:tcBorders/>
            <w:shd w:fill="CCEEFF" w:val="clear"/>
            <w:vAlign w:val="center"/>
          </w:tcPr>
          <w:p>
            <w:pPr>
              <w:pStyle w:val="TableContents"/>
              <w:spacing w:before="0" w:after="0"/>
              <w:ind w:left="0" w:right="0" w:hanging="0"/>
              <w:rPr/>
            </w:pPr>
            <w:r>
              <w:rPr/>
              <w:t> </w:t>
            </w:r>
          </w:p>
        </w:tc>
        <w:tc>
          <w:tcPr>
            <w:tcW w:w="896" w:type="dxa"/>
            <w:tcBorders/>
            <w:shd w:fill="CCEEFF" w:val="clear"/>
            <w:vAlign w:val="center"/>
          </w:tcPr>
          <w:p>
            <w:pPr>
              <w:pStyle w:val="TableContents"/>
              <w:spacing w:before="0" w:after="0"/>
              <w:ind w:left="0" w:right="0" w:hanging="0"/>
              <w:jc w:val="right"/>
              <w:rPr>
                <w:rFonts w:ascii="Arial;Helvetica;sans-serif" w:hAnsi="Arial;Helvetica;sans-serif"/>
                <w:sz w:val="15"/>
              </w:rPr>
            </w:pPr>
            <w:r>
              <w:rPr>
                <w:rFonts w:ascii="Arial;Helvetica;sans-serif" w:hAnsi="Arial;Helvetica;sans-serif"/>
                <w:sz w:val="15"/>
              </w:rPr>
              <w:t>2.60</w:t>
            </w:r>
          </w:p>
        </w:tc>
        <w:tc>
          <w:tcPr>
            <w:tcW w:w="326"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center"/>
              <w:rPr>
                <w:rFonts w:ascii="Arial;Helvetica;sans-serif" w:hAnsi="Arial;Helvetica;sans-serif"/>
                <w:sz w:val="15"/>
              </w:rPr>
            </w:pPr>
            <w:r>
              <w:rPr>
                <w:rFonts w:ascii="Arial;Helvetica;sans-serif" w:hAnsi="Arial;Helvetica;sans-serif"/>
                <w:sz w:val="15"/>
              </w:rPr>
              <w:t>1/19/2032</w:t>
            </w:r>
          </w:p>
        </w:tc>
        <w:tc>
          <w:tcPr>
            <w:tcW w:w="326" w:type="dxa"/>
            <w:tcBorders/>
            <w:shd w:fill="CCEEFF" w:val="clear"/>
            <w:vAlign w:val="center"/>
          </w:tcPr>
          <w:p>
            <w:pPr>
              <w:pStyle w:val="TableContents"/>
              <w:spacing w:before="0" w:after="0"/>
              <w:ind w:left="0" w:right="0" w:hanging="0"/>
              <w:rPr/>
            </w:pPr>
            <w:r>
              <w:rPr/>
              <w:t>​</w:t>
            </w:r>
          </w:p>
        </w:tc>
        <w:tc>
          <w:tcPr>
            <w:tcW w:w="81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862" w:type="dxa"/>
            <w:tcBorders/>
            <w:shd w:fill="CCEEFF" w:val="clear"/>
            <w:vAlign w:val="center"/>
          </w:tcPr>
          <w:p>
            <w:pPr>
              <w:pStyle w:val="TableContents"/>
              <w:spacing w:before="0" w:after="0"/>
              <w:ind w:left="0" w:right="0" w:hanging="0"/>
              <w:jc w:val="right"/>
              <w:rPr/>
            </w:pPr>
            <w:r>
              <w:rPr/>
              <w:t>—</w:t>
            </w:r>
          </w:p>
        </w:tc>
      </w:tr>
      <w:tr>
        <w:trPr/>
        <w:tc>
          <w:tcPr>
            <w:tcW w:w="104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7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20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3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1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62"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bl>
    <w:p>
      <w:pPr>
        <w:pStyle w:val="HorizontalLine"/>
        <w:pBdr>
          <w:bottom w:val="single" w:sz="6" w:space="0" w:color="000000"/>
        </w:pBdr>
        <w:spacing w:before="0" w:after="0"/>
        <w:ind w:left="0" w:right="7654" w:hanging="0"/>
        <w:rPr/>
      </w:pPr>
      <w:r>
        <w:rPr/>
      </w:r>
    </w:p>
    <w:tbl>
      <w:tblPr>
        <w:tblW w:w="8140" w:type="dxa"/>
        <w:jc w:val="left"/>
        <w:tblInd w:w="0" w:type="dxa"/>
        <w:tblCellMar>
          <w:top w:w="0" w:type="dxa"/>
          <w:left w:w="0" w:type="dxa"/>
          <w:bottom w:w="0" w:type="dxa"/>
          <w:right w:w="0" w:type="dxa"/>
        </w:tblCellMar>
      </w:tblPr>
      <w:tblGrid>
        <w:gridCol w:w="170"/>
        <w:gridCol w:w="7970"/>
      </w:tblGrid>
      <w:tr>
        <w:trPr/>
        <w:tc>
          <w:tcPr>
            <w:tcW w:w="170" w:type="dxa"/>
            <w:tcBorders/>
            <w:shd w:fill="auto" w:val="clear"/>
            <w:vAlign w:val="center"/>
          </w:tcPr>
          <w:p>
            <w:pPr>
              <w:pStyle w:val="TableContents"/>
              <w:spacing w:before="0" w:after="100"/>
              <w:rPr>
                <w:rFonts w:ascii="Arial;Helvetica;sans-serif" w:hAnsi="Arial;Helvetica;sans-serif"/>
                <w:sz w:val="12"/>
              </w:rPr>
            </w:pPr>
            <w:r>
              <w:rPr>
                <w:rFonts w:ascii="Arial;Helvetica;sans-serif" w:hAnsi="Arial;Helvetica;sans-serif"/>
                <w:sz w:val="12"/>
              </w:rPr>
              <w:t>(1)</w:t>
            </w:r>
          </w:p>
        </w:tc>
        <w:tc>
          <w:tcPr>
            <w:tcW w:w="7970" w:type="dxa"/>
            <w:tcBorders/>
            <w:shd w:fill="auto" w:val="clear"/>
            <w:vAlign w:val="center"/>
          </w:tcPr>
          <w:p>
            <w:pPr>
              <w:pStyle w:val="TableContents"/>
              <w:spacing w:before="0" w:after="100"/>
              <w:rPr>
                <w:rFonts w:ascii="Arial;Helvetica;sans-serif" w:hAnsi="Arial;Helvetica;sans-serif"/>
                <w:sz w:val="16"/>
              </w:rPr>
            </w:pPr>
            <w:r>
              <w:rPr>
                <w:rFonts w:ascii="Arial;Helvetica;sans-serif" w:hAnsi="Arial;Helvetica;sans-serif"/>
                <w:sz w:val="16"/>
              </w:rPr>
              <w:t>All of the share option and share awards were granted under the 2019 Equity Incentive Plan (the “2019 Plan”).</w:t>
            </w:r>
          </w:p>
        </w:tc>
      </w:tr>
    </w:tbl>
    <w:tbl>
      <w:tblPr>
        <w:tblW w:w="10205" w:type="dxa"/>
        <w:jc w:val="left"/>
        <w:tblInd w:w="0" w:type="dxa"/>
        <w:tblCellMar>
          <w:top w:w="0" w:type="dxa"/>
          <w:left w:w="0" w:type="dxa"/>
          <w:bottom w:w="0" w:type="dxa"/>
          <w:right w:w="0" w:type="dxa"/>
        </w:tblCellMar>
      </w:tblPr>
      <w:tblGrid>
        <w:gridCol w:w="151"/>
        <w:gridCol w:w="10054"/>
      </w:tblGrid>
      <w:tr>
        <w:trPr/>
        <w:tc>
          <w:tcPr>
            <w:tcW w:w="151" w:type="dxa"/>
            <w:tcBorders/>
            <w:shd w:fill="auto" w:val="clear"/>
            <w:vAlign w:val="center"/>
          </w:tcPr>
          <w:p>
            <w:pPr>
              <w:pStyle w:val="TableContents"/>
              <w:spacing w:before="0" w:after="80"/>
              <w:rPr>
                <w:rFonts w:ascii="Arial;Helvetica;sans-serif" w:hAnsi="Arial;Helvetica;sans-serif"/>
                <w:sz w:val="12"/>
              </w:rPr>
            </w:pPr>
            <w:r>
              <w:rPr>
                <w:rFonts w:ascii="Arial;Helvetica;sans-serif" w:hAnsi="Arial;Helvetica;sans-serif"/>
                <w:sz w:val="12"/>
              </w:rPr>
              <w:t>(2)</w:t>
            </w:r>
          </w:p>
        </w:tc>
        <w:tc>
          <w:tcPr>
            <w:tcW w:w="10054" w:type="dxa"/>
            <w:tcBorders/>
            <w:shd w:fill="auto" w:val="clear"/>
            <w:vAlign w:val="center"/>
          </w:tcPr>
          <w:p>
            <w:pPr>
              <w:pStyle w:val="TableContents"/>
              <w:spacing w:before="0" w:after="80"/>
              <w:rPr>
                <w:rFonts w:ascii="Arial;Helvetica;sans-serif" w:hAnsi="Arial;Helvetica;sans-serif"/>
                <w:sz w:val="16"/>
              </w:rPr>
            </w:pPr>
            <w:r>
              <w:rPr>
                <w:rFonts w:ascii="Arial;Helvetica;sans-serif" w:hAnsi="Arial;Helvetica;sans-serif"/>
                <w:sz w:val="16"/>
              </w:rPr>
              <w:t>All of the share option awards were granted with a per share exercise price equal to the fair market value of ordinary shares on the date of grant, as determined in good faith by our board of directors or compensation committee.</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100"/>
              <w:rPr>
                <w:rFonts w:ascii="Arial;Helvetica;sans-serif" w:hAnsi="Arial;Helvetica;sans-serif"/>
                <w:sz w:val="12"/>
              </w:rPr>
            </w:pPr>
            <w:r>
              <w:rPr>
                <w:rFonts w:ascii="Arial;Helvetica;sans-serif" w:hAnsi="Arial;Helvetica;sans-serif"/>
                <w:sz w:val="12"/>
              </w:rPr>
              <w:t>(3)</w:t>
            </w:r>
          </w:p>
        </w:tc>
        <w:tc>
          <w:tcPr>
            <w:tcW w:w="10047" w:type="dxa"/>
            <w:tcBorders/>
            <w:shd w:fill="auto" w:val="clear"/>
            <w:vAlign w:val="center"/>
          </w:tcPr>
          <w:p>
            <w:pPr>
              <w:pStyle w:val="TableContents"/>
              <w:spacing w:before="0" w:after="100"/>
              <w:rPr>
                <w:rFonts w:ascii="Arial;Helvetica;sans-serif" w:hAnsi="Arial;Helvetica;sans-serif"/>
                <w:sz w:val="16"/>
              </w:rPr>
            </w:pPr>
            <w:r>
              <w:rPr>
                <w:rFonts w:ascii="Arial;Helvetica;sans-serif" w:hAnsi="Arial;Helvetica;sans-serif"/>
                <w:sz w:val="16"/>
              </w:rPr>
              <w:t>The market value was computed using $5.00 per ordinary share, based on the public offering price of $15.00 per ADS in our IPO, in which each ADS represents three ordinary shares.</w:t>
            </w:r>
          </w:p>
        </w:tc>
      </w:tr>
    </w:tbl>
    <w:tbl>
      <w:tblPr>
        <w:tblW w:w="10205" w:type="dxa"/>
        <w:jc w:val="left"/>
        <w:tblInd w:w="0" w:type="dxa"/>
        <w:tblCellMar>
          <w:top w:w="0" w:type="dxa"/>
          <w:left w:w="0" w:type="dxa"/>
          <w:bottom w:w="0" w:type="dxa"/>
          <w:right w:w="0" w:type="dxa"/>
        </w:tblCellMar>
      </w:tblPr>
      <w:tblGrid>
        <w:gridCol w:w="133"/>
        <w:gridCol w:w="10072"/>
      </w:tblGrid>
      <w:tr>
        <w:trPr/>
        <w:tc>
          <w:tcPr>
            <w:tcW w:w="133" w:type="dxa"/>
            <w:tcBorders/>
            <w:shd w:fill="auto" w:val="clear"/>
            <w:vAlign w:val="center"/>
          </w:tcPr>
          <w:p>
            <w:pPr>
              <w:pStyle w:val="TableContents"/>
              <w:spacing w:before="0" w:after="80"/>
              <w:rPr>
                <w:rFonts w:ascii="Arial;Helvetica;sans-serif" w:hAnsi="Arial;Helvetica;sans-serif"/>
                <w:sz w:val="12"/>
              </w:rPr>
            </w:pPr>
            <w:r>
              <w:rPr>
                <w:rFonts w:ascii="Arial;Helvetica;sans-serif" w:hAnsi="Arial;Helvetica;sans-serif"/>
                <w:sz w:val="12"/>
              </w:rPr>
              <w:t>(4)</w:t>
            </w:r>
          </w:p>
        </w:tc>
        <w:tc>
          <w:tcPr>
            <w:tcW w:w="10072" w:type="dxa"/>
            <w:tcBorders/>
            <w:shd w:fill="auto" w:val="clear"/>
            <w:vAlign w:val="center"/>
          </w:tcPr>
          <w:p>
            <w:pPr>
              <w:pStyle w:val="TableContents"/>
              <w:spacing w:before="0" w:after="80"/>
              <w:rPr>
                <w:rFonts w:ascii="Arial;Helvetica;sans-serif" w:hAnsi="Arial;Helvetica;sans-serif"/>
                <w:sz w:val="16"/>
              </w:rPr>
            </w:pPr>
            <w:r>
              <w:rPr>
                <w:rFonts w:ascii="Arial;Helvetica;sans-serif" w:hAnsi="Arial;Helvetica;sans-serif"/>
                <w:sz w:val="16"/>
              </w:rPr>
              <w:t>This restricted share award is subject to the terms of the share restriction agreement, dated April 29, 2019, with Dr. Stevens. One-fourth of the shares subject to the restricted share repurchase right vested and were released on April 29, 2020 and the remaining shares subject to the repurchase right vest and release in 36 equal monthly installments thereafter, subject to continued service through each such vesting date. In the event of a “change in control” (as defined in Dr. Stevens' share restriction agreement), the repurchase right will lapse and all of the then-unvested restricted shares subject to the repurchase right will automatically become fully vested.</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100"/>
              <w:rPr>
                <w:rFonts w:ascii="Arial;Helvetica;sans-serif" w:hAnsi="Arial;Helvetica;sans-serif"/>
                <w:sz w:val="12"/>
              </w:rPr>
            </w:pPr>
            <w:r>
              <w:rPr>
                <w:rFonts w:ascii="Arial;Helvetica;sans-serif" w:hAnsi="Arial;Helvetica;sans-serif"/>
                <w:sz w:val="12"/>
              </w:rPr>
              <w:t>(5)</w:t>
            </w:r>
          </w:p>
        </w:tc>
        <w:tc>
          <w:tcPr>
            <w:tcW w:w="10063" w:type="dxa"/>
            <w:tcBorders/>
            <w:shd w:fill="auto" w:val="clear"/>
            <w:vAlign w:val="center"/>
          </w:tcPr>
          <w:p>
            <w:pPr>
              <w:pStyle w:val="TableContents"/>
              <w:spacing w:before="0" w:after="100"/>
              <w:rPr>
                <w:rFonts w:ascii="Arial;Helvetica;sans-serif" w:hAnsi="Arial;Helvetica;sans-serif"/>
                <w:sz w:val="16"/>
              </w:rPr>
            </w:pPr>
            <w:r>
              <w:rPr>
                <w:rFonts w:ascii="Arial;Helvetica;sans-serif" w:hAnsi="Arial;Helvetica;sans-serif"/>
                <w:sz w:val="16"/>
              </w:rPr>
              <w:t>One-fourth of the shares subject to the share option vested on May 16, 2020 and the remaining shares subject to the option vest in 36 equal monthly installments thereafter, subject to continued service through each such vesting date. The option is also subject to early exercise and is immediately exercisable as of the grant date.</w:t>
            </w:r>
          </w:p>
        </w:tc>
      </w:tr>
    </w:tbl>
    <w:tbl>
      <w:tblPr>
        <w:tblW w:w="10205" w:type="dxa"/>
        <w:jc w:val="left"/>
        <w:tblInd w:w="0" w:type="dxa"/>
        <w:tblCellMar>
          <w:top w:w="0" w:type="dxa"/>
          <w:left w:w="0" w:type="dxa"/>
          <w:bottom w:w="0" w:type="dxa"/>
          <w:right w:w="0" w:type="dxa"/>
        </w:tblCellMar>
      </w:tblPr>
      <w:tblGrid>
        <w:gridCol w:w="169"/>
        <w:gridCol w:w="10036"/>
      </w:tblGrid>
      <w:tr>
        <w:trPr/>
        <w:tc>
          <w:tcPr>
            <w:tcW w:w="169" w:type="dxa"/>
            <w:tcBorders/>
            <w:shd w:fill="auto" w:val="clear"/>
            <w:vAlign w:val="center"/>
          </w:tcPr>
          <w:p>
            <w:pPr>
              <w:pStyle w:val="TableContents"/>
              <w:spacing w:before="0" w:after="100"/>
              <w:rPr>
                <w:rFonts w:ascii="Arial;Helvetica;sans-serif" w:hAnsi="Arial;Helvetica;sans-serif"/>
                <w:sz w:val="12"/>
              </w:rPr>
            </w:pPr>
            <w:r>
              <w:rPr>
                <w:rFonts w:ascii="Arial;Helvetica;sans-serif" w:hAnsi="Arial;Helvetica;sans-serif"/>
                <w:sz w:val="12"/>
              </w:rPr>
              <w:t>(6)</w:t>
            </w:r>
          </w:p>
        </w:tc>
        <w:tc>
          <w:tcPr>
            <w:tcW w:w="10036" w:type="dxa"/>
            <w:tcBorders/>
            <w:shd w:fill="auto" w:val="clear"/>
            <w:vAlign w:val="center"/>
          </w:tcPr>
          <w:p>
            <w:pPr>
              <w:pStyle w:val="TableContents"/>
              <w:spacing w:before="0" w:after="100"/>
              <w:rPr>
                <w:rFonts w:ascii="Arial;Helvetica;sans-serif" w:hAnsi="Arial;Helvetica;sans-serif"/>
                <w:sz w:val="16"/>
              </w:rPr>
            </w:pPr>
            <w:r>
              <w:rPr>
                <w:rFonts w:ascii="Arial;Helvetica;sans-serif" w:hAnsi="Arial;Helvetica;sans-serif"/>
                <w:sz w:val="16"/>
              </w:rPr>
              <w:t>The shares subject to the share option vest in 48 equal monthly installments, subject to continued service through each such vesting date.</w:t>
            </w:r>
          </w:p>
        </w:tc>
      </w:tr>
    </w:tbl>
    <w:tbl>
      <w:tblPr>
        <w:tblW w:w="10205" w:type="dxa"/>
        <w:jc w:val="left"/>
        <w:tblInd w:w="0" w:type="dxa"/>
        <w:tblCellMar>
          <w:top w:w="0" w:type="dxa"/>
          <w:left w:w="0" w:type="dxa"/>
          <w:bottom w:w="0" w:type="dxa"/>
          <w:right w:w="0" w:type="dxa"/>
        </w:tblCellMar>
      </w:tblPr>
      <w:tblGrid>
        <w:gridCol w:w="150"/>
        <w:gridCol w:w="10055"/>
      </w:tblGrid>
      <w:tr>
        <w:trPr/>
        <w:tc>
          <w:tcPr>
            <w:tcW w:w="150" w:type="dxa"/>
            <w:tcBorders/>
            <w:shd w:fill="auto" w:val="clear"/>
            <w:vAlign w:val="center"/>
          </w:tcPr>
          <w:p>
            <w:pPr>
              <w:pStyle w:val="TableContents"/>
              <w:spacing w:before="0" w:after="80"/>
              <w:rPr>
                <w:rFonts w:ascii="Arial;Helvetica;sans-serif" w:hAnsi="Arial;Helvetica;sans-serif"/>
                <w:sz w:val="12"/>
              </w:rPr>
            </w:pPr>
            <w:r>
              <w:rPr>
                <w:rFonts w:ascii="Arial;Helvetica;sans-serif" w:hAnsi="Arial;Helvetica;sans-serif"/>
                <w:sz w:val="12"/>
              </w:rPr>
              <w:t>(7)</w:t>
            </w:r>
          </w:p>
        </w:tc>
        <w:tc>
          <w:tcPr>
            <w:tcW w:w="10055" w:type="dxa"/>
            <w:tcBorders/>
            <w:shd w:fill="auto" w:val="clear"/>
            <w:vAlign w:val="center"/>
          </w:tcPr>
          <w:p>
            <w:pPr>
              <w:pStyle w:val="TableContents"/>
              <w:spacing w:before="0" w:after="80"/>
              <w:rPr>
                <w:rFonts w:ascii="Arial;Helvetica;sans-serif" w:hAnsi="Arial;Helvetica;sans-serif"/>
                <w:sz w:val="16"/>
              </w:rPr>
            </w:pPr>
            <w:r>
              <w:rPr>
                <w:rFonts w:ascii="Arial;Helvetica;sans-serif" w:hAnsi="Arial;Helvetica;sans-serif"/>
                <w:sz w:val="16"/>
              </w:rPr>
              <w:t>One-fourth of the shares subject to the share option vested on June 21, 2022 and the remaining shares subject to the option vest in 36 equal monthly installments thereafter, subject to continued service through each such vesting date.</w:t>
            </w:r>
          </w:p>
        </w:tc>
      </w:tr>
    </w:tbl>
    <w:tbl>
      <w:tblPr>
        <w:tblW w:w="10205" w:type="dxa"/>
        <w:jc w:val="left"/>
        <w:tblInd w:w="0" w:type="dxa"/>
        <w:tblCellMar>
          <w:top w:w="0" w:type="dxa"/>
          <w:left w:w="0" w:type="dxa"/>
          <w:bottom w:w="0" w:type="dxa"/>
          <w:right w:w="0" w:type="dxa"/>
        </w:tblCellMar>
      </w:tblPr>
      <w:tblGrid>
        <w:gridCol w:w="150"/>
        <w:gridCol w:w="10055"/>
      </w:tblGrid>
      <w:tr>
        <w:trPr/>
        <w:tc>
          <w:tcPr>
            <w:tcW w:w="150" w:type="dxa"/>
            <w:tcBorders/>
            <w:shd w:fill="auto" w:val="clear"/>
            <w:vAlign w:val="center"/>
          </w:tcPr>
          <w:p>
            <w:pPr>
              <w:pStyle w:val="TableContents"/>
              <w:spacing w:before="0" w:after="240"/>
              <w:rPr>
                <w:rFonts w:ascii="Arial;Helvetica;sans-serif" w:hAnsi="Arial;Helvetica;sans-serif"/>
                <w:sz w:val="12"/>
              </w:rPr>
            </w:pPr>
            <w:r>
              <w:rPr>
                <w:rFonts w:ascii="Arial;Helvetica;sans-serif" w:hAnsi="Arial;Helvetica;sans-serif"/>
                <w:sz w:val="12"/>
              </w:rPr>
              <w:t>(8)</w:t>
            </w:r>
          </w:p>
        </w:tc>
        <w:tc>
          <w:tcPr>
            <w:tcW w:w="10055" w:type="dxa"/>
            <w:tcBorders/>
            <w:shd w:fill="auto" w:val="clear"/>
            <w:vAlign w:val="center"/>
          </w:tcPr>
          <w:p>
            <w:pPr>
              <w:pStyle w:val="TableContents"/>
              <w:spacing w:before="0" w:after="240"/>
              <w:rPr>
                <w:rFonts w:ascii="Arial;Helvetica;sans-serif" w:hAnsi="Arial;Helvetica;sans-serif"/>
                <w:sz w:val="16"/>
              </w:rPr>
            </w:pPr>
            <w:r>
              <w:rPr>
                <w:rFonts w:ascii="Arial;Helvetica;sans-serif" w:hAnsi="Arial;Helvetica;sans-serif"/>
                <w:sz w:val="16"/>
              </w:rPr>
              <w:t>One-fourth of the shares subject to the share option vested on May 11, 2022 and the remaining shares subject to the option vest in 36 equal monthly installments thereafter, subject to continued service through each such vesting date.</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Share options held by certain of our named executive officers are eligible for accelerated vesting under specified circumstances. See the subsection titled “—Potential Payments Upon Termination or Change in Control” below for a description of such potential acceleration.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did not materially modify any outstanding equity awards held by our named executive officers in 2022.</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Emerging Growth Company Status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are an “emerging growth company,” as defined in the JOBS Act. As an emerging growth company, we will be exempt from certain requirements related to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Act.</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218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Nonqualified Deferred Compensation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do not maintain nonqualified defined contribution plans or other nonqualified deferred compensation plans. Our board of directors may elect to provide our officers and other employees with nonqualified defined contribution or other nonqualified deferred compensation benefits in the future if it determines that doing so is in our best interests.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Employment Arrangements With Our Named Executive Officers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Below are descriptions of our employment arrangements with our named executive officers. For a discussion of the severance pay and other benefits to be provided in connection with a termination of employment and/or a change in control under the arrangements with our named executive officers, see the subsection titled “—Potential Payments Upon Termination or Change in Control” below.</w:t>
      </w:r>
    </w:p>
    <w:p>
      <w:pPr>
        <w:pStyle w:val="TextBody"/>
        <w:spacing w:before="0" w:after="240"/>
        <w:ind w:left="0" w:right="0" w:hanging="0"/>
        <w:rPr>
          <w:rFonts w:ascii="Arial;Helvetica;sans-serif" w:hAnsi="Arial;Helvetica;sans-serif"/>
          <w:sz w:val="20"/>
        </w:rPr>
      </w:pPr>
      <w:r>
        <w:rPr>
          <w:rFonts w:ascii="Arial;Helvetica;sans-serif" w:hAnsi="Arial;Helvetica;sans-serif"/>
          <w:i/>
          <w:sz w:val="20"/>
        </w:rPr>
        <w:t>Raymond Stevens, Ph.D.</w:t>
      </w:r>
      <w:r>
        <w:rPr>
          <w:rFonts w:ascii="Arial;Helvetica;sans-serif" w:hAnsi="Arial;Helvetica;sans-serif"/>
          <w:sz w:val="20"/>
        </w:rPr>
        <w:t xml:space="preserve"> We entered into an executive employment agreement with Dr. Stevens in May 2019, which governs the current terms of his employment with us. The agreement has no specific term and provides for at-will employment. Pursuant to the agreement, Dr. Stevens is entitled to an annual base salary and is eligible to receive an annual performance bonus with a target equal to a pre-determined percentage of his annual base salary, based on the achievement of certain corporate and individual objectives as determined by our board of directors. Dr. Stevens’ agreement also provides for certain severance benefits which will be superseded by the Severance Plan (as defined below), as described below under “—Potential Payments Upon Termination or Change in Control.”</w:t>
      </w:r>
    </w:p>
    <w:p>
      <w:pPr>
        <w:pStyle w:val="TextBody"/>
        <w:spacing w:before="0" w:after="240"/>
        <w:ind w:left="0" w:right="0" w:hanging="0"/>
        <w:rPr>
          <w:rFonts w:ascii="Arial;Helvetica;sans-serif" w:hAnsi="Arial;Helvetica;sans-serif"/>
          <w:sz w:val="20"/>
        </w:rPr>
      </w:pPr>
      <w:r>
        <w:rPr>
          <w:rFonts w:ascii="Arial;Helvetica;sans-serif" w:hAnsi="Arial;Helvetica;sans-serif"/>
          <w:i/>
          <w:sz w:val="20"/>
        </w:rPr>
        <w:t>Mark Bach, M.D., Ph.D.</w:t>
      </w:r>
      <w:r>
        <w:rPr>
          <w:rFonts w:ascii="Arial;Helvetica;sans-serif" w:hAnsi="Arial;Helvetica;sans-serif"/>
          <w:sz w:val="20"/>
        </w:rPr>
        <w:t xml:space="preserve"> We entered into an offer letter with Dr. Bach in April 2021, which governs the current terms of his employment with us. The agreement has no specific term and provides for at-will employment. Pursuant to the offer letter, Dr. Bach is entitled to an annual base salary and is eligible to receive an annual performance bonus with a target equal to a pre-determined percentage of his annual base salary, based on the achievement of certain corporate and individual objectives as determined by our board of directors. Dr. Bach’s offer letter also provides for certain severance benefits which will be superseded by the Severance Plan, as described below under “—Potential Payments Upon Termination or Change in Control.”</w:t>
      </w:r>
    </w:p>
    <w:p>
      <w:pPr>
        <w:pStyle w:val="TextBody"/>
        <w:spacing w:before="0" w:after="240"/>
        <w:ind w:left="0" w:right="0" w:hanging="0"/>
        <w:rPr>
          <w:rFonts w:ascii="Arial;Helvetica;sans-serif" w:hAnsi="Arial;Helvetica;sans-serif"/>
          <w:sz w:val="20"/>
        </w:rPr>
      </w:pPr>
      <w:r>
        <w:rPr>
          <w:rFonts w:ascii="Arial;Helvetica;sans-serif" w:hAnsi="Arial;Helvetica;sans-serif"/>
          <w:i/>
          <w:sz w:val="20"/>
        </w:rPr>
        <w:t>Yingli Ma, Ph.D</w:t>
      </w:r>
      <w:r>
        <w:rPr>
          <w:rFonts w:ascii="Arial;Helvetica;sans-serif" w:hAnsi="Arial;Helvetica;sans-serif"/>
          <w:sz w:val="20"/>
        </w:rPr>
        <w:t>. We entered into a new employment contract with Dr. Ma in November 2022 in connection with her appointment to serve as our Chief Technology Officer (referred to herein as the New Ma Employment Contract), which governs the current terms of her employment with us and which superseded and replaced the original employment contract we entered into with Dr. Ma in May 2021 (referred to herein as the Original Ma Employment Contract). Under the New Ma Employment Contract, Dr. Ma’s term of employment is for a fixed term, beginning on November 1, 2022 and ending on May 10, 2024. Pursuant to the New Ma Employment Contract, Dr. Ma is entitled to an annual base salary and is eligible to receive an annual performance bonus with a target equal to a pre-determined percentage of her annual base salary, based on the achievement of certain corporate and individual objectives as determined by our board of directors. In addition, on January 20, 2022, pursuant to the terms of the Original Ma Employment Contract, Dr. Ma was granted an initial share option to purchase 400,000 ordinary shares, as further described above under “—Equity-Based Incentive Awards.” The New Ma Employment Contract also provides for certain notice requirements, in accordance with applicable law.</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Potential Payments Upon Termination or Change in Control</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Regardless of the manner in which a named executive officer’s service terminates, each named executive officer is entitled to receive amounts earned during his or her term of service, such as unpaid salary, as applicable. In addition, Drs. Stevens and Bach are entitled to certain severance benefits under their executive employment agreement and offer letter, respectively, subject to their execution of a release of claims, return of all company property, compliance with post-termination obligations and resignation from all positions with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219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us; such benefits will be superseded by the Severance Plan, as described below. Dr. Ma, a PRC citizen, is subject to certain notice requirements, as described below.</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Employment Arrangements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Dr. Stevens’ executive employment agreement and Dr. Bach’s offer letter each provide that, if the named executive officer’s employment is terminated by us without “cause”(other than as a result of death or disability) or if the named executive officer resigns for “good reason” (each as defined in their respective executive employment agreement or offer letter, as applicable) outside of the “change in control period” (as defined below), he will be entitled to receive (i) continued payment of his then-current base salary for six months, (ii) for Dr. Stevens only, 50% of his annual bonus target for the year in which his involuntary termination occurs, (iii) payment for the preceding calendar year’s annual bonus payment if the termination or resignation occurred prior to the receipt of such preceding calendar year’s annual bonus payment (any such bonus payment referred to herein as the prior year bonus), (iv) premiums for COBRA continuation health coverage for up to six months, and (v) the unvested equity awards then held by named executive officer will accelerate vesting as if he had provided an additional six months of continued services following the date of separation.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addition, pursuant to Dr. Stevens’ executive employment agreement and Dr. Bach’s offer letter, in the event their employment is terminated by us without “cause” (other than as a result of death or disability) or they resign for “good reason” (each as defined in their respective executive employment agreement or offer letter, as applicable) either three months prior to or within 12 months immediately following the consummation of a change in control (such period referred to herein as the change in control period), in lieu of the severance described above, they will be entitled to receive (i) a severance payment in the amount equal to their annual base salary plus their annual bonus target for the year in which their involuntary termination occurs, (ii) their prior year bonus, if applicable, (iii) premiums for COBRA continuation health coverage for up to 12 months, and (iv) the unvested equity awards then held by the named executive officer will become fully vested and immediately exercisable.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Further, in the event of either Dr. Stevens’ or Dr. Bach’s termination due to death or disability, they (or their heirs or estate, as applicable) will receive (i) their target annual bonus for the year in which the separation from service occurs, prorated for the number of days elapsed in the calendar year prior to the separation from service, </w:t>
      </w:r>
      <w:r>
        <w:rPr>
          <w:rFonts w:ascii="Arial;Helvetica;sans-serif" w:hAnsi="Arial;Helvetica;sans-serif"/>
          <w:i/>
          <w:sz w:val="20"/>
        </w:rPr>
        <w:t>plus</w:t>
      </w:r>
      <w:r>
        <w:rPr>
          <w:rFonts w:ascii="Arial;Helvetica;sans-serif" w:hAnsi="Arial;Helvetica;sans-serif"/>
          <w:sz w:val="20"/>
        </w:rPr>
        <w:t xml:space="preserve"> (ii) their prior year bonus, if applicable.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Dr. Ma is subject to certain notice requirements pursuant to the New Ma Employment Contract. In the event of Dr. Ma’s resignation, she must provide at least 30 days’ written notice to the company, which period may be waived by us if requested or if otherwise deemed necessary. We may terminate the New Ma Employment Contract on any ground and in any circumstance permitted by applicable law, and we will provide prior notice or pay in lieu of notice if and as required under applicable law.</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named executive officers’ share options granted prior to February 2, 2023 are subject to the terms of the 2019 Plan. Dr. Stevens’ restricted shares are subject to potential vesting acceleration upon a “change in control” (as defined in Dr. Stevens' share restriction agreement evidencing his restricted shares), as described above in the Outstanding Equity Awards as of December 31, 2022 table.</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Severance Plan</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In January 2023, in connection with our IPO, the board of directors approved a Severance and Change in Control Plan (the “Severance Plan”) pursuant to which each of our named executive officers will become eligible to receive benefits under the terms of such plan. The Severance Plan became effective on February 2, 2023 and supersedes the severance provisions in Dr. Stevens’ and Dr. Bach’s executive employment agreement and offer letter, respectively. The Severance Plan provides for severance and/or change in control benefits to our named executive officers upon (i) a “change in control termination” or (ii) a “regular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220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termination” (each as described below). Upon a change in control termination, each of our named executive officers is entitled to a lump sum payment equal to a portion of their base salary (18 months for Dr. Stevens and 12 months for Drs. Bach and Ma), a lump sum payment equal to 150% (for Dr. Stevens) or 100% (for Drs. Bach and Ma) of their annual target cash bonus, payment of COBRA premiums for a period of time (up to 18 months for Dr. Stevens and 12 months for Drs. Bach and Ma) and full accelerated vesting of outstanding time-vesting equity awards. To the extent an equity award is not assumed, continued or substituted for in the event of certain change in control transactions and the executive’s employment is not terminated as of immediately prior to such change in control, the vesting of such equity award will also accelerate in full (and for equity awards subject to performance vesting, performance will be deemed to be achieved at target, unless otherwise provided in individual award documents). Upon a regular termination, Dr. Stevens is entitled to a lump sum payment equal to 100% of his annual target cash bonus, and each of Drs. Stevens, Bach and Ma is entitled to a lump sum payment equal to a portion of their base salary (12 months for Dr. Stevens and nine months for Drs. Bach and Ma), payment of COBRA premiums for a period of time (up to 12 months for Dr. Stevens and nine months for Drs. Bach and Ma) and partial accelerated vesting of outstanding time-vesting equity awards (12 months for Dr. Stevens and six months for Drs. Bach and Ma). All severance benefits under the Severance Plan are subject to the executive’s execution of an effective release of claims against the company.</w:t>
      </w:r>
    </w:p>
    <w:p>
      <w:pPr>
        <w:pStyle w:val="TextBody"/>
        <w:spacing w:before="0" w:after="240"/>
        <w:ind w:left="0" w:right="0" w:hanging="0"/>
        <w:rPr>
          <w:rFonts w:ascii="Arial;Helvetica;sans-serif" w:hAnsi="Arial;Helvetica;sans-serif"/>
          <w:sz w:val="19"/>
        </w:rPr>
      </w:pPr>
      <w:r>
        <w:rPr>
          <w:rFonts w:ascii="Arial;Helvetica;sans-serif" w:hAnsi="Arial;Helvetica;sans-serif"/>
          <w:sz w:val="19"/>
        </w:rPr>
        <w:t>For purposes of the Severance Plan, a “regular termination” is an involuntary termination without “cause” (and not as a result of death or disability) or a resignation for “good reason,” each as defined in the Severance Plan, in any case that does not occur during the period of time beginning three months prior to, and ending 12 months following, a “change in control”, as defined in the 2023 Plan (the “change in control period”). For purposes of the Severance Plan, a “change in control termination” is an involuntary termination without cause (and not as a result of death or disability) or a resignation for good reason, in any case that occurs during the change in control period.</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Other Compensation and Benefits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All of our named executive officers are eligible to participate in our employee benefit plans, including our medical, dental, vision and life insurance plans, in each case on the same basis as all of our other employees. We pay the premiums for the life, disability, accidental death and dismemberment insurance for all of our employees, including our named executive officers. We generally do not provide perquisites or personal benefits to our named executive officers.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Employee Benefit Plans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believe that our ability to grant equity-based awards is a valuable and necessary compensation tool that aligns the long-term financial interests of our employees, consultants and directors with the financial interests of our shareholders. In addition, we believe that our ability to grant share options and other equity-based awards helps us to attract, retain and motivate employees, consultants and directors, and encourages them to devote their best efforts to our business and financial success. 401(k) Plan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maintain a 401(k) plan that provides eligible U.S. employees with an opportunity to save for retirement on a tax advantaged basis. Eligible employees are able to defer eligible compensation up to certain Code limits, which are updated annually. For 2022, we make safe-harbor matching contributions of 100% of each dollar contributed by eligible employees, up to 4% of an employee’s eligible compensation. We may also make discretionary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221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Non-Employee Director Compensation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following table sets forth information regarding the compensation earned or paid to our non-employee directors during the fiscal year ended December 31, 2022.</w:t>
      </w:r>
    </w:p>
    <w:tbl>
      <w:tblPr>
        <w:tblW w:w="7222" w:type="dxa"/>
        <w:jc w:val="center"/>
        <w:tblInd w:w="0" w:type="dxa"/>
        <w:tblCellMar>
          <w:top w:w="0" w:type="dxa"/>
          <w:left w:w="0" w:type="dxa"/>
          <w:bottom w:w="0" w:type="dxa"/>
          <w:right w:w="0" w:type="dxa"/>
        </w:tblCellMar>
      </w:tblPr>
      <w:tblGrid>
        <w:gridCol w:w="2716"/>
        <w:gridCol w:w="326"/>
        <w:gridCol w:w="1561"/>
        <w:gridCol w:w="326"/>
        <w:gridCol w:w="961"/>
        <w:gridCol w:w="326"/>
        <w:gridCol w:w="1006"/>
      </w:tblGrid>
      <w:tr>
        <w:trPr/>
        <w:tc>
          <w:tcPr>
            <w:tcW w:w="27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724660" cy="175260"/>
                      <wp:effectExtent l="0" t="0" r="0" b="0"/>
                      <wp:wrapNone/>
                      <wp:docPr id="359" name="Frame317"/>
                      <a:graphic xmlns:a="http://schemas.openxmlformats.org/drawingml/2006/main">
                        <a:graphicData uri="http://schemas.microsoft.com/office/word/2010/wordprocessingShape">
                          <wps:wsp>
                            <wps:cNvSpPr txBox="1"/>
                            <wps:spPr>
                              <a:xfrm>
                                <a:off x="0" y="0"/>
                                <a:ext cx="1724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07010" cy="175260"/>
                      <wp:effectExtent l="0" t="0" r="0" b="0"/>
                      <wp:wrapNone/>
                      <wp:docPr id="360" name="Frame3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991235" cy="175260"/>
                      <wp:effectExtent l="0" t="0" r="0" b="0"/>
                      <wp:wrapNone/>
                      <wp:docPr id="361" name="Frame319"/>
                      <a:graphic xmlns:a="http://schemas.openxmlformats.org/drawingml/2006/main">
                        <a:graphicData uri="http://schemas.microsoft.com/office/word/2010/wordprocessingShape">
                          <wps:wsp>
                            <wps:cNvSpPr txBox="1"/>
                            <wps:spPr>
                              <a:xfrm>
                                <a:off x="0" y="0"/>
                                <a:ext cx="991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07010" cy="175260"/>
                      <wp:effectExtent l="0" t="0" r="0" b="0"/>
                      <wp:wrapNone/>
                      <wp:docPr id="362" name="Frame3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10235" cy="175260"/>
                      <wp:effectExtent l="0" t="0" r="0" b="0"/>
                      <wp:wrapNone/>
                      <wp:docPr id="363" name="Frame321"/>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4" name="Frame3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39445" cy="175260"/>
                      <wp:effectExtent l="0" t="0" r="0" b="0"/>
                      <wp:wrapNone/>
                      <wp:docPr id="365" name="Frame323"/>
                      <a:graphic xmlns:a="http://schemas.openxmlformats.org/drawingml/2006/main">
                        <a:graphicData uri="http://schemas.microsoft.com/office/word/2010/wordprocessingShape">
                          <wps:wsp>
                            <wps:cNvSpPr txBox="1"/>
                            <wps:spPr>
                              <a:xfrm>
                                <a:off x="0" y="0"/>
                                <a:ext cx="6394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1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56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96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00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271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56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FEES EARNED OR</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OPTION</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center"/>
              <w:rPr/>
            </w:pPr>
            <w:r>
              <w:rPr/>
              <w:t>​</w:t>
            </w:r>
          </w:p>
        </w:tc>
      </w:tr>
      <w:tr>
        <w:trPr/>
        <w:tc>
          <w:tcPr>
            <w:tcW w:w="27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6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PAID IN CASH</w:t>
            </w:r>
          </w:p>
        </w:tc>
        <w:tc>
          <w:tcPr>
            <w:tcW w:w="326"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AWARDS</w:t>
            </w:r>
          </w:p>
        </w:tc>
        <w:tc>
          <w:tcPr>
            <w:tcW w:w="326"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TOTAL</w:t>
            </w:r>
          </w:p>
        </w:tc>
      </w:tr>
      <w:tr>
        <w:trPr/>
        <w:tc>
          <w:tcPr>
            <w:tcW w:w="2716"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NAME</w:t>
            </w:r>
          </w:p>
        </w:tc>
        <w:tc>
          <w:tcPr>
            <w:tcW w:w="326" w:type="dxa"/>
            <w:tcBorders/>
            <w:shd w:fill="auto" w:val="clear"/>
            <w:vAlign w:val="center"/>
          </w:tcPr>
          <w:p>
            <w:pPr>
              <w:pStyle w:val="TableContents"/>
              <w:spacing w:before="0" w:after="0"/>
              <w:ind w:left="0" w:right="0" w:hanging="0"/>
              <w:rPr/>
            </w:pPr>
            <w:r>
              <w:rPr/>
              <w:t>​</w:t>
            </w:r>
          </w:p>
        </w:tc>
        <w:tc>
          <w:tcPr>
            <w:tcW w:w="15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c>
          <w:tcPr>
            <w:tcW w:w="326" w:type="dxa"/>
            <w:tcBorders/>
            <w:shd w:fill="auto" w:val="cle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sz w:val="16"/>
              </w:rPr>
            </w:pPr>
            <w:r>
              <w:rPr>
                <w:rFonts w:ascii="Arial;Helvetica;sans-serif" w:hAnsi="Arial;Helvetica;sans-serif"/>
                <w:b/>
                <w:sz w:val="16"/>
              </w:rPr>
              <w:t>($)</w:t>
            </w:r>
            <w:r>
              <w:rPr>
                <w:rFonts w:ascii="Arial;Helvetica;sans-serif" w:hAnsi="Arial;Helvetica;sans-serif"/>
                <w:b/>
                <w:sz w:val="12"/>
              </w:rPr>
              <w:t>(2)(3)</w:t>
            </w:r>
          </w:p>
        </w:tc>
        <w:tc>
          <w:tcPr>
            <w:tcW w:w="326" w:type="dxa"/>
            <w:tcBorders/>
            <w:shd w:fill="auto" w:val="clear"/>
            <w:vAlign w:val="center"/>
          </w:tcPr>
          <w:p>
            <w:pPr>
              <w:pStyle w:val="TableContents"/>
              <w:spacing w:before="0" w:after="0"/>
              <w:ind w:left="0" w:right="0" w:hanging="0"/>
              <w:rPr/>
            </w:pPr>
            <w:r>
              <w:rPr/>
              <w:t>​</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w:t>
            </w:r>
          </w:p>
        </w:tc>
      </w:tr>
      <w:tr>
        <w:trPr/>
        <w:tc>
          <w:tcPr>
            <w:tcW w:w="271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Daniel G. Welch</w:t>
            </w:r>
            <w:r>
              <w:rPr>
                <w:rFonts w:ascii="Arial;Helvetica;sans-serif" w:hAnsi="Arial;Helvetica;sans-serif"/>
                <w:sz w:val="15"/>
              </w:rPr>
              <w:t>(1)</w:t>
            </w:r>
          </w:p>
        </w:tc>
        <w:tc>
          <w:tcPr>
            <w:tcW w:w="326" w:type="dxa"/>
            <w:tcBorders/>
            <w:shd w:fill="CCEEFF" w:val="clear"/>
            <w:vAlign w:val="center"/>
          </w:tcPr>
          <w:p>
            <w:pPr>
              <w:pStyle w:val="TableContents"/>
              <w:spacing w:before="0" w:after="0"/>
              <w:ind w:left="0" w:right="0" w:hanging="0"/>
              <w:rPr/>
            </w:pPr>
            <w:r>
              <w:rPr/>
              <w:t> </w:t>
            </w:r>
          </w:p>
        </w:tc>
        <w:tc>
          <w:tcPr>
            <w:tcW w:w="156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224,000</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2,200,215</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2,424,215</w:t>
            </w:r>
          </w:p>
        </w:tc>
      </w:tr>
      <w:tr>
        <w:trPr/>
        <w:tc>
          <w:tcPr>
            <w:tcW w:w="271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Ramy Farid, Ph.D.</w:t>
            </w:r>
          </w:p>
        </w:tc>
        <w:tc>
          <w:tcPr>
            <w:tcW w:w="326" w:type="dxa"/>
            <w:tcBorders/>
            <w:shd w:fill="auto" w:val="clear"/>
            <w:vAlign w:val="center"/>
          </w:tcPr>
          <w:p>
            <w:pPr>
              <w:pStyle w:val="TableContents"/>
              <w:spacing w:before="0" w:after="0"/>
              <w:ind w:left="0" w:right="0" w:hanging="0"/>
              <w:rPr/>
            </w:pPr>
            <w:r>
              <w:rPr/>
              <w:t> </w:t>
            </w:r>
          </w:p>
        </w:tc>
        <w:tc>
          <w:tcPr>
            <w:tcW w:w="15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pPr>
            <w:r>
              <w:rPr/>
              <w:t>—</w:t>
            </w:r>
          </w:p>
        </w:tc>
      </w:tr>
      <w:tr>
        <w:trPr/>
        <w:tc>
          <w:tcPr>
            <w:tcW w:w="271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Jessica Lifton</w:t>
            </w:r>
            <w:r>
              <w:rPr>
                <w:rFonts w:ascii="Arial;Helvetica;sans-serif" w:hAnsi="Arial;Helvetica;sans-serif"/>
                <w:sz w:val="15"/>
              </w:rPr>
              <w:t>(4)</w:t>
            </w:r>
          </w:p>
        </w:tc>
        <w:tc>
          <w:tcPr>
            <w:tcW w:w="326" w:type="dxa"/>
            <w:tcBorders/>
            <w:shd w:fill="CCEEFF" w:val="clear"/>
            <w:vAlign w:val="center"/>
          </w:tcPr>
          <w:p>
            <w:pPr>
              <w:pStyle w:val="TableContents"/>
              <w:spacing w:before="0" w:after="0"/>
              <w:ind w:left="0" w:right="0" w:hanging="0"/>
              <w:rPr/>
            </w:pPr>
            <w:r>
              <w:rPr/>
              <w:t> </w:t>
            </w:r>
          </w:p>
        </w:tc>
        <w:tc>
          <w:tcPr>
            <w:tcW w:w="15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r>
      <w:tr>
        <w:trPr/>
        <w:tc>
          <w:tcPr>
            <w:tcW w:w="271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Sharon Tetlow</w:t>
            </w:r>
            <w:r>
              <w:rPr>
                <w:rFonts w:ascii="Arial;Helvetica;sans-serif" w:hAnsi="Arial;Helvetica;sans-serif"/>
                <w:sz w:val="15"/>
              </w:rPr>
              <w:t>(1)</w:t>
            </w:r>
          </w:p>
        </w:tc>
        <w:tc>
          <w:tcPr>
            <w:tcW w:w="326" w:type="dxa"/>
            <w:tcBorders/>
            <w:shd w:fill="auto" w:val="clear"/>
            <w:vAlign w:val="center"/>
          </w:tcPr>
          <w:p>
            <w:pPr>
              <w:pStyle w:val="TableContents"/>
              <w:spacing w:before="0" w:after="0"/>
              <w:ind w:left="0" w:right="0" w:hanging="0"/>
              <w:rPr/>
            </w:pPr>
            <w:r>
              <w:rPr/>
              <w:t> </w:t>
            </w:r>
          </w:p>
        </w:tc>
        <w:tc>
          <w:tcPr>
            <w:tcW w:w="156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48,000</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165,841</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213,841</w:t>
            </w:r>
          </w:p>
        </w:tc>
      </w:tr>
      <w:tr>
        <w:trPr/>
        <w:tc>
          <w:tcPr>
            <w:tcW w:w="271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Chen Yu, M.D.</w:t>
            </w:r>
            <w:r>
              <w:rPr>
                <w:rFonts w:ascii="Arial;Helvetica;sans-serif" w:hAnsi="Arial;Helvetica;sans-serif"/>
                <w:sz w:val="15"/>
              </w:rPr>
              <w:t>(4)</w:t>
            </w:r>
          </w:p>
        </w:tc>
        <w:tc>
          <w:tcPr>
            <w:tcW w:w="326" w:type="dxa"/>
            <w:tcBorders/>
            <w:shd w:fill="CCEEFF" w:val="clear"/>
            <w:vAlign w:val="center"/>
          </w:tcPr>
          <w:p>
            <w:pPr>
              <w:pStyle w:val="TableContents"/>
              <w:spacing w:before="0" w:after="0"/>
              <w:ind w:left="0" w:right="0" w:hanging="0"/>
              <w:rPr/>
            </w:pPr>
            <w:r>
              <w:rPr/>
              <w:t> </w:t>
            </w:r>
          </w:p>
        </w:tc>
        <w:tc>
          <w:tcPr>
            <w:tcW w:w="15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pPr>
            <w:r>
              <w:rPr/>
              <w:t>—</w:t>
            </w:r>
          </w:p>
        </w:tc>
      </w:tr>
      <w:tr>
        <w:trPr/>
        <w:tc>
          <w:tcPr>
            <w:tcW w:w="271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Eric Dobmeier</w:t>
            </w:r>
            <w:r>
              <w:rPr>
                <w:rFonts w:ascii="Arial;Helvetica;sans-serif" w:hAnsi="Arial;Helvetica;sans-serif"/>
                <w:sz w:val="15"/>
              </w:rPr>
              <w:t>(1)</w:t>
            </w:r>
          </w:p>
        </w:tc>
        <w:tc>
          <w:tcPr>
            <w:tcW w:w="326" w:type="dxa"/>
            <w:tcBorders/>
            <w:shd w:fill="auto" w:val="clear"/>
            <w:vAlign w:val="center"/>
          </w:tcPr>
          <w:p>
            <w:pPr>
              <w:pStyle w:val="TableContents"/>
              <w:spacing w:before="0" w:after="0"/>
              <w:ind w:left="0" w:right="0" w:hanging="0"/>
              <w:rPr/>
            </w:pPr>
            <w:r>
              <w:rPr/>
              <w:t> </w:t>
            </w:r>
          </w:p>
        </w:tc>
        <w:tc>
          <w:tcPr>
            <w:tcW w:w="156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1,467</w:t>
            </w:r>
          </w:p>
        </w:tc>
        <w:tc>
          <w:tcPr>
            <w:tcW w:w="326" w:type="dxa"/>
            <w:tcBorders/>
            <w:shd w:fill="auto" w:val="clear"/>
            <w:vAlign w:val="center"/>
          </w:tcPr>
          <w:p>
            <w:pPr>
              <w:pStyle w:val="TableContents"/>
              <w:spacing w:before="0" w:after="0"/>
              <w:ind w:left="0" w:right="0" w:hanging="0"/>
              <w:rPr/>
            </w:pPr>
            <w:r>
              <w:rPr/>
              <w:t> </w:t>
            </w:r>
          </w:p>
        </w:tc>
        <w:tc>
          <w:tcPr>
            <w:tcW w:w="961"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217,353</w:t>
            </w:r>
          </w:p>
        </w:tc>
        <w:tc>
          <w:tcPr>
            <w:tcW w:w="326" w:type="dxa"/>
            <w:tcBorders/>
            <w:shd w:fill="auto" w:val="clear"/>
            <w:vAlign w:val="center"/>
          </w:tcPr>
          <w:p>
            <w:pPr>
              <w:pStyle w:val="TableContents"/>
              <w:spacing w:before="0" w:after="0"/>
              <w:ind w:left="0" w:right="0" w:hanging="0"/>
              <w:rPr/>
            </w:pPr>
            <w:r>
              <w:rPr/>
              <w:t> </w:t>
            </w:r>
          </w:p>
        </w:tc>
        <w:tc>
          <w:tcPr>
            <w:tcW w:w="1006" w:type="dxa"/>
            <w:tcBorders/>
            <w:shd w:fill="auto"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218,820</w:t>
            </w:r>
          </w:p>
        </w:tc>
      </w:tr>
      <w:tr>
        <w:trPr/>
        <w:tc>
          <w:tcPr>
            <w:tcW w:w="271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Joanne Waldstreicher, M.D.</w:t>
            </w:r>
            <w:r>
              <w:rPr>
                <w:rFonts w:ascii="Arial;Helvetica;sans-serif" w:hAnsi="Arial;Helvetica;sans-serif"/>
                <w:sz w:val="15"/>
              </w:rPr>
              <w:t>(1)</w:t>
            </w:r>
          </w:p>
        </w:tc>
        <w:tc>
          <w:tcPr>
            <w:tcW w:w="326" w:type="dxa"/>
            <w:tcBorders/>
            <w:shd w:fill="CCEEFF" w:val="clear"/>
            <w:vAlign w:val="center"/>
          </w:tcPr>
          <w:p>
            <w:pPr>
              <w:pStyle w:val="TableContents"/>
              <w:spacing w:before="0" w:after="0"/>
              <w:ind w:left="0" w:right="0" w:hanging="0"/>
              <w:rPr/>
            </w:pPr>
            <w:r>
              <w:rPr/>
              <w:t> </w:t>
            </w:r>
          </w:p>
        </w:tc>
        <w:tc>
          <w:tcPr>
            <w:tcW w:w="156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1,467</w:t>
            </w:r>
          </w:p>
        </w:tc>
        <w:tc>
          <w:tcPr>
            <w:tcW w:w="326" w:type="dxa"/>
            <w:tcBorders/>
            <w:shd w:fill="CCEEFF" w:val="clear"/>
            <w:vAlign w:val="center"/>
          </w:tcPr>
          <w:p>
            <w:pPr>
              <w:pStyle w:val="TableContents"/>
              <w:spacing w:before="0" w:after="0"/>
              <w:ind w:left="0" w:right="0" w:hanging="0"/>
              <w:rPr/>
            </w:pPr>
            <w:r>
              <w:rPr/>
              <w:t> </w:t>
            </w:r>
          </w:p>
        </w:tc>
        <w:tc>
          <w:tcPr>
            <w:tcW w:w="96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217,353</w:t>
            </w:r>
          </w:p>
        </w:tc>
        <w:tc>
          <w:tcPr>
            <w:tcW w:w="326" w:type="dxa"/>
            <w:tcBorders/>
            <w:shd w:fill="CCEEFF" w:val="clear"/>
            <w:vAlign w:val="center"/>
          </w:tcPr>
          <w:p>
            <w:pPr>
              <w:pStyle w:val="TableContents"/>
              <w:spacing w:before="0" w:after="0"/>
              <w:ind w:left="0" w:right="0" w:hanging="0"/>
              <w:rPr/>
            </w:pPr>
            <w:r>
              <w:rPr/>
              <w:t> </w:t>
            </w:r>
          </w:p>
        </w:tc>
        <w:tc>
          <w:tcPr>
            <w:tcW w:w="100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218,820</w:t>
            </w:r>
          </w:p>
        </w:tc>
      </w:tr>
      <w:tr>
        <w:trPr/>
        <w:tc>
          <w:tcPr>
            <w:tcW w:w="271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56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tbl>
      <w:tblPr>
        <w:tblW w:w="9130" w:type="dxa"/>
        <w:jc w:val="left"/>
        <w:tblInd w:w="0" w:type="dxa"/>
        <w:tblCellMar>
          <w:top w:w="0" w:type="dxa"/>
          <w:left w:w="0" w:type="dxa"/>
          <w:bottom w:w="0" w:type="dxa"/>
          <w:right w:w="0" w:type="dxa"/>
        </w:tblCellMar>
      </w:tblPr>
      <w:tblGrid>
        <w:gridCol w:w="170"/>
        <w:gridCol w:w="8960"/>
      </w:tblGrid>
      <w:tr>
        <w:trPr/>
        <w:tc>
          <w:tcPr>
            <w:tcW w:w="170" w:type="dxa"/>
            <w:tcBorders/>
            <w:shd w:fill="auto" w:val="clear"/>
            <w:vAlign w:val="center"/>
          </w:tcPr>
          <w:p>
            <w:pPr>
              <w:pStyle w:val="TableContents"/>
              <w:spacing w:before="0" w:after="120"/>
              <w:rPr>
                <w:rFonts w:ascii="Arial;Helvetica;sans-serif" w:hAnsi="Arial;Helvetica;sans-serif"/>
                <w:sz w:val="12"/>
              </w:rPr>
            </w:pPr>
            <w:r>
              <w:rPr>
                <w:rFonts w:ascii="Arial;Helvetica;sans-serif" w:hAnsi="Arial;Helvetica;sans-serif"/>
                <w:sz w:val="12"/>
              </w:rPr>
              <w:t>(1)</w:t>
            </w:r>
          </w:p>
        </w:tc>
        <w:tc>
          <w:tcPr>
            <w:tcW w:w="8960" w:type="dxa"/>
            <w:tcBorders/>
            <w:shd w:fill="auto" w:val="clear"/>
            <w:vAlign w:val="center"/>
          </w:tcPr>
          <w:p>
            <w:pPr>
              <w:pStyle w:val="TableContents"/>
              <w:spacing w:before="0" w:after="120"/>
              <w:rPr>
                <w:rFonts w:ascii="Arial;Helvetica;sans-serif" w:hAnsi="Arial;Helvetica;sans-serif"/>
                <w:sz w:val="16"/>
              </w:rPr>
            </w:pPr>
            <w:r>
              <w:rPr>
                <w:rFonts w:ascii="Arial;Helvetica;sans-serif" w:hAnsi="Arial;Helvetica;sans-serif"/>
                <w:sz w:val="16"/>
              </w:rPr>
              <w:t>The director is party to a board service agreement, which automatically terminated immediately upon the closing of our IPO.</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120"/>
              <w:rPr>
                <w:rFonts w:ascii="Arial;Helvetica;sans-serif" w:hAnsi="Arial;Helvetica;sans-serif"/>
                <w:sz w:val="12"/>
              </w:rPr>
            </w:pPr>
            <w:r>
              <w:rPr>
                <w:rFonts w:ascii="Arial;Helvetica;sans-serif" w:hAnsi="Arial;Helvetica;sans-serif"/>
                <w:sz w:val="12"/>
              </w:rPr>
              <w:t>(2)</w:t>
            </w:r>
          </w:p>
        </w:tc>
        <w:tc>
          <w:tcPr>
            <w:tcW w:w="10063" w:type="dxa"/>
            <w:tcBorders/>
            <w:shd w:fill="auto" w:val="clear"/>
            <w:vAlign w:val="center"/>
          </w:tcPr>
          <w:p>
            <w:pPr>
              <w:pStyle w:val="TableContents"/>
              <w:spacing w:before="0" w:after="120"/>
              <w:rPr>
                <w:rFonts w:ascii="Arial;Helvetica;sans-serif" w:hAnsi="Arial;Helvetica;sans-serif"/>
                <w:sz w:val="16"/>
              </w:rPr>
            </w:pPr>
            <w:r>
              <w:rPr>
                <w:rFonts w:ascii="Arial;Helvetica;sans-serif" w:hAnsi="Arial;Helvetica;sans-serif"/>
                <w:sz w:val="16"/>
              </w:rPr>
              <w:t>The amount disclosed represents the aggregate grant date fair value of the share option granted to our non-employee directors during fiscal year 2022 under our 2019 Equity Incentive Plan, computed in accordance with FASB ASC Topic 718. This amount does not reflect the actual economic value that may be realized by the director.</w:t>
            </w:r>
          </w:p>
        </w:tc>
      </w:tr>
    </w:tbl>
    <w:tbl>
      <w:tblPr>
        <w:tblW w:w="10205" w:type="dxa"/>
        <w:jc w:val="left"/>
        <w:tblInd w:w="0" w:type="dxa"/>
        <w:tblCellMar>
          <w:top w:w="0" w:type="dxa"/>
          <w:left w:w="0" w:type="dxa"/>
          <w:bottom w:w="0" w:type="dxa"/>
          <w:right w:w="0" w:type="dxa"/>
        </w:tblCellMar>
      </w:tblPr>
      <w:tblGrid>
        <w:gridCol w:w="136"/>
        <w:gridCol w:w="10069"/>
      </w:tblGrid>
      <w:tr>
        <w:trPr/>
        <w:tc>
          <w:tcPr>
            <w:tcW w:w="136" w:type="dxa"/>
            <w:tcBorders/>
            <w:shd w:fill="auto" w:val="clear"/>
            <w:vAlign w:val="center"/>
          </w:tcPr>
          <w:p>
            <w:pPr>
              <w:pStyle w:val="TableContents"/>
              <w:spacing w:before="0" w:after="120"/>
              <w:rPr>
                <w:rFonts w:ascii="Arial;Helvetica;sans-serif" w:hAnsi="Arial;Helvetica;sans-serif"/>
                <w:sz w:val="12"/>
              </w:rPr>
            </w:pPr>
            <w:r>
              <w:rPr>
                <w:rFonts w:ascii="Arial;Helvetica;sans-serif" w:hAnsi="Arial;Helvetica;sans-serif"/>
                <w:sz w:val="12"/>
              </w:rPr>
              <w:t>(3)</w:t>
            </w:r>
          </w:p>
        </w:tc>
        <w:tc>
          <w:tcPr>
            <w:tcW w:w="10069" w:type="dxa"/>
            <w:tcBorders/>
            <w:shd w:fill="auto" w:val="clear"/>
            <w:vAlign w:val="center"/>
          </w:tcPr>
          <w:p>
            <w:pPr>
              <w:pStyle w:val="TableContents"/>
              <w:spacing w:before="0" w:after="120"/>
              <w:rPr>
                <w:rFonts w:ascii="Arial;Helvetica;sans-serif" w:hAnsi="Arial;Helvetica;sans-serif"/>
                <w:sz w:val="16"/>
              </w:rPr>
            </w:pPr>
            <w:r>
              <w:rPr>
                <w:rFonts w:ascii="Arial;Helvetica;sans-serif" w:hAnsi="Arial;Helvetica;sans-serif"/>
                <w:sz w:val="16"/>
              </w:rPr>
              <w:t>As of December 31, 2022, (i) Mr. Welch held an option to purchase 1,179,122 ordinary shares, which is subject to early exercise; (ii) Ms. Tetlow held an option to purchase 80,000 ordinary shares, which is subject to early exercise; (iii) Mr. Dobmeier held an option to purchase 80,000 ordinary shares, none of which were vested as of such date; and (iv) Dr. Waldstreicher held an option to purchase 80,000 ordinary shares, none of which were vested as of such date.</w:t>
            </w:r>
          </w:p>
        </w:tc>
      </w:tr>
    </w:tbl>
    <w:tbl>
      <w:tblPr>
        <w:tblW w:w="6790" w:type="dxa"/>
        <w:jc w:val="left"/>
        <w:tblInd w:w="0" w:type="dxa"/>
        <w:tblCellMar>
          <w:top w:w="0" w:type="dxa"/>
          <w:left w:w="0" w:type="dxa"/>
          <w:bottom w:w="0" w:type="dxa"/>
          <w:right w:w="0" w:type="dxa"/>
        </w:tblCellMar>
      </w:tblPr>
      <w:tblGrid>
        <w:gridCol w:w="170"/>
        <w:gridCol w:w="6620"/>
      </w:tblGrid>
      <w:tr>
        <w:trPr/>
        <w:tc>
          <w:tcPr>
            <w:tcW w:w="170" w:type="dxa"/>
            <w:tcBorders/>
            <w:shd w:fill="auto" w:val="clear"/>
            <w:vAlign w:val="center"/>
          </w:tcPr>
          <w:p>
            <w:pPr>
              <w:pStyle w:val="TableContents"/>
              <w:spacing w:before="0" w:after="160"/>
              <w:rPr>
                <w:rFonts w:ascii="Arial;Helvetica;sans-serif" w:hAnsi="Arial;Helvetica;sans-serif"/>
                <w:sz w:val="12"/>
              </w:rPr>
            </w:pPr>
            <w:r>
              <w:rPr>
                <w:rFonts w:ascii="Arial;Helvetica;sans-serif" w:hAnsi="Arial;Helvetica;sans-serif"/>
                <w:sz w:val="12"/>
              </w:rPr>
              <w:t>(4)</w:t>
            </w:r>
          </w:p>
        </w:tc>
        <w:tc>
          <w:tcPr>
            <w:tcW w:w="6620" w:type="dxa"/>
            <w:tcBorders/>
            <w:shd w:fill="auto" w:val="clear"/>
            <w:vAlign w:val="center"/>
          </w:tcPr>
          <w:p>
            <w:pPr>
              <w:pStyle w:val="TableContents"/>
              <w:spacing w:before="0" w:after="160"/>
              <w:rPr>
                <w:rFonts w:ascii="Arial;Helvetica;sans-serif" w:hAnsi="Arial;Helvetica;sans-serif"/>
                <w:sz w:val="16"/>
              </w:rPr>
            </w:pPr>
            <w:r>
              <w:rPr>
                <w:rFonts w:ascii="Arial;Helvetica;sans-serif" w:hAnsi="Arial;Helvetica;sans-serif"/>
                <w:sz w:val="16"/>
              </w:rPr>
              <w:t>Ms. Lifton and Dr. Yu each resigned from the board of directors effective February 2, 2023.</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We entered into a board service agreement with Daniel G. Welch, pursuant to which, starting on January 1, 2022, Mr. Welch will be: (i) compensated $160,000 per fiscal year for services performed as a member of the board of directors and up to $64,000 per fiscal year to serve as the Chairman of the board of directors; and (ii) awarded a share option for 1,179,122 ordinary shares, which was granted in January 2022 under the 2019 Plan. One-third of the shares subject to the share option vested on the one-year anniversary of the vesting commencement date, with the remaining shares vesting in a series of 24 equal monthly installments, subject to his continued service through each such date.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entered into a board service agreement with Sharon Tetlow, pursuant to which, starting on March 14, 2022, Ms. Tetlow will be: (i) compensated $45,000 per fiscal year for services performed as a member of the board of directors and $15,000 per fiscal year to serve as the Chair of the Audit Committee of the board of directors; and (ii) awarded a share option for 80,000 ordinary shares, which was granted in May 2022 under the 2019 Plan. One-third of the shares subject to the share option will vest on the one-year anniversary of the vesting commencement date, with the remaining shares vesting in a series of 24 equal monthly installments, subject to her continued service through each such date.</w:t>
      </w:r>
    </w:p>
    <w:p>
      <w:pPr>
        <w:pStyle w:val="TextBody"/>
        <w:spacing w:before="0" w:after="240"/>
        <w:ind w:left="0" w:right="0" w:hanging="0"/>
        <w:rPr>
          <w:rFonts w:ascii="Arial;Helvetica;sans-serif" w:hAnsi="Arial;Helvetica;sans-serif"/>
          <w:sz w:val="19"/>
        </w:rPr>
      </w:pPr>
      <w:r>
        <w:rPr>
          <w:rFonts w:ascii="Arial;Helvetica;sans-serif" w:hAnsi="Arial;Helvetica;sans-serif"/>
          <w:sz w:val="19"/>
        </w:rPr>
        <w:t>We entered into a board service agreement with Eric Dobmeier, pursuant to which, starting on December 20, 2022, Mr. Dobmeier will be: (i) compensated $45,000 per fiscal year for services performed as a member of the board of directors; and (ii) awarded a share option for 80,000 ordinary shares, which was granted in December 2022 under the 2019 Plan. One-third of the shares subject to the share option will vest on the one-year anniversary of the vesting commencement date, with the remaining shares vesting in a series of 24 equal monthly installments, subject to his continued service through each such date.</w:t>
      </w:r>
    </w:p>
    <w:p>
      <w:pPr>
        <w:pStyle w:val="TextBody"/>
        <w:spacing w:before="0" w:after="0"/>
        <w:ind w:left="0" w:right="0" w:hanging="0"/>
        <w:rPr>
          <w:rFonts w:ascii="Arial;Helvetica;sans-serif" w:hAnsi="Arial;Helvetica;sans-serif"/>
          <w:sz w:val="19"/>
        </w:rPr>
      </w:pPr>
      <w:r>
        <w:rPr>
          <w:rFonts w:ascii="Arial;Helvetica;sans-serif" w:hAnsi="Arial;Helvetica;sans-serif"/>
          <w:sz w:val="19"/>
        </w:rPr>
        <w:t xml:space="preserve">We entered into a board service agreement with Joanne Waldstreicher, pursuant to which, starting on December 20, 2022, Dr. Waldstreicher will be: (i) compensated $45,000 per fiscal year for services performed as a member of the board of directors; and (ii) awarded a share option for 80,000 ordinary shares, which was granted in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222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19"/>
        </w:rPr>
      </w:pPr>
      <w:r>
        <w:rPr>
          <w:rFonts w:ascii="Arial;Helvetica;sans-serif" w:hAnsi="Arial;Helvetica;sans-serif"/>
          <w:sz w:val="19"/>
        </w:rPr>
        <w:t>December 2022 under the 2019 Plan. One-third of the shares subject to the share option will vest on the one-year anniversary of the vesting commencement date, with the remaining shares vesting in a series of 24 equal monthly installments, subject to her continued service through each such date.</w:t>
      </w:r>
    </w:p>
    <w:p>
      <w:pPr>
        <w:pStyle w:val="TextBody"/>
        <w:spacing w:before="0" w:after="240"/>
        <w:ind w:left="0" w:right="0" w:hanging="0"/>
        <w:rPr>
          <w:rFonts w:ascii="Arial;Helvetica;sans-serif" w:hAnsi="Arial;Helvetica;sans-serif"/>
          <w:sz w:val="19"/>
        </w:rPr>
      </w:pPr>
      <w:r>
        <w:rPr>
          <w:rFonts w:ascii="Arial;Helvetica;sans-serif" w:hAnsi="Arial;Helvetica;sans-serif"/>
          <w:sz w:val="19"/>
        </w:rPr>
        <w:t>Pursuant to their terms, the board service agreements we entered into with Mr. Welch, Ms. Tetlow, Mr. Dobmeier and Dr. Waldstreicher each automatically terminated immediately upon the closing of our IPO.</w:t>
      </w:r>
    </w:p>
    <w:p>
      <w:pPr>
        <w:pStyle w:val="TextBody"/>
        <w:spacing w:before="0" w:after="240"/>
        <w:ind w:left="0" w:right="0" w:hanging="0"/>
        <w:rPr>
          <w:rFonts w:ascii="Arial;Helvetica;sans-serif" w:hAnsi="Arial;Helvetica;sans-serif"/>
          <w:sz w:val="19"/>
        </w:rPr>
      </w:pPr>
      <w:r>
        <w:rPr>
          <w:rFonts w:ascii="Arial;Helvetica;sans-serif" w:hAnsi="Arial;Helvetica;sans-serif"/>
          <w:sz w:val="19"/>
        </w:rPr>
        <w:t>We have reimbursed and will continue to reimburse all of our non-employee directors for their reasonable out-of-pocket expenses incurred in attending board of directors and committee meetings.</w:t>
      </w:r>
    </w:p>
    <w:p>
      <w:pPr>
        <w:pStyle w:val="TextBody"/>
        <w:spacing w:before="0" w:after="240"/>
        <w:ind w:left="0" w:right="0" w:hanging="0"/>
        <w:rPr>
          <w:rFonts w:ascii="Arial;Helvetica;sans-serif" w:hAnsi="Arial;Helvetica;sans-serif"/>
          <w:sz w:val="19"/>
        </w:rPr>
      </w:pPr>
      <w:r>
        <w:rPr>
          <w:rFonts w:ascii="Arial;Helvetica;sans-serif" w:hAnsi="Arial;Helvetica;sans-serif"/>
          <w:sz w:val="19"/>
        </w:rPr>
        <w:t>Our board of directors adopted a non-employee director compensation policy in January 2023 that became effective on February 2, 2023 and is applicable to all of our non-employee directors. This compensation policy provides that each such non-employee director will receive the following compensation for service on our board of directors, which amounts were determined after carefully considering market data and recommendations from our independent compensation consultant:</w:t>
      </w:r>
    </w:p>
    <w:tbl>
      <w:tblPr>
        <w:tblW w:w="3273" w:type="dxa"/>
        <w:jc w:val="left"/>
        <w:tblInd w:w="0" w:type="dxa"/>
        <w:tblCellMar>
          <w:top w:w="0" w:type="dxa"/>
          <w:left w:w="0" w:type="dxa"/>
          <w:bottom w:w="0" w:type="dxa"/>
          <w:right w:w="0" w:type="dxa"/>
        </w:tblCellMar>
      </w:tblPr>
      <w:tblGrid>
        <w:gridCol w:w="23"/>
        <w:gridCol w:w="170"/>
        <w:gridCol w:w="30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080" w:type="dxa"/>
            <w:tcBorders/>
            <w:shd w:fill="auto" w:val="cle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 annual cash retainer of $45,000;</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 additional cash retainer of $179,000 for service as chair of the company, in recognition of Mr. Welch’s significant contributions to our board of directors;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 additional annual cash retainer of $7,500, $5,000 and $4,000 for service as a member of the audit committee, compensation committee and the nominating and governance committee, respectively;</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 additional annual cash retainer of $15,000, $10,000 and $8,000 for service as chair of the audit committee, compensation committee and the nominating and governance committee, respectively;</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 initial share option to purchase 90,000 of our ordinary shares on the date of each such non-employee director’s appointment to our board of directors, vesting in 36 equal monthly installments; and</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19"/>
              </w:rPr>
            </w:pPr>
            <w:r>
              <w:rPr>
                <w:rFonts w:ascii="Arial;Helvetica;sans-serif" w:hAnsi="Arial;Helvetica;sans-serif"/>
                <w:b w:val="false"/>
                <w:i w:val="false"/>
                <w:caps w:val="false"/>
                <w:smallCaps w:val="false"/>
                <w:sz w:val="19"/>
              </w:rPr>
              <w:t>an annual share option to purchase 45,000 of our ordinary shares on the date of each of our annual shareholder meetings, vesting in 12 equal monthly installments (and will be fully vested on the day immediately preceding the next annual shareholder meeting, if sooner).</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Each share option described above will be granted under our 2023 Plan. The term of each share option will be ten years, subject to earlier termination as provided in the 2023 Plan, provided that upon a termination of continuous service other than for death or “cause” (as such term is defined in the 2023 Plan), the post-termination exercise period will be 12 months from the date of termination. Each share option will vest subject to the director’s continuous service with us, provided that each share option will vest in full upon a change in control of the company.</w:t>
      </w:r>
    </w:p>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Item 12. Security Ownership of Certain Beneficial Owners and Management and Related Stockholder</w:t>
      </w:r>
      <w:bookmarkStart w:id="38" w:name="Item12_Security_Ownership_of_Certain"/>
      <w:bookmarkEnd w:id="38"/>
      <w:r>
        <w:rPr>
          <w:rFonts w:ascii="Arial;Helvetica;sans-serif" w:hAnsi="Arial;Helvetica;sans-serif"/>
          <w:b/>
          <w:sz w:val="20"/>
        </w:rPr>
        <w:t xml:space="preserve"> Matters.</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PRINCIPAL SHAREHOLDERS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following table sets forth, as of March 15, 2023, information regarding beneficial ownership of ordinary shares by:</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person, or group of affiliated persons, known by us to beneficially own more than 5% of our issued share capital;</w:t>
            </w:r>
          </w:p>
        </w:tc>
      </w:tr>
    </w:tbl>
    <w:tbl>
      <w:tblPr>
        <w:tblW w:w="3498" w:type="dxa"/>
        <w:jc w:val="left"/>
        <w:tblInd w:w="0" w:type="dxa"/>
        <w:tblCellMar>
          <w:top w:w="0" w:type="dxa"/>
          <w:left w:w="0" w:type="dxa"/>
          <w:bottom w:w="0" w:type="dxa"/>
          <w:right w:w="0" w:type="dxa"/>
        </w:tblCellMar>
      </w:tblPr>
      <w:tblGrid>
        <w:gridCol w:w="23"/>
        <w:gridCol w:w="170"/>
        <w:gridCol w:w="33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30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of our named executive officers;</w:t>
            </w:r>
          </w:p>
        </w:tc>
      </w:tr>
    </w:tbl>
    <w:tbl>
      <w:tblPr>
        <w:tblW w:w="2433" w:type="dxa"/>
        <w:jc w:val="left"/>
        <w:tblInd w:w="0" w:type="dxa"/>
        <w:tblCellMar>
          <w:top w:w="0" w:type="dxa"/>
          <w:left w:w="0" w:type="dxa"/>
          <w:bottom w:w="0" w:type="dxa"/>
          <w:right w:w="0" w:type="dxa"/>
        </w:tblCellMar>
      </w:tblPr>
      <w:tblGrid>
        <w:gridCol w:w="23"/>
        <w:gridCol w:w="170"/>
        <w:gridCol w:w="22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24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of our directors; and</w:t>
            </w:r>
          </w:p>
        </w:tc>
      </w:tr>
    </w:tbl>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223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tbl>
      <w:tblPr>
        <w:tblW w:w="5448" w:type="dxa"/>
        <w:jc w:val="left"/>
        <w:tblInd w:w="0" w:type="dxa"/>
        <w:tblCellMar>
          <w:top w:w="0" w:type="dxa"/>
          <w:left w:w="0" w:type="dxa"/>
          <w:bottom w:w="0" w:type="dxa"/>
          <w:right w:w="0" w:type="dxa"/>
        </w:tblCellMar>
      </w:tblPr>
      <w:tblGrid>
        <w:gridCol w:w="23"/>
        <w:gridCol w:w="170"/>
        <w:gridCol w:w="52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255"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of our current executive officers and directors as a group.</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percentage ownership information is based on 114,729,529 ordinary shares outstanding as of March 15, 2023, which includes the conversion of all outstanding preferred shares into an aggregate of 67,018,087 ordinary shares in connection with the closing of the IPO and the sale of 57,053,000 ordinary shares represented by ADSs in the IPO.</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Beneficial ownership is determined according to the rules of the SEC and generally means that a person has beneficial ownership of a security if he, she or it possesses sole or shared voting or investment power of that security. In addition, the rules include ordinary shares issuable upon the exercise of options that are currently exercisable or exercisable within 60 days of March 15, 2023.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The information contained in the following table does not necessarily indicate beneficial ownership for any other purpose. Unless otherwise indicated, the persons or entities identified in this table have sole voting and investment power with respect to all shares shown as beneficially owned by them, subject to applicable community property laws.</w:t>
      </w:r>
    </w:p>
    <w:p>
      <w:pPr>
        <w:pStyle w:val="TextBody"/>
        <w:spacing w:before="0" w:after="200"/>
        <w:ind w:left="0" w:right="0" w:hanging="0"/>
        <w:rPr>
          <w:rFonts w:ascii="Arial;Helvetica;sans-serif" w:hAnsi="Arial;Helvetica;sans-serif"/>
          <w:sz w:val="20"/>
        </w:rPr>
      </w:pPr>
      <w:r>
        <w:rPr>
          <w:rFonts w:ascii="Arial;Helvetica;sans-serif" w:hAnsi="Arial;Helvetica;sans-serif"/>
          <w:sz w:val="20"/>
        </w:rPr>
        <w:t>Unless otherwise noted below, the address for each beneficial owner listed in the table below is c/o Structure Therapeutics Inc., 611 Gateway Blvd., Suite 223, South San Francisco, CA 94080.</w:t>
      </w:r>
    </w:p>
    <w:tbl>
      <w:tblPr>
        <w:tblW w:w="10001" w:type="dxa"/>
        <w:jc w:val="center"/>
        <w:tblInd w:w="0" w:type="dxa"/>
        <w:tblCellMar>
          <w:top w:w="0" w:type="dxa"/>
          <w:left w:w="0" w:type="dxa"/>
          <w:bottom w:w="0" w:type="dxa"/>
          <w:right w:w="0" w:type="dxa"/>
        </w:tblCellMar>
      </w:tblPr>
      <w:tblGrid>
        <w:gridCol w:w="6181"/>
        <w:gridCol w:w="326"/>
        <w:gridCol w:w="1306"/>
        <w:gridCol w:w="326"/>
        <w:gridCol w:w="1531"/>
        <w:gridCol w:w="331"/>
      </w:tblGrid>
      <w:tr>
        <w:trPr/>
        <w:tc>
          <w:tcPr>
            <w:tcW w:w="6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3924935" cy="175260"/>
                      <wp:effectExtent l="0" t="0" r="0" b="0"/>
                      <wp:wrapNone/>
                      <wp:docPr id="366" name="Frame324"/>
                      <a:graphic xmlns:a="http://schemas.openxmlformats.org/drawingml/2006/main">
                        <a:graphicData uri="http://schemas.microsoft.com/office/word/2010/wordprocessingShape">
                          <wps:wsp>
                            <wps:cNvSpPr txBox="1"/>
                            <wps:spPr>
                              <a:xfrm>
                                <a:off x="0" y="0"/>
                                <a:ext cx="3924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67" name="Frame3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829310" cy="175260"/>
                      <wp:effectExtent l="0" t="0" r="0" b="0"/>
                      <wp:wrapNone/>
                      <wp:docPr id="368" name="Frame326"/>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9" name="Frame3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972185" cy="175260"/>
                      <wp:effectExtent l="0" t="0" r="0" b="0"/>
                      <wp:wrapNone/>
                      <wp:docPr id="370" name="Frame328"/>
                      <a:graphic xmlns:a="http://schemas.openxmlformats.org/drawingml/2006/main">
                        <a:graphicData uri="http://schemas.microsoft.com/office/word/2010/wordprocessingShape">
                          <wps:wsp>
                            <wps:cNvSpPr txBox="1"/>
                            <wps:spPr>
                              <a:xfrm>
                                <a:off x="0" y="0"/>
                                <a:ext cx="972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0185" cy="175260"/>
                      <wp:effectExtent l="0" t="0" r="0" b="0"/>
                      <wp:wrapNone/>
                      <wp:docPr id="371" name="Frame329"/>
                      <a:graphic xmlns:a="http://schemas.openxmlformats.org/drawingml/2006/main">
                        <a:graphicData uri="http://schemas.microsoft.com/office/word/2010/wordprocessingShape">
                          <wps:wsp>
                            <wps:cNvSpPr txBox="1"/>
                            <wps:spPr>
                              <a:xfrm>
                                <a:off x="0" y="0"/>
                                <a:ext cx="210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618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30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53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3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r>
      <w:tr>
        <w:trPr/>
        <w:tc>
          <w:tcPr>
            <w:tcW w:w="61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0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NUMBER OF</w:t>
            </w:r>
          </w:p>
        </w:tc>
        <w:tc>
          <w:tcPr>
            <w:tcW w:w="326" w:type="dxa"/>
            <w:tcBorders/>
            <w:shd w:fill="auto" w:val="clear"/>
            <w:vAlign w:val="center"/>
          </w:tcPr>
          <w:p>
            <w:pPr>
              <w:pStyle w:val="TableContents"/>
              <w:spacing w:before="0" w:after="1"/>
              <w:ind w:left="0" w:right="0" w:hanging="0"/>
              <w:rPr/>
            </w:pPr>
            <w:r>
              <w:rPr/>
              <w:t>​</w:t>
            </w:r>
          </w:p>
        </w:tc>
        <w:tc>
          <w:tcPr>
            <w:tcW w:w="153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PERCENTAGE OF</w:t>
            </w:r>
          </w:p>
        </w:tc>
        <w:tc>
          <w:tcPr>
            <w:tcW w:w="331" w:type="dxa"/>
            <w:tcBorders/>
            <w:shd w:fill="auto" w:val="clear"/>
            <w:vAlign w:val="center"/>
          </w:tcPr>
          <w:p>
            <w:pPr>
              <w:pStyle w:val="TableContents"/>
              <w:spacing w:before="0" w:after="1"/>
              <w:ind w:left="0" w:right="0" w:hanging="0"/>
              <w:rPr/>
            </w:pPr>
            <w:r>
              <w:rPr/>
              <w:t> </w:t>
            </w:r>
          </w:p>
        </w:tc>
      </w:tr>
      <w:tr>
        <w:trPr/>
        <w:tc>
          <w:tcPr>
            <w:tcW w:w="61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0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326" w:type="dxa"/>
            <w:tcBorders/>
            <w:shd w:fill="auto" w:val="clear"/>
            <w:vAlign w:val="center"/>
          </w:tcPr>
          <w:p>
            <w:pPr>
              <w:pStyle w:val="TableContents"/>
              <w:spacing w:before="0" w:after="1"/>
              <w:ind w:left="0" w:right="0" w:hanging="0"/>
              <w:rPr/>
            </w:pPr>
            <w:r>
              <w:rPr/>
              <w:t>​</w:t>
            </w:r>
          </w:p>
        </w:tc>
        <w:tc>
          <w:tcPr>
            <w:tcW w:w="153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SHARES</w:t>
            </w:r>
          </w:p>
        </w:tc>
        <w:tc>
          <w:tcPr>
            <w:tcW w:w="331" w:type="dxa"/>
            <w:tcBorders/>
            <w:shd w:fill="auto" w:val="clear"/>
            <w:vAlign w:val="center"/>
          </w:tcPr>
          <w:p>
            <w:pPr>
              <w:pStyle w:val="TableContents"/>
              <w:spacing w:before="0" w:after="1"/>
              <w:ind w:left="0" w:right="0" w:hanging="0"/>
              <w:rPr/>
            </w:pPr>
            <w:r>
              <w:rPr/>
              <w:t> </w:t>
            </w:r>
          </w:p>
        </w:tc>
      </w:tr>
      <w:tr>
        <w:trPr/>
        <w:tc>
          <w:tcPr>
            <w:tcW w:w="618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30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BENEFICIALLY</w:t>
            </w:r>
          </w:p>
        </w:tc>
        <w:tc>
          <w:tcPr>
            <w:tcW w:w="326" w:type="dxa"/>
            <w:tcBorders/>
            <w:shd w:fill="auto" w:val="clear"/>
            <w:vAlign w:val="center"/>
          </w:tcPr>
          <w:p>
            <w:pPr>
              <w:pStyle w:val="TableContents"/>
              <w:spacing w:before="0" w:after="1"/>
              <w:ind w:left="0" w:right="0" w:hanging="0"/>
              <w:rPr/>
            </w:pPr>
            <w:r>
              <w:rPr/>
              <w:t>​</w:t>
            </w:r>
          </w:p>
        </w:tc>
        <w:tc>
          <w:tcPr>
            <w:tcW w:w="153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BENEFICIALLY</w:t>
            </w:r>
          </w:p>
        </w:tc>
        <w:tc>
          <w:tcPr>
            <w:tcW w:w="331" w:type="dxa"/>
            <w:tcBorders/>
            <w:shd w:fill="auto" w:val="clear"/>
            <w:vAlign w:val="center"/>
          </w:tcPr>
          <w:p>
            <w:pPr>
              <w:pStyle w:val="TableContents"/>
              <w:spacing w:before="0" w:after="1"/>
              <w:ind w:left="0" w:right="0" w:hanging="0"/>
              <w:rPr/>
            </w:pPr>
            <w:r>
              <w:rPr/>
              <w:t> </w:t>
            </w:r>
          </w:p>
        </w:tc>
      </w:tr>
      <w:tr>
        <w:trPr/>
        <w:tc>
          <w:tcPr>
            <w:tcW w:w="6181" w:type="dxa"/>
            <w:tcBorders>
              <w:bottom w:val="single" w:sz="2"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b/>
                <w:sz w:val="16"/>
              </w:rPr>
            </w:pPr>
            <w:r>
              <w:rPr>
                <w:rFonts w:ascii="Arial;Helvetica;sans-serif" w:hAnsi="Arial;Helvetica;sans-serif"/>
                <w:b/>
                <w:sz w:val="16"/>
              </w:rPr>
              <w:t>NAME OF BENEFICIAL OWNER</w:t>
            </w:r>
          </w:p>
        </w:tc>
        <w:tc>
          <w:tcPr>
            <w:tcW w:w="326" w:type="dxa"/>
            <w:tcBorders/>
            <w:shd w:fill="auto" w:val="clear"/>
            <w:vAlign w:val="center"/>
          </w:tcPr>
          <w:p>
            <w:pPr>
              <w:pStyle w:val="TableContents"/>
              <w:spacing w:before="0" w:after="1"/>
              <w:ind w:left="0" w:right="0" w:hanging="0"/>
              <w:rPr/>
            </w:pPr>
            <w:r>
              <w:rPr/>
              <w:t>​</w:t>
            </w:r>
          </w:p>
        </w:tc>
        <w:tc>
          <w:tcPr>
            <w:tcW w:w="130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OWNED</w:t>
            </w:r>
          </w:p>
        </w:tc>
        <w:tc>
          <w:tcPr>
            <w:tcW w:w="326" w:type="dxa"/>
            <w:tcBorders/>
            <w:shd w:fill="auto" w:val="clear"/>
            <w:vAlign w:val="center"/>
          </w:tcPr>
          <w:p>
            <w:pPr>
              <w:pStyle w:val="TableContents"/>
              <w:spacing w:before="0" w:after="1"/>
              <w:ind w:left="0" w:right="0" w:hanging="0"/>
              <w:rPr/>
            </w:pPr>
            <w:r>
              <w:rPr/>
              <w:t>​</w:t>
            </w:r>
          </w:p>
        </w:tc>
        <w:tc>
          <w:tcPr>
            <w:tcW w:w="15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OWNED</w:t>
            </w:r>
          </w:p>
        </w:tc>
        <w:tc>
          <w:tcPr>
            <w:tcW w:w="331" w:type="dxa"/>
            <w:tcBorders/>
            <w:shd w:fill="auto" w:val="clear"/>
            <w:vAlign w:val="center"/>
          </w:tcPr>
          <w:p>
            <w:pPr>
              <w:pStyle w:val="TableContents"/>
              <w:spacing w:before="0" w:after="1"/>
              <w:ind w:left="0" w:right="0" w:hanging="0"/>
              <w:rPr/>
            </w:pPr>
            <w:r>
              <w:rPr/>
              <w:t> </w:t>
            </w:r>
          </w:p>
        </w:tc>
      </w:tr>
      <w:tr>
        <w:trPr/>
        <w:tc>
          <w:tcPr>
            <w:tcW w:w="6181" w:type="dxa"/>
            <w:tcBorders/>
            <w:shd w:fill="CCEEFF" w:val="clear"/>
            <w:vAlign w:val="center"/>
          </w:tcPr>
          <w:p>
            <w:pPr>
              <w:pStyle w:val="TableContents"/>
              <w:spacing w:before="0" w:after="1"/>
              <w:ind w:left="0" w:right="0" w:hanging="0"/>
              <w:rPr>
                <w:rFonts w:ascii="Arial;Helvetica;sans-serif" w:hAnsi="Arial;Helvetica;sans-serif"/>
                <w:b/>
                <w:sz w:val="20"/>
              </w:rPr>
            </w:pPr>
            <w:r>
              <w:rPr>
                <w:rFonts w:ascii="Arial;Helvetica;sans-serif" w:hAnsi="Arial;Helvetica;sans-serif"/>
                <w:b/>
                <w:sz w:val="20"/>
              </w:rPr>
              <w:t>Greater than 5% Shareholders:</w:t>
            </w:r>
          </w:p>
        </w:tc>
        <w:tc>
          <w:tcPr>
            <w:tcW w:w="326" w:type="dxa"/>
            <w:tcBorders/>
            <w:shd w:fill="CCEEFF" w:val="clear"/>
            <w:vAlign w:val="center"/>
          </w:tcPr>
          <w:p>
            <w:pPr>
              <w:pStyle w:val="TableContents"/>
              <w:spacing w:before="0" w:after="1"/>
              <w:ind w:left="0" w:right="0" w:hanging="0"/>
              <w:rPr/>
            </w:pPr>
            <w:r>
              <w:rPr/>
              <w:t>    </w:t>
            </w:r>
          </w:p>
        </w:tc>
        <w:tc>
          <w:tcPr>
            <w:tcW w:w="130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pPr>
            <w:r>
              <w:rPr/>
              <w:t>  </w:t>
            </w:r>
          </w:p>
        </w:tc>
        <w:tc>
          <w:tcPr>
            <w:tcW w:w="331" w:type="dxa"/>
            <w:tcBorders/>
            <w:shd w:fill="CCEEFF" w:val="clear"/>
            <w:vAlign w:val="center"/>
          </w:tcPr>
          <w:p>
            <w:pPr>
              <w:pStyle w:val="TableContents"/>
              <w:spacing w:before="0" w:after="1"/>
              <w:ind w:left="0" w:right="0" w:hanging="0"/>
              <w:rPr/>
            </w:pPr>
            <w:r>
              <w:rPr/>
              <w:t> </w:t>
            </w:r>
          </w:p>
        </w:tc>
      </w:tr>
      <w:tr>
        <w:trPr/>
        <w:tc>
          <w:tcPr>
            <w:tcW w:w="618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Entities affiliated with Biotechnology Value Fund</w:t>
            </w:r>
            <w:r>
              <w:rPr>
                <w:rFonts w:ascii="Arial;Helvetica;sans-serif" w:hAnsi="Arial;Helvetica;sans-serif"/>
                <w:sz w:val="15"/>
              </w:rPr>
              <w:t>(1)</w:t>
            </w:r>
          </w:p>
        </w:tc>
        <w:tc>
          <w:tcPr>
            <w:tcW w:w="326" w:type="dxa"/>
            <w:tcBorders/>
            <w:shd w:fill="auto" w:val="clear"/>
            <w:vAlign w:val="center"/>
          </w:tcPr>
          <w:p>
            <w:pPr>
              <w:pStyle w:val="TableContents"/>
              <w:spacing w:before="0" w:after="1"/>
              <w:ind w:left="0" w:right="0" w:hanging="0"/>
              <w:rPr/>
            </w:pPr>
            <w:r>
              <w:rPr/>
              <w:t> </w:t>
            </w:r>
          </w:p>
        </w:tc>
        <w:tc>
          <w:tcPr>
            <w:tcW w:w="130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12,660,518</w:t>
            </w:r>
          </w:p>
        </w:tc>
        <w:tc>
          <w:tcPr>
            <w:tcW w:w="326" w:type="dxa"/>
            <w:tcBorders/>
            <w:shd w:fill="auto" w:val="clear"/>
            <w:vAlign w:val="center"/>
          </w:tcPr>
          <w:p>
            <w:pPr>
              <w:pStyle w:val="TableContents"/>
              <w:spacing w:before="0" w:after="1"/>
              <w:ind w:left="0" w:right="0" w:hanging="0"/>
              <w:rPr/>
            </w:pPr>
            <w:r>
              <w:rPr/>
              <w:t> </w:t>
            </w:r>
          </w:p>
        </w:tc>
        <w:tc>
          <w:tcPr>
            <w:tcW w:w="153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11.0</w:t>
            </w:r>
          </w:p>
        </w:tc>
        <w:tc>
          <w:tcPr>
            <w:tcW w:w="33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618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FMR LLC</w:t>
            </w:r>
            <w:r>
              <w:rPr>
                <w:rFonts w:ascii="Arial;Helvetica;sans-serif" w:hAnsi="Arial;Helvetica;sans-serif"/>
                <w:sz w:val="15"/>
              </w:rPr>
              <w:t>(2)</w:t>
            </w:r>
          </w:p>
        </w:tc>
        <w:tc>
          <w:tcPr>
            <w:tcW w:w="326" w:type="dxa"/>
            <w:tcBorders/>
            <w:shd w:fill="CCEEFF" w:val="clear"/>
            <w:vAlign w:val="center"/>
          </w:tcPr>
          <w:p>
            <w:pPr>
              <w:pStyle w:val="TableContents"/>
              <w:spacing w:before="0" w:after="1"/>
              <w:ind w:left="0" w:right="0" w:hanging="0"/>
              <w:rPr/>
            </w:pPr>
            <w:r>
              <w:rPr/>
              <w:t> </w:t>
            </w:r>
          </w:p>
        </w:tc>
        <w:tc>
          <w:tcPr>
            <w:tcW w:w="130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9,414,556</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8.2</w:t>
            </w:r>
          </w:p>
        </w:tc>
        <w:tc>
          <w:tcPr>
            <w:tcW w:w="33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618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Entities affiliated with Deep Track Capital, L.P</w:t>
            </w:r>
            <w:r>
              <w:rPr>
                <w:rFonts w:ascii="Arial;Helvetica;sans-serif" w:hAnsi="Arial;Helvetica;sans-serif"/>
                <w:sz w:val="15"/>
              </w:rPr>
              <w:t>(3)</w:t>
            </w:r>
          </w:p>
        </w:tc>
        <w:tc>
          <w:tcPr>
            <w:tcW w:w="326" w:type="dxa"/>
            <w:tcBorders/>
            <w:shd w:fill="auto" w:val="clear"/>
            <w:vAlign w:val="center"/>
          </w:tcPr>
          <w:p>
            <w:pPr>
              <w:pStyle w:val="TableContents"/>
              <w:spacing w:before="0" w:after="1"/>
              <w:ind w:left="0" w:right="0" w:hanging="0"/>
              <w:rPr/>
            </w:pPr>
            <w:r>
              <w:rPr/>
              <w:t> </w:t>
            </w:r>
          </w:p>
        </w:tc>
        <w:tc>
          <w:tcPr>
            <w:tcW w:w="130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7,940,346</w:t>
            </w:r>
          </w:p>
        </w:tc>
        <w:tc>
          <w:tcPr>
            <w:tcW w:w="326" w:type="dxa"/>
            <w:tcBorders/>
            <w:shd w:fill="auto" w:val="clear"/>
            <w:vAlign w:val="center"/>
          </w:tcPr>
          <w:p>
            <w:pPr>
              <w:pStyle w:val="TableContents"/>
              <w:spacing w:before="0" w:after="1"/>
              <w:ind w:left="0" w:right="0" w:hanging="0"/>
              <w:rPr/>
            </w:pPr>
            <w:r>
              <w:rPr/>
              <w:t> </w:t>
            </w:r>
          </w:p>
        </w:tc>
        <w:tc>
          <w:tcPr>
            <w:tcW w:w="153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6.9</w:t>
            </w:r>
          </w:p>
        </w:tc>
        <w:tc>
          <w:tcPr>
            <w:tcW w:w="33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618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Entities affiliated with Sequoia Capital China</w:t>
            </w:r>
            <w:r>
              <w:rPr>
                <w:rFonts w:ascii="Arial;Helvetica;sans-serif" w:hAnsi="Arial;Helvetica;sans-serif"/>
                <w:sz w:val="15"/>
              </w:rPr>
              <w:t>(4)</w:t>
            </w:r>
          </w:p>
        </w:tc>
        <w:tc>
          <w:tcPr>
            <w:tcW w:w="326" w:type="dxa"/>
            <w:tcBorders/>
            <w:shd w:fill="CCEEFF" w:val="clear"/>
            <w:vAlign w:val="center"/>
          </w:tcPr>
          <w:p>
            <w:pPr>
              <w:pStyle w:val="TableContents"/>
              <w:spacing w:before="0" w:after="1"/>
              <w:ind w:left="0" w:right="0" w:hanging="0"/>
              <w:rPr/>
            </w:pPr>
            <w:r>
              <w:rPr/>
              <w:t> </w:t>
            </w:r>
          </w:p>
        </w:tc>
        <w:tc>
          <w:tcPr>
            <w:tcW w:w="130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7,989,196</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7.0</w:t>
            </w:r>
          </w:p>
        </w:tc>
        <w:tc>
          <w:tcPr>
            <w:tcW w:w="33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618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FIL Limited</w:t>
            </w:r>
            <w:r>
              <w:rPr>
                <w:rFonts w:ascii="Arial;Helvetica;sans-serif" w:hAnsi="Arial;Helvetica;sans-serif"/>
                <w:sz w:val="15"/>
              </w:rPr>
              <w:t>(5)</w:t>
            </w:r>
          </w:p>
        </w:tc>
        <w:tc>
          <w:tcPr>
            <w:tcW w:w="326" w:type="dxa"/>
            <w:tcBorders/>
            <w:shd w:fill="auto" w:val="clear"/>
            <w:vAlign w:val="center"/>
          </w:tcPr>
          <w:p>
            <w:pPr>
              <w:pStyle w:val="TableContents"/>
              <w:spacing w:before="0" w:after="1"/>
              <w:ind w:left="0" w:right="0" w:hanging="0"/>
              <w:rPr/>
            </w:pPr>
            <w:r>
              <w:rPr/>
              <w:t> </w:t>
            </w:r>
          </w:p>
        </w:tc>
        <w:tc>
          <w:tcPr>
            <w:tcW w:w="130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6,473,761</w:t>
            </w:r>
          </w:p>
        </w:tc>
        <w:tc>
          <w:tcPr>
            <w:tcW w:w="326" w:type="dxa"/>
            <w:tcBorders/>
            <w:shd w:fill="auto" w:val="clear"/>
            <w:vAlign w:val="center"/>
          </w:tcPr>
          <w:p>
            <w:pPr>
              <w:pStyle w:val="TableContents"/>
              <w:spacing w:before="0" w:after="1"/>
              <w:ind w:left="0" w:right="0" w:hanging="0"/>
              <w:rPr/>
            </w:pPr>
            <w:r>
              <w:rPr/>
              <w:t> </w:t>
            </w:r>
          </w:p>
        </w:tc>
        <w:tc>
          <w:tcPr>
            <w:tcW w:w="153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5.6</w:t>
            </w:r>
          </w:p>
        </w:tc>
        <w:tc>
          <w:tcPr>
            <w:tcW w:w="33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618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Entities affiliated with XX-I SHT Holdings Limited</w:t>
            </w:r>
            <w:r>
              <w:rPr>
                <w:rFonts w:ascii="Arial;Helvetica;sans-serif" w:hAnsi="Arial;Helvetica;sans-serif"/>
                <w:sz w:val="15"/>
              </w:rPr>
              <w:t>(6)</w:t>
            </w:r>
          </w:p>
        </w:tc>
        <w:tc>
          <w:tcPr>
            <w:tcW w:w="326" w:type="dxa"/>
            <w:tcBorders/>
            <w:shd w:fill="CCEEFF" w:val="clear"/>
            <w:vAlign w:val="center"/>
          </w:tcPr>
          <w:p>
            <w:pPr>
              <w:pStyle w:val="TableContents"/>
              <w:spacing w:before="0" w:after="1"/>
              <w:ind w:left="0" w:right="0" w:hanging="0"/>
              <w:rPr/>
            </w:pPr>
            <w:r>
              <w:rPr/>
              <w:t> </w:t>
            </w:r>
          </w:p>
        </w:tc>
        <w:tc>
          <w:tcPr>
            <w:tcW w:w="130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6,250,674</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5.4</w:t>
            </w:r>
          </w:p>
        </w:tc>
        <w:tc>
          <w:tcPr>
            <w:tcW w:w="33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6181" w:type="dxa"/>
            <w:tcBorders/>
            <w:shd w:fill="auto" w:val="clear"/>
            <w:vAlign w:val="center"/>
          </w:tcPr>
          <w:p>
            <w:pPr>
              <w:pStyle w:val="TableContents"/>
              <w:spacing w:before="0" w:after="1"/>
              <w:ind w:left="0" w:right="0" w:hanging="0"/>
              <w:rPr>
                <w:rFonts w:ascii="Arial;Helvetica;sans-serif" w:hAnsi="Arial;Helvetica;sans-serif"/>
                <w:b/>
                <w:sz w:val="20"/>
              </w:rPr>
            </w:pPr>
            <w:r>
              <w:rPr>
                <w:rFonts w:ascii="Arial;Helvetica;sans-serif" w:hAnsi="Arial;Helvetica;sans-serif"/>
                <w:b/>
                <w:sz w:val="20"/>
              </w:rPr>
              <w:t>Named Executive Officers and Directors:</w:t>
            </w:r>
          </w:p>
        </w:tc>
        <w:tc>
          <w:tcPr>
            <w:tcW w:w="326" w:type="dxa"/>
            <w:tcBorders/>
            <w:shd w:fill="auto" w:val="clear"/>
            <w:vAlign w:val="center"/>
          </w:tcPr>
          <w:p>
            <w:pPr>
              <w:pStyle w:val="TableContents"/>
              <w:spacing w:before="0" w:after="1"/>
              <w:ind w:left="0" w:right="0" w:hanging="0"/>
              <w:rPr/>
            </w:pPr>
            <w:r>
              <w:rPr/>
              <w:t> </w:t>
            </w:r>
          </w:p>
        </w:tc>
        <w:tc>
          <w:tcPr>
            <w:tcW w:w="13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531" w:type="dxa"/>
            <w:tcBorders/>
            <w:shd w:fill="auto" w:val="clear"/>
            <w:vAlign w:val="center"/>
          </w:tcPr>
          <w:p>
            <w:pPr>
              <w:pStyle w:val="TableContents"/>
              <w:spacing w:before="0" w:after="1"/>
              <w:ind w:left="0" w:right="0" w:hanging="0"/>
              <w:jc w:val="right"/>
              <w:rPr/>
            </w:pPr>
            <w:r>
              <w:rPr/>
              <w:t>  </w:t>
            </w:r>
          </w:p>
        </w:tc>
        <w:tc>
          <w:tcPr>
            <w:tcW w:w="331" w:type="dxa"/>
            <w:tcBorders/>
            <w:shd w:fill="auto" w:val="clear"/>
            <w:vAlign w:val="center"/>
          </w:tcPr>
          <w:p>
            <w:pPr>
              <w:pStyle w:val="TableContents"/>
              <w:spacing w:before="0" w:after="1"/>
              <w:ind w:left="0" w:right="0" w:hanging="0"/>
              <w:rPr/>
            </w:pPr>
            <w:r>
              <w:rPr/>
              <w:t>​</w:t>
            </w:r>
          </w:p>
        </w:tc>
      </w:tr>
      <w:tr>
        <w:trPr/>
        <w:tc>
          <w:tcPr>
            <w:tcW w:w="618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Raymond Stevens, Ph.D.</w:t>
            </w:r>
            <w:r>
              <w:rPr>
                <w:rFonts w:ascii="Arial;Helvetica;sans-serif" w:hAnsi="Arial;Helvetica;sans-serif"/>
                <w:sz w:val="15"/>
              </w:rPr>
              <w:t>(7)</w:t>
            </w:r>
          </w:p>
        </w:tc>
        <w:tc>
          <w:tcPr>
            <w:tcW w:w="326" w:type="dxa"/>
            <w:tcBorders/>
            <w:shd w:fill="CCEEFF" w:val="clear"/>
            <w:vAlign w:val="center"/>
          </w:tcPr>
          <w:p>
            <w:pPr>
              <w:pStyle w:val="TableContents"/>
              <w:spacing w:before="0" w:after="1"/>
              <w:ind w:left="0" w:right="0" w:hanging="0"/>
              <w:rPr/>
            </w:pPr>
            <w:r>
              <w:rPr/>
              <w:t> </w:t>
            </w:r>
          </w:p>
        </w:tc>
        <w:tc>
          <w:tcPr>
            <w:tcW w:w="130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3,033,306</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2.6</w:t>
            </w:r>
          </w:p>
        </w:tc>
        <w:tc>
          <w:tcPr>
            <w:tcW w:w="33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618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Mark Bach, M.D., Ph.D.</w:t>
            </w:r>
            <w:r>
              <w:rPr>
                <w:rFonts w:ascii="Arial;Helvetica;sans-serif" w:hAnsi="Arial;Helvetica;sans-serif"/>
                <w:sz w:val="15"/>
              </w:rPr>
              <w:t>(8)</w:t>
            </w:r>
          </w:p>
        </w:tc>
        <w:tc>
          <w:tcPr>
            <w:tcW w:w="326" w:type="dxa"/>
            <w:tcBorders/>
            <w:shd w:fill="auto" w:val="clear"/>
            <w:vAlign w:val="center"/>
          </w:tcPr>
          <w:p>
            <w:pPr>
              <w:pStyle w:val="TableContents"/>
              <w:spacing w:before="0" w:after="1"/>
              <w:ind w:left="0" w:right="0" w:hanging="0"/>
              <w:rPr/>
            </w:pPr>
            <w:r>
              <w:rPr/>
              <w:t> </w:t>
            </w:r>
          </w:p>
        </w:tc>
        <w:tc>
          <w:tcPr>
            <w:tcW w:w="130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271,071</w:t>
            </w:r>
          </w:p>
        </w:tc>
        <w:tc>
          <w:tcPr>
            <w:tcW w:w="326" w:type="dxa"/>
            <w:tcBorders/>
            <w:shd w:fill="auto" w:val="clear"/>
            <w:vAlign w:val="center"/>
          </w:tcPr>
          <w:p>
            <w:pPr>
              <w:pStyle w:val="TableContents"/>
              <w:spacing w:before="0" w:after="1"/>
              <w:ind w:left="0" w:right="0" w:hanging="0"/>
              <w:rPr/>
            </w:pPr>
            <w:r>
              <w:rPr/>
              <w:t> </w:t>
            </w:r>
          </w:p>
        </w:tc>
        <w:tc>
          <w:tcPr>
            <w:tcW w:w="153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331" w:type="dxa"/>
            <w:tcBorders/>
            <w:shd w:fill="auto" w:val="clear"/>
            <w:vAlign w:val="center"/>
          </w:tcPr>
          <w:p>
            <w:pPr>
              <w:pStyle w:val="TableContents"/>
              <w:spacing w:before="0" w:after="1"/>
              <w:ind w:left="0" w:right="0" w:hanging="0"/>
              <w:rPr/>
            </w:pPr>
            <w:r>
              <w:rPr/>
              <w:t>​</w:t>
            </w:r>
          </w:p>
        </w:tc>
      </w:tr>
      <w:tr>
        <w:trPr/>
        <w:tc>
          <w:tcPr>
            <w:tcW w:w="618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Yingli Ma, Ph.D.</w:t>
            </w:r>
            <w:r>
              <w:rPr>
                <w:rFonts w:ascii="Arial;Helvetica;sans-serif" w:hAnsi="Arial;Helvetica;sans-serif"/>
                <w:sz w:val="15"/>
              </w:rPr>
              <w:t>(9)</w:t>
            </w:r>
          </w:p>
        </w:tc>
        <w:tc>
          <w:tcPr>
            <w:tcW w:w="326" w:type="dxa"/>
            <w:tcBorders/>
            <w:shd w:fill="CCEEFF" w:val="clear"/>
            <w:vAlign w:val="center"/>
          </w:tcPr>
          <w:p>
            <w:pPr>
              <w:pStyle w:val="TableContents"/>
              <w:spacing w:before="0" w:after="1"/>
              <w:ind w:left="0" w:right="0" w:hanging="0"/>
              <w:rPr/>
            </w:pPr>
            <w:r>
              <w:rPr/>
              <w:t> </w:t>
            </w:r>
          </w:p>
        </w:tc>
        <w:tc>
          <w:tcPr>
            <w:tcW w:w="130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200,000</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331" w:type="dxa"/>
            <w:tcBorders/>
            <w:shd w:fill="CCEEFF" w:val="clear"/>
            <w:vAlign w:val="center"/>
          </w:tcPr>
          <w:p>
            <w:pPr>
              <w:pStyle w:val="TableContents"/>
              <w:spacing w:before="0" w:after="1"/>
              <w:ind w:left="0" w:right="0" w:hanging="0"/>
              <w:rPr/>
            </w:pPr>
            <w:r>
              <w:rPr/>
              <w:t>​</w:t>
            </w:r>
          </w:p>
        </w:tc>
      </w:tr>
      <w:tr>
        <w:trPr/>
        <w:tc>
          <w:tcPr>
            <w:tcW w:w="618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Daniel G. Welch</w:t>
            </w:r>
            <w:r>
              <w:rPr>
                <w:rFonts w:ascii="Arial;Helvetica;sans-serif" w:hAnsi="Arial;Helvetica;sans-serif"/>
                <w:sz w:val="15"/>
              </w:rPr>
              <w:t>(10)</w:t>
            </w:r>
          </w:p>
        </w:tc>
        <w:tc>
          <w:tcPr>
            <w:tcW w:w="326" w:type="dxa"/>
            <w:tcBorders/>
            <w:shd w:fill="auto" w:val="clear"/>
            <w:vAlign w:val="center"/>
          </w:tcPr>
          <w:p>
            <w:pPr>
              <w:pStyle w:val="TableContents"/>
              <w:spacing w:before="0" w:after="1"/>
              <w:ind w:left="0" w:right="0" w:hanging="0"/>
              <w:rPr/>
            </w:pPr>
            <w:r>
              <w:rPr/>
              <w:t> </w:t>
            </w:r>
          </w:p>
        </w:tc>
        <w:tc>
          <w:tcPr>
            <w:tcW w:w="130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1,302,630</w:t>
            </w:r>
          </w:p>
        </w:tc>
        <w:tc>
          <w:tcPr>
            <w:tcW w:w="326" w:type="dxa"/>
            <w:tcBorders/>
            <w:shd w:fill="auto" w:val="clear"/>
            <w:vAlign w:val="center"/>
          </w:tcPr>
          <w:p>
            <w:pPr>
              <w:pStyle w:val="TableContents"/>
              <w:spacing w:before="0" w:after="1"/>
              <w:ind w:left="0" w:right="0" w:hanging="0"/>
              <w:rPr/>
            </w:pPr>
            <w:r>
              <w:rPr/>
              <w:t> </w:t>
            </w:r>
          </w:p>
        </w:tc>
        <w:tc>
          <w:tcPr>
            <w:tcW w:w="153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w:t>
            </w:r>
          </w:p>
        </w:tc>
        <w:tc>
          <w:tcPr>
            <w:tcW w:w="33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618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Sharon Tetlow</w:t>
            </w:r>
            <w:r>
              <w:rPr>
                <w:rFonts w:ascii="Arial;Helvetica;sans-serif" w:hAnsi="Arial;Helvetica;sans-serif"/>
                <w:sz w:val="15"/>
              </w:rPr>
              <w:t>(11)</w:t>
            </w:r>
          </w:p>
        </w:tc>
        <w:tc>
          <w:tcPr>
            <w:tcW w:w="326" w:type="dxa"/>
            <w:tcBorders/>
            <w:shd w:fill="CCEEFF" w:val="clear"/>
            <w:vAlign w:val="center"/>
          </w:tcPr>
          <w:p>
            <w:pPr>
              <w:pStyle w:val="TableContents"/>
              <w:spacing w:before="0" w:after="1"/>
              <w:ind w:left="0" w:right="0" w:hanging="0"/>
              <w:rPr/>
            </w:pPr>
            <w:r>
              <w:rPr/>
              <w:t> </w:t>
            </w:r>
          </w:p>
        </w:tc>
        <w:tc>
          <w:tcPr>
            <w:tcW w:w="130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80,000</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w:t>
            </w:r>
          </w:p>
        </w:tc>
        <w:tc>
          <w:tcPr>
            <w:tcW w:w="331" w:type="dxa"/>
            <w:tcBorders/>
            <w:shd w:fill="CCEEFF" w:val="clear"/>
            <w:vAlign w:val="center"/>
          </w:tcPr>
          <w:p>
            <w:pPr>
              <w:pStyle w:val="TableContents"/>
              <w:spacing w:before="0" w:after="1"/>
              <w:ind w:left="0" w:right="0" w:hanging="0"/>
              <w:rPr/>
            </w:pPr>
            <w:r>
              <w:rPr/>
              <w:t>​</w:t>
            </w:r>
          </w:p>
        </w:tc>
      </w:tr>
      <w:tr>
        <w:trPr/>
        <w:tc>
          <w:tcPr>
            <w:tcW w:w="618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Ramy Farid, Ph.D.</w:t>
            </w:r>
            <w:r>
              <w:rPr>
                <w:rFonts w:ascii="Arial;Helvetica;sans-serif" w:hAnsi="Arial;Helvetica;sans-serif"/>
                <w:sz w:val="15"/>
              </w:rPr>
              <w:t>(12)</w:t>
            </w:r>
          </w:p>
        </w:tc>
        <w:tc>
          <w:tcPr>
            <w:tcW w:w="326" w:type="dxa"/>
            <w:tcBorders/>
            <w:shd w:fill="auto" w:val="clear"/>
            <w:vAlign w:val="center"/>
          </w:tcPr>
          <w:p>
            <w:pPr>
              <w:pStyle w:val="TableContents"/>
              <w:spacing w:before="0" w:after="1"/>
              <w:ind w:left="0" w:right="0" w:hanging="0"/>
              <w:rPr/>
            </w:pPr>
            <w:r>
              <w:rPr/>
              <w:t> </w:t>
            </w:r>
          </w:p>
        </w:tc>
        <w:tc>
          <w:tcPr>
            <w:tcW w:w="130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4,085,495</w:t>
            </w:r>
          </w:p>
        </w:tc>
        <w:tc>
          <w:tcPr>
            <w:tcW w:w="326" w:type="dxa"/>
            <w:tcBorders/>
            <w:shd w:fill="auto" w:val="clear"/>
            <w:vAlign w:val="center"/>
          </w:tcPr>
          <w:p>
            <w:pPr>
              <w:pStyle w:val="TableContents"/>
              <w:spacing w:before="0" w:after="1"/>
              <w:ind w:left="0" w:right="0" w:hanging="0"/>
              <w:rPr/>
            </w:pPr>
            <w:r>
              <w:rPr/>
              <w:t> </w:t>
            </w:r>
          </w:p>
        </w:tc>
        <w:tc>
          <w:tcPr>
            <w:tcW w:w="153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3.6</w:t>
            </w:r>
          </w:p>
        </w:tc>
        <w:tc>
          <w:tcPr>
            <w:tcW w:w="33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618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Eric Dobmeier</w:t>
            </w:r>
          </w:p>
        </w:tc>
        <w:tc>
          <w:tcPr>
            <w:tcW w:w="326" w:type="dxa"/>
            <w:tcBorders/>
            <w:shd w:fill="CCEEFF" w:val="clear"/>
            <w:vAlign w:val="center"/>
          </w:tcPr>
          <w:p>
            <w:pPr>
              <w:pStyle w:val="TableContents"/>
              <w:spacing w:before="0" w:after="1"/>
              <w:ind w:left="0" w:right="0" w:hanging="0"/>
              <w:rPr/>
            </w:pPr>
            <w:r>
              <w:rPr/>
              <w:t> </w:t>
            </w:r>
          </w:p>
        </w:tc>
        <w:tc>
          <w:tcPr>
            <w:tcW w:w="130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pPr>
            <w:r>
              <w:rPr/>
              <w:t>—</w:t>
            </w:r>
          </w:p>
        </w:tc>
        <w:tc>
          <w:tcPr>
            <w:tcW w:w="331" w:type="dxa"/>
            <w:tcBorders/>
            <w:shd w:fill="CCEEFF" w:val="clear"/>
            <w:vAlign w:val="center"/>
          </w:tcPr>
          <w:p>
            <w:pPr>
              <w:pStyle w:val="TableContents"/>
              <w:spacing w:before="0" w:after="1"/>
              <w:ind w:left="0" w:right="0" w:hanging="0"/>
              <w:rPr/>
            </w:pPr>
            <w:r>
              <w:rPr/>
              <w:t>​</w:t>
            </w:r>
          </w:p>
        </w:tc>
      </w:tr>
      <w:tr>
        <w:trPr/>
        <w:tc>
          <w:tcPr>
            <w:tcW w:w="618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Joanne Waldstreicher, M.D.</w:t>
            </w:r>
          </w:p>
        </w:tc>
        <w:tc>
          <w:tcPr>
            <w:tcW w:w="326" w:type="dxa"/>
            <w:tcBorders/>
            <w:shd w:fill="auto" w:val="clear"/>
            <w:vAlign w:val="center"/>
          </w:tcPr>
          <w:p>
            <w:pPr>
              <w:pStyle w:val="TableContents"/>
              <w:spacing w:before="0" w:after="1"/>
              <w:ind w:left="0" w:right="0" w:hanging="0"/>
              <w:rPr/>
            </w:pPr>
            <w:r>
              <w:rPr/>
              <w:t> </w:t>
            </w:r>
          </w:p>
        </w:tc>
        <w:tc>
          <w:tcPr>
            <w:tcW w:w="130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1531" w:type="dxa"/>
            <w:tcBorders/>
            <w:shd w:fill="auto" w:val="clear"/>
            <w:vAlign w:val="center"/>
          </w:tcPr>
          <w:p>
            <w:pPr>
              <w:pStyle w:val="TableContents"/>
              <w:spacing w:before="0" w:after="1"/>
              <w:ind w:left="0" w:right="0" w:hanging="0"/>
              <w:jc w:val="right"/>
              <w:rPr/>
            </w:pPr>
            <w:r>
              <w:rPr/>
              <w:t>—</w:t>
            </w:r>
          </w:p>
        </w:tc>
        <w:tc>
          <w:tcPr>
            <w:tcW w:w="331" w:type="dxa"/>
            <w:tcBorders/>
            <w:shd w:fill="auto" w:val="clear"/>
            <w:vAlign w:val="center"/>
          </w:tcPr>
          <w:p>
            <w:pPr>
              <w:pStyle w:val="TableContents"/>
              <w:spacing w:before="0" w:after="1"/>
              <w:ind w:left="0" w:right="0" w:hanging="0"/>
              <w:rPr/>
            </w:pPr>
            <w:r>
              <w:rPr/>
              <w:t>​</w:t>
            </w:r>
          </w:p>
        </w:tc>
      </w:tr>
      <w:tr>
        <w:trPr/>
        <w:tc>
          <w:tcPr>
            <w:tcW w:w="618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All current executive officers and directors as a group (11 persons)</w:t>
            </w:r>
            <w:r>
              <w:rPr>
                <w:rFonts w:ascii="Arial;Helvetica;sans-serif" w:hAnsi="Arial;Helvetica;sans-serif"/>
                <w:sz w:val="15"/>
              </w:rPr>
              <w:t>(13)</w:t>
            </w:r>
          </w:p>
        </w:tc>
        <w:tc>
          <w:tcPr>
            <w:tcW w:w="326" w:type="dxa"/>
            <w:tcBorders/>
            <w:shd w:fill="CCEEFF" w:val="clear"/>
            <w:vAlign w:val="center"/>
          </w:tcPr>
          <w:p>
            <w:pPr>
              <w:pStyle w:val="TableContents"/>
              <w:spacing w:before="0" w:after="1"/>
              <w:ind w:left="0" w:right="0" w:hanging="0"/>
              <w:rPr/>
            </w:pPr>
            <w:r>
              <w:rPr/>
              <w:t> </w:t>
            </w:r>
          </w:p>
        </w:tc>
        <w:tc>
          <w:tcPr>
            <w:tcW w:w="130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12,409,113</w:t>
            </w:r>
          </w:p>
        </w:tc>
        <w:tc>
          <w:tcPr>
            <w:tcW w:w="326" w:type="dxa"/>
            <w:tcBorders/>
            <w:shd w:fill="CCEEFF" w:val="clear"/>
            <w:vAlign w:val="center"/>
          </w:tcPr>
          <w:p>
            <w:pPr>
              <w:pStyle w:val="TableContents"/>
              <w:spacing w:before="0" w:after="1"/>
              <w:ind w:left="0" w:right="0" w:hanging="0"/>
              <w:rPr/>
            </w:pPr>
            <w:r>
              <w:rPr/>
              <w:t> </w:t>
            </w:r>
          </w:p>
        </w:tc>
        <w:tc>
          <w:tcPr>
            <w:tcW w:w="15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10.5</w:t>
            </w:r>
          </w:p>
        </w:tc>
        <w:tc>
          <w:tcPr>
            <w:tcW w:w="33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w:t>
            </w:r>
          </w:p>
        </w:tc>
      </w:tr>
      <w:tr>
        <w:trPr/>
        <w:tc>
          <w:tcPr>
            <w:tcW w:w="618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30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53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3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r>
    </w:tbl>
    <w:tbl>
      <w:tblPr>
        <w:tblW w:w="3160" w:type="dxa"/>
        <w:jc w:val="left"/>
        <w:tblInd w:w="0" w:type="dxa"/>
        <w:tblCellMar>
          <w:top w:w="0" w:type="dxa"/>
          <w:left w:w="0" w:type="dxa"/>
          <w:bottom w:w="0" w:type="dxa"/>
          <w:right w:w="0" w:type="dxa"/>
        </w:tblCellMar>
      </w:tblPr>
      <w:tblGrid>
        <w:gridCol w:w="80"/>
        <w:gridCol w:w="3080"/>
      </w:tblGrid>
      <w:tr>
        <w:trPr/>
        <w:tc>
          <w:tcPr>
            <w:tcW w:w="80" w:type="dxa"/>
            <w:tcBorders/>
            <w:shd w:fill="auto" w:val="clear"/>
            <w:vAlign w:val="center"/>
          </w:tcPr>
          <w:p>
            <w:pPr>
              <w:pStyle w:val="TableContents"/>
              <w:spacing w:before="0" w:after="84"/>
              <w:rPr>
                <w:rFonts w:ascii="Arial;Helvetica;sans-serif" w:hAnsi="Arial;Helvetica;sans-serif"/>
                <w:sz w:val="16"/>
              </w:rPr>
            </w:pPr>
            <w:r>
              <w:rPr>
                <w:rFonts w:ascii="Arial;Helvetica;sans-serif" w:hAnsi="Arial;Helvetica;sans-serif"/>
                <w:sz w:val="16"/>
              </w:rPr>
              <w:t>*</w:t>
            </w:r>
          </w:p>
        </w:tc>
        <w:tc>
          <w:tcPr>
            <w:tcW w:w="3080" w:type="dxa"/>
            <w:tcBorders/>
            <w:shd w:fill="auto" w:val="clear"/>
            <w:vAlign w:val="center"/>
          </w:tcPr>
          <w:p>
            <w:pPr>
              <w:pStyle w:val="TableContents"/>
              <w:spacing w:before="0" w:after="84"/>
              <w:rPr>
                <w:rFonts w:ascii="Arial;Helvetica;sans-serif" w:hAnsi="Arial;Helvetica;sans-serif"/>
                <w:sz w:val="14"/>
              </w:rPr>
            </w:pPr>
            <w:r>
              <w:rPr>
                <w:rFonts w:ascii="Arial;Helvetica;sans-serif" w:hAnsi="Arial;Helvetica;sans-serif"/>
                <w:sz w:val="14"/>
              </w:rPr>
              <w:t>Represents beneficial ownership of less than 1%.</w:t>
            </w:r>
          </w:p>
        </w:tc>
      </w:tr>
    </w:tbl>
    <w:tbl>
      <w:tblPr>
        <w:tblW w:w="10205" w:type="dxa"/>
        <w:jc w:val="left"/>
        <w:tblInd w:w="0" w:type="dxa"/>
        <w:tblCellMar>
          <w:top w:w="0" w:type="dxa"/>
          <w:left w:w="0" w:type="dxa"/>
          <w:bottom w:w="0" w:type="dxa"/>
          <w:right w:w="0" w:type="dxa"/>
        </w:tblCellMar>
      </w:tblPr>
      <w:tblGrid>
        <w:gridCol w:w="128"/>
        <w:gridCol w:w="10077"/>
      </w:tblGrid>
      <w:tr>
        <w:trPr/>
        <w:tc>
          <w:tcPr>
            <w:tcW w:w="128" w:type="dxa"/>
            <w:tcBorders/>
            <w:shd w:fill="auto" w:val="clear"/>
            <w:vAlign w:val="center"/>
          </w:tcPr>
          <w:p>
            <w:pPr>
              <w:pStyle w:val="TableContents"/>
              <w:spacing w:before="0" w:after="283"/>
              <w:rPr>
                <w:rFonts w:ascii="Arial;Helvetica;sans-serif" w:hAnsi="Arial;Helvetica;sans-serif"/>
                <w:sz w:val="12"/>
              </w:rPr>
            </w:pPr>
            <w:r>
              <w:rPr>
                <w:rFonts w:ascii="Arial;Helvetica;sans-serif" w:hAnsi="Arial;Helvetica;sans-serif"/>
                <w:sz w:val="12"/>
              </w:rPr>
              <w:t>(1)</w:t>
            </w:r>
          </w:p>
        </w:tc>
        <w:tc>
          <w:tcPr>
            <w:tcW w:w="10077"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 xml:space="preserve">Consists of (i) 6,819,782 ordinary shares directly held, by Biotechnology Value Fund, L.P. (“BVF1”), including 2,801,529 ordinary shares represented by 933,843 ADSs it directly owns, (ii) 5,060,317 ordinary shares held by Biotechnology Value Fund II, L.P. (“BVF2”), including 2,130,657 ordinary shares represented by 710,219 ADSs it directly owns, (iii) 704,360 ordinary shares held by Biotechnology Value Trading Fund OS, L.P. (“Trading Fund OS”), including 241,755 ordinary shares represented by 80,585 ADSs it directly owns, and (iv) 76,059 ordinary shares underlying 25,353 ADSs held in a certain account managed by BVF Partners L.P. (“BVF Partners”). BVF I GP LLC (“BVF GP”), as the general partner of BVF1, may be deemed to beneficially own the shares beneficially owned by BVF1. BVF II GP LLC (“BVF2 GP”), as the general partner of BVF2, may be deemed to beneficially own the shares beneficially owned by BVF2. BVF Partners OS Ltd. (“Partners OS”), as the general partner of Trading Fund OS, may be deemed to beneficially own the shares beneficially owned by Trading Fund OS. BVF GP Holdings LLC (“BVF GPH”), as the sole member of each of BVF GP and BVF2 GP, may be deemed to beneficially own the shares beneficially owned in the aggregate by BVF1 and BVF2. BVF Partners, as the investment manager of BVF1, BVF2, Trading Fund OS and the sole member of Partners OS, may be deemed to beneficially own the shares beneficially owned in the aggregate by BVF1, BVF2 and Trading Fund OS. BVF Inc., as the general partner of BVF Partners, may be deemed to beneficially own the shares beneficially owned by BVF Partners. Mark Lampert, as a director and officer of BVF Inc., has shared voting and dispositive power over the shares and </w:t>
            </w:r>
          </w:p>
        </w:tc>
      </w:tr>
    </w:tbl>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224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0182"/>
      </w:tblGrid>
      <w:tr>
        <w:trPr/>
        <w:tc>
          <w:tcPr>
            <w:tcW w:w="23" w:type="dxa"/>
            <w:tcBorders/>
            <w:shd w:fill="auto" w:val="clear"/>
            <w:vAlign w:val="center"/>
          </w:tcPr>
          <w:p>
            <w:pPr>
              <w:pStyle w:val="TableContents"/>
              <w:spacing w:before="0" w:after="283"/>
              <w:rPr>
                <w:sz w:val="4"/>
                <w:szCs w:val="4"/>
              </w:rPr>
            </w:pPr>
            <w:r>
              <w:rPr>
                <w:sz w:val="4"/>
                <w:szCs w:val="4"/>
              </w:rPr>
            </w:r>
          </w:p>
        </w:tc>
        <w:tc>
          <w:tcPr>
            <w:tcW w:w="10182"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may be deemed to beneficially own the shares owned by BVF Inc. The business address of BVF1, BVF GP, BVF2, BVF2 GP, BVF GPH, BVF Partners, BVF Inc., and Mr. Lampert is 44 Montgomery St., 40th Floor, San Francisco, California 94104. The business address of Trading Fund OS and Partners OS is PO Box 309 Ugland House, Grand Cayman, KY1 1104, Cayman Islands. The foregoing information is based on a Schedule 13G filed by BVF1, BVF GP, BVF2, BVF2 GP, BVF GPH, BVF Partners, BVF Inc., and Mr. Lampert on February 13, 2023.</w:t>
            </w:r>
          </w:p>
        </w:tc>
      </w:tr>
    </w:tbl>
    <w:tbl>
      <w:tblPr>
        <w:tblW w:w="10205" w:type="dxa"/>
        <w:jc w:val="left"/>
        <w:tblInd w:w="0" w:type="dxa"/>
        <w:tblCellMar>
          <w:top w:w="0" w:type="dxa"/>
          <w:left w:w="0" w:type="dxa"/>
          <w:bottom w:w="0" w:type="dxa"/>
          <w:right w:w="0" w:type="dxa"/>
        </w:tblCellMar>
      </w:tblPr>
      <w:tblGrid>
        <w:gridCol w:w="130"/>
        <w:gridCol w:w="10075"/>
      </w:tblGrid>
      <w:tr>
        <w:trPr/>
        <w:tc>
          <w:tcPr>
            <w:tcW w:w="130" w:type="dxa"/>
            <w:tcBorders/>
            <w:shd w:fill="auto" w:val="clear"/>
            <w:vAlign w:val="center"/>
          </w:tcPr>
          <w:p>
            <w:pPr>
              <w:pStyle w:val="TableContents"/>
              <w:spacing w:before="0" w:after="283"/>
              <w:rPr>
                <w:rFonts w:ascii="Arial;Helvetica;sans-serif" w:hAnsi="Arial;Helvetica;sans-serif"/>
                <w:sz w:val="12"/>
              </w:rPr>
            </w:pPr>
            <w:r>
              <w:rPr>
                <w:rFonts w:ascii="Arial;Helvetica;sans-serif" w:hAnsi="Arial;Helvetica;sans-serif"/>
                <w:sz w:val="12"/>
              </w:rPr>
              <w:t>(2)</w:t>
            </w:r>
          </w:p>
        </w:tc>
        <w:tc>
          <w:tcPr>
            <w:tcW w:w="10075"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9,414,556 ordinary shares beneficially owned, or which may deemed to be owned, by FMR LLC, certain of its subsidiaries and affiliates and other companies, with sole dispositive power.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 above entities is 245 Summer Street, Boston, MA 02210. The foregoing information is based on a Schedule 13G filed on February 10, 2023 by FMR LLC and Abigail P. Johnson.</w:t>
            </w:r>
          </w:p>
        </w:tc>
      </w:tr>
    </w:tbl>
    <w:tbl>
      <w:tblPr>
        <w:tblW w:w="10205" w:type="dxa"/>
        <w:jc w:val="left"/>
        <w:tblInd w:w="0" w:type="dxa"/>
        <w:tblCellMar>
          <w:top w:w="0" w:type="dxa"/>
          <w:left w:w="0" w:type="dxa"/>
          <w:bottom w:w="0" w:type="dxa"/>
          <w:right w:w="0" w:type="dxa"/>
        </w:tblCellMar>
      </w:tblPr>
      <w:tblGrid>
        <w:gridCol w:w="132"/>
        <w:gridCol w:w="10073"/>
      </w:tblGrid>
      <w:tr>
        <w:trPr/>
        <w:tc>
          <w:tcPr>
            <w:tcW w:w="132" w:type="dxa"/>
            <w:tcBorders/>
            <w:shd w:fill="auto" w:val="clear"/>
            <w:vAlign w:val="center"/>
          </w:tcPr>
          <w:p>
            <w:pPr>
              <w:pStyle w:val="TableContents"/>
              <w:spacing w:before="0" w:after="283"/>
              <w:rPr>
                <w:rFonts w:ascii="Arial;Helvetica;sans-serif" w:hAnsi="Arial;Helvetica;sans-serif"/>
                <w:sz w:val="12"/>
              </w:rPr>
            </w:pPr>
            <w:r>
              <w:rPr>
                <w:rFonts w:ascii="Arial;Helvetica;sans-serif" w:hAnsi="Arial;Helvetica;sans-serif"/>
                <w:sz w:val="12"/>
              </w:rPr>
              <w:t>(3)</w:t>
            </w:r>
          </w:p>
        </w:tc>
        <w:tc>
          <w:tcPr>
            <w:tcW w:w="10073"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7,940,346 ordinary shares beneficially owned by Deep Track Biotechnology Master Fund, Ltd., (the “Master Fund”). Deep Track Capital, LP, (the “Deep Track Capital”) serves as the investment manager to the Master Fund and may be deemed to beneficially own such shares. Deep Track Capital GP, LLC, (the “General Partner”), is the General Partner of the Investment Manager. David Kroin is the Chief Investment Officer of the Investment Manager and managing member of the General Partner and may be deemed to have shared voting and dispositive power over such shares and beneficially own such shares. The business address of the Master Fund, the Investment Manager, the General Partner and Mr. Kroin is 200 Greenwich Avenue, 3rd Floor, Greenwich, CT 06830. The foregoing information is based on a Schedule 13G filed by the Master Fund, Deep Track Capital, LP and David Kroin on February 3, 2023.</w:t>
            </w:r>
          </w:p>
        </w:tc>
      </w:tr>
    </w:tbl>
    <w:tbl>
      <w:tblPr>
        <w:tblW w:w="10205" w:type="dxa"/>
        <w:jc w:val="left"/>
        <w:tblInd w:w="0" w:type="dxa"/>
        <w:tblCellMar>
          <w:top w:w="0" w:type="dxa"/>
          <w:left w:w="0" w:type="dxa"/>
          <w:bottom w:w="0" w:type="dxa"/>
          <w:right w:w="0" w:type="dxa"/>
        </w:tblCellMar>
      </w:tblPr>
      <w:tblGrid>
        <w:gridCol w:w="131"/>
        <w:gridCol w:w="10074"/>
      </w:tblGrid>
      <w:tr>
        <w:trPr/>
        <w:tc>
          <w:tcPr>
            <w:tcW w:w="131" w:type="dxa"/>
            <w:tcBorders/>
            <w:shd w:fill="auto" w:val="clear"/>
            <w:vAlign w:val="center"/>
          </w:tcPr>
          <w:p>
            <w:pPr>
              <w:pStyle w:val="TableContents"/>
              <w:spacing w:before="0" w:after="283"/>
              <w:rPr>
                <w:rFonts w:ascii="Arial;Helvetica;sans-serif" w:hAnsi="Arial;Helvetica;sans-serif"/>
                <w:sz w:val="12"/>
              </w:rPr>
            </w:pPr>
            <w:r>
              <w:rPr>
                <w:rFonts w:ascii="Arial;Helvetica;sans-serif" w:hAnsi="Arial;Helvetica;sans-serif"/>
                <w:sz w:val="12"/>
              </w:rPr>
              <w:t>(4)</w:t>
            </w:r>
          </w:p>
        </w:tc>
        <w:tc>
          <w:tcPr>
            <w:tcW w:w="10074"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7,649,547 ordinary shares held by SCC Venture VII Holdco I, Ltd. and (ii) 339,649 ordinary shares held by SCC Seed II Holdco, Ltd. The sole shareholder of SCC Venture VII Holdco I, Ltd. is Sequoia Capital China Venture Fund VII, L.P. The general partner of Sequoia Capital China Venture Fund VII, L.P. is SC China Venture VII Management, L.P., whose general partner is SC China Holding Limited. The sole shareholder of SCC Seed II Holdco, Ltd. is Sequoia Capital China Seed Fund II, L.P. The general partner of Sequoia Capital China Seed Fund II, L.P. is SC China Seed Fund II Management, L.P., whose general partner is SC China Holding Limited. SC China Holding Limited is wholly owned by SNP China Enterprises Limited, which in turn is wholly owned by Mr. Neil Nanpeng Shen. The address for each of SCC Venture VII Holdco I, Ltd. and SCC Seed II Holdco, Ltd. is Maples Corporate Services Limited, PO Box 309, Ugland House, Grand Cayman, KY1 1104, Cayman Islands.</w:t>
            </w:r>
          </w:p>
        </w:tc>
      </w:tr>
    </w:tbl>
    <w:tbl>
      <w:tblPr>
        <w:tblW w:w="10205" w:type="dxa"/>
        <w:jc w:val="left"/>
        <w:tblInd w:w="0" w:type="dxa"/>
        <w:tblCellMar>
          <w:top w:w="0" w:type="dxa"/>
          <w:left w:w="0" w:type="dxa"/>
          <w:bottom w:w="0" w:type="dxa"/>
          <w:right w:w="0" w:type="dxa"/>
        </w:tblCellMar>
      </w:tblPr>
      <w:tblGrid>
        <w:gridCol w:w="130"/>
        <w:gridCol w:w="10075"/>
      </w:tblGrid>
      <w:tr>
        <w:trPr/>
        <w:tc>
          <w:tcPr>
            <w:tcW w:w="130" w:type="dxa"/>
            <w:tcBorders/>
            <w:shd w:fill="auto" w:val="clear"/>
            <w:vAlign w:val="center"/>
          </w:tcPr>
          <w:p>
            <w:pPr>
              <w:pStyle w:val="TableContents"/>
              <w:spacing w:before="0" w:after="283"/>
              <w:rPr>
                <w:rFonts w:ascii="Arial;Helvetica;sans-serif" w:hAnsi="Arial;Helvetica;sans-serif"/>
                <w:sz w:val="12"/>
              </w:rPr>
            </w:pPr>
            <w:r>
              <w:rPr>
                <w:rFonts w:ascii="Arial;Helvetica;sans-serif" w:hAnsi="Arial;Helvetica;sans-serif"/>
                <w:sz w:val="12"/>
              </w:rPr>
              <w:t>(5)</w:t>
            </w:r>
          </w:p>
        </w:tc>
        <w:tc>
          <w:tcPr>
            <w:tcW w:w="10075"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6,473,761 ordinary shares held by FIL Limited (“FIL”) with sole voting and dispositive power. Pandanus Partners, L.P. (“Pandanus”) owns shares of FIL stock. While the percentage of total voting power represented by these shares of FIL voting stock may fluctuate as a result of changes in the total number of shares of FIL voting stock outstanding from time to time, it normally represents more than 25% and less than 48.5% of the total votes which may be cast by all holders of FIL voting stock. Pandanus Associates, Inc. (“PAI”) acts as general partner of Pandanus. Pandanus is owned by trusts for the benefit of members of the Johnson family, including FIL's Chairman Abigail P. Johnson, but disclaims that any such member is a beneficial owner of the securities. The ordinary shares are held by Eight Roads GP FI and Eight Roads Holdings Limited FI, subsidiaries of the reporting persons under the Schedule 13G. The address of the above entities is Pembroke Hall, 42 Crow Lane, Pembroke, Bermuda HM 19. The foregoing information is based on a Schedule 13G filed on February 10, 2023 by FIL, Pandanus and PAI.</w:t>
            </w:r>
          </w:p>
        </w:tc>
      </w:tr>
    </w:tbl>
    <w:tbl>
      <w:tblPr>
        <w:tblW w:w="10205" w:type="dxa"/>
        <w:jc w:val="left"/>
        <w:tblInd w:w="0" w:type="dxa"/>
        <w:tblCellMar>
          <w:top w:w="0" w:type="dxa"/>
          <w:left w:w="0" w:type="dxa"/>
          <w:bottom w:w="0" w:type="dxa"/>
          <w:right w:w="0" w:type="dxa"/>
        </w:tblCellMar>
      </w:tblPr>
      <w:tblGrid>
        <w:gridCol w:w="131"/>
        <w:gridCol w:w="10074"/>
      </w:tblGrid>
      <w:tr>
        <w:trPr/>
        <w:tc>
          <w:tcPr>
            <w:tcW w:w="131" w:type="dxa"/>
            <w:tcBorders/>
            <w:shd w:fill="auto" w:val="clear"/>
            <w:vAlign w:val="center"/>
          </w:tcPr>
          <w:p>
            <w:pPr>
              <w:pStyle w:val="TableContents"/>
              <w:spacing w:before="0" w:after="283"/>
              <w:rPr>
                <w:rFonts w:ascii="Arial;Helvetica;sans-serif" w:hAnsi="Arial;Helvetica;sans-serif"/>
                <w:sz w:val="12"/>
              </w:rPr>
            </w:pPr>
            <w:r>
              <w:rPr>
                <w:rFonts w:ascii="Arial;Helvetica;sans-serif" w:hAnsi="Arial;Helvetica;sans-serif"/>
                <w:sz w:val="12"/>
              </w:rPr>
              <w:t>(6)</w:t>
            </w:r>
          </w:p>
        </w:tc>
        <w:tc>
          <w:tcPr>
            <w:tcW w:w="10074"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5,911,025 ordinary shares held by XX-I SHT Holdings Limited and (ii) 339,649 ordinary shares held by BSCP Holdings Limited. XX-I SHT Holdings Limited and BSCP Holdings Limited are incorporated in the Cayman Islands and are wholly owned by Hillhouse Fund IV, L.P. Hillhouse Investment Management, Ltd. (“HIM”), acts as the sole management company of Hillhouse Fund IV, L.P. HIM is deemed to be the beneficial owner of, and to control the voting power of, the shares held by XX-I SHT Holdings Limited and BSCP Holdings Limited, respectively. Mr. Lei Zhang may be deemed to have controlling power over HIM. Mr. Lei Zhang disclaims beneficial ownership of all of the shares held by XX-I SHT Holdings Limited and BSCP Holdings Limited, except to the extent of his pecuniary interest therein. The address of XX-I SHT Holdings Limited and BSCP Holdings Limited is 89 Nexus Way, Camana Bay, PO Box 31106, Grand Cayman KY1 1205, Cayman Islands.</w:t>
            </w:r>
          </w:p>
        </w:tc>
      </w:tr>
    </w:tbl>
    <w:tbl>
      <w:tblPr>
        <w:tblW w:w="10205" w:type="dxa"/>
        <w:jc w:val="left"/>
        <w:tblInd w:w="0" w:type="dxa"/>
        <w:tblCellMar>
          <w:top w:w="0" w:type="dxa"/>
          <w:left w:w="0" w:type="dxa"/>
          <w:bottom w:w="0" w:type="dxa"/>
          <w:right w:w="0" w:type="dxa"/>
        </w:tblCellMar>
      </w:tblPr>
      <w:tblGrid>
        <w:gridCol w:w="135"/>
        <w:gridCol w:w="10070"/>
      </w:tblGrid>
      <w:tr>
        <w:trPr/>
        <w:tc>
          <w:tcPr>
            <w:tcW w:w="135" w:type="dxa"/>
            <w:tcBorders/>
            <w:shd w:fill="auto" w:val="clear"/>
            <w:vAlign w:val="center"/>
          </w:tcPr>
          <w:p>
            <w:pPr>
              <w:pStyle w:val="TableContents"/>
              <w:spacing w:before="0" w:after="283"/>
              <w:rPr>
                <w:rFonts w:ascii="Arial;Helvetica;sans-serif" w:hAnsi="Arial;Helvetica;sans-serif"/>
                <w:sz w:val="12"/>
              </w:rPr>
            </w:pPr>
            <w:r>
              <w:rPr>
                <w:rFonts w:ascii="Arial;Helvetica;sans-serif" w:hAnsi="Arial;Helvetica;sans-serif"/>
                <w:sz w:val="12"/>
              </w:rPr>
              <w:t>(7)</w:t>
            </w:r>
          </w:p>
        </w:tc>
        <w:tc>
          <w:tcPr>
            <w:tcW w:w="10070"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1,075,664 ordinary shares held by Raymond Stevens, Ph.D.; (ii) 1,554,586 ordinary shares held by Raymond Stevens and Vivian Urena-Stevens, as Co-Trustees of the Stevens 2001 Revocable Trust, dated March 28, 2001 (the “Stevens Trust”); (iii) 100,000 ordinary shares Dr. Stevens has the right to acquire within 60 days of March 15, 2023 pursuant to the early exercise of a share option; and (iv) 303,056 ordinary shares Dr. Stevens has the right to acquire within 60 days of March 15, 2023 pursuant to the exercise of share options. Dr. Stevens shares voting and dispositive power with respect to the shares held by the Stevens Trust.</w:t>
            </w:r>
          </w:p>
        </w:tc>
      </w:tr>
    </w:tbl>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vAlign w:val="center"/>
          </w:tcPr>
          <w:p>
            <w:pPr>
              <w:pStyle w:val="TableContents"/>
              <w:spacing w:before="0" w:after="283"/>
              <w:rPr>
                <w:rFonts w:ascii="Arial;Helvetica;sans-serif" w:hAnsi="Arial;Helvetica;sans-serif"/>
                <w:sz w:val="12"/>
              </w:rPr>
            </w:pPr>
            <w:r>
              <w:rPr>
                <w:rFonts w:ascii="Arial;Helvetica;sans-serif" w:hAnsi="Arial;Helvetica;sans-serif"/>
                <w:sz w:val="12"/>
              </w:rPr>
              <w:t>(8)</w:t>
            </w:r>
          </w:p>
        </w:tc>
        <w:tc>
          <w:tcPr>
            <w:tcW w:w="10044"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4,500 ordinary shares held by Dr. Bach; and (ii) 266,571 ordinary shares Dr. Bach has the right to acquire within 60 days of March 15, 2023 pursuant to the exercise of a share option.</w:t>
            </w:r>
          </w:p>
        </w:tc>
      </w:tr>
    </w:tbl>
    <w:tbl>
      <w:tblPr>
        <w:tblW w:w="9175" w:type="dxa"/>
        <w:jc w:val="left"/>
        <w:tblInd w:w="0" w:type="dxa"/>
        <w:tblCellMar>
          <w:top w:w="0" w:type="dxa"/>
          <w:left w:w="0" w:type="dxa"/>
          <w:bottom w:w="0" w:type="dxa"/>
          <w:right w:w="0" w:type="dxa"/>
        </w:tblCellMar>
      </w:tblPr>
      <w:tblGrid>
        <w:gridCol w:w="170"/>
        <w:gridCol w:w="9005"/>
      </w:tblGrid>
      <w:tr>
        <w:trPr/>
        <w:tc>
          <w:tcPr>
            <w:tcW w:w="170" w:type="dxa"/>
            <w:tcBorders/>
            <w:shd w:fill="auto" w:val="clear"/>
            <w:vAlign w:val="center"/>
          </w:tcPr>
          <w:p>
            <w:pPr>
              <w:pStyle w:val="TableContents"/>
              <w:spacing w:before="0" w:after="283"/>
              <w:rPr>
                <w:rFonts w:ascii="Arial;Helvetica;sans-serif" w:hAnsi="Arial;Helvetica;sans-serif"/>
                <w:sz w:val="12"/>
              </w:rPr>
            </w:pPr>
            <w:r>
              <w:rPr>
                <w:rFonts w:ascii="Arial;Helvetica;sans-serif" w:hAnsi="Arial;Helvetica;sans-serif"/>
                <w:sz w:val="12"/>
              </w:rPr>
              <w:t>(9)</w:t>
            </w:r>
          </w:p>
        </w:tc>
        <w:tc>
          <w:tcPr>
            <w:tcW w:w="9005"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200,000 ordinary shares Dr. Ma has the right to acquire within 60 days of March 15, 2023 pursuant to the exercise of a share option.</w:t>
            </w:r>
          </w:p>
        </w:tc>
      </w:tr>
    </w:tbl>
    <w:tbl>
      <w:tblPr>
        <w:tblW w:w="10205" w:type="dxa"/>
        <w:jc w:val="left"/>
        <w:tblInd w:w="0" w:type="dxa"/>
        <w:tblCellMar>
          <w:top w:w="0" w:type="dxa"/>
          <w:left w:w="0" w:type="dxa"/>
          <w:bottom w:w="0" w:type="dxa"/>
          <w:right w:w="0" w:type="dxa"/>
        </w:tblCellMar>
      </w:tblPr>
      <w:tblGrid>
        <w:gridCol w:w="213"/>
        <w:gridCol w:w="9992"/>
      </w:tblGrid>
      <w:tr>
        <w:trPr/>
        <w:tc>
          <w:tcPr>
            <w:tcW w:w="213" w:type="dxa"/>
            <w:tcBorders/>
            <w:shd w:fill="auto" w:val="clear"/>
            <w:vAlign w:val="center"/>
          </w:tcPr>
          <w:p>
            <w:pPr>
              <w:pStyle w:val="TableContents"/>
              <w:spacing w:before="0" w:after="283"/>
              <w:rPr>
                <w:rFonts w:ascii="Arial;Helvetica;sans-serif" w:hAnsi="Arial;Helvetica;sans-serif"/>
                <w:sz w:val="12"/>
              </w:rPr>
            </w:pPr>
            <w:r>
              <w:rPr>
                <w:rFonts w:ascii="Arial;Helvetica;sans-serif" w:hAnsi="Arial;Helvetica;sans-serif"/>
                <w:sz w:val="12"/>
              </w:rPr>
              <w:t>(10)</w:t>
            </w:r>
          </w:p>
        </w:tc>
        <w:tc>
          <w:tcPr>
            <w:tcW w:w="9992"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123,508 ordinary shares held by Marie D. Welch Family Trust, dated June 7, 2021; and (ii) 1,179,122 ordinary shares Mr. Welch has the right to acquire within 60 days March 15, 2023 pursuant to the early exercise of a share option.</w:t>
            </w:r>
          </w:p>
        </w:tc>
      </w:tr>
    </w:tbl>
    <w:tbl>
      <w:tblPr>
        <w:tblW w:w="9760" w:type="dxa"/>
        <w:jc w:val="left"/>
        <w:tblInd w:w="0" w:type="dxa"/>
        <w:tblCellMar>
          <w:top w:w="0" w:type="dxa"/>
          <w:left w:w="0" w:type="dxa"/>
          <w:bottom w:w="0" w:type="dxa"/>
          <w:right w:w="0" w:type="dxa"/>
        </w:tblCellMar>
      </w:tblPr>
      <w:tblGrid>
        <w:gridCol w:w="230"/>
        <w:gridCol w:w="9530"/>
      </w:tblGrid>
      <w:tr>
        <w:trPr/>
        <w:tc>
          <w:tcPr>
            <w:tcW w:w="230" w:type="dxa"/>
            <w:tcBorders/>
            <w:shd w:fill="auto" w:val="clear"/>
            <w:vAlign w:val="center"/>
          </w:tcPr>
          <w:p>
            <w:pPr>
              <w:pStyle w:val="TableContents"/>
              <w:spacing w:before="0" w:after="283"/>
              <w:rPr>
                <w:rFonts w:ascii="Arial;Helvetica;sans-serif" w:hAnsi="Arial;Helvetica;sans-serif"/>
                <w:sz w:val="12"/>
              </w:rPr>
            </w:pPr>
            <w:r>
              <w:rPr>
                <w:rFonts w:ascii="Arial;Helvetica;sans-serif" w:hAnsi="Arial;Helvetica;sans-serif"/>
                <w:sz w:val="12"/>
              </w:rPr>
              <w:t>(11)</w:t>
            </w:r>
          </w:p>
        </w:tc>
        <w:tc>
          <w:tcPr>
            <w:tcW w:w="9530"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80,000 ordinary shares Ms. Tetlow has the right to acquire within 60 days of March 15, 2023 pursuant to the early exercise of a share option.</w:t>
            </w:r>
          </w:p>
        </w:tc>
      </w:tr>
    </w:tbl>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283"/>
              <w:rPr>
                <w:rFonts w:ascii="Arial;Helvetica;sans-serif" w:hAnsi="Arial;Helvetica;sans-serif"/>
                <w:sz w:val="12"/>
              </w:rPr>
            </w:pPr>
            <w:r>
              <w:rPr>
                <w:rFonts w:ascii="Arial;Helvetica;sans-serif" w:hAnsi="Arial;Helvetica;sans-serif"/>
                <w:sz w:val="12"/>
              </w:rPr>
              <w:t>(12)</w:t>
            </w:r>
          </w:p>
        </w:tc>
        <w:tc>
          <w:tcPr>
            <w:tcW w:w="10007"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Represents 4,085,495 ordinary shares held by Schrödinger, Inc. (“Schrödinger”). Ramy Farid Ph.D., a member of our board of directors, is the President, Chief Executive Officer and a member of the board of directors of Schrödinger and may be deemed to share voting and dispositive power over the shares held by Schrödinger. Dr. Farid disclaims beneficial ownership of the shares held by Schrödinger. The address of Schrödinger is 1540 Broadway, 24th Floor, New York, New York 10036.</w:t>
            </w:r>
          </w:p>
        </w:tc>
      </w:tr>
    </w:tbl>
    <w:tbl>
      <w:tblPr>
        <w:tblW w:w="10205" w:type="dxa"/>
        <w:jc w:val="left"/>
        <w:tblInd w:w="0" w:type="dxa"/>
        <w:tblCellMar>
          <w:top w:w="0" w:type="dxa"/>
          <w:left w:w="0" w:type="dxa"/>
          <w:bottom w:w="0" w:type="dxa"/>
          <w:right w:w="0" w:type="dxa"/>
        </w:tblCellMar>
      </w:tblPr>
      <w:tblGrid>
        <w:gridCol w:w="192"/>
        <w:gridCol w:w="10013"/>
      </w:tblGrid>
      <w:tr>
        <w:trPr/>
        <w:tc>
          <w:tcPr>
            <w:tcW w:w="192" w:type="dxa"/>
            <w:tcBorders/>
            <w:shd w:fill="auto" w:val="clear"/>
            <w:vAlign w:val="center"/>
          </w:tcPr>
          <w:p>
            <w:pPr>
              <w:pStyle w:val="TableContents"/>
              <w:spacing w:before="0" w:after="283"/>
              <w:rPr>
                <w:rFonts w:ascii="Arial;Helvetica;sans-serif" w:hAnsi="Arial;Helvetica;sans-serif"/>
                <w:sz w:val="12"/>
              </w:rPr>
            </w:pPr>
            <w:r>
              <w:rPr>
                <w:rFonts w:ascii="Arial;Helvetica;sans-serif" w:hAnsi="Arial;Helvetica;sans-serif"/>
                <w:sz w:val="12"/>
              </w:rPr>
              <w:t>(13)</w:t>
            </w:r>
          </w:p>
        </w:tc>
        <w:tc>
          <w:tcPr>
            <w:tcW w:w="10013" w:type="dxa"/>
            <w:tcBorders/>
            <w:shd w:fill="auto" w:val="clear"/>
            <w:vAlign w:val="center"/>
          </w:tcPr>
          <w:p>
            <w:pPr>
              <w:pStyle w:val="TableContents"/>
              <w:spacing w:before="0" w:after="283"/>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Consists of (i) the shares described in note (7) through note (12) above; (ii) 1,065,464 ordinary shares held by Jun Yoon; (iii) 1,554,586 ordinary shares held by JUN SIK YOON and HAYUNG YANG YOON, Trustees of THE YOON FAMILY TRUST, dated December 11, 2019 (the “Yoon Trust”); (iv) 100,000 ordinary shares Mr. Yoon has the right to acquire within 60 days of March 15, 2023. Mr. Yoon shares voting and dispositive power with respect to the shares held by the Yoon Trust and (v) 39,583 ordinary shares Mr. Yoon has the right to acquire within 60 days of March 15, 2023 pursuant to the exercise of share options; (vi) 441,333 ordinary shares Xichen Lin, Ph.D., has the right to acquire within 60 days of March 15, 2023 pursuant to the exercise of share options; (vii) 3,000 ordinary shares held by Melita Sun Jung; and (viii) 232,645 ordinary shares Melita Sun Jung has the right to acquire within 60 days of March 15, 2023 pursuant to the exercise of share options.</w:t>
            </w:r>
          </w:p>
        </w:tc>
      </w:tr>
    </w:tbl>
    <w:p>
      <w:pPr>
        <w:pStyle w:val="TextBody"/>
        <w:spacing w:before="0" w:after="0"/>
        <w:ind w:left="0" w:right="0" w:hanging="0"/>
        <w:rPr>
          <w:highlight w:val="white"/>
        </w:rPr>
      </w:pPr>
      <w:r>
        <w:rPr>
          <w:highlight w:val="white"/>
        </w:rPr>
        <w:t>​</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225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b/>
          <w:sz w:val="20"/>
          <w:highlight w:val="white"/>
        </w:rPr>
      </w:pPr>
      <w:r>
        <w:rPr>
          <w:rFonts w:ascii="Arial;Helvetica;sans-serif" w:hAnsi="Arial;Helvetica;sans-serif"/>
          <w:b/>
          <w:sz w:val="20"/>
          <w:highlight w:val="white"/>
        </w:rPr>
        <w:t>Securities Authorized For Issuance Under Equity Compensation Plans</w:t>
      </w:r>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following table provides certain information regarding our equity compensation plans in effect as of December 31, 2022:</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Equity Compensation Plan Information</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504"/>
        <w:gridCol w:w="2165"/>
        <w:gridCol w:w="2348"/>
        <w:gridCol w:w="3188"/>
      </w:tblGrid>
      <w:tr>
        <w:trPr/>
        <w:tc>
          <w:tcPr>
            <w:tcW w:w="2504" w:type="dxa"/>
            <w:tcBorders/>
            <w:shd w:fill="auto" w:val="clear"/>
            <w:vAlign w:val="center"/>
          </w:tcPr>
          <w:p>
            <w:pPr>
              <w:pStyle w:val="TableContents"/>
              <w:spacing w:before="0" w:after="0"/>
              <w:ind w:left="0" w:right="0" w:hanging="0"/>
              <w:rPr/>
            </w:pPr>
            <w:r>
              <w:rPr/>
              <w:t>​</w:t>
            </w:r>
          </w:p>
          <w:p>
            <w:pPr>
              <w:pStyle w:val="TableContents"/>
              <w:spacing w:before="0" w:after="0"/>
              <w:ind w:left="0" w:right="0" w:hanging="0"/>
              <w:rPr/>
            </w:pPr>
            <w:r>
              <w:rPr/>
              <w:t>​</w:t>
            </w:r>
          </w:p>
          <w:p>
            <w:pPr>
              <w:pStyle w:val="TableContents"/>
              <w:spacing w:before="0" w:after="0"/>
              <w:ind w:left="0" w:right="0" w:hanging="0"/>
              <w:rPr/>
            </w:pPr>
            <w:r>
              <w:rPr/>
              <w:t>​</w:t>
            </w:r>
          </w:p>
        </w:tc>
        <w:tc>
          <w:tcPr>
            <w:tcW w:w="2165" w:type="dxa"/>
            <w:tcBorders/>
            <w:shd w:fill="auto" w:val="clear"/>
            <w:vAlign w:val="center"/>
          </w:tcPr>
          <w:p>
            <w:pPr>
              <w:pStyle w:val="TableContents"/>
              <w:spacing w:before="0" w:after="0"/>
              <w:ind w:left="0" w:right="0" w:hanging="0"/>
              <w:rPr/>
            </w:pPr>
            <w:r>
              <w:rPr/>
              <w:t>​</w:t>
            </w:r>
          </w:p>
        </w:tc>
        <w:tc>
          <w:tcPr>
            <w:tcW w:w="2348" w:type="dxa"/>
            <w:tcBorders/>
            <w:shd w:fill="auto" w:val="clear"/>
            <w:vAlign w:val="center"/>
          </w:tcPr>
          <w:p>
            <w:pPr>
              <w:pStyle w:val="TableContents"/>
              <w:spacing w:before="0" w:after="0"/>
              <w:ind w:left="0" w:right="0" w:hanging="0"/>
              <w:rPr/>
            </w:pPr>
            <w:r>
              <w:rPr/>
              <w:t>​</w:t>
            </w:r>
          </w:p>
        </w:tc>
        <w:tc>
          <w:tcPr>
            <w:tcW w:w="3188" w:type="dxa"/>
            <w:tcBorders/>
            <w:shd w:fill="auto" w:val="clear"/>
            <w:vAlign w:val="center"/>
          </w:tcPr>
          <w:p>
            <w:pPr>
              <w:pStyle w:val="TableContents"/>
              <w:spacing w:before="0" w:after="0"/>
              <w:ind w:left="0" w:right="0" w:hanging="0"/>
              <w:rPr/>
            </w:pPr>
            <w:r>
              <w:rPr/>
              <w:t>​</w:t>
            </w:r>
          </w:p>
        </w:tc>
      </w:tr>
      <w:tr>
        <w:trPr/>
        <w:tc>
          <w:tcPr>
            <w:tcW w:w="2504"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Plan Category</w:t>
            </w:r>
          </w:p>
        </w:tc>
        <w:tc>
          <w:tcPr>
            <w:tcW w:w="2165"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Number of Securities to</w:t>
            </w:r>
          </w:p>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be Issued Upon Exercise</w:t>
            </w:r>
          </w:p>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of Outstanding Options, Warrants and Rights</w:t>
            </w:r>
          </w:p>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(a)</w:t>
            </w:r>
          </w:p>
        </w:tc>
        <w:tc>
          <w:tcPr>
            <w:tcW w:w="2348"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Weighted-Average</w:t>
            </w:r>
          </w:p>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Exercise Price of</w:t>
            </w:r>
          </w:p>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Outstanding Options, Warrants and Rights</w:t>
            </w:r>
          </w:p>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($)(b)</w:t>
            </w:r>
          </w:p>
        </w:tc>
        <w:tc>
          <w:tcPr>
            <w:tcW w:w="3188"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Number of Securities</w:t>
            </w:r>
          </w:p>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Remaining Available for</w:t>
            </w:r>
          </w:p>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Future Issuance Under</w:t>
            </w:r>
          </w:p>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Equity Compensation Plans (excluding securities reflected in column (a))</w:t>
            </w:r>
          </w:p>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(c)</w:t>
            </w:r>
          </w:p>
        </w:tc>
      </w:tr>
      <w:tr>
        <w:trPr/>
        <w:tc>
          <w:tcPr>
            <w:tcW w:w="2504"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Equity compensation plans approved by security holders</w:t>
            </w:r>
            <w:r>
              <w:rPr>
                <w:rFonts w:ascii="Arial;Helvetica;sans-serif" w:hAnsi="Arial;Helvetica;sans-serif"/>
                <w:sz w:val="12"/>
              </w:rPr>
              <w:t>(1)</w:t>
            </w:r>
          </w:p>
        </w:tc>
        <w:tc>
          <w:tcPr>
            <w:tcW w:w="2165"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7,612,892</w:t>
            </w:r>
          </w:p>
        </w:tc>
        <w:tc>
          <w:tcPr>
            <w:tcW w:w="2348"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$1.62</w:t>
            </w:r>
          </w:p>
        </w:tc>
        <w:tc>
          <w:tcPr>
            <w:tcW w:w="3188"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976,705</w:t>
            </w:r>
          </w:p>
        </w:tc>
      </w:tr>
      <w:tr>
        <w:trPr/>
        <w:tc>
          <w:tcPr>
            <w:tcW w:w="2504"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rPr>
                <w:rFonts w:ascii="Arial;Helvetica;sans-serif" w:hAnsi="Arial;Helvetica;sans-serif"/>
                <w:sz w:val="16"/>
              </w:rPr>
            </w:pPr>
            <w:r>
              <w:rPr>
                <w:rFonts w:ascii="Arial;Helvetica;sans-serif" w:hAnsi="Arial;Helvetica;sans-serif"/>
                <w:sz w:val="16"/>
              </w:rPr>
              <w:t>Equity compensation plans not approved by security holders</w:t>
            </w:r>
          </w:p>
        </w:tc>
        <w:tc>
          <w:tcPr>
            <w:tcW w:w="2165"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right"/>
              <w:rPr/>
            </w:pPr>
            <w:r>
              <w:rPr/>
              <w:t>—</w:t>
            </w:r>
          </w:p>
        </w:tc>
        <w:tc>
          <w:tcPr>
            <w:tcW w:w="2348"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right"/>
              <w:rPr/>
            </w:pPr>
            <w:r>
              <w:rPr/>
              <w:t>—</w:t>
            </w:r>
          </w:p>
        </w:tc>
        <w:tc>
          <w:tcPr>
            <w:tcW w:w="3188" w:type="dxa"/>
            <w:tcBorders>
              <w:top w:val="single" w:sz="2" w:space="0" w:color="000000"/>
              <w:left w:val="single" w:sz="2" w:space="0" w:color="000000"/>
              <w:bottom w:val="single" w:sz="2" w:space="0" w:color="000000"/>
              <w:right w:val="single" w:sz="2" w:space="0" w:color="000000"/>
            </w:tcBorders>
            <w:shd w:fill="auto" w:val="clear"/>
            <w:tcMar>
              <w:top w:w="28" w:type="dxa"/>
              <w:left w:w="103" w:type="dxa"/>
              <w:bottom w:w="28" w:type="dxa"/>
              <w:right w:w="103" w:type="dxa"/>
            </w:tcMar>
            <w:vAlign w:val="center"/>
          </w:tcPr>
          <w:p>
            <w:pPr>
              <w:pStyle w:val="TableContents"/>
              <w:spacing w:before="0" w:after="0"/>
              <w:ind w:left="0" w:right="0" w:hanging="0"/>
              <w:jc w:val="right"/>
              <w:rPr/>
            </w:pPr>
            <w:r>
              <w:rPr/>
              <w:t>—</w:t>
            </w:r>
          </w:p>
        </w:tc>
      </w:tr>
      <w:tr>
        <w:trPr/>
        <w:tc>
          <w:tcPr>
            <w:tcW w:w="2504"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Total</w:t>
            </w:r>
          </w:p>
        </w:tc>
        <w:tc>
          <w:tcPr>
            <w:tcW w:w="2165"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7,612,892</w:t>
            </w:r>
          </w:p>
        </w:tc>
        <w:tc>
          <w:tcPr>
            <w:tcW w:w="2348"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$1.62</w:t>
            </w:r>
          </w:p>
        </w:tc>
        <w:tc>
          <w:tcPr>
            <w:tcW w:w="3188"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spacing w:before="0" w:after="0"/>
              <w:ind w:left="0" w:right="0" w:hanging="0"/>
              <w:jc w:val="right"/>
              <w:rPr>
                <w:rFonts w:ascii="Arial;Helvetica;sans-serif" w:hAnsi="Arial;Helvetica;sans-serif"/>
                <w:sz w:val="16"/>
              </w:rPr>
            </w:pPr>
            <w:r>
              <w:rPr>
                <w:rFonts w:ascii="Arial;Helvetica;sans-serif" w:hAnsi="Arial;Helvetica;sans-serif"/>
                <w:sz w:val="16"/>
              </w:rPr>
              <w:t>976,705</w:t>
            </w:r>
          </w:p>
        </w:tc>
      </w:tr>
    </w:tbl>
    <w:p>
      <w:pPr>
        <w:pStyle w:val="HorizontalLine"/>
        <w:pBdr>
          <w:bottom w:val="single" w:sz="6" w:space="0" w:color="000000"/>
        </w:pBdr>
        <w:spacing w:before="0" w:after="0"/>
        <w:ind w:left="0" w:right="7654" w:hanging="0"/>
        <w:rPr/>
      </w:pPr>
      <w:r>
        <w:rPr/>
      </w:r>
    </w:p>
    <w:tbl>
      <w:tblPr>
        <w:tblW w:w="10205" w:type="dxa"/>
        <w:jc w:val="left"/>
        <w:tblInd w:w="0" w:type="dxa"/>
        <w:tblCellMar>
          <w:top w:w="0" w:type="dxa"/>
          <w:left w:w="0" w:type="dxa"/>
          <w:bottom w:w="0" w:type="dxa"/>
          <w:right w:w="0" w:type="dxa"/>
        </w:tblCellMar>
      </w:tblPr>
      <w:tblGrid>
        <w:gridCol w:w="167"/>
        <w:gridCol w:w="10038"/>
      </w:tblGrid>
      <w:tr>
        <w:trPr/>
        <w:tc>
          <w:tcPr>
            <w:tcW w:w="167" w:type="dxa"/>
            <w:tcBorders/>
            <w:shd w:fill="auto" w:val="clear"/>
            <w:vAlign w:val="center"/>
          </w:tcPr>
          <w:p>
            <w:pPr>
              <w:pStyle w:val="TableContents"/>
              <w:spacing w:before="0" w:after="0"/>
              <w:rPr>
                <w:rFonts w:ascii="Arial;Helvetica;sans-serif" w:hAnsi="Arial;Helvetica;sans-serif"/>
                <w:sz w:val="15"/>
                <w:highlight w:val="white"/>
              </w:rPr>
            </w:pPr>
            <w:r>
              <w:rPr>
                <w:rFonts w:ascii="Arial;Helvetica;sans-serif" w:hAnsi="Arial;Helvetica;sans-serif"/>
                <w:sz w:val="15"/>
                <w:highlight w:val="white"/>
              </w:rPr>
              <w:t>(1)</w:t>
            </w:r>
          </w:p>
        </w:tc>
        <w:tc>
          <w:tcPr>
            <w:tcW w:w="10038" w:type="dxa"/>
            <w:tcBorders/>
            <w:shd w:fill="auto" w:val="clear"/>
            <w:vAlign w:val="center"/>
          </w:tcPr>
          <w:p>
            <w:pPr>
              <w:pStyle w:val="TableContents"/>
              <w:spacing w:before="0" w:after="0"/>
              <w:rPr>
                <w:rFonts w:ascii="Arial;Helvetica;sans-serif" w:hAnsi="Arial;Helvetica;sans-serif"/>
                <w:sz w:val="16"/>
                <w:highlight w:val="white"/>
              </w:rPr>
            </w:pPr>
            <w:r>
              <w:rPr>
                <w:rFonts w:ascii="Arial;Helvetica;sans-serif" w:hAnsi="Arial;Helvetica;sans-serif"/>
                <w:sz w:val="16"/>
                <w:highlight w:val="white"/>
              </w:rPr>
              <w:t>Consists of the 2019 Plan. Our board of directors adopted, and our shareholders approved, the 2023 Plan and our 2023 Employee Share Purchase Plan (“ESPP”) in January 2023. The 2023 Plan and ESPP became effective on February 2, 2023. Following the effectiveness of our 2023 Plan, no further grants will be made under our 2019 Plan. Any outstanding awards granted under our 2019 Plan will remain subject to the terms of our 2019 Plan and applicable award agreements.</w:t>
            </w:r>
          </w:p>
        </w:tc>
      </w:tr>
    </w:tbl>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Item 13. Certain Relationships and Related Transactions, and Director Independence</w:t>
      </w:r>
      <w:bookmarkStart w:id="39" w:name="Item13_Certain_Relationships"/>
      <w:bookmarkEnd w:id="39"/>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following includes a summary of transactions since January 1, 2019 and any currently proposed transactions, to which we were or are to be a participant, in which (i) the amount involved exceeded or will exceed the lesser of $120,000 or one percent of the average of our total assets at year-end for the last two completed fiscal years; and (ii) any of our directors, executive officers or holders of more than 5% of our issued share capital, or any affiliate or member of the immediate family of the foregoing persons, had or will have a direct or indirect material interest, other than compensation and other arrangements that are described under the section titled “Executive and Director Compensation.”</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Share Exchanges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Series B-1 Convertible Preferred Share Exchange</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December 2021, we entered into a share exchange agreement with Basecamp Bio, a Cayman Islands exempted company limited by shares, and certain holders of the Basecamp Bio series seed shares (the “Basecamp Shares”) pursuant to which, the holders of such shares exchanged an aggregate of 7,000,000 Basecamp Shares for 2,161,402 of our Series B-1 convertible preferred shares of the company. Each one Basecamp Share was exchanged for 0.30877158 of our Series B-1 convertible preferred shares, rounded to the nearest whole share. As a result of such share exchange, Basecamp Bio became our wholly owned subsidiary.</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 table below sets forth the number of shares of our Series B-1 convertible preferred shares issued in such share exchange to our executive officers, directors, holders of more than 5% of our issued share capital and their affiliated entities or immediate family members. Each Series B-1 preferred share in the table below was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226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automatically converted into and re-designated as one ordinary share immediately upon the closing of our IPO.</w:t>
      </w:r>
    </w:p>
    <w:tbl>
      <w:tblPr>
        <w:tblW w:w="7720" w:type="dxa"/>
        <w:jc w:val="center"/>
        <w:tblInd w:w="0" w:type="dxa"/>
        <w:tblCellMar>
          <w:top w:w="0" w:type="dxa"/>
          <w:left w:w="0" w:type="dxa"/>
          <w:bottom w:w="0" w:type="dxa"/>
          <w:right w:w="0" w:type="dxa"/>
        </w:tblCellMar>
      </w:tblPr>
      <w:tblGrid>
        <w:gridCol w:w="4561"/>
        <w:gridCol w:w="326"/>
        <w:gridCol w:w="1171"/>
        <w:gridCol w:w="326"/>
        <w:gridCol w:w="1336"/>
      </w:tblGrid>
      <w:tr>
        <w:trPr/>
        <w:tc>
          <w:tcPr>
            <w:tcW w:w="45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896235" cy="175260"/>
                      <wp:effectExtent l="0" t="0" r="0" b="0"/>
                      <wp:wrapNone/>
                      <wp:docPr id="372" name="Frame330"/>
                      <a:graphic xmlns:a="http://schemas.openxmlformats.org/drawingml/2006/main">
                        <a:graphicData uri="http://schemas.microsoft.com/office/word/2010/wordprocessingShape">
                          <wps:wsp>
                            <wps:cNvSpPr txBox="1"/>
                            <wps:spPr>
                              <a:xfrm>
                                <a:off x="0" y="0"/>
                                <a:ext cx="2896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07010" cy="175260"/>
                      <wp:effectExtent l="0" t="0" r="0" b="0"/>
                      <wp:wrapNone/>
                      <wp:docPr id="373" name="Frame3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1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743585" cy="175260"/>
                      <wp:effectExtent l="0" t="0" r="0" b="0"/>
                      <wp:wrapNone/>
                      <wp:docPr id="374" name="Frame332"/>
                      <a:graphic xmlns:a="http://schemas.openxmlformats.org/drawingml/2006/main">
                        <a:graphicData uri="http://schemas.microsoft.com/office/word/2010/wordprocessingShape">
                          <wps:wsp>
                            <wps:cNvSpPr txBox="1"/>
                            <wps:spPr>
                              <a:xfrm>
                                <a:off x="0" y="0"/>
                                <a:ext cx="743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5" name="Frame3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848995" cy="175260"/>
                      <wp:effectExtent l="0" t="0" r="0" b="0"/>
                      <wp:wrapNone/>
                      <wp:docPr id="376" name="Frame334"/>
                      <a:graphic xmlns:a="http://schemas.openxmlformats.org/drawingml/2006/main">
                        <a:graphicData uri="http://schemas.microsoft.com/office/word/2010/wordprocessingShape">
                          <wps:wsp>
                            <wps:cNvSpPr txBox="1"/>
                            <wps:spPr>
                              <a:xfrm>
                                <a:off x="0" y="0"/>
                                <a:ext cx="8489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56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17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33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r>
      <w:tr>
        <w:trPr/>
        <w:tc>
          <w:tcPr>
            <w:tcW w:w="45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17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BASECAMP</w:t>
            </w:r>
          </w:p>
        </w:tc>
        <w:tc>
          <w:tcPr>
            <w:tcW w:w="326" w:type="dxa"/>
            <w:tcBorders/>
            <w:shd w:fill="auto" w:val="clear"/>
            <w:vAlign w:val="center"/>
          </w:tcPr>
          <w:p>
            <w:pPr>
              <w:pStyle w:val="TableContents"/>
              <w:spacing w:before="0" w:after="1"/>
              <w:ind w:left="0" w:right="0" w:hanging="0"/>
              <w:rPr/>
            </w:pPr>
            <w:r>
              <w:rPr/>
              <w:t>    </w:t>
            </w:r>
          </w:p>
        </w:tc>
        <w:tc>
          <w:tcPr>
            <w:tcW w:w="133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SERIES B-1</w:t>
            </w:r>
          </w:p>
        </w:tc>
      </w:tr>
      <w:tr>
        <w:trPr/>
        <w:tc>
          <w:tcPr>
            <w:tcW w:w="45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7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BIO </w:t>
            </w:r>
          </w:p>
        </w:tc>
        <w:tc>
          <w:tcPr>
            <w:tcW w:w="326" w:type="dxa"/>
            <w:tcBorders/>
            <w:shd w:fill="auto" w:val="clear"/>
            <w:vAlign w:val="center"/>
          </w:tcPr>
          <w:p>
            <w:pPr>
              <w:pStyle w:val="TableContents"/>
              <w:spacing w:before="0" w:after="1"/>
              <w:ind w:left="0" w:right="0" w:hanging="0"/>
              <w:rPr/>
            </w:pPr>
            <w:r>
              <w:rPr/>
              <w:t>​</w:t>
            </w:r>
          </w:p>
        </w:tc>
        <w:tc>
          <w:tcPr>
            <w:tcW w:w="133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CONVERTIBLE</w:t>
            </w:r>
          </w:p>
        </w:tc>
      </w:tr>
      <w:tr>
        <w:trPr/>
        <w:tc>
          <w:tcPr>
            <w:tcW w:w="45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7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SERIES SEED</w:t>
            </w:r>
          </w:p>
        </w:tc>
        <w:tc>
          <w:tcPr>
            <w:tcW w:w="326" w:type="dxa"/>
            <w:tcBorders/>
            <w:shd w:fill="auto" w:val="clear"/>
            <w:vAlign w:val="center"/>
          </w:tcPr>
          <w:p>
            <w:pPr>
              <w:pStyle w:val="TableContents"/>
              <w:spacing w:before="0" w:after="1"/>
              <w:ind w:left="0" w:right="0" w:hanging="0"/>
              <w:rPr/>
            </w:pPr>
            <w:r>
              <w:rPr/>
              <w:t>​</w:t>
            </w:r>
          </w:p>
        </w:tc>
        <w:tc>
          <w:tcPr>
            <w:tcW w:w="133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PREFERRED</w:t>
            </w:r>
          </w:p>
        </w:tc>
      </w:tr>
      <w:tr>
        <w:trPr/>
        <w:tc>
          <w:tcPr>
            <w:tcW w:w="45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17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SHARE</w:t>
            </w:r>
          </w:p>
        </w:tc>
        <w:tc>
          <w:tcPr>
            <w:tcW w:w="326" w:type="dxa"/>
            <w:tcBorders/>
            <w:shd w:fill="auto" w:val="clear"/>
            <w:vAlign w:val="center"/>
          </w:tcPr>
          <w:p>
            <w:pPr>
              <w:pStyle w:val="TableContents"/>
              <w:spacing w:before="0" w:after="1"/>
              <w:ind w:left="0" w:right="0" w:hanging="0"/>
              <w:rPr/>
            </w:pPr>
            <w:r>
              <w:rPr/>
              <w:t>​</w:t>
            </w:r>
          </w:p>
        </w:tc>
        <w:tc>
          <w:tcPr>
            <w:tcW w:w="1336"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SHARE</w:t>
            </w:r>
          </w:p>
        </w:tc>
      </w:tr>
      <w:tr>
        <w:trPr/>
        <w:tc>
          <w:tcPr>
            <w:tcW w:w="4561" w:type="dxa"/>
            <w:tcBorders>
              <w:bottom w:val="single" w:sz="2"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b/>
                <w:sz w:val="16"/>
              </w:rPr>
            </w:pPr>
            <w:r>
              <w:rPr>
                <w:rFonts w:ascii="Arial;Helvetica;sans-serif" w:hAnsi="Arial;Helvetica;sans-serif"/>
                <w:b/>
                <w:sz w:val="16"/>
              </w:rPr>
              <w:t>NAME</w:t>
            </w:r>
          </w:p>
        </w:tc>
        <w:tc>
          <w:tcPr>
            <w:tcW w:w="326" w:type="dxa"/>
            <w:tcBorders/>
            <w:shd w:fill="auto" w:val="clear"/>
            <w:vAlign w:val="center"/>
          </w:tcPr>
          <w:p>
            <w:pPr>
              <w:pStyle w:val="TableContents"/>
              <w:spacing w:before="0" w:after="1"/>
              <w:ind w:left="0" w:right="0" w:hanging="0"/>
              <w:rPr/>
            </w:pPr>
            <w:r>
              <w:rPr/>
              <w:t>​</w:t>
            </w:r>
          </w:p>
        </w:tc>
        <w:tc>
          <w:tcPr>
            <w:tcW w:w="117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c>
          <w:tcPr>
            <w:tcW w:w="326" w:type="dxa"/>
            <w:tcBorders/>
            <w:shd w:fill="auto" w:val="clear"/>
            <w:vAlign w:val="center"/>
          </w:tcPr>
          <w:p>
            <w:pPr>
              <w:pStyle w:val="TableContents"/>
              <w:spacing w:before="0" w:after="1"/>
              <w:ind w:left="0" w:right="0" w:hanging="0"/>
              <w:rPr/>
            </w:pPr>
            <w:r>
              <w:rPr/>
              <w:t>​</w:t>
            </w:r>
          </w:p>
        </w:tc>
        <w:tc>
          <w:tcPr>
            <w:tcW w:w="133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r>
      <w:tr>
        <w:trPr/>
        <w:tc>
          <w:tcPr>
            <w:tcW w:w="45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b/>
                <w:sz w:val="20"/>
              </w:rPr>
              <w:t>Greater than 5% shareholders</w:t>
            </w:r>
            <w:r>
              <w:rPr>
                <w:rFonts w:ascii="Arial;Helvetica;sans-serif" w:hAnsi="Arial;Helvetica;sans-serif"/>
                <w:sz w:val="20"/>
              </w:rPr>
              <w:t>:</w:t>
            </w:r>
          </w:p>
        </w:tc>
        <w:tc>
          <w:tcPr>
            <w:tcW w:w="326" w:type="dxa"/>
            <w:tcBorders/>
            <w:shd w:fill="CCEEFF" w:val="clear"/>
            <w:vAlign w:val="center"/>
          </w:tcPr>
          <w:p>
            <w:pPr>
              <w:pStyle w:val="TableContents"/>
              <w:spacing w:before="0" w:after="1"/>
              <w:ind w:left="0" w:right="0" w:hanging="0"/>
              <w:rPr/>
            </w:pPr>
            <w:r>
              <w:rPr/>
              <w:t> </w:t>
            </w:r>
          </w:p>
        </w:tc>
        <w:tc>
          <w:tcPr>
            <w:tcW w:w="117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336" w:type="dxa"/>
            <w:tcBorders/>
            <w:shd w:fill="CCEEFF" w:val="clear"/>
            <w:vAlign w:val="center"/>
          </w:tcPr>
          <w:p>
            <w:pPr>
              <w:pStyle w:val="TableContents"/>
              <w:spacing w:before="0" w:after="1"/>
              <w:ind w:left="0" w:right="0" w:hanging="0"/>
              <w:jc w:val="right"/>
              <w:rPr/>
            </w:pPr>
            <w:r>
              <w:rPr/>
              <w:t>  </w:t>
            </w:r>
          </w:p>
        </w:tc>
      </w:tr>
      <w:tr>
        <w:trPr/>
        <w:tc>
          <w:tcPr>
            <w:tcW w:w="456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ERVC Healthcare V, L.P.</w:t>
            </w:r>
          </w:p>
        </w:tc>
        <w:tc>
          <w:tcPr>
            <w:tcW w:w="326" w:type="dxa"/>
            <w:tcBorders/>
            <w:shd w:fill="auto" w:val="clear"/>
            <w:vAlign w:val="center"/>
          </w:tcPr>
          <w:p>
            <w:pPr>
              <w:pStyle w:val="TableContents"/>
              <w:spacing w:before="0" w:after="1"/>
              <w:ind w:left="0" w:right="0" w:hanging="0"/>
              <w:rPr/>
            </w:pPr>
            <w:r>
              <w:rPr/>
              <w:t> </w:t>
            </w:r>
          </w:p>
        </w:tc>
        <w:tc>
          <w:tcPr>
            <w:tcW w:w="117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1,600,000</w:t>
            </w:r>
          </w:p>
        </w:tc>
        <w:tc>
          <w:tcPr>
            <w:tcW w:w="326" w:type="dxa"/>
            <w:tcBorders/>
            <w:shd w:fill="auto" w:val="clear"/>
            <w:vAlign w:val="center"/>
          </w:tcPr>
          <w:p>
            <w:pPr>
              <w:pStyle w:val="TableContents"/>
              <w:spacing w:before="0" w:after="1"/>
              <w:ind w:left="0" w:right="0" w:hanging="0"/>
              <w:rPr/>
            </w:pPr>
            <w:r>
              <w:rPr/>
              <w:t> </w:t>
            </w:r>
          </w:p>
        </w:tc>
        <w:tc>
          <w:tcPr>
            <w:tcW w:w="133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494,035</w:t>
            </w:r>
          </w:p>
        </w:tc>
      </w:tr>
      <w:tr>
        <w:trPr/>
        <w:tc>
          <w:tcPr>
            <w:tcW w:w="45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F-Prime Capital Partners Life Sciences Fund VI LP</w:t>
            </w:r>
          </w:p>
        </w:tc>
        <w:tc>
          <w:tcPr>
            <w:tcW w:w="326" w:type="dxa"/>
            <w:tcBorders/>
            <w:shd w:fill="CCEEFF" w:val="clear"/>
            <w:vAlign w:val="center"/>
          </w:tcPr>
          <w:p>
            <w:pPr>
              <w:pStyle w:val="TableContents"/>
              <w:spacing w:before="0" w:after="1"/>
              <w:ind w:left="0" w:right="0" w:hanging="0"/>
              <w:rPr/>
            </w:pPr>
            <w:r>
              <w:rPr/>
              <w:t> </w:t>
            </w:r>
          </w:p>
        </w:tc>
        <w:tc>
          <w:tcPr>
            <w:tcW w:w="117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1,500,000</w:t>
            </w:r>
          </w:p>
        </w:tc>
        <w:tc>
          <w:tcPr>
            <w:tcW w:w="326" w:type="dxa"/>
            <w:tcBorders/>
            <w:shd w:fill="CCEEFF" w:val="clear"/>
            <w:vAlign w:val="center"/>
          </w:tcPr>
          <w:p>
            <w:pPr>
              <w:pStyle w:val="TableContents"/>
              <w:spacing w:before="0" w:after="1"/>
              <w:ind w:left="0" w:right="0" w:hanging="0"/>
              <w:rPr/>
            </w:pPr>
            <w:r>
              <w:rPr/>
              <w:t> </w:t>
            </w:r>
          </w:p>
        </w:tc>
        <w:tc>
          <w:tcPr>
            <w:tcW w:w="133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463,157</w:t>
            </w:r>
          </w:p>
        </w:tc>
      </w:tr>
      <w:tr>
        <w:trPr/>
        <w:tc>
          <w:tcPr>
            <w:tcW w:w="456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SCC Seed II Holdco, Ltd.</w:t>
            </w:r>
          </w:p>
        </w:tc>
        <w:tc>
          <w:tcPr>
            <w:tcW w:w="326" w:type="dxa"/>
            <w:tcBorders/>
            <w:shd w:fill="auto" w:val="clear"/>
            <w:vAlign w:val="center"/>
          </w:tcPr>
          <w:p>
            <w:pPr>
              <w:pStyle w:val="TableContents"/>
              <w:spacing w:before="0" w:after="1"/>
              <w:ind w:left="0" w:right="0" w:hanging="0"/>
              <w:rPr/>
            </w:pPr>
            <w:r>
              <w:rPr/>
              <w:t> </w:t>
            </w:r>
          </w:p>
        </w:tc>
        <w:tc>
          <w:tcPr>
            <w:tcW w:w="117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1,100,000</w:t>
            </w:r>
          </w:p>
        </w:tc>
        <w:tc>
          <w:tcPr>
            <w:tcW w:w="326" w:type="dxa"/>
            <w:tcBorders/>
            <w:shd w:fill="auto" w:val="clear"/>
            <w:vAlign w:val="center"/>
          </w:tcPr>
          <w:p>
            <w:pPr>
              <w:pStyle w:val="TableContents"/>
              <w:spacing w:before="0" w:after="1"/>
              <w:ind w:left="0" w:right="0" w:hanging="0"/>
              <w:rPr/>
            </w:pPr>
            <w:r>
              <w:rPr/>
              <w:t> </w:t>
            </w:r>
          </w:p>
        </w:tc>
        <w:tc>
          <w:tcPr>
            <w:tcW w:w="1336"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339,649</w:t>
            </w:r>
          </w:p>
        </w:tc>
      </w:tr>
      <w:tr>
        <w:trPr/>
        <w:tc>
          <w:tcPr>
            <w:tcW w:w="45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BSCP Holdings Limited</w:t>
            </w:r>
          </w:p>
        </w:tc>
        <w:tc>
          <w:tcPr>
            <w:tcW w:w="326" w:type="dxa"/>
            <w:tcBorders/>
            <w:shd w:fill="CCEEFF" w:val="clear"/>
            <w:vAlign w:val="center"/>
          </w:tcPr>
          <w:p>
            <w:pPr>
              <w:pStyle w:val="TableContents"/>
              <w:spacing w:before="0" w:after="1"/>
              <w:ind w:left="0" w:right="0" w:hanging="0"/>
              <w:rPr/>
            </w:pPr>
            <w:r>
              <w:rPr/>
              <w:t> </w:t>
            </w:r>
          </w:p>
        </w:tc>
        <w:tc>
          <w:tcPr>
            <w:tcW w:w="117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1,100,000</w:t>
            </w:r>
          </w:p>
        </w:tc>
        <w:tc>
          <w:tcPr>
            <w:tcW w:w="326" w:type="dxa"/>
            <w:tcBorders/>
            <w:shd w:fill="CCEEFF" w:val="clear"/>
            <w:vAlign w:val="center"/>
          </w:tcPr>
          <w:p>
            <w:pPr>
              <w:pStyle w:val="TableContents"/>
              <w:spacing w:before="0" w:after="1"/>
              <w:ind w:left="0" w:right="0" w:hanging="0"/>
              <w:rPr/>
            </w:pPr>
            <w:r>
              <w:rPr/>
              <w:t> </w:t>
            </w:r>
          </w:p>
        </w:tc>
        <w:tc>
          <w:tcPr>
            <w:tcW w:w="1336"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339,649</w:t>
            </w:r>
          </w:p>
        </w:tc>
      </w:tr>
      <w:tr>
        <w:trPr/>
        <w:tc>
          <w:tcPr>
            <w:tcW w:w="456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17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133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Financings</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Series A+ Convertible Preferred Share Financing</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March 2020, we entered into a Series A+ preferred share purchase agreement with various investors, pursuant to which we issued and sold an aggregate of 12,799,681 shares of our Series A+ convertible preferred shares at a price per share of $2.0313 for gross proceeds of $26.0 million.</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table below sets forth the number of shares of our Series A+ convertible preferred shares purchased by our executive officers, directors, holders of more than 5% of our issued share capital and their affiliated entities or immediate family members. Each Series A+ preferred share in the table below was automatically converted into and re-designated as one ordinary share immediately upon the closing of our IPO.</w:t>
      </w:r>
    </w:p>
    <w:tbl>
      <w:tblPr>
        <w:tblW w:w="7735" w:type="dxa"/>
        <w:jc w:val="left"/>
        <w:tblInd w:w="0" w:type="dxa"/>
        <w:tblCellMar>
          <w:top w:w="0" w:type="dxa"/>
          <w:left w:w="0" w:type="dxa"/>
          <w:bottom w:w="0" w:type="dxa"/>
          <w:right w:w="0" w:type="dxa"/>
        </w:tblCellMar>
      </w:tblPr>
      <w:tblGrid>
        <w:gridCol w:w="4561"/>
        <w:gridCol w:w="326"/>
        <w:gridCol w:w="1291"/>
        <w:gridCol w:w="326"/>
        <w:gridCol w:w="1231"/>
      </w:tblGrid>
      <w:tr>
        <w:trPr/>
        <w:tc>
          <w:tcPr>
            <w:tcW w:w="45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896235" cy="175260"/>
                      <wp:effectExtent l="0" t="0" r="0" b="0"/>
                      <wp:wrapNone/>
                      <wp:docPr id="377" name="Frame335"/>
                      <a:graphic xmlns:a="http://schemas.openxmlformats.org/drawingml/2006/main">
                        <a:graphicData uri="http://schemas.microsoft.com/office/word/2010/wordprocessingShape">
                          <wps:wsp>
                            <wps:cNvSpPr txBox="1"/>
                            <wps:spPr>
                              <a:xfrm>
                                <a:off x="0" y="0"/>
                                <a:ext cx="2896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8" name="Frame3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819785" cy="175260"/>
                      <wp:effectExtent l="0" t="0" r="0" b="0"/>
                      <wp:wrapNone/>
                      <wp:docPr id="379" name="Frame337"/>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07010" cy="175260"/>
                      <wp:effectExtent l="0" t="0" r="0" b="0"/>
                      <wp:wrapNone/>
                      <wp:docPr id="380" name="Frame3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781685" cy="175260"/>
                      <wp:effectExtent l="0" t="0" r="0" b="0"/>
                      <wp:wrapNone/>
                      <wp:docPr id="381" name="Frame339"/>
                      <a:graphic xmlns:a="http://schemas.openxmlformats.org/drawingml/2006/main">
                        <a:graphicData uri="http://schemas.microsoft.com/office/word/2010/wordprocessingShape">
                          <wps:wsp>
                            <wps:cNvSpPr txBox="1"/>
                            <wps:spPr>
                              <a:xfrm>
                                <a:off x="0" y="0"/>
                                <a:ext cx="781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56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29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23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r>
      <w:tr>
        <w:trPr/>
        <w:tc>
          <w:tcPr>
            <w:tcW w:w="45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SERIES A+</w:t>
            </w:r>
          </w:p>
        </w:tc>
        <w:tc>
          <w:tcPr>
            <w:tcW w:w="326" w:type="dxa"/>
            <w:tcBorders/>
            <w:shd w:fill="auto" w:val="clear"/>
            <w:vAlign w:val="center"/>
          </w:tcPr>
          <w:p>
            <w:pPr>
              <w:pStyle w:val="TableContents"/>
              <w:spacing w:before="0" w:after="1"/>
              <w:ind w:left="0" w:right="0" w:hanging="0"/>
              <w:rPr/>
            </w:pPr>
            <w:r>
              <w:rPr/>
              <w:t>    </w:t>
            </w:r>
          </w:p>
        </w:tc>
        <w:tc>
          <w:tcPr>
            <w:tcW w:w="1231" w:type="dxa"/>
            <w:tcBorders/>
            <w:shd w:fill="auto" w:val="clear"/>
            <w:vAlign w:val="center"/>
          </w:tcPr>
          <w:p>
            <w:pPr>
              <w:pStyle w:val="TableContents"/>
              <w:spacing w:before="0" w:after="1"/>
              <w:ind w:left="0" w:right="0" w:hanging="0"/>
              <w:jc w:val="center"/>
              <w:rPr/>
            </w:pPr>
            <w:r>
              <w:rPr/>
              <w:t>​</w:t>
            </w:r>
          </w:p>
        </w:tc>
      </w:tr>
      <w:tr>
        <w:trPr/>
        <w:tc>
          <w:tcPr>
            <w:tcW w:w="45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9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CONVERTIBLE</w:t>
            </w:r>
          </w:p>
        </w:tc>
        <w:tc>
          <w:tcPr>
            <w:tcW w:w="326" w:type="dxa"/>
            <w:tcBorders/>
            <w:shd w:fill="auto" w:val="clear"/>
            <w:vAlign w:val="center"/>
          </w:tcPr>
          <w:p>
            <w:pPr>
              <w:pStyle w:val="TableContents"/>
              <w:spacing w:before="0" w:after="1"/>
              <w:ind w:left="0" w:right="0" w:hanging="0"/>
              <w:rPr/>
            </w:pPr>
            <w:r>
              <w:rPr/>
              <w:t>​</w:t>
            </w:r>
          </w:p>
        </w:tc>
        <w:tc>
          <w:tcPr>
            <w:tcW w:w="123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AGGREGATE</w:t>
            </w:r>
          </w:p>
        </w:tc>
      </w:tr>
      <w:tr>
        <w:trPr/>
        <w:tc>
          <w:tcPr>
            <w:tcW w:w="45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9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PREFERRED</w:t>
            </w:r>
          </w:p>
        </w:tc>
        <w:tc>
          <w:tcPr>
            <w:tcW w:w="326" w:type="dxa"/>
            <w:tcBorders/>
            <w:shd w:fill="auto" w:val="clear"/>
            <w:vAlign w:val="center"/>
          </w:tcPr>
          <w:p>
            <w:pPr>
              <w:pStyle w:val="TableContents"/>
              <w:spacing w:before="0" w:after="1"/>
              <w:ind w:left="0" w:right="0" w:hanging="0"/>
              <w:rPr/>
            </w:pPr>
            <w:r>
              <w:rPr/>
              <w:t>​</w:t>
            </w:r>
          </w:p>
        </w:tc>
        <w:tc>
          <w:tcPr>
            <w:tcW w:w="123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PURCHASE</w:t>
            </w:r>
          </w:p>
        </w:tc>
      </w:tr>
      <w:tr>
        <w:trPr/>
        <w:tc>
          <w:tcPr>
            <w:tcW w:w="45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9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SHARE</w:t>
            </w:r>
          </w:p>
        </w:tc>
        <w:tc>
          <w:tcPr>
            <w:tcW w:w="326" w:type="dxa"/>
            <w:tcBorders/>
            <w:shd w:fill="auto" w:val="clear"/>
            <w:vAlign w:val="center"/>
          </w:tcPr>
          <w:p>
            <w:pPr>
              <w:pStyle w:val="TableContents"/>
              <w:spacing w:before="0" w:after="1"/>
              <w:ind w:left="0" w:right="0" w:hanging="0"/>
              <w:rPr/>
            </w:pPr>
            <w:r>
              <w:rPr/>
              <w:t>​</w:t>
            </w:r>
          </w:p>
        </w:tc>
        <w:tc>
          <w:tcPr>
            <w:tcW w:w="123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PRICE</w:t>
            </w:r>
          </w:p>
        </w:tc>
      </w:tr>
      <w:tr>
        <w:trPr/>
        <w:tc>
          <w:tcPr>
            <w:tcW w:w="4561" w:type="dxa"/>
            <w:tcBorders>
              <w:bottom w:val="single" w:sz="2"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b/>
                <w:sz w:val="16"/>
              </w:rPr>
            </w:pPr>
            <w:r>
              <w:rPr>
                <w:rFonts w:ascii="Arial;Helvetica;sans-serif" w:hAnsi="Arial;Helvetica;sans-serif"/>
                <w:b/>
                <w:sz w:val="16"/>
              </w:rPr>
              <w:t>NAME</w:t>
            </w:r>
          </w:p>
        </w:tc>
        <w:tc>
          <w:tcPr>
            <w:tcW w:w="326" w:type="dxa"/>
            <w:tcBorders/>
            <w:shd w:fill="auto" w:val="clear"/>
            <w:vAlign w:val="center"/>
          </w:tcPr>
          <w:p>
            <w:pPr>
              <w:pStyle w:val="TableContents"/>
              <w:spacing w:before="0" w:after="1"/>
              <w:ind w:left="0" w:right="0" w:hanging="0"/>
              <w:rPr/>
            </w:pPr>
            <w:r>
              <w:rPr/>
              <w:t>​</w:t>
            </w:r>
          </w:p>
        </w:tc>
        <w:tc>
          <w:tcPr>
            <w:tcW w:w="12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Calibri;Helvetica;sans-serif" w:hAnsi="Calibri;Helvetica;sans-serif"/>
                <w:b/>
                <w:sz w:val="16"/>
              </w:rPr>
            </w:pPr>
            <w:r>
              <w:rPr>
                <w:rFonts w:ascii="Calibri;Helvetica;sans-serif" w:hAnsi="Calibri;Helvetica;sans-serif"/>
                <w:b/>
                <w:sz w:val="16"/>
              </w:rPr>
              <w:t>(#)</w:t>
            </w:r>
          </w:p>
        </w:tc>
        <w:tc>
          <w:tcPr>
            <w:tcW w:w="326" w:type="dxa"/>
            <w:tcBorders/>
            <w:shd w:fill="auto" w:val="clear"/>
            <w:vAlign w:val="center"/>
          </w:tcPr>
          <w:p>
            <w:pPr>
              <w:pStyle w:val="TableContents"/>
              <w:spacing w:before="0" w:after="1"/>
              <w:ind w:left="0" w:right="0" w:hanging="0"/>
              <w:rPr/>
            </w:pPr>
            <w:r>
              <w:rPr/>
              <w:t>​</w:t>
            </w:r>
          </w:p>
        </w:tc>
        <w:tc>
          <w:tcPr>
            <w:tcW w:w="12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Calibri;Helvetica;sans-serif" w:hAnsi="Calibri;Helvetica;sans-serif"/>
                <w:b/>
                <w:sz w:val="16"/>
              </w:rPr>
            </w:pPr>
            <w:r>
              <w:rPr>
                <w:rFonts w:ascii="Calibri;Helvetica;sans-serif" w:hAnsi="Calibri;Helvetica;sans-serif"/>
                <w:b/>
                <w:sz w:val="16"/>
              </w:rPr>
              <w:t>($)</w:t>
            </w:r>
          </w:p>
        </w:tc>
      </w:tr>
      <w:tr>
        <w:trPr/>
        <w:tc>
          <w:tcPr>
            <w:tcW w:w="45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b/>
                <w:sz w:val="20"/>
              </w:rPr>
              <w:t>Greater than 5% shareholders</w:t>
            </w:r>
            <w:r>
              <w:rPr>
                <w:rFonts w:ascii="Arial;Helvetica;sans-serif" w:hAnsi="Arial;Helvetica;sans-serif"/>
                <w:sz w:val="20"/>
              </w:rPr>
              <w:t>:</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231" w:type="dxa"/>
            <w:tcBorders/>
            <w:shd w:fill="CCEEFF" w:val="clear"/>
            <w:vAlign w:val="center"/>
          </w:tcPr>
          <w:p>
            <w:pPr>
              <w:pStyle w:val="TableContents"/>
              <w:spacing w:before="0" w:after="1"/>
              <w:ind w:left="0" w:right="0" w:hanging="0"/>
              <w:jc w:val="right"/>
              <w:rPr/>
            </w:pPr>
            <w:r>
              <w:rPr/>
              <w:t>  </w:t>
            </w:r>
          </w:p>
        </w:tc>
      </w:tr>
      <w:tr>
        <w:trPr/>
        <w:tc>
          <w:tcPr>
            <w:tcW w:w="456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ERVC Healthcare IV, L.P.</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676,906</w:t>
            </w:r>
          </w:p>
        </w:tc>
        <w:tc>
          <w:tcPr>
            <w:tcW w:w="326" w:type="dxa"/>
            <w:tcBorders/>
            <w:shd w:fill="auto" w:val="clear"/>
            <w:vAlign w:val="center"/>
          </w:tcPr>
          <w:p>
            <w:pPr>
              <w:pStyle w:val="TableContents"/>
              <w:spacing w:before="0" w:after="1"/>
              <w:ind w:left="0" w:right="0" w:hanging="0"/>
              <w:rPr/>
            </w:pPr>
            <w:r>
              <w:rPr/>
              <w:t> </w:t>
            </w:r>
          </w:p>
        </w:tc>
        <w:tc>
          <w:tcPr>
            <w:tcW w:w="123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1,374,999</w:t>
            </w:r>
          </w:p>
        </w:tc>
      </w:tr>
      <w:tr>
        <w:trPr/>
        <w:tc>
          <w:tcPr>
            <w:tcW w:w="45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F-Prime Capital Partners Life Sciences Fund VI LP</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676,906</w:t>
            </w:r>
          </w:p>
        </w:tc>
        <w:tc>
          <w:tcPr>
            <w:tcW w:w="326" w:type="dxa"/>
            <w:tcBorders/>
            <w:shd w:fill="CCEEFF" w:val="clear"/>
            <w:vAlign w:val="center"/>
          </w:tcPr>
          <w:p>
            <w:pPr>
              <w:pStyle w:val="TableContents"/>
              <w:spacing w:before="0" w:after="1"/>
              <w:ind w:left="0" w:right="0" w:hanging="0"/>
              <w:rPr/>
            </w:pPr>
            <w:r>
              <w:rPr/>
              <w:t> </w:t>
            </w:r>
          </w:p>
        </w:tc>
        <w:tc>
          <w:tcPr>
            <w:tcW w:w="12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1,374,999</w:t>
            </w:r>
          </w:p>
        </w:tc>
      </w:tr>
      <w:tr>
        <w:trPr/>
        <w:tc>
          <w:tcPr>
            <w:tcW w:w="456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SCC Venture VII Holdco I, Ltd.</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2,461,477</w:t>
            </w:r>
          </w:p>
        </w:tc>
        <w:tc>
          <w:tcPr>
            <w:tcW w:w="326" w:type="dxa"/>
            <w:tcBorders/>
            <w:shd w:fill="auto" w:val="clear"/>
            <w:vAlign w:val="center"/>
          </w:tcPr>
          <w:p>
            <w:pPr>
              <w:pStyle w:val="TableContents"/>
              <w:spacing w:before="0" w:after="1"/>
              <w:ind w:left="0" w:right="0" w:hanging="0"/>
              <w:rPr/>
            </w:pPr>
            <w:r>
              <w:rPr/>
              <w:t> </w:t>
            </w:r>
          </w:p>
        </w:tc>
        <w:tc>
          <w:tcPr>
            <w:tcW w:w="123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4,999,998</w:t>
            </w:r>
          </w:p>
        </w:tc>
      </w:tr>
      <w:tr>
        <w:trPr/>
        <w:tc>
          <w:tcPr>
            <w:tcW w:w="45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Entities affiliated with Qiming</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1,199,970</w:t>
            </w:r>
          </w:p>
        </w:tc>
        <w:tc>
          <w:tcPr>
            <w:tcW w:w="326" w:type="dxa"/>
            <w:tcBorders/>
            <w:shd w:fill="CCEEFF" w:val="clear"/>
            <w:vAlign w:val="center"/>
          </w:tcPr>
          <w:p>
            <w:pPr>
              <w:pStyle w:val="TableContents"/>
              <w:spacing w:before="0" w:after="1"/>
              <w:ind w:left="0" w:right="0" w:hanging="0"/>
              <w:rPr/>
            </w:pPr>
            <w:r>
              <w:rPr/>
              <w:t> </w:t>
            </w:r>
          </w:p>
        </w:tc>
        <w:tc>
          <w:tcPr>
            <w:tcW w:w="12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2,437,499</w:t>
            </w:r>
          </w:p>
        </w:tc>
      </w:tr>
      <w:tr>
        <w:trPr/>
        <w:tc>
          <w:tcPr>
            <w:tcW w:w="456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XX-I SHT Holdings Limited</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4,922,955</w:t>
            </w:r>
          </w:p>
        </w:tc>
        <w:tc>
          <w:tcPr>
            <w:tcW w:w="326" w:type="dxa"/>
            <w:tcBorders/>
            <w:shd w:fill="auto" w:val="clear"/>
            <w:vAlign w:val="center"/>
          </w:tcPr>
          <w:p>
            <w:pPr>
              <w:pStyle w:val="TableContents"/>
              <w:spacing w:before="0" w:after="1"/>
              <w:ind w:left="0" w:right="0" w:hanging="0"/>
              <w:rPr/>
            </w:pPr>
            <w:r>
              <w:rPr/>
              <w:t> </w:t>
            </w:r>
          </w:p>
        </w:tc>
        <w:tc>
          <w:tcPr>
            <w:tcW w:w="123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9,999,999</w:t>
            </w:r>
          </w:p>
        </w:tc>
      </w:tr>
      <w:tr>
        <w:trPr/>
        <w:tc>
          <w:tcPr>
            <w:tcW w:w="456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29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23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Series B Convertible Preferred Share Financing</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a series of closings in July 2021 and April 2022, we entered into a Series B preferred share purchase agreement with various investors, pursuant to which we issued and sold an aggregate of 32,857,004 shares of our Series B convertible preferred shares at a price per share of $4.0483 for gross proceeds of $133.0 million.</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The table below sets forth the number of shares of our Series B convertible preferred shares purchased by our executive officers, directors, holders of more than 5% of our issued share capital and their affiliated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227</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entities or immediate family members. Each Series B preferred share in the table below was automatically converted into and re-designated as one ordinary share immediately upon the closing of our IPO.</w:t>
      </w:r>
    </w:p>
    <w:tbl>
      <w:tblPr>
        <w:tblW w:w="7735" w:type="dxa"/>
        <w:jc w:val="left"/>
        <w:tblInd w:w="0" w:type="dxa"/>
        <w:tblCellMar>
          <w:top w:w="0" w:type="dxa"/>
          <w:left w:w="0" w:type="dxa"/>
          <w:bottom w:w="0" w:type="dxa"/>
          <w:right w:w="0" w:type="dxa"/>
        </w:tblCellMar>
      </w:tblPr>
      <w:tblGrid>
        <w:gridCol w:w="4561"/>
        <w:gridCol w:w="326"/>
        <w:gridCol w:w="1291"/>
        <w:gridCol w:w="326"/>
        <w:gridCol w:w="1231"/>
      </w:tblGrid>
      <w:tr>
        <w:trPr/>
        <w:tc>
          <w:tcPr>
            <w:tcW w:w="45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896235" cy="175260"/>
                      <wp:effectExtent l="0" t="0" r="0" b="0"/>
                      <wp:wrapNone/>
                      <wp:docPr id="382" name="Frame340"/>
                      <a:graphic xmlns:a="http://schemas.openxmlformats.org/drawingml/2006/main">
                        <a:graphicData uri="http://schemas.microsoft.com/office/word/2010/wordprocessingShape">
                          <wps:wsp>
                            <wps:cNvSpPr txBox="1"/>
                            <wps:spPr>
                              <a:xfrm>
                                <a:off x="0" y="0"/>
                                <a:ext cx="28962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07010" cy="175260"/>
                      <wp:effectExtent l="0" t="0" r="0" b="0"/>
                      <wp:wrapNone/>
                      <wp:docPr id="383" name="Frame3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819785" cy="175260"/>
                      <wp:effectExtent l="0" t="0" r="0" b="0"/>
                      <wp:wrapNone/>
                      <wp:docPr id="384" name="Frame342"/>
                      <a:graphic xmlns:a="http://schemas.openxmlformats.org/drawingml/2006/main">
                        <a:graphicData uri="http://schemas.microsoft.com/office/word/2010/wordprocessingShape">
                          <wps:wsp>
                            <wps:cNvSpPr txBox="1"/>
                            <wps:spPr>
                              <a:xfrm>
                                <a:off x="0" y="0"/>
                                <a:ext cx="819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5" name="Frame3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781685" cy="175260"/>
                      <wp:effectExtent l="0" t="0" r="0" b="0"/>
                      <wp:wrapNone/>
                      <wp:docPr id="386" name="Frame344"/>
                      <a:graphic xmlns:a="http://schemas.openxmlformats.org/drawingml/2006/main">
                        <a:graphicData uri="http://schemas.microsoft.com/office/word/2010/wordprocessingShape">
                          <wps:wsp>
                            <wps:cNvSpPr txBox="1"/>
                            <wps:spPr>
                              <a:xfrm>
                                <a:off x="0" y="0"/>
                                <a:ext cx="781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56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29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c>
          <w:tcPr>
            <w:tcW w:w="1231" w:type="dxa"/>
            <w:tcBorders>
              <w:top w:val="single" w:sz="2" w:space="0" w:color="000000"/>
            </w:tcBorders>
            <w:shd w:fill="auto" w:val="clear"/>
            <w:tcMar>
              <w:top w:w="28" w:type="dxa"/>
            </w:tcMar>
            <w:vAlign w:val="center"/>
          </w:tcPr>
          <w:p>
            <w:pPr>
              <w:pStyle w:val="TableContents"/>
              <w:spacing w:before="0" w:after="1"/>
              <w:ind w:left="0" w:right="0" w:hanging="0"/>
              <w:rPr/>
            </w:pPr>
            <w:r>
              <w:rPr/>
              <w:t>​</w:t>
            </w:r>
          </w:p>
        </w:tc>
      </w:tr>
      <w:tr>
        <w:trPr/>
        <w:tc>
          <w:tcPr>
            <w:tcW w:w="45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SERIES B</w:t>
            </w:r>
          </w:p>
        </w:tc>
        <w:tc>
          <w:tcPr>
            <w:tcW w:w="326" w:type="dxa"/>
            <w:tcBorders/>
            <w:shd w:fill="auto" w:val="clear"/>
            <w:vAlign w:val="center"/>
          </w:tcPr>
          <w:p>
            <w:pPr>
              <w:pStyle w:val="TableContents"/>
              <w:spacing w:before="0" w:after="1"/>
              <w:ind w:left="0" w:right="0" w:hanging="0"/>
              <w:rPr/>
            </w:pPr>
            <w:r>
              <w:rPr/>
              <w:t>    </w:t>
            </w:r>
          </w:p>
        </w:tc>
        <w:tc>
          <w:tcPr>
            <w:tcW w:w="1231" w:type="dxa"/>
            <w:tcBorders/>
            <w:shd w:fill="auto" w:val="clear"/>
            <w:vAlign w:val="center"/>
          </w:tcPr>
          <w:p>
            <w:pPr>
              <w:pStyle w:val="TableContents"/>
              <w:spacing w:before="0" w:after="1"/>
              <w:ind w:left="0" w:right="0" w:hanging="0"/>
              <w:jc w:val="center"/>
              <w:rPr/>
            </w:pPr>
            <w:r>
              <w:rPr/>
              <w:t>​</w:t>
            </w:r>
          </w:p>
        </w:tc>
      </w:tr>
      <w:tr>
        <w:trPr/>
        <w:tc>
          <w:tcPr>
            <w:tcW w:w="45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9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CONVERTIBLE</w:t>
            </w:r>
          </w:p>
        </w:tc>
        <w:tc>
          <w:tcPr>
            <w:tcW w:w="326" w:type="dxa"/>
            <w:tcBorders/>
            <w:shd w:fill="auto" w:val="clear"/>
            <w:vAlign w:val="center"/>
          </w:tcPr>
          <w:p>
            <w:pPr>
              <w:pStyle w:val="TableContents"/>
              <w:spacing w:before="0" w:after="1"/>
              <w:ind w:left="0" w:right="0" w:hanging="0"/>
              <w:rPr/>
            </w:pPr>
            <w:r>
              <w:rPr/>
              <w:t>​</w:t>
            </w:r>
          </w:p>
        </w:tc>
        <w:tc>
          <w:tcPr>
            <w:tcW w:w="123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AGGREGATE</w:t>
            </w:r>
          </w:p>
        </w:tc>
      </w:tr>
      <w:tr>
        <w:trPr/>
        <w:tc>
          <w:tcPr>
            <w:tcW w:w="45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9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PREFERRED</w:t>
            </w:r>
          </w:p>
        </w:tc>
        <w:tc>
          <w:tcPr>
            <w:tcW w:w="326" w:type="dxa"/>
            <w:tcBorders/>
            <w:shd w:fill="auto" w:val="clear"/>
            <w:vAlign w:val="center"/>
          </w:tcPr>
          <w:p>
            <w:pPr>
              <w:pStyle w:val="TableContents"/>
              <w:spacing w:before="0" w:after="1"/>
              <w:ind w:left="0" w:right="0" w:hanging="0"/>
              <w:rPr/>
            </w:pPr>
            <w:r>
              <w:rPr/>
              <w:t>​</w:t>
            </w:r>
          </w:p>
        </w:tc>
        <w:tc>
          <w:tcPr>
            <w:tcW w:w="123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PURCHASE</w:t>
            </w:r>
          </w:p>
        </w:tc>
      </w:tr>
      <w:tr>
        <w:trPr/>
        <w:tc>
          <w:tcPr>
            <w:tcW w:w="456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29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SHARE</w:t>
            </w:r>
          </w:p>
        </w:tc>
        <w:tc>
          <w:tcPr>
            <w:tcW w:w="326" w:type="dxa"/>
            <w:tcBorders/>
            <w:shd w:fill="auto" w:val="clear"/>
            <w:vAlign w:val="center"/>
          </w:tcPr>
          <w:p>
            <w:pPr>
              <w:pStyle w:val="TableContents"/>
              <w:spacing w:before="0" w:after="1"/>
              <w:ind w:left="0" w:right="0" w:hanging="0"/>
              <w:rPr/>
            </w:pPr>
            <w:r>
              <w:rPr/>
              <w:t>​</w:t>
            </w:r>
          </w:p>
        </w:tc>
        <w:tc>
          <w:tcPr>
            <w:tcW w:w="1231" w:type="dxa"/>
            <w:tcBorders/>
            <w:shd w:fill="auto" w:val="cle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PRICE</w:t>
            </w:r>
          </w:p>
        </w:tc>
      </w:tr>
      <w:tr>
        <w:trPr/>
        <w:tc>
          <w:tcPr>
            <w:tcW w:w="4561" w:type="dxa"/>
            <w:tcBorders>
              <w:bottom w:val="single" w:sz="2" w:space="0" w:color="000000"/>
            </w:tcBorders>
            <w:shd w:fill="auto" w:val="clear"/>
            <w:tcMar>
              <w:bottom w:w="28" w:type="dxa"/>
            </w:tcMar>
            <w:vAlign w:val="center"/>
          </w:tcPr>
          <w:p>
            <w:pPr>
              <w:pStyle w:val="TableContents"/>
              <w:spacing w:before="0" w:after="1"/>
              <w:ind w:left="0" w:right="0" w:hanging="0"/>
              <w:rPr>
                <w:rFonts w:ascii="Arial;Helvetica;sans-serif" w:hAnsi="Arial;Helvetica;sans-serif"/>
                <w:b/>
                <w:sz w:val="16"/>
              </w:rPr>
            </w:pPr>
            <w:r>
              <w:rPr>
                <w:rFonts w:ascii="Arial;Helvetica;sans-serif" w:hAnsi="Arial;Helvetica;sans-serif"/>
                <w:b/>
                <w:sz w:val="16"/>
              </w:rPr>
              <w:t>NAME</w:t>
            </w:r>
          </w:p>
        </w:tc>
        <w:tc>
          <w:tcPr>
            <w:tcW w:w="326" w:type="dxa"/>
            <w:tcBorders/>
            <w:shd w:fill="auto" w:val="clear"/>
            <w:vAlign w:val="center"/>
          </w:tcPr>
          <w:p>
            <w:pPr>
              <w:pStyle w:val="TableContents"/>
              <w:spacing w:before="0" w:after="1"/>
              <w:ind w:left="0" w:right="0" w:hanging="0"/>
              <w:rPr/>
            </w:pPr>
            <w:r>
              <w:rPr/>
              <w:t>​</w:t>
            </w:r>
          </w:p>
        </w:tc>
        <w:tc>
          <w:tcPr>
            <w:tcW w:w="12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c>
          <w:tcPr>
            <w:tcW w:w="326" w:type="dxa"/>
            <w:tcBorders/>
            <w:shd w:fill="auto" w:val="clear"/>
            <w:vAlign w:val="center"/>
          </w:tcPr>
          <w:p>
            <w:pPr>
              <w:pStyle w:val="TableContents"/>
              <w:spacing w:before="0" w:after="1"/>
              <w:ind w:left="0" w:right="0" w:hanging="0"/>
              <w:rPr/>
            </w:pPr>
            <w:r>
              <w:rPr/>
              <w:t>​</w:t>
            </w:r>
          </w:p>
        </w:tc>
        <w:tc>
          <w:tcPr>
            <w:tcW w:w="12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Arial;Helvetica;sans-serif" w:hAnsi="Arial;Helvetica;sans-serif"/>
                <w:b/>
                <w:sz w:val="16"/>
              </w:rPr>
            </w:pPr>
            <w:r>
              <w:rPr>
                <w:rFonts w:ascii="Arial;Helvetica;sans-serif" w:hAnsi="Arial;Helvetica;sans-serif"/>
                <w:b/>
                <w:sz w:val="16"/>
              </w:rPr>
              <w:t>($)</w:t>
            </w:r>
          </w:p>
        </w:tc>
      </w:tr>
      <w:tr>
        <w:trPr/>
        <w:tc>
          <w:tcPr>
            <w:tcW w:w="4561" w:type="dxa"/>
            <w:tcBorders/>
            <w:shd w:fill="CCEEFF" w:val="clear"/>
            <w:vAlign w:val="center"/>
          </w:tcPr>
          <w:p>
            <w:pPr>
              <w:pStyle w:val="TableContents"/>
              <w:spacing w:before="0" w:after="1"/>
              <w:ind w:left="0" w:right="0" w:hanging="0"/>
              <w:rPr>
                <w:rFonts w:ascii="Arial;Helvetica;sans-serif" w:hAnsi="Arial;Helvetica;sans-serif"/>
                <w:sz w:val="16"/>
              </w:rPr>
            </w:pPr>
            <w:r>
              <w:rPr>
                <w:rFonts w:ascii="Arial;Helvetica;sans-serif" w:hAnsi="Arial;Helvetica;sans-serif"/>
                <w:b/>
                <w:sz w:val="16"/>
              </w:rPr>
              <w:t>Greater than 5% shareholders</w:t>
            </w:r>
            <w:r>
              <w:rPr>
                <w:rFonts w:ascii="Arial;Helvetica;sans-serif" w:hAnsi="Arial;Helvetica;sans-serif"/>
                <w:sz w:val="16"/>
              </w:rPr>
              <w:t>:</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 </w:t>
            </w:r>
          </w:p>
        </w:tc>
        <w:tc>
          <w:tcPr>
            <w:tcW w:w="1231" w:type="dxa"/>
            <w:tcBorders/>
            <w:shd w:fill="CCEEFF" w:val="clear"/>
            <w:vAlign w:val="center"/>
          </w:tcPr>
          <w:p>
            <w:pPr>
              <w:pStyle w:val="TableContents"/>
              <w:spacing w:before="0" w:after="1"/>
              <w:ind w:left="0" w:right="0" w:hanging="0"/>
              <w:jc w:val="right"/>
              <w:rPr/>
            </w:pPr>
            <w:r>
              <w:rPr/>
              <w:t>  </w:t>
            </w:r>
          </w:p>
        </w:tc>
      </w:tr>
      <w:tr>
        <w:trPr/>
        <w:tc>
          <w:tcPr>
            <w:tcW w:w="456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ERVC Healthcare IV, L.P.</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494,035</w:t>
            </w:r>
          </w:p>
        </w:tc>
        <w:tc>
          <w:tcPr>
            <w:tcW w:w="326" w:type="dxa"/>
            <w:tcBorders/>
            <w:shd w:fill="auto" w:val="clear"/>
            <w:vAlign w:val="center"/>
          </w:tcPr>
          <w:p>
            <w:pPr>
              <w:pStyle w:val="TableContents"/>
              <w:spacing w:before="0" w:after="1"/>
              <w:ind w:left="0" w:right="0" w:hanging="0"/>
              <w:rPr/>
            </w:pPr>
            <w:r>
              <w:rPr/>
              <w:t> </w:t>
            </w:r>
          </w:p>
        </w:tc>
        <w:tc>
          <w:tcPr>
            <w:tcW w:w="123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2,000,002</w:t>
            </w:r>
          </w:p>
        </w:tc>
      </w:tr>
      <w:tr>
        <w:trPr/>
        <w:tc>
          <w:tcPr>
            <w:tcW w:w="45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F-Prime Capital Partners Life Sciences Fund VI LP</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494,035</w:t>
            </w:r>
          </w:p>
        </w:tc>
        <w:tc>
          <w:tcPr>
            <w:tcW w:w="326" w:type="dxa"/>
            <w:tcBorders/>
            <w:shd w:fill="CCEEFF" w:val="clear"/>
            <w:vAlign w:val="center"/>
          </w:tcPr>
          <w:p>
            <w:pPr>
              <w:pStyle w:val="TableContents"/>
              <w:spacing w:before="0" w:after="1"/>
              <w:ind w:left="0" w:right="0" w:hanging="0"/>
              <w:rPr/>
            </w:pPr>
            <w:r>
              <w:rPr/>
              <w:t> </w:t>
            </w:r>
          </w:p>
        </w:tc>
        <w:tc>
          <w:tcPr>
            <w:tcW w:w="12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2,000,002</w:t>
            </w:r>
          </w:p>
        </w:tc>
      </w:tr>
      <w:tr>
        <w:trPr/>
        <w:tc>
          <w:tcPr>
            <w:tcW w:w="456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SCC Venture VII Holdco I, Ltd.</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988,070</w:t>
            </w:r>
          </w:p>
        </w:tc>
        <w:tc>
          <w:tcPr>
            <w:tcW w:w="326" w:type="dxa"/>
            <w:tcBorders/>
            <w:shd w:fill="auto" w:val="clear"/>
            <w:vAlign w:val="center"/>
          </w:tcPr>
          <w:p>
            <w:pPr>
              <w:pStyle w:val="TableContents"/>
              <w:spacing w:before="0" w:after="1"/>
              <w:ind w:left="0" w:right="0" w:hanging="0"/>
              <w:rPr/>
            </w:pPr>
            <w:r>
              <w:rPr/>
              <w:t> </w:t>
            </w:r>
          </w:p>
        </w:tc>
        <w:tc>
          <w:tcPr>
            <w:tcW w:w="123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4,000,004</w:t>
            </w:r>
          </w:p>
        </w:tc>
      </w:tr>
      <w:tr>
        <w:trPr/>
        <w:tc>
          <w:tcPr>
            <w:tcW w:w="45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Entities affiliated with Qiming.</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494,035</w:t>
            </w:r>
          </w:p>
        </w:tc>
        <w:tc>
          <w:tcPr>
            <w:tcW w:w="326" w:type="dxa"/>
            <w:tcBorders/>
            <w:shd w:fill="CCEEFF" w:val="clear"/>
            <w:vAlign w:val="center"/>
          </w:tcPr>
          <w:p>
            <w:pPr>
              <w:pStyle w:val="TableContents"/>
              <w:spacing w:before="0" w:after="1"/>
              <w:ind w:left="0" w:right="0" w:hanging="0"/>
              <w:rPr/>
            </w:pPr>
            <w:r>
              <w:rPr/>
              <w:t> </w:t>
            </w:r>
          </w:p>
        </w:tc>
        <w:tc>
          <w:tcPr>
            <w:tcW w:w="12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2,000,002</w:t>
            </w:r>
          </w:p>
        </w:tc>
      </w:tr>
      <w:tr>
        <w:trPr/>
        <w:tc>
          <w:tcPr>
            <w:tcW w:w="456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XX-I SHT Holdings Limited</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988,070</w:t>
            </w:r>
          </w:p>
        </w:tc>
        <w:tc>
          <w:tcPr>
            <w:tcW w:w="326" w:type="dxa"/>
            <w:tcBorders/>
            <w:shd w:fill="auto" w:val="clear"/>
            <w:vAlign w:val="center"/>
          </w:tcPr>
          <w:p>
            <w:pPr>
              <w:pStyle w:val="TableContents"/>
              <w:spacing w:before="0" w:after="1"/>
              <w:ind w:left="0" w:right="0" w:hanging="0"/>
              <w:rPr/>
            </w:pPr>
            <w:r>
              <w:rPr/>
              <w:t> </w:t>
            </w:r>
          </w:p>
        </w:tc>
        <w:tc>
          <w:tcPr>
            <w:tcW w:w="123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4,000,004</w:t>
            </w:r>
          </w:p>
        </w:tc>
      </w:tr>
      <w:tr>
        <w:trPr/>
        <w:tc>
          <w:tcPr>
            <w:tcW w:w="4561" w:type="dxa"/>
            <w:tcBorders/>
            <w:shd w:fill="CCEEFF"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Deep Track Biotechnology Master Fund, Ltd.</w:t>
            </w:r>
          </w:p>
        </w:tc>
        <w:tc>
          <w:tcPr>
            <w:tcW w:w="326" w:type="dxa"/>
            <w:tcBorders/>
            <w:shd w:fill="CCEEFF" w:val="clear"/>
            <w:vAlign w:val="center"/>
          </w:tcPr>
          <w:p>
            <w:pPr>
              <w:pStyle w:val="TableContents"/>
              <w:spacing w:before="0" w:after="1"/>
              <w:ind w:left="0" w:right="0" w:hanging="0"/>
              <w:rPr/>
            </w:pPr>
            <w:r>
              <w:rPr/>
              <w:t> </w:t>
            </w:r>
          </w:p>
        </w:tc>
        <w:tc>
          <w:tcPr>
            <w:tcW w:w="129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4,940,345</w:t>
            </w:r>
          </w:p>
        </w:tc>
        <w:tc>
          <w:tcPr>
            <w:tcW w:w="326" w:type="dxa"/>
            <w:tcBorders/>
            <w:shd w:fill="CCEEFF" w:val="clear"/>
            <w:vAlign w:val="center"/>
          </w:tcPr>
          <w:p>
            <w:pPr>
              <w:pStyle w:val="TableContents"/>
              <w:spacing w:before="0" w:after="1"/>
              <w:ind w:left="0" w:right="0" w:hanging="0"/>
              <w:rPr/>
            </w:pPr>
            <w:r>
              <w:rPr/>
              <w:t> </w:t>
            </w:r>
          </w:p>
        </w:tc>
        <w:tc>
          <w:tcPr>
            <w:tcW w:w="1231" w:type="dxa"/>
            <w:tcBorders/>
            <w:shd w:fill="CCEEFF"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19,999,999</w:t>
            </w:r>
          </w:p>
        </w:tc>
      </w:tr>
      <w:tr>
        <w:trPr/>
        <w:tc>
          <w:tcPr>
            <w:tcW w:w="4561" w:type="dxa"/>
            <w:tcBorders/>
            <w:shd w:fill="auto" w:val="clear"/>
            <w:vAlign w:val="center"/>
          </w:tcPr>
          <w:p>
            <w:pPr>
              <w:pStyle w:val="TableContents"/>
              <w:spacing w:before="0" w:after="1"/>
              <w:ind w:left="0" w:right="0" w:hanging="0"/>
              <w:rPr>
                <w:rFonts w:ascii="Arial;Helvetica;sans-serif" w:hAnsi="Arial;Helvetica;sans-serif"/>
                <w:sz w:val="20"/>
              </w:rPr>
            </w:pPr>
            <w:r>
              <w:rPr>
                <w:rFonts w:ascii="Arial;Helvetica;sans-serif" w:hAnsi="Arial;Helvetica;sans-serif"/>
                <w:sz w:val="20"/>
              </w:rPr>
              <w:t>Entities affiliated with BVF Partners L.P.</w:t>
            </w:r>
          </w:p>
        </w:tc>
        <w:tc>
          <w:tcPr>
            <w:tcW w:w="326" w:type="dxa"/>
            <w:tcBorders/>
            <w:shd w:fill="auto" w:val="clear"/>
            <w:vAlign w:val="center"/>
          </w:tcPr>
          <w:p>
            <w:pPr>
              <w:pStyle w:val="TableContents"/>
              <w:spacing w:before="0" w:after="1"/>
              <w:ind w:left="0" w:right="0" w:hanging="0"/>
              <w:rPr/>
            </w:pPr>
            <w:r>
              <w:rPr/>
              <w:t> </w:t>
            </w:r>
          </w:p>
        </w:tc>
        <w:tc>
          <w:tcPr>
            <w:tcW w:w="129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7,410,518</w:t>
            </w:r>
          </w:p>
        </w:tc>
        <w:tc>
          <w:tcPr>
            <w:tcW w:w="326" w:type="dxa"/>
            <w:tcBorders/>
            <w:shd w:fill="auto" w:val="clear"/>
            <w:vAlign w:val="center"/>
          </w:tcPr>
          <w:p>
            <w:pPr>
              <w:pStyle w:val="TableContents"/>
              <w:spacing w:before="0" w:after="1"/>
              <w:ind w:left="0" w:right="0" w:hanging="0"/>
              <w:rPr/>
            </w:pPr>
            <w:r>
              <w:rPr/>
              <w:t> </w:t>
            </w:r>
          </w:p>
        </w:tc>
        <w:tc>
          <w:tcPr>
            <w:tcW w:w="1231" w:type="dxa"/>
            <w:tcBorders/>
            <w:shd w:fill="auto" w:val="clear"/>
            <w:vAlign w:val="center"/>
          </w:tcPr>
          <w:p>
            <w:pPr>
              <w:pStyle w:val="TableContents"/>
              <w:spacing w:before="0" w:after="1"/>
              <w:ind w:left="0" w:right="0" w:hanging="0"/>
              <w:jc w:val="right"/>
              <w:rPr>
                <w:rFonts w:ascii="Arial;Helvetica;sans-serif" w:hAnsi="Arial;Helvetica;sans-serif"/>
                <w:sz w:val="20"/>
              </w:rPr>
            </w:pPr>
            <w:r>
              <w:rPr>
                <w:rFonts w:ascii="Arial;Helvetica;sans-serif" w:hAnsi="Arial;Helvetica;sans-serif"/>
                <w:sz w:val="20"/>
              </w:rPr>
              <w:t>30,000,000</w:t>
            </w:r>
          </w:p>
        </w:tc>
      </w:tr>
      <w:tr>
        <w:trPr/>
        <w:tc>
          <w:tcPr>
            <w:tcW w:w="456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29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2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123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r>
    </w:tbl>
    <w:p>
      <w:pPr>
        <w:pStyle w:val="TextBody"/>
        <w:spacing w:before="0" w:after="240"/>
        <w:ind w:left="0" w:right="0" w:hanging="0"/>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Investors’ Rights, Management, Voting and Co-Sale Agreements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connection with our convertible preferred share financings, we entered into investors’ rights, voting and right of first refusal and co-sale agreements containing registration rights, information rights, rights of first offer, voting rights and rights of first refusal, among other things, with certain holders of our shares. The holders of more than 5% of our issued share capital listed above are parties to these agreements. Our executive officers and directors who are parties to these agreements or who are related to parties to these agreements are Dr. Stevens, Mr. Yoon and Dr. Farid.</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These shareholder agreements terminated upon the closing of our IPO, except for the registration rights granted under our investors’ rights agreement, which will terminate upon the earliest of (i) the closing of a liquidation event; (ii) the fifth year anniversary of the consummation of an initial public offering; and (iii) at such time, following an initial public offering, when all registrable securities held by each shareholder can be sold without limitation and without registration in compliance with pursuant to Rule 144 of the Securities Act (“Rule 144”). As of February 7, 2023, holders of 67,018,087 of our ordinary shares (“registrable securities”) or their permitted transferees or assigns are entitled to the following registration rights.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If at any time beginning on August 7, 2023, the holders of at least 50% of the registrable securities then outstanding request in writing that we effect a registration with respect to at least 20% of such registrable securities (or a lesser percentage if the anticipated aggregate price to the public from the offering is expected to exceed ten million dollars), we may be required to register their ordinary shares. We are obligated to effect at most two registrations in response to these demand registration rights.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If at any time after we become entitled under the Securities Act to register securities on a registration statement on Form S-3 (or comparable or substantially similar form), holders holding at least 20% of the registrable securities then outstanding request in writing that we effect a registration with respect to registrable securities at an aggregate price to the public in the offering of at least two million dollars, we will be required to file such registration statement as soon as practicable and in any event within 45 days after the date of such request; provided, however, that we will not be required to effect such a registration if, within the twelve-month period immediately preceding the date of such written request, we have already effected two registrations on Form S-3 for the holders of registrable securities.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If the holders requesting registration intend to distribute their shares by means of an underwriting, the managing underwriter of such offering will have the right to limit the numbers of shares to be underwritten for reasons related to the marketing of the shares.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228</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 xml:space="preserve">In the event that we propose to register any of our securities for cash, either for our own account or for the account of other shareholders, holders of our registrable securities will be entitled to certain “piggyback” registration rights allowing them to include their registrable securities in such registration, subject to certain marketing and other limitations. As a result, whenever we propose to file a registration statement other than with respect to certain exempt transactions, these holders will be entitled to notice of the registration and will have the right to include their registrable securities in the registration subject to certain limitations. </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Ordinarily, other than selling expenses, we will be required to pay all expenses incurred by us related to any registration effected pursuant to the exercise of these registration rights. These expenses may include all registration, filing, and qualification fees; printers’ and accounting fees; fees and disbursements of our counsel; and reasonable fees and disbursements of a counsel for the selling shareholders.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Initial Public Offering Participation Rights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entered into a letter agreement in July 2021, as amended in December 2021, with Biotechnology Value Fund, L.P., Biotechnology Value Fund II, L.P, and Biotechnology Value Trading Fund OS, L.P. (collectively, “BVF”), a beneficial owner of more than 5% of our issued share capital. The letter agreement grants BVF a participation right to purchase in our IPO its pro-rata percentage of the total number of ADSs sold in our IPO as calculated immediately prior to our IPO, at the public offering price, subject to compliance with applicable securities laws. The letter agreement further provided that, under certain circumstances in which BVF is unable to participate in our IPO, we were required to offer BVF our ordinary shares through a separate private placement to be concurrent with our IPO. BVF purchased an aggregate of 1,750,000 of our ADSs in our IPO at the public offering price.</w:t>
      </w:r>
    </w:p>
    <w:p>
      <w:pPr>
        <w:pStyle w:val="TextBody"/>
        <w:spacing w:before="0" w:after="240"/>
        <w:ind w:left="0" w:right="0" w:hanging="0"/>
        <w:rPr>
          <w:rFonts w:ascii="Arial;Helvetica;sans-serif" w:hAnsi="Arial;Helvetica;sans-serif"/>
          <w:b/>
          <w:i/>
          <w:sz w:val="20"/>
        </w:rPr>
      </w:pPr>
      <w:r>
        <w:rPr>
          <w:rFonts w:ascii="Arial;Helvetica;sans-serif" w:hAnsi="Arial;Helvetica;sans-serif"/>
          <w:b/>
          <w:i/>
          <w:sz w:val="20"/>
        </w:rPr>
        <w:t>Lhotse Collaboration with Schrödinger</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In October 2020, Lhotse, our wholly-owned subsidiary, entered into a collaboration agreement (the “Lhotse-Schrödinger Agreement”) with Schrödinger, LLC (“Schrödinger”), to discover and develop novel, orally bioavailable, small molecule inhibitors of LPA1R. Under the Lhotse-Schrödinger Agreement, Schrödinger is obligated to provide computational modeling and design support, including by using its technology platform to perform virtual screens, and Lhotse is obligated to provide day-to-day chemistry and biology support. Pursuant to the Lhotse-Schrödinger Agreement, a joint steering committee comprised of representatives from both parties oversees the research performed under the agreement. During the term of the Lhotse-Schrödinger Agreement and for a specified period thereafter while Lhotse is engaged in active development of any compound having activity against LPA1R that is discovered or developed under the Lhotse-Schrödinger Agreement, Schrödinger is obligated to work exclusively with Lhotse on the design, research, development and commercialization of compounds that inhibit LPA1R. Lhotse will solely own the research results, work product, inventions and other intellectual property generated under the Lhotse-Schrödinger Agreement that are directed to LPA1R.</w:t>
      </w:r>
    </w:p>
    <w:p>
      <w:pPr>
        <w:pStyle w:val="TextBody"/>
        <w:spacing w:before="0" w:after="0"/>
        <w:ind w:left="0" w:right="0" w:hanging="0"/>
        <w:rPr>
          <w:rFonts w:ascii="Arial;Helvetica;sans-serif" w:hAnsi="Arial;Helvetica;sans-serif"/>
          <w:sz w:val="20"/>
        </w:rPr>
      </w:pPr>
      <w:r>
        <w:rPr>
          <w:rFonts w:ascii="Arial;Helvetica;sans-serif" w:hAnsi="Arial;Helvetica;sans-serif"/>
          <w:sz w:val="20"/>
        </w:rPr>
        <w:t xml:space="preserve">Under the Lhotse-Schrödinger Agreement, Lhotse is obligated to pay Schrödinger a quarterly active program payment in the low six digits for each successive three-month period during which Schrödinger continues to perform research work as agreed by the parties, and as of December 31, 2022, we have paid to Schrödinger an aggregate of  $0.8 million. If Lhotse develops and commercializes a product containing a compound (a “Collaboration Compound”), that is discovered or developed under the Lhotse-Schrödinger Agreement (a “Collaboration Product”), Lhotse is obligated to pay Schrödinger development and regulatory milestone payments of up to an aggregate of  $17.0 million, regardless of the number of Collaboration Products that reach such milestones. Lhotse will also be obligated to pay Schrödinger tiered royalties in the low single digit range on aggregate worldwide net sales of all Collaboration Products, subject to specified reductions and offsets. Lhotse’s obligation to pay royalties to Schrödinger will expire on a Collaboration Product-by-Collaboration Product and country-by-country basis on the later of  (i) the expiration of the last-to-expire Lhotse owned patent claim covering the composition of matter of the Collaboration Compound contained in such Collaboration Product in such country, (ii) the expiration of regulatory, pediatric, orphan drug, or data </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229</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exclusivity with respect to such Collaboration Product in such country, and (iii) ten years after the first commercial sale of such Collaboration Product in such country (the “Royalty Term”).</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Unless terminated earlier, the Lhotse-Schrödinger Agreement will continue for three years, subject to extension by mutual written agreement of the parties. Either party may terminate the Lhotse-Schrödinger Agreement for the other party’s uncured material breach, subject to certain notice and cure periods, or for the other party’s bankruptcy or insolvency. Lhotse’s obligation to make milestone and royalty payments (subject to the Royalty Term) to Schrödinger continues after the expiration or termination of the Lhotse-Schrödinger Agreement.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Employment Arrangements and Indemnification Agreements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have entered into employment agreements and offer letters with certain of our executive officers. For more information regarding these agreements with our executive officers, see the section titled “Executive and Director Compensation—Employment Arrangements with Our Named Executive Officers.”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have entered into indemnification agreements with certain of our current directors and executive officers, and intend to enter into new indemnification agreements with each of our current directors and executive officers. We also maintain a general liability insurance policy which covers certain liabilities of our directors and executive officers arising out of claims based on acts or omissions in their capacities as directors or officers.</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Policies and Procedures for Related Party Transactions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We have adopted a written related-person transactions policy that sets forth our policies and procedures regarding the identification, review, consideration and oversight of “related-person transactions.” For purposes of our policy only, a “related-person transaction” is a transaction, arrangement or relationship (or any series of similar transactions, arrangements or relationships) in which we and any “related person” are participants involving an amount that exceeds $120,000. Transactions involving compensation for services provided to us as an employee, consultant or director are not considered related-person transactions under this policy. A related person is any executive officer, director, nominee to become a director or a holder of more than five percent of our common stock, including any of their immediate family members and affiliates, including entities owned or controlled by such persons.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Under the policy, where a transaction has been identified as a related-person transaction, management must present information regarding the proposed related-person transaction to our audit committee (or, where review by our audit committee would be inappropriate, to another independent body of our board of directors) for review. The presentation must include a description of, among other things, all of the parties thereto, the direct and indirect interests of the related persons, the purpose of the transaction, the material facts, the benefits of the transaction to us and whether any alternative transactions are available, an assessment of whether the terms are comparable to the terms available from unrelated third parties and management’s recommendation. To identify related-person transactions in advance, we rely on information supplied by our executive officers, directors and certain significant stockholders. In considering related-person transactions, our audit committee or another independent body of our board of directors takes into account the relevant available facts and circumstances including, but not limited to:</w:t>
      </w:r>
    </w:p>
    <w:tbl>
      <w:tblPr>
        <w:tblW w:w="3243" w:type="dxa"/>
        <w:jc w:val="left"/>
        <w:tblInd w:w="0" w:type="dxa"/>
        <w:tblCellMar>
          <w:top w:w="0" w:type="dxa"/>
          <w:left w:w="0" w:type="dxa"/>
          <w:bottom w:w="0" w:type="dxa"/>
          <w:right w:w="0" w:type="dxa"/>
        </w:tblCellMar>
      </w:tblPr>
      <w:tblGrid>
        <w:gridCol w:w="23"/>
        <w:gridCol w:w="170"/>
        <w:gridCol w:w="30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05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risks, costs and benefits to us;</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impact on a director’s independence in the event the related person is a director, immediate family member of a director or an entity with which a director is affiliated;</w:t>
            </w:r>
          </w:p>
        </w:tc>
      </w:tr>
    </w:tbl>
    <w:tbl>
      <w:tblPr>
        <w:tblW w:w="2673" w:type="dxa"/>
        <w:jc w:val="left"/>
        <w:tblInd w:w="0" w:type="dxa"/>
        <w:tblCellMar>
          <w:top w:w="0" w:type="dxa"/>
          <w:left w:w="0" w:type="dxa"/>
          <w:bottom w:w="0" w:type="dxa"/>
          <w:right w:w="0" w:type="dxa"/>
        </w:tblCellMar>
      </w:tblPr>
      <w:tblGrid>
        <w:gridCol w:w="23"/>
        <w:gridCol w:w="170"/>
        <w:gridCol w:w="24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48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terms of the transaction;</w:t>
            </w:r>
          </w:p>
        </w:tc>
      </w:tr>
    </w:tbl>
    <w:tbl>
      <w:tblPr>
        <w:tblW w:w="6543" w:type="dxa"/>
        <w:jc w:val="left"/>
        <w:tblInd w:w="0" w:type="dxa"/>
        <w:tblCellMar>
          <w:top w:w="0" w:type="dxa"/>
          <w:left w:w="0" w:type="dxa"/>
          <w:bottom w:w="0" w:type="dxa"/>
          <w:right w:w="0" w:type="dxa"/>
        </w:tblCellMar>
      </w:tblPr>
      <w:tblGrid>
        <w:gridCol w:w="23"/>
        <w:gridCol w:w="170"/>
        <w:gridCol w:w="635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35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availability of other sources for comparable services or products; and</w:t>
            </w:r>
          </w:p>
        </w:tc>
      </w:tr>
    </w:tbl>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230</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tbl>
      <w:tblPr>
        <w:tblW w:w="6663" w:type="dxa"/>
        <w:jc w:val="left"/>
        <w:tblInd w:w="0" w:type="dxa"/>
        <w:tblCellMar>
          <w:top w:w="0" w:type="dxa"/>
          <w:left w:w="0" w:type="dxa"/>
          <w:bottom w:w="0" w:type="dxa"/>
          <w:right w:w="0" w:type="dxa"/>
        </w:tblCellMar>
      </w:tblPr>
      <w:tblGrid>
        <w:gridCol w:w="23"/>
        <w:gridCol w:w="170"/>
        <w:gridCol w:w="64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470" w:type="dxa"/>
            <w:tcBorders/>
            <w:shd w:fill="auto" w:val="clear"/>
            <w:vAlign w:val="center"/>
          </w:tcPr>
          <w:p>
            <w:pPr>
              <w:pStyle w:val="TableContents"/>
              <w:spacing w:before="0" w:after="283"/>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terms available to or from, as the case may be, unrelated third parties.</w:t>
            </w:r>
          </w:p>
        </w:tc>
      </w:tr>
    </w:tbl>
    <w:p>
      <w:pPr>
        <w:pStyle w:val="TextBody"/>
        <w:spacing w:before="0" w:after="240"/>
        <w:ind w:left="0" w:right="0" w:hanging="0"/>
        <w:rPr>
          <w:rFonts w:ascii="Arial;Helvetica;sans-serif" w:hAnsi="Arial;Helvetica;sans-serif"/>
          <w:sz w:val="20"/>
        </w:rPr>
      </w:pPr>
      <w:r>
        <w:rPr>
          <w:rFonts w:ascii="Arial;Helvetica;sans-serif" w:hAnsi="Arial;Helvetica;sans-serif"/>
          <w:sz w:val="20"/>
        </w:rPr>
        <w:t>In the event a director has an interest in the proposed transaction, the director must recuse himself or herself from the deliberations and approval.</w:t>
      </w:r>
    </w:p>
    <w:p>
      <w:pPr>
        <w:pStyle w:val="TextBody"/>
        <w:spacing w:before="0" w:after="240"/>
        <w:ind w:left="0" w:right="0" w:hanging="0"/>
        <w:rPr/>
      </w:pPr>
      <w:r>
        <w:rPr/>
        <w:t>​</w:t>
      </w:r>
    </w:p>
    <w:p>
      <w:pPr>
        <w:pStyle w:val="TextBody"/>
        <w:spacing w:before="0" w:after="0"/>
        <w:ind w:left="0" w:right="0" w:hanging="0"/>
        <w:rPr>
          <w:rFonts w:ascii="Arial;Helvetica;sans-serif" w:hAnsi="Arial;Helvetica;sans-serif"/>
          <w:b/>
          <w:sz w:val="20"/>
        </w:rPr>
      </w:pPr>
      <w:r>
        <w:rPr>
          <w:rFonts w:ascii="Arial;Helvetica;sans-serif" w:hAnsi="Arial;Helvetica;sans-serif"/>
          <w:b/>
          <w:sz w:val="20"/>
        </w:rPr>
        <w:t>Item 14. Principal Accounting Fees and Services.</w:t>
      </w:r>
      <w:bookmarkStart w:id="40" w:name="Item14_Principal_Accounting_Fees"/>
      <w:bookmarkEnd w:id="40"/>
    </w:p>
    <w:p>
      <w:pPr>
        <w:pStyle w:val="TextBody"/>
        <w:spacing w:before="0" w:after="0"/>
        <w:ind w:left="0" w:right="0" w:hanging="0"/>
        <w:rPr/>
      </w:pPr>
      <w:r>
        <w:rPr/>
        <w:t>​</w:t>
      </w:r>
    </w:p>
    <w:p>
      <w:pPr>
        <w:pStyle w:val="TextBody"/>
        <w:spacing w:before="0" w:after="0"/>
        <w:ind w:left="0" w:right="0" w:hanging="0"/>
        <w:jc w:val="center"/>
        <w:rPr>
          <w:rFonts w:ascii="Arial;Helvetica;sans-serif" w:hAnsi="Arial;Helvetica;sans-serif"/>
          <w:b/>
          <w:sz w:val="20"/>
        </w:rPr>
      </w:pPr>
      <w:r>
        <w:rPr>
          <w:rFonts w:ascii="Arial;Helvetica;sans-serif" w:hAnsi="Arial;Helvetica;sans-serif"/>
          <w:b/>
          <w:sz w:val="20"/>
        </w:rPr>
        <w:t>INDEPENDENT REGISTERED PUBLIC ACCOUNTING FIRM</w:t>
      </w:r>
    </w:p>
    <w:p>
      <w:pPr>
        <w:pStyle w:val="TextBody"/>
        <w:spacing w:before="0" w:after="0"/>
        <w:ind w:left="0" w:right="0" w:hanging="0"/>
        <w:rPr/>
      </w:pPr>
      <w:r>
        <w:rPr/>
        <w:t>​</w:t>
      </w:r>
    </w:p>
    <w:p>
      <w:pPr>
        <w:pStyle w:val="TextBody"/>
        <w:spacing w:before="0" w:after="0"/>
        <w:ind w:left="0" w:right="0" w:hanging="0"/>
        <w:rPr>
          <w:rFonts w:ascii="Arial;Helvetica;sans-serif" w:hAnsi="Arial;Helvetica;sans-serif"/>
          <w:b/>
          <w:sz w:val="20"/>
        </w:rPr>
      </w:pPr>
      <w:r>
        <w:rPr>
          <w:rFonts w:ascii="Arial;Helvetica;sans-serif" w:hAnsi="Arial;Helvetica;sans-serif"/>
          <w:b/>
          <w:sz w:val="20"/>
        </w:rPr>
        <w:t>Fees</w:t>
      </w:r>
    </w:p>
    <w:p>
      <w:pPr>
        <w:pStyle w:val="TextBody"/>
        <w:spacing w:before="0" w:after="0"/>
        <w:ind w:left="0" w:right="0" w:hanging="0"/>
        <w:rPr/>
      </w:pPr>
      <w:r>
        <w:rPr/>
        <w:t>​</w:t>
      </w:r>
    </w:p>
    <w:p>
      <w:pPr>
        <w:pStyle w:val="TextBody"/>
        <w:spacing w:before="0" w:after="0"/>
        <w:ind w:left="0" w:right="0" w:firstLine="360"/>
        <w:rPr>
          <w:rFonts w:ascii="Arial;Helvetica;sans-serif" w:hAnsi="Arial;Helvetica;sans-serif"/>
          <w:sz w:val="20"/>
        </w:rPr>
      </w:pPr>
      <w:r>
        <w:rPr>
          <w:rFonts w:ascii="Arial;Helvetica;sans-serif" w:hAnsi="Arial;Helvetica;sans-serif"/>
          <w:sz w:val="20"/>
        </w:rPr>
        <w:t>The following is a summary of the fees and services provided by PricewaterhouseCoopers LLP (“PwC”) to the Company for the fiscal years ended December 31, 2022 and 2021:</w:t>
      </w:r>
    </w:p>
    <w:p>
      <w:pPr>
        <w:pStyle w:val="TextBody"/>
        <w:spacing w:before="0" w:after="0"/>
        <w:ind w:left="0" w:right="0" w:hanging="0"/>
        <w:rPr/>
      </w:pPr>
      <w:r>
        <w:rPr/>
        <w:t>​</w:t>
      </w:r>
    </w:p>
    <w:tbl>
      <w:tblPr>
        <w:tblW w:w="6387" w:type="dxa"/>
        <w:jc w:val="left"/>
        <w:tblInd w:w="0" w:type="dxa"/>
        <w:tblCellMar>
          <w:top w:w="0" w:type="dxa"/>
          <w:left w:w="0" w:type="dxa"/>
          <w:bottom w:w="0" w:type="dxa"/>
          <w:right w:w="0" w:type="dxa"/>
        </w:tblCellMar>
      </w:tblPr>
      <w:tblGrid>
        <w:gridCol w:w="3346"/>
        <w:gridCol w:w="326"/>
        <w:gridCol w:w="211"/>
        <w:gridCol w:w="961"/>
        <w:gridCol w:w="326"/>
        <w:gridCol w:w="211"/>
        <w:gridCol w:w="1006"/>
      </w:tblGrid>
      <w:tr>
        <w:trPr/>
        <w:tc>
          <w:tcPr>
            <w:tcW w:w="3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124710" cy="175260"/>
                      <wp:effectExtent l="0" t="0" r="0" b="0"/>
                      <wp:wrapNone/>
                      <wp:docPr id="387" name="Frame345"/>
                      <a:graphic xmlns:a="http://schemas.openxmlformats.org/drawingml/2006/main">
                        <a:graphicData uri="http://schemas.microsoft.com/office/word/2010/wordprocessingShape">
                          <wps:wsp>
                            <wps:cNvSpPr txBox="1"/>
                            <wps:spPr>
                              <a:xfrm>
                                <a:off x="0" y="0"/>
                                <a:ext cx="2124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07010" cy="175260"/>
                      <wp:effectExtent l="0" t="0" r="0" b="0"/>
                      <wp:wrapNone/>
                      <wp:docPr id="388" name="Frame3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33985" cy="175260"/>
                      <wp:effectExtent l="0" t="0" r="0" b="0"/>
                      <wp:wrapNone/>
                      <wp:docPr id="389" name="Frame34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10235" cy="175260"/>
                      <wp:effectExtent l="0" t="0" r="0" b="0"/>
                      <wp:wrapNone/>
                      <wp:docPr id="390" name="Frame348"/>
                      <a:graphic xmlns:a="http://schemas.openxmlformats.org/drawingml/2006/main">
                        <a:graphicData uri="http://schemas.microsoft.com/office/word/2010/wordprocessingShape">
                          <wps:wsp>
                            <wps:cNvSpPr txBox="1"/>
                            <wps:spPr>
                              <a:xfrm>
                                <a:off x="0" y="0"/>
                                <a:ext cx="610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91" name="Frame3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92" name="Frame35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38810" cy="175260"/>
                      <wp:effectExtent l="0" t="0" r="0" b="0"/>
                      <wp:wrapNone/>
                      <wp:docPr id="393" name="Frame351"/>
                      <a:graphic xmlns:a="http://schemas.openxmlformats.org/drawingml/2006/main">
                        <a:graphicData uri="http://schemas.microsoft.com/office/word/2010/wordprocessingShape">
                          <wps:wsp>
                            <wps:cNvSpPr txBox="1"/>
                            <wps:spPr>
                              <a:xfrm>
                                <a:off x="0" y="0"/>
                                <a:ext cx="638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4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96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32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21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00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15" w:type="dxa"/>
            <w:gridSpan w:val="5"/>
            <w:tcBorders/>
            <w:shd w:fill="auto" w:val="cle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Fiscal Year Ended</w:t>
            </w:r>
          </w:p>
        </w:tc>
      </w:tr>
      <w:tr>
        <w:trPr/>
        <w:tc>
          <w:tcPr>
            <w:tcW w:w="3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1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December 31,</w:t>
            </w:r>
          </w:p>
        </w:tc>
      </w:tr>
      <w:tr>
        <w:trPr/>
        <w:tc>
          <w:tcPr>
            <w:tcW w:w="3346" w:type="dxa"/>
            <w:tcBorders>
              <w:bottom w:val="single" w:sz="2" w:space="0" w:color="000000"/>
            </w:tcBorders>
            <w:shd w:fill="auto" w:val="clear"/>
            <w:tcMar>
              <w:bottom w:w="28" w:type="dxa"/>
            </w:tcMar>
            <w:vAlign w:val="center"/>
          </w:tcPr>
          <w:p>
            <w:pPr>
              <w:pStyle w:val="TableContents"/>
              <w:spacing w:before="0" w:after="0"/>
              <w:ind w:left="0" w:right="0" w:hanging="0"/>
              <w:rPr>
                <w:rFonts w:ascii="Arial;Helvetica;sans-serif" w:hAnsi="Arial;Helvetica;sans-serif"/>
                <w:b/>
                <w:sz w:val="16"/>
              </w:rPr>
            </w:pPr>
            <w:r>
              <w:rPr>
                <w:rFonts w:ascii="Arial;Helvetica;sans-serif" w:hAnsi="Arial;Helvetica;sans-serif"/>
                <w:b/>
                <w:sz w:val="16"/>
              </w:rPr>
              <w:t>Description of Services Provided by PwC</w:t>
            </w:r>
          </w:p>
        </w:tc>
        <w:tc>
          <w:tcPr>
            <w:tcW w:w="326" w:type="dxa"/>
            <w:tcBorders/>
            <w:shd w:fill="auto" w:val="clear"/>
            <w:vAlign w:val="center"/>
          </w:tcPr>
          <w:p>
            <w:pPr>
              <w:pStyle w:val="TableContents"/>
              <w:spacing w:before="0" w:after="0"/>
              <w:ind w:left="0" w:right="0" w:hanging="0"/>
              <w:rPr/>
            </w:pPr>
            <w:r>
              <w:rPr/>
              <w:t>​</w:t>
            </w:r>
          </w:p>
        </w:tc>
        <w:tc>
          <w:tcPr>
            <w:tcW w:w="117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2022</w:t>
            </w:r>
          </w:p>
        </w:tc>
        <w:tc>
          <w:tcPr>
            <w:tcW w:w="326" w:type="dxa"/>
            <w:tcBorders/>
            <w:shd w:fill="auto" w:val="clear"/>
            <w:vAlign w:val="center"/>
          </w:tcPr>
          <w:p>
            <w:pPr>
              <w:pStyle w:val="TableContents"/>
              <w:spacing w:before="0" w:after="0"/>
              <w:ind w:left="0" w:right="0" w:hanging="0"/>
              <w:rPr/>
            </w:pPr>
            <w:r>
              <w:rPr/>
              <w:t>​</w:t>
            </w:r>
          </w:p>
        </w:tc>
        <w:tc>
          <w:tcPr>
            <w:tcW w:w="121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Arial;Helvetica;sans-serif" w:hAnsi="Arial;Helvetica;sans-serif"/>
                <w:b/>
                <w:sz w:val="16"/>
              </w:rPr>
            </w:pPr>
            <w:r>
              <w:rPr>
                <w:rFonts w:ascii="Arial;Helvetica;sans-serif" w:hAnsi="Arial;Helvetica;sans-serif"/>
                <w:b/>
                <w:sz w:val="16"/>
              </w:rPr>
              <w:t>2021</w:t>
            </w:r>
          </w:p>
        </w:tc>
      </w:tr>
      <w:tr>
        <w:trPr/>
        <w:tc>
          <w:tcPr>
            <w:tcW w:w="334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Audit Fees</w:t>
            </w:r>
            <w:r>
              <w:rPr>
                <w:rFonts w:ascii="Arial;Helvetica;sans-serif" w:hAnsi="Arial;Helvetica;sans-serif"/>
                <w:sz w:val="15"/>
              </w:rPr>
              <w:t>(1)</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61"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1,766,000</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0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1,210,000</w:t>
            </w:r>
          </w:p>
        </w:tc>
      </w:tr>
      <w:tr>
        <w:trPr/>
        <w:tc>
          <w:tcPr>
            <w:tcW w:w="334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Audit Related Fees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06" w:type="dxa"/>
            <w:tcBorders/>
            <w:shd w:fill="auto" w:val="clear"/>
            <w:vAlign w:val="center"/>
          </w:tcPr>
          <w:p>
            <w:pPr>
              <w:pStyle w:val="TableContents"/>
              <w:spacing w:before="0" w:after="0"/>
              <w:ind w:left="0" w:right="0" w:hanging="0"/>
              <w:jc w:val="right"/>
              <w:rPr/>
            </w:pPr>
            <w:r>
              <w:rPr/>
              <w:t>—</w:t>
            </w:r>
          </w:p>
        </w:tc>
      </w:tr>
      <w:tr>
        <w:trPr/>
        <w:tc>
          <w:tcPr>
            <w:tcW w:w="334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Tax Fees</w:t>
            </w:r>
            <w:r>
              <w:rPr>
                <w:rFonts w:ascii="Arial;Helvetica;sans-serif" w:hAnsi="Arial;Helvetica;sans-serif"/>
                <w:sz w:val="15"/>
              </w:rPr>
              <w:t>(2)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06" w:type="dxa"/>
            <w:tcBorders/>
            <w:shd w:fill="CCEEFF" w:val="cle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17,000</w:t>
            </w:r>
          </w:p>
        </w:tc>
      </w:tr>
      <w:tr>
        <w:trPr/>
        <w:tc>
          <w:tcPr>
            <w:tcW w:w="3346"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All Other Fees</w:t>
            </w:r>
            <w:r>
              <w:rPr>
                <w:rFonts w:ascii="Arial;Helvetica;sans-serif" w:hAnsi="Arial;Helvetica;sans-serif"/>
                <w:sz w:val="15"/>
              </w:rPr>
              <w:t>(3)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900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3346" w:type="dxa"/>
            <w:tcBorders/>
            <w:shd w:fill="CCEEFF"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9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1,766,900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w:t>
            </w:r>
          </w:p>
        </w:tc>
        <w:tc>
          <w:tcPr>
            <w:tcW w:w="100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Arial;Helvetica;sans-serif" w:hAnsi="Arial;Helvetica;sans-serif"/>
                <w:sz w:val="20"/>
              </w:rPr>
            </w:pPr>
            <w:r>
              <w:rPr>
                <w:rFonts w:ascii="Arial;Helvetica;sans-serif" w:hAnsi="Arial;Helvetica;sans-serif"/>
                <w:sz w:val="20"/>
              </w:rPr>
              <w:t>1,227,000</w:t>
            </w:r>
          </w:p>
        </w:tc>
      </w:tr>
      <w:tr>
        <w:trPr/>
        <w:tc>
          <w:tcPr>
            <w:tcW w:w="334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6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0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79"/>
        <w:gridCol w:w="10026"/>
      </w:tblGrid>
      <w:tr>
        <w:trPr/>
        <w:tc>
          <w:tcPr>
            <w:tcW w:w="179"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(1)</w:t>
            </w:r>
          </w:p>
        </w:tc>
        <w:tc>
          <w:tcPr>
            <w:tcW w:w="10026"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Audit fees for 2022 were for professional services rendered for the audits of our financial statements, review of interim financial statements, assistance with registration statements filed with the SEC and services that are normally provided by the independent registered public accounting firm in connection with statutory and regulatory filings or engagements. Audit Fees for the year ended December 31, 2022, included $930,000 incurred in connection with the filing of our Registration Statement on Form S-1 in connection with our IPO in February 2023. Audit fees for the year ended December 31, 2021 were for professional services rendered for the audit of our 2021 and 2020 financial statements, including $20,000 incurred in connection with registration statement filings in 2022 as part of the completion of our IPO in February 2023.</w:t>
            </w:r>
          </w:p>
        </w:tc>
      </w:tr>
    </w:tbl>
    <w:tbl>
      <w:tblPr>
        <w:tblW w:w="4240" w:type="dxa"/>
        <w:jc w:val="left"/>
        <w:tblInd w:w="0" w:type="dxa"/>
        <w:tblCellMar>
          <w:top w:w="0" w:type="dxa"/>
          <w:left w:w="0" w:type="dxa"/>
          <w:bottom w:w="0" w:type="dxa"/>
          <w:right w:w="0" w:type="dxa"/>
        </w:tblCellMar>
      </w:tblPr>
      <w:tblGrid>
        <w:gridCol w:w="230"/>
        <w:gridCol w:w="4010"/>
      </w:tblGrid>
      <w:tr>
        <w:trPr/>
        <w:tc>
          <w:tcPr>
            <w:tcW w:w="230"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w:t>
            </w:r>
          </w:p>
        </w:tc>
        <w:tc>
          <w:tcPr>
            <w:tcW w:w="4010"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Tax fees for 2021 consists of tax compliance services.</w:t>
            </w:r>
          </w:p>
        </w:tc>
      </w:tr>
    </w:tbl>
    <w:tbl>
      <w:tblPr>
        <w:tblW w:w="6565" w:type="dxa"/>
        <w:jc w:val="left"/>
        <w:tblInd w:w="0" w:type="dxa"/>
        <w:tblCellMar>
          <w:top w:w="0" w:type="dxa"/>
          <w:left w:w="0" w:type="dxa"/>
          <w:bottom w:w="0" w:type="dxa"/>
          <w:right w:w="0" w:type="dxa"/>
        </w:tblCellMar>
      </w:tblPr>
      <w:tblGrid>
        <w:gridCol w:w="230"/>
        <w:gridCol w:w="6335"/>
      </w:tblGrid>
      <w:tr>
        <w:trPr/>
        <w:tc>
          <w:tcPr>
            <w:tcW w:w="230"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(3)</w:t>
            </w:r>
          </w:p>
        </w:tc>
        <w:tc>
          <w:tcPr>
            <w:tcW w:w="6335" w:type="dxa"/>
            <w:tcBorders/>
            <w:shd w:fill="auto" w:val="clear"/>
            <w:vAlign w:val="center"/>
          </w:tcPr>
          <w:p>
            <w:pPr>
              <w:pStyle w:val="TableContents"/>
              <w:spacing w:before="0" w:after="283"/>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All Other Fees consists of an online accounting research tool subscription paid to PwC.</w:t>
            </w:r>
          </w:p>
        </w:tc>
      </w:tr>
    </w:tbl>
    <w:p>
      <w:pPr>
        <w:pStyle w:val="TextBody"/>
        <w:spacing w:before="0" w:after="0"/>
        <w:ind w:left="360" w:right="0" w:hanging="0"/>
        <w:rPr/>
      </w:pPr>
      <w:r>
        <w:rPr/>
        <w:t>​</w:t>
      </w:r>
    </w:p>
    <w:p>
      <w:pPr>
        <w:pStyle w:val="TextBody"/>
        <w:spacing w:before="0" w:after="0"/>
        <w:ind w:left="0" w:right="0" w:hanging="0"/>
        <w:rPr/>
      </w:pPr>
      <w:r>
        <w:rPr/>
        <w:t>​</w:t>
      </w:r>
    </w:p>
    <w:p>
      <w:pPr>
        <w:pStyle w:val="TextBody"/>
        <w:spacing w:before="0" w:after="0"/>
        <w:ind w:left="0" w:right="0" w:firstLine="360"/>
        <w:rPr>
          <w:rFonts w:ascii="Arial;Helvetica;sans-serif" w:hAnsi="Arial;Helvetica;sans-serif"/>
          <w:sz w:val="20"/>
        </w:rPr>
      </w:pPr>
      <w:r>
        <w:rPr>
          <w:rFonts w:ascii="Arial;Helvetica;sans-serif" w:hAnsi="Arial;Helvetica;sans-serif"/>
          <w:sz w:val="20"/>
        </w:rPr>
        <w:t>The audit committee or the chair of the audit committee pre-approves the scope of the audit, audit-related and tax services provided by our independent registered public accounting firm. The audit committee evaluates the independent registered public accounting firm’s qualifications, performance and independence, and presents its conclusions to the full Board on at least an annual basis.</w:t>
      </w:r>
    </w:p>
    <w:p>
      <w:pPr>
        <w:pStyle w:val="TextBody"/>
        <w:spacing w:before="0" w:after="0"/>
        <w:ind w:left="0" w:right="0" w:firstLine="360"/>
        <w:rPr/>
      </w:pPr>
      <w:r>
        <w:rPr/>
        <w:t>​</w:t>
      </w:r>
    </w:p>
    <w:p>
      <w:pPr>
        <w:pStyle w:val="TextBody"/>
        <w:spacing w:before="0" w:after="0"/>
        <w:ind w:left="0" w:right="0" w:firstLine="360"/>
        <w:rPr>
          <w:rFonts w:ascii="Arial;Helvetica;sans-serif" w:hAnsi="Arial;Helvetica;sans-serif"/>
          <w:sz w:val="20"/>
        </w:rPr>
      </w:pPr>
      <w:r>
        <w:rPr>
          <w:rFonts w:ascii="Arial;Helvetica;sans-serif" w:hAnsi="Arial;Helvetica;sans-serif"/>
          <w:sz w:val="20"/>
        </w:rPr>
        <w:t>All of the services provided by PwC, and fees for such services, were pre-approved by the audit committee in accordance with these standards.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PART IV</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Item 15. Exhibits, Financial Statement Schedules.</w:t>
      </w:r>
      <w:bookmarkStart w:id="41" w:name="Item15_Exhibits"/>
      <w:bookmarkEnd w:id="41"/>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following documents are filed as part of this Annual Report on Form 10-K:</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(1) FINANCIAL STATEMENTS</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231</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Our financial statements are listed in the “Index to the Financial Statements” under Part II, Item 8, “Financial Statements and Supplementary Data” of this Annual Report on Form 10-K.</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(2) FINANCIAL STATEMENT SCHEDULES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All schedules to the financial statements are omitted because they are not applicable, not material or the required information is shown in Part II, Item 8, “Financial Statements and Supplementary Data” of this Annual Report on Form 10-K.</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(3) EXHIBITS</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The documents listed in the Exhibit Index of this Annual Report on Form 10-K are incorporated by reference or are filed with this Annual Report on Form 10-K, in each case as indicated therein.</w:t>
      </w:r>
    </w:p>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232</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EXHIBIT INDEX</w:t>
      </w:r>
    </w:p>
    <w:tbl>
      <w:tblPr>
        <w:tblW w:w="10205" w:type="dxa"/>
        <w:jc w:val="left"/>
        <w:tblInd w:w="0" w:type="dxa"/>
        <w:tblCellMar>
          <w:top w:w="0" w:type="dxa"/>
          <w:left w:w="0" w:type="dxa"/>
          <w:bottom w:w="0" w:type="dxa"/>
          <w:right w:w="0" w:type="dxa"/>
        </w:tblCellMar>
      </w:tblPr>
      <w:tblGrid>
        <w:gridCol w:w="518"/>
        <w:gridCol w:w="109"/>
        <w:gridCol w:w="5960"/>
        <w:gridCol w:w="109"/>
        <w:gridCol w:w="381"/>
        <w:gridCol w:w="109"/>
        <w:gridCol w:w="868"/>
        <w:gridCol w:w="109"/>
        <w:gridCol w:w="466"/>
        <w:gridCol w:w="109"/>
        <w:gridCol w:w="1085"/>
        <w:gridCol w:w="109"/>
        <w:gridCol w:w="273"/>
      </w:tblGrid>
      <w:tr>
        <w:trPr/>
        <w:tc>
          <w:tcPr>
            <w:tcW w:w="5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328930" cy="29210"/>
                      <wp:effectExtent l="0" t="0" r="0" b="0"/>
                      <wp:wrapNone/>
                      <wp:docPr id="394" name="Frame352"/>
                      <a:graphic xmlns:a="http://schemas.openxmlformats.org/drawingml/2006/main">
                        <a:graphicData uri="http://schemas.microsoft.com/office/word/2010/wordprocessingShape">
                          <wps:wsp>
                            <wps:cNvSpPr txBox="1"/>
                            <wps:spPr>
                              <a:xfrm>
                                <a:off x="0" y="0"/>
                                <a:ext cx="32893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9215" cy="175260"/>
                      <wp:effectExtent l="0" t="0" r="0" b="0"/>
                      <wp:wrapNone/>
                      <wp:docPr id="395" name="Frame35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3784600" cy="29210"/>
                      <wp:effectExtent l="0" t="0" r="0" b="0"/>
                      <wp:wrapNone/>
                      <wp:docPr id="396" name="Frame354"/>
                      <a:graphic xmlns:a="http://schemas.openxmlformats.org/drawingml/2006/main">
                        <a:graphicData uri="http://schemas.microsoft.com/office/word/2010/wordprocessingShape">
                          <wps:wsp>
                            <wps:cNvSpPr txBox="1"/>
                            <wps:spPr>
                              <a:xfrm>
                                <a:off x="0" y="0"/>
                                <a:ext cx="378460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9215" cy="175260"/>
                      <wp:effectExtent l="0" t="0" r="0" b="0"/>
                      <wp:wrapNone/>
                      <wp:docPr id="397" name="Frame3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41935" cy="29210"/>
                      <wp:effectExtent l="0" t="0" r="0" b="0"/>
                      <wp:wrapNone/>
                      <wp:docPr id="398" name="Frame356"/>
                      <a:graphic xmlns:a="http://schemas.openxmlformats.org/drawingml/2006/main">
                        <a:graphicData uri="http://schemas.microsoft.com/office/word/2010/wordprocessingShape">
                          <wps:wsp>
                            <wps:cNvSpPr txBox="1"/>
                            <wps:spPr>
                              <a:xfrm>
                                <a:off x="0" y="0"/>
                                <a:ext cx="2419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9215" cy="175260"/>
                      <wp:effectExtent l="0" t="0" r="0" b="0"/>
                      <wp:wrapNone/>
                      <wp:docPr id="399" name="Frame35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551180" cy="29210"/>
                      <wp:effectExtent l="0" t="0" r="0" b="0"/>
                      <wp:wrapNone/>
                      <wp:docPr id="400" name="Frame358"/>
                      <a:graphic xmlns:a="http://schemas.openxmlformats.org/drawingml/2006/main">
                        <a:graphicData uri="http://schemas.microsoft.com/office/word/2010/wordprocessingShape">
                          <wps:wsp>
                            <wps:cNvSpPr txBox="1"/>
                            <wps:spPr>
                              <a:xfrm>
                                <a:off x="0" y="0"/>
                                <a:ext cx="55118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9215" cy="175260"/>
                      <wp:effectExtent l="0" t="0" r="0" b="0"/>
                      <wp:wrapNone/>
                      <wp:docPr id="401" name="Frame35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95910" cy="29210"/>
                      <wp:effectExtent l="0" t="0" r="0" b="0"/>
                      <wp:wrapNone/>
                      <wp:docPr id="402" name="Frame360"/>
                      <a:graphic xmlns:a="http://schemas.openxmlformats.org/drawingml/2006/main">
                        <a:graphicData uri="http://schemas.microsoft.com/office/word/2010/wordprocessingShape">
                          <wps:wsp>
                            <wps:cNvSpPr txBox="1"/>
                            <wps:spPr>
                              <a:xfrm>
                                <a:off x="0" y="0"/>
                                <a:ext cx="2959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9215" cy="175260"/>
                      <wp:effectExtent l="0" t="0" r="0" b="0"/>
                      <wp:wrapNone/>
                      <wp:docPr id="403" name="Frame36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88975" cy="29210"/>
                      <wp:effectExtent l="0" t="0" r="0" b="0"/>
                      <wp:wrapNone/>
                      <wp:docPr id="404" name="Frame362"/>
                      <a:graphic xmlns:a="http://schemas.openxmlformats.org/drawingml/2006/main">
                        <a:graphicData uri="http://schemas.microsoft.com/office/word/2010/wordprocessingShape">
                          <wps:wsp>
                            <wps:cNvSpPr txBox="1"/>
                            <wps:spPr>
                              <a:xfrm>
                                <a:off x="0" y="0"/>
                                <a:ext cx="68897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9215" cy="175260"/>
                      <wp:effectExtent l="0" t="0" r="0" b="0"/>
                      <wp:wrapNone/>
                      <wp:docPr id="405" name="Frame36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73355" cy="29210"/>
                      <wp:effectExtent l="0" t="0" r="0" b="0"/>
                      <wp:wrapNone/>
                      <wp:docPr id="406" name="Frame364"/>
                      <a:graphic xmlns:a="http://schemas.openxmlformats.org/drawingml/2006/main">
                        <a:graphicData uri="http://schemas.microsoft.com/office/word/2010/wordprocessingShape">
                          <wps:wsp>
                            <wps:cNvSpPr txBox="1"/>
                            <wps:spPr>
                              <a:xfrm>
                                <a:off x="0" y="0"/>
                                <a:ext cx="17335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518" w:type="dxa"/>
            <w:tcBorders>
              <w:bottom w:val="single" w:sz="2"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328930" cy="559435"/>
                      <wp:effectExtent l="0" t="0" r="0" b="0"/>
                      <wp:wrapNone/>
                      <wp:docPr id="407" name="Frame365"/>
                      <a:graphic xmlns:a="http://schemas.openxmlformats.org/drawingml/2006/main">
                        <a:graphicData uri="http://schemas.microsoft.com/office/word/2010/wordprocessingShape">
                          <wps:wsp>
                            <wps:cNvSpPr txBox="1"/>
                            <wps:spPr>
                              <a:xfrm>
                                <a:off x="0" y="0"/>
                                <a:ext cx="328930" cy="559435"/>
                              </a:xfrm>
                              <a:prstGeom prst="rect"/>
                            </wps:spPr>
                            <wps:txbx>
                              <w:txbxContent>
                                <w:p>
                                  <w:pPr>
                                    <w:pStyle w:val="TableContents"/>
                                    <w:spacing w:before="53" w:after="30"/>
                                    <w:ind w:left="0" w:right="0" w:hanging="0"/>
                                    <w:rPr>
                                      <w:rFonts w:ascii="Arial;Helvetica;sans-serif" w:hAnsi="Arial;Helvetica;sans-serif"/>
                                      <w:b/>
                                      <w:sz w:val="18"/>
                                    </w:rPr>
                                  </w:pPr>
                                  <w:r>
                                    <w:rPr>
                                      <w:rFonts w:ascii="Arial;Helvetica;sans-serif" w:hAnsi="Arial;Helvetica;sans-serif"/>
                                      <w:b/>
                                      <w:sz w:val="18"/>
                                    </w:rPr>
                                    <w:t>Exhibit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44.0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rPr>
                                <w:rFonts w:ascii="Arial;Helvetica;sans-serif" w:hAnsi="Arial;Helvetica;sans-serif"/>
                                <w:b/>
                                <w:sz w:val="18"/>
                              </w:rPr>
                            </w:pPr>
                            <w:r>
                              <w:rPr>
                                <w:rFonts w:ascii="Arial;Helvetica;sans-serif" w:hAnsi="Arial;Helvetica;sans-serif"/>
                                <w:b/>
                                <w:sz w:val="18"/>
                              </w:rPr>
                              <w:t>Exhibit Number</w:t>
                            </w:r>
                          </w:p>
                        </w:txbxContent>
                      </v:textbox>
                    </v:rect>
                  </w:pict>
                </mc:Fallback>
              </mc:AlternateContent>
            </w:r>
          </w:p>
        </w:tc>
        <w:tc>
          <w:tcPr>
            <w:tcW w:w="109" w:type="dxa"/>
            <w:tcBorders>
              <w:bottom w:val="single" w:sz="2"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9215" cy="175260"/>
                      <wp:effectExtent l="0" t="0" r="0" b="0"/>
                      <wp:wrapNone/>
                      <wp:docPr id="408" name="Frame36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bottom w:val="single" w:sz="2"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3784600" cy="165100"/>
                      <wp:effectExtent l="0" t="0" r="0" b="0"/>
                      <wp:wrapNone/>
                      <wp:docPr id="409" name="Frame367"/>
                      <a:graphic xmlns:a="http://schemas.openxmlformats.org/drawingml/2006/main">
                        <a:graphicData uri="http://schemas.microsoft.com/office/word/2010/wordprocessingShape">
                          <wps:wsp>
                            <wps:cNvSpPr txBox="1"/>
                            <wps:spPr>
                              <a:xfrm>
                                <a:off x="0" y="0"/>
                                <a:ext cx="3784600" cy="165100"/>
                              </a:xfrm>
                              <a:prstGeom prst="rect"/>
                            </wps:spPr>
                            <wps:txbx>
                              <w:txbxContent>
                                <w:p>
                                  <w:pPr>
                                    <w:pStyle w:val="TableContents"/>
                                    <w:spacing w:before="53" w:after="30"/>
                                    <w:ind w:left="0" w:right="0" w:hanging="0"/>
                                    <w:rPr>
                                      <w:rFonts w:ascii="Arial;Helvetica;sans-serif" w:hAnsi="Arial;Helvetica;sans-serif"/>
                                      <w:b/>
                                      <w:sz w:val="18"/>
                                    </w:rPr>
                                  </w:pPr>
                                  <w:r>
                                    <w:rPr>
                                      <w:rFonts w:ascii="Arial;Helvetica;sans-serif" w:hAnsi="Arial;Helvetica;sans-serif"/>
                                      <w:b/>
                                      <w:sz w:val="18"/>
                                    </w:rPr>
                                    <w:t>Description of Document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rPr>
                                <w:rFonts w:ascii="Arial;Helvetica;sans-serif" w:hAnsi="Arial;Helvetica;sans-serif"/>
                                <w:b/>
                                <w:sz w:val="18"/>
                              </w:rPr>
                            </w:pPr>
                            <w:r>
                              <w:rPr>
                                <w:rFonts w:ascii="Arial;Helvetica;sans-serif" w:hAnsi="Arial;Helvetica;sans-serif"/>
                                <w:b/>
                                <w:sz w:val="18"/>
                              </w:rPr>
                              <w:t>Description of Document</w:t>
                            </w:r>
                          </w:p>
                        </w:txbxContent>
                      </v:textbox>
                    </v:rect>
                  </w:pict>
                </mc:Fallback>
              </mc:AlternateContent>
            </w:r>
          </w:p>
        </w:tc>
        <w:tc>
          <w:tcPr>
            <w:tcW w:w="109" w:type="dxa"/>
            <w:tcBorders>
              <w:bottom w:val="single" w:sz="2"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9215" cy="175260"/>
                      <wp:effectExtent l="0" t="0" r="0" b="0"/>
                      <wp:wrapNone/>
                      <wp:docPr id="410" name="Frame36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bottom w:val="single" w:sz="2"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41935" cy="296545"/>
                      <wp:effectExtent l="0" t="0" r="0" b="0"/>
                      <wp:wrapNone/>
                      <wp:docPr id="411" name="Frame369"/>
                      <a:graphic xmlns:a="http://schemas.openxmlformats.org/drawingml/2006/main">
                        <a:graphicData uri="http://schemas.microsoft.com/office/word/2010/wordprocessingShape">
                          <wps:wsp>
                            <wps:cNvSpPr txBox="1"/>
                            <wps:spPr>
                              <a:xfrm>
                                <a:off x="0" y="0"/>
                                <a:ext cx="241935" cy="296545"/>
                              </a:xfrm>
                              <a:prstGeom prst="rect"/>
                            </wps:spPr>
                            <wps:txbx>
                              <w:txbxContent>
                                <w:p>
                                  <w:pPr>
                                    <w:pStyle w:val="TableContents"/>
                                    <w:spacing w:before="53" w:after="30"/>
                                    <w:ind w:left="0" w:right="0" w:hanging="0"/>
                                    <w:rPr>
                                      <w:rFonts w:ascii="Arial;Helvetica;sans-serif" w:hAnsi="Arial;Helvetica;sans-serif"/>
                                      <w:b/>
                                      <w:sz w:val="18"/>
                                    </w:rPr>
                                  </w:pPr>
                                  <w:r>
                                    <w:rPr>
                                      <w:rFonts w:ascii="Arial;Helvetica;sans-serif" w:hAnsi="Arial;Helvetica;sans-serif"/>
                                      <w:b/>
                                      <w:sz w:val="18"/>
                                    </w:rPr>
                                    <w:t>Form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23.3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rPr>
                                <w:rFonts w:ascii="Arial;Helvetica;sans-serif" w:hAnsi="Arial;Helvetica;sans-serif"/>
                                <w:b/>
                                <w:sz w:val="18"/>
                              </w:rPr>
                            </w:pPr>
                            <w:r>
                              <w:rPr>
                                <w:rFonts w:ascii="Arial;Helvetica;sans-serif" w:hAnsi="Arial;Helvetica;sans-serif"/>
                                <w:b/>
                                <w:sz w:val="18"/>
                              </w:rPr>
                              <w:t>Form</w:t>
                            </w:r>
                          </w:p>
                        </w:txbxContent>
                      </v:textbox>
                    </v:rect>
                  </w:pict>
                </mc:Fallback>
              </mc:AlternateContent>
            </w:r>
          </w:p>
        </w:tc>
        <w:tc>
          <w:tcPr>
            <w:tcW w:w="109" w:type="dxa"/>
            <w:tcBorders>
              <w:bottom w:val="single" w:sz="2"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9215" cy="175260"/>
                      <wp:effectExtent l="0" t="0" r="0" b="0"/>
                      <wp:wrapNone/>
                      <wp:docPr id="412" name="Frame37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8" w:type="dxa"/>
            <w:tcBorders>
              <w:bottom w:val="single" w:sz="2"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551180" cy="165100"/>
                      <wp:effectExtent l="0" t="0" r="0" b="0"/>
                      <wp:wrapNone/>
                      <wp:docPr id="413" name="Frame371"/>
                      <a:graphic xmlns:a="http://schemas.openxmlformats.org/drawingml/2006/main">
                        <a:graphicData uri="http://schemas.microsoft.com/office/word/2010/wordprocessingShape">
                          <wps:wsp>
                            <wps:cNvSpPr txBox="1"/>
                            <wps:spPr>
                              <a:xfrm>
                                <a:off x="0" y="0"/>
                                <a:ext cx="551180" cy="165100"/>
                              </a:xfrm>
                              <a:prstGeom prst="rect"/>
                            </wps:spPr>
                            <wps:txbx>
                              <w:txbxContent>
                                <w:p>
                                  <w:pPr>
                                    <w:pStyle w:val="TableContents"/>
                                    <w:spacing w:lineRule="auto" w:line="328" w:before="53" w:after="30"/>
                                    <w:ind w:left="0" w:right="0" w:hanging="0"/>
                                    <w:jc w:val="center"/>
                                    <w:rPr>
                                      <w:rFonts w:ascii="Arial;Helvetica;sans-serif" w:hAnsi="Arial;Helvetica;sans-serif"/>
                                      <w:b/>
                                      <w:sz w:val="18"/>
                                    </w:rPr>
                                  </w:pPr>
                                  <w:r>
                                    <w:rPr>
                                      <w:rFonts w:ascii="Arial;Helvetica;sans-serif" w:hAnsi="Arial;Helvetica;sans-serif"/>
                                      <w:b/>
                                      <w:sz w:val="18"/>
                                    </w:rPr>
                                    <w:t>File 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28" w:before="53" w:after="30"/>
                              <w:ind w:left="0" w:right="0" w:hanging="0"/>
                              <w:jc w:val="center"/>
                              <w:rPr>
                                <w:rFonts w:ascii="Arial;Helvetica;sans-serif" w:hAnsi="Arial;Helvetica;sans-serif"/>
                                <w:b/>
                                <w:sz w:val="18"/>
                              </w:rPr>
                            </w:pPr>
                            <w:r>
                              <w:rPr>
                                <w:rFonts w:ascii="Arial;Helvetica;sans-serif" w:hAnsi="Arial;Helvetica;sans-serif"/>
                                <w:b/>
                                <w:sz w:val="18"/>
                              </w:rPr>
                              <w:t>File No.</w:t>
                            </w:r>
                          </w:p>
                        </w:txbxContent>
                      </v:textbox>
                    </v:rect>
                  </w:pict>
                </mc:Fallback>
              </mc:AlternateContent>
            </w:r>
          </w:p>
        </w:tc>
        <w:tc>
          <w:tcPr>
            <w:tcW w:w="109" w:type="dxa"/>
            <w:tcBorders>
              <w:bottom w:val="single" w:sz="2"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9215" cy="175260"/>
                      <wp:effectExtent l="0" t="0" r="0" b="0"/>
                      <wp:wrapNone/>
                      <wp:docPr id="414" name="Frame37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bottom w:val="single" w:sz="2"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95910" cy="344805"/>
                      <wp:effectExtent l="0" t="0" r="0" b="0"/>
                      <wp:wrapNone/>
                      <wp:docPr id="415" name="Frame373"/>
                      <a:graphic xmlns:a="http://schemas.openxmlformats.org/drawingml/2006/main">
                        <a:graphicData uri="http://schemas.microsoft.com/office/word/2010/wordprocessingShape">
                          <wps:wsp>
                            <wps:cNvSpPr txBox="1"/>
                            <wps:spPr>
                              <a:xfrm>
                                <a:off x="0" y="0"/>
                                <a:ext cx="295910" cy="344805"/>
                              </a:xfrm>
                              <a:prstGeom prst="rect"/>
                            </wps:spPr>
                            <wps:txbx>
                              <w:txbxContent>
                                <w:p>
                                  <w:pPr>
                                    <w:pStyle w:val="TableContents"/>
                                    <w:spacing w:lineRule="auto" w:line="328" w:before="53" w:after="30"/>
                                    <w:ind w:left="0" w:right="0" w:hanging="0"/>
                                    <w:jc w:val="center"/>
                                    <w:rPr>
                                      <w:rFonts w:ascii="Arial;Helvetica;sans-serif" w:hAnsi="Arial;Helvetica;sans-serif"/>
                                      <w:b/>
                                      <w:sz w:val="18"/>
                                    </w:rPr>
                                  </w:pPr>
                                  <w:r>
                                    <w:rPr>
                                      <w:rFonts w:ascii="Arial;Helvetica;sans-serif" w:hAnsi="Arial;Helvetica;sans-serif"/>
                                      <w:b/>
                                      <w:sz w:val="18"/>
                                    </w:rPr>
                                    <w:t>Exhibit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27.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28" w:before="53" w:after="30"/>
                              <w:ind w:left="0" w:right="0" w:hanging="0"/>
                              <w:jc w:val="center"/>
                              <w:rPr>
                                <w:rFonts w:ascii="Arial;Helvetica;sans-serif" w:hAnsi="Arial;Helvetica;sans-serif"/>
                                <w:b/>
                                <w:sz w:val="18"/>
                              </w:rPr>
                            </w:pPr>
                            <w:r>
                              <w:rPr>
                                <w:rFonts w:ascii="Arial;Helvetica;sans-serif" w:hAnsi="Arial;Helvetica;sans-serif"/>
                                <w:b/>
                                <w:sz w:val="18"/>
                              </w:rPr>
                              <w:t>Exhibit</w:t>
                            </w:r>
                          </w:p>
                        </w:txbxContent>
                      </v:textbox>
                    </v:rect>
                  </w:pict>
                </mc:Fallback>
              </mc:AlternateContent>
            </w:r>
          </w:p>
        </w:tc>
        <w:tc>
          <w:tcPr>
            <w:tcW w:w="109" w:type="dxa"/>
            <w:tcBorders>
              <w:bottom w:val="single" w:sz="2"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9215" cy="175260"/>
                      <wp:effectExtent l="0" t="0" r="0" b="0"/>
                      <wp:wrapNone/>
                      <wp:docPr id="416" name="Frame37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5" w:type="dxa"/>
            <w:tcBorders>
              <w:bottom w:val="single" w:sz="2"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88975" cy="165100"/>
                      <wp:effectExtent l="0" t="0" r="0" b="0"/>
                      <wp:wrapNone/>
                      <wp:docPr id="417" name="Frame375"/>
                      <a:graphic xmlns:a="http://schemas.openxmlformats.org/drawingml/2006/main">
                        <a:graphicData uri="http://schemas.microsoft.com/office/word/2010/wordprocessingShape">
                          <wps:wsp>
                            <wps:cNvSpPr txBox="1"/>
                            <wps:spPr>
                              <a:xfrm>
                                <a:off x="0" y="0"/>
                                <a:ext cx="688975" cy="165100"/>
                              </a:xfrm>
                              <a:prstGeom prst="rect"/>
                            </wps:spPr>
                            <wps:txbx>
                              <w:txbxContent>
                                <w:p>
                                  <w:pPr>
                                    <w:pStyle w:val="TableContents"/>
                                    <w:spacing w:lineRule="auto" w:line="328" w:before="53" w:after="30"/>
                                    <w:ind w:left="0" w:right="0" w:hanging="0"/>
                                    <w:jc w:val="center"/>
                                    <w:rPr>
                                      <w:rFonts w:ascii="Arial;Helvetica;sans-serif" w:hAnsi="Arial;Helvetica;sans-serif"/>
                                      <w:b/>
                                      <w:sz w:val="18"/>
                                    </w:rPr>
                                  </w:pPr>
                                  <w:r>
                                    <w:rPr>
                                      <w:rFonts w:ascii="Arial;Helvetica;sans-serif" w:hAnsi="Arial;Helvetica;sans-serif"/>
                                      <w:b/>
                                      <w:sz w:val="18"/>
                                    </w:rPr>
                                    <w:t>Filing Date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28" w:before="53" w:after="30"/>
                              <w:ind w:left="0" w:right="0" w:hanging="0"/>
                              <w:jc w:val="center"/>
                              <w:rPr>
                                <w:rFonts w:ascii="Arial;Helvetica;sans-serif" w:hAnsi="Arial;Helvetica;sans-serif"/>
                                <w:b/>
                                <w:sz w:val="18"/>
                              </w:rPr>
                            </w:pPr>
                            <w:r>
                              <w:rPr>
                                <w:rFonts w:ascii="Arial;Helvetica;sans-serif" w:hAnsi="Arial;Helvetica;sans-serif"/>
                                <w:b/>
                                <w:sz w:val="18"/>
                              </w:rPr>
                              <w:t>Filing Date</w:t>
                            </w:r>
                          </w:p>
                        </w:txbxContent>
                      </v:textbox>
                    </v:rect>
                  </w:pict>
                </mc:Fallback>
              </mc:AlternateContent>
            </w:r>
          </w:p>
        </w:tc>
        <w:tc>
          <w:tcPr>
            <w:tcW w:w="109" w:type="dxa"/>
            <w:tcBorders>
              <w:bottom w:val="single" w:sz="2"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9215" cy="175260"/>
                      <wp:effectExtent l="0" t="0" r="0" b="0"/>
                      <wp:wrapNone/>
                      <wp:docPr id="418" name="Frame37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bottom w:val="single" w:sz="2" w:space="0" w:color="000000"/>
            </w:tcBorders>
            <w:shd w:fill="auto" w:val="clear"/>
            <w:tcMar>
              <w:bottom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73355" cy="1063625"/>
                      <wp:effectExtent l="0" t="0" r="0" b="0"/>
                      <wp:wrapNone/>
                      <wp:docPr id="419" name="Frame377"/>
                      <a:graphic xmlns:a="http://schemas.openxmlformats.org/drawingml/2006/main">
                        <a:graphicData uri="http://schemas.microsoft.com/office/word/2010/wordprocessingShape">
                          <wps:wsp>
                            <wps:cNvSpPr txBox="1"/>
                            <wps:spPr>
                              <a:xfrm>
                                <a:off x="0" y="0"/>
                                <a:ext cx="173355" cy="1063625"/>
                              </a:xfrm>
                              <a:prstGeom prst="rect"/>
                            </wps:spPr>
                            <wps:txbx>
                              <w:txbxContent>
                                <w:p>
                                  <w:pPr>
                                    <w:pStyle w:val="TableContents"/>
                                    <w:spacing w:lineRule="auto" w:line="328" w:before="53" w:after="30"/>
                                    <w:ind w:left="0" w:right="0" w:hanging="0"/>
                                    <w:jc w:val="center"/>
                                    <w:rPr>
                                      <w:rFonts w:ascii="Arial;Helvetica;sans-serif" w:hAnsi="Arial;Helvetica;sans-serif"/>
                                      <w:b/>
                                      <w:sz w:val="18"/>
                                    </w:rPr>
                                  </w:pPr>
                                  <w:r>
                                    <w:rPr>
                                      <w:rFonts w:ascii="Arial;Helvetica;sans-serif" w:hAnsi="Arial;Helvetica;sans-serif"/>
                                      <w:b/>
                                      <w:sz w:val="18"/>
                                    </w:rPr>
                                    <w:t>Filed Herewith</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83.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lineRule="auto" w:line="328" w:before="53" w:after="30"/>
                              <w:ind w:left="0" w:right="0" w:hanging="0"/>
                              <w:jc w:val="center"/>
                              <w:rPr>
                                <w:rFonts w:ascii="Arial;Helvetica;sans-serif" w:hAnsi="Arial;Helvetica;sans-serif"/>
                                <w:b/>
                                <w:sz w:val="18"/>
                              </w:rPr>
                            </w:pPr>
                            <w:r>
                              <w:rPr>
                                <w:rFonts w:ascii="Arial;Helvetica;sans-serif" w:hAnsi="Arial;Helvetica;sans-serif"/>
                                <w:b/>
                                <w:sz w:val="18"/>
                              </w:rPr>
                              <w:t>Filed Herewith</w:t>
                            </w:r>
                          </w:p>
                        </w:txbxContent>
                      </v:textbox>
                    </v:rect>
                  </w:pict>
                </mc:Fallback>
              </mc:AlternateContent>
            </w:r>
          </w:p>
        </w:tc>
      </w:tr>
      <w:tr>
        <w:trPr/>
        <w:tc>
          <w:tcPr>
            <w:tcW w:w="518" w:type="dxa"/>
            <w:tcBorders>
              <w:top w:val="single" w:sz="2"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328930" cy="175260"/>
                      <wp:effectExtent l="0" t="0" r="0" b="0"/>
                      <wp:wrapNone/>
                      <wp:docPr id="420" name="Frame378"/>
                      <a:graphic xmlns:a="http://schemas.openxmlformats.org/drawingml/2006/main">
                        <a:graphicData uri="http://schemas.microsoft.com/office/word/2010/wordprocessingShape">
                          <wps:wsp>
                            <wps:cNvSpPr txBox="1"/>
                            <wps:spPr>
                              <a:xfrm>
                                <a:off x="0" y="0"/>
                                <a:ext cx="3289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9215" cy="175260"/>
                      <wp:effectExtent l="0" t="0" r="0" b="0"/>
                      <wp:wrapNone/>
                      <wp:docPr id="421" name="Frame37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top w:val="single" w:sz="2"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3784600" cy="175260"/>
                      <wp:effectExtent l="0" t="0" r="0" b="0"/>
                      <wp:wrapNone/>
                      <wp:docPr id="422" name="Frame380"/>
                      <a:graphic xmlns:a="http://schemas.openxmlformats.org/drawingml/2006/main">
                        <a:graphicData uri="http://schemas.microsoft.com/office/word/2010/wordprocessingShape">
                          <wps:wsp>
                            <wps:cNvSpPr txBox="1"/>
                            <wps:spPr>
                              <a:xfrm>
                                <a:off x="0" y="0"/>
                                <a:ext cx="37846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9215" cy="175260"/>
                      <wp:effectExtent l="0" t="0" r="0" b="0"/>
                      <wp:wrapNone/>
                      <wp:docPr id="423" name="Frame38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top w:val="single" w:sz="2"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41935" cy="175260"/>
                      <wp:effectExtent l="0" t="0" r="0" b="0"/>
                      <wp:wrapNone/>
                      <wp:docPr id="424" name="Frame382"/>
                      <a:graphic xmlns:a="http://schemas.openxmlformats.org/drawingml/2006/main">
                        <a:graphicData uri="http://schemas.microsoft.com/office/word/2010/wordprocessingShape">
                          <wps:wsp>
                            <wps:cNvSpPr txBox="1"/>
                            <wps:spPr>
                              <a:xfrm>
                                <a:off x="0" y="0"/>
                                <a:ext cx="241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9215" cy="175260"/>
                      <wp:effectExtent l="0" t="0" r="0" b="0"/>
                      <wp:wrapNone/>
                      <wp:docPr id="425" name="Frame38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8" w:type="dxa"/>
            <w:tcBorders>
              <w:top w:val="single" w:sz="2"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551180" cy="175260"/>
                      <wp:effectExtent l="0" t="0" r="0" b="0"/>
                      <wp:wrapNone/>
                      <wp:docPr id="426" name="Frame384"/>
                      <a:graphic xmlns:a="http://schemas.openxmlformats.org/drawingml/2006/main">
                        <a:graphicData uri="http://schemas.microsoft.com/office/word/2010/wordprocessingShape">
                          <wps:wsp>
                            <wps:cNvSpPr txBox="1"/>
                            <wps:spPr>
                              <a:xfrm>
                                <a:off x="0" y="0"/>
                                <a:ext cx="551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9215" cy="175260"/>
                      <wp:effectExtent l="0" t="0" r="0" b="0"/>
                      <wp:wrapNone/>
                      <wp:docPr id="427" name="Frame38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top w:val="single" w:sz="2"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95910" cy="175260"/>
                      <wp:effectExtent l="0" t="0" r="0" b="0"/>
                      <wp:wrapNone/>
                      <wp:docPr id="428" name="Frame386"/>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9215" cy="175260"/>
                      <wp:effectExtent l="0" t="0" r="0" b="0"/>
                      <wp:wrapNone/>
                      <wp:docPr id="429" name="Frame38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5" w:type="dxa"/>
            <w:tcBorders>
              <w:top w:val="single" w:sz="2"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88975" cy="175260"/>
                      <wp:effectExtent l="0" t="0" r="0" b="0"/>
                      <wp:wrapNone/>
                      <wp:docPr id="430" name="Frame388"/>
                      <a:graphic xmlns:a="http://schemas.openxmlformats.org/drawingml/2006/main">
                        <a:graphicData uri="http://schemas.microsoft.com/office/word/2010/wordprocessingShape">
                          <wps:wsp>
                            <wps:cNvSpPr txBox="1"/>
                            <wps:spPr>
                              <a:xfrm>
                                <a:off x="0" y="0"/>
                                <a:ext cx="688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9215" cy="175260"/>
                      <wp:effectExtent l="0" t="0" r="0" b="0"/>
                      <wp:wrapNone/>
                      <wp:docPr id="431" name="Frame38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top w:val="single" w:sz="2" w:space="0" w:color="000000"/>
            </w:tcBorders>
            <w:shd w:fill="auto" w:val="clear"/>
            <w:tcMar>
              <w:top w:w="28" w:type="dxa"/>
            </w:tcM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73355" cy="175260"/>
                      <wp:effectExtent l="0" t="0" r="0" b="0"/>
                      <wp:wrapNone/>
                      <wp:docPr id="432" name="Frame390"/>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8"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3.1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9215" cy="175260"/>
                      <wp:effectExtent l="0" t="0" r="0" b="0"/>
                      <wp:wrapNone/>
                      <wp:docPr id="433" name="Frame39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lineRule="auto" w:line="328" w:before="53" w:after="30"/>
              <w:ind w:left="0" w:right="0" w:hanging="0"/>
              <w:rPr/>
            </w:pPr>
            <w:hyperlink r:id="rId44">
              <w:r>
                <w:rPr>
                  <w:rStyle w:val="InternetLink"/>
                  <w:rFonts w:ascii="Arial;Helvetica;sans-serif" w:hAnsi="Arial;Helvetica;sans-serif"/>
                  <w:b w:val="false"/>
                  <w:i w:val="false"/>
                  <w:caps w:val="false"/>
                  <w:smallCaps w:val="false"/>
                  <w:color w:val="0000FF"/>
                  <w:sz w:val="18"/>
                  <w:u w:val="single"/>
                </w:rPr>
                <w:t>Amended and Restated Memorandum and Articles of Association of the registrant.</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9215" cy="175260"/>
                      <wp:effectExtent l="0" t="0" r="0" b="0"/>
                      <wp:wrapNone/>
                      <wp:docPr id="434" name="Frame39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8-K</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9215" cy="175260"/>
                      <wp:effectExtent l="0" t="0" r="0" b="0"/>
                      <wp:wrapNone/>
                      <wp:docPr id="435" name="Frame39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8"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001-41608</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9215" cy="175260"/>
                      <wp:effectExtent l="0" t="0" r="0" b="0"/>
                      <wp:wrapNone/>
                      <wp:docPr id="436" name="Frame39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9215" cy="175260"/>
                      <wp:effectExtent l="0" t="0" r="0" b="0"/>
                      <wp:wrapNone/>
                      <wp:docPr id="437" name="Frame39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5"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February 7,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9215" cy="175260"/>
                      <wp:effectExtent l="0" t="0" r="0" b="0"/>
                      <wp:wrapNone/>
                      <wp:docPr id="438" name="Frame39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73355" cy="175260"/>
                      <wp:effectExtent l="0" t="0" r="0" b="0"/>
                      <wp:wrapNone/>
                      <wp:docPr id="439" name="Frame397"/>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328930" cy="175260"/>
                      <wp:effectExtent l="0" t="0" r="0" b="0"/>
                      <wp:wrapNone/>
                      <wp:docPr id="440" name="Frame398"/>
                      <a:graphic xmlns:a="http://schemas.openxmlformats.org/drawingml/2006/main">
                        <a:graphicData uri="http://schemas.microsoft.com/office/word/2010/wordprocessingShape">
                          <wps:wsp>
                            <wps:cNvSpPr txBox="1"/>
                            <wps:spPr>
                              <a:xfrm>
                                <a:off x="0" y="0"/>
                                <a:ext cx="3289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9215" cy="175260"/>
                      <wp:effectExtent l="0" t="0" r="0" b="0"/>
                      <wp:wrapNone/>
                      <wp:docPr id="441" name="Frame39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3784600" cy="175260"/>
                      <wp:effectExtent l="0" t="0" r="0" b="0"/>
                      <wp:wrapNone/>
                      <wp:docPr id="442" name="Frame400"/>
                      <a:graphic xmlns:a="http://schemas.openxmlformats.org/drawingml/2006/main">
                        <a:graphicData uri="http://schemas.microsoft.com/office/word/2010/wordprocessingShape">
                          <wps:wsp>
                            <wps:cNvSpPr txBox="1"/>
                            <wps:spPr>
                              <a:xfrm>
                                <a:off x="0" y="0"/>
                                <a:ext cx="3784600"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9215" cy="175260"/>
                      <wp:effectExtent l="0" t="0" r="0" b="0"/>
                      <wp:wrapNone/>
                      <wp:docPr id="443" name="Frame40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41935" cy="175260"/>
                      <wp:effectExtent l="0" t="0" r="0" b="0"/>
                      <wp:wrapNone/>
                      <wp:docPr id="444" name="Frame402"/>
                      <a:graphic xmlns:a="http://schemas.openxmlformats.org/drawingml/2006/main">
                        <a:graphicData uri="http://schemas.microsoft.com/office/word/2010/wordprocessingShape">
                          <wps:wsp>
                            <wps:cNvSpPr txBox="1"/>
                            <wps:spPr>
                              <a:xfrm>
                                <a:off x="0" y="0"/>
                                <a:ext cx="241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9215" cy="175260"/>
                      <wp:effectExtent l="0" t="0" r="0" b="0"/>
                      <wp:wrapNone/>
                      <wp:docPr id="445" name="Frame40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551180" cy="175260"/>
                      <wp:effectExtent l="0" t="0" r="0" b="0"/>
                      <wp:wrapNone/>
                      <wp:docPr id="446" name="Frame404"/>
                      <a:graphic xmlns:a="http://schemas.openxmlformats.org/drawingml/2006/main">
                        <a:graphicData uri="http://schemas.microsoft.com/office/word/2010/wordprocessingShape">
                          <wps:wsp>
                            <wps:cNvSpPr txBox="1"/>
                            <wps:spPr>
                              <a:xfrm>
                                <a:off x="0" y="0"/>
                                <a:ext cx="551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9215" cy="175260"/>
                      <wp:effectExtent l="0" t="0" r="0" b="0"/>
                      <wp:wrapNone/>
                      <wp:docPr id="447" name="Frame40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95910" cy="175260"/>
                      <wp:effectExtent l="0" t="0" r="0" b="0"/>
                      <wp:wrapNone/>
                      <wp:docPr id="448" name="Frame406"/>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9215" cy="175260"/>
                      <wp:effectExtent l="0" t="0" r="0" b="0"/>
                      <wp:wrapNone/>
                      <wp:docPr id="449" name="Frame40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88975" cy="175260"/>
                      <wp:effectExtent l="0" t="0" r="0" b="0"/>
                      <wp:wrapNone/>
                      <wp:docPr id="450" name="Frame408"/>
                      <a:graphic xmlns:a="http://schemas.openxmlformats.org/drawingml/2006/main">
                        <a:graphicData uri="http://schemas.microsoft.com/office/word/2010/wordprocessingShape">
                          <wps:wsp>
                            <wps:cNvSpPr txBox="1"/>
                            <wps:spPr>
                              <a:xfrm>
                                <a:off x="0" y="0"/>
                                <a:ext cx="688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9215" cy="175260"/>
                      <wp:effectExtent l="0" t="0" r="0" b="0"/>
                      <wp:wrapNone/>
                      <wp:docPr id="451" name="Frame40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173355" cy="175260"/>
                      <wp:effectExtent l="0" t="0" r="0" b="0"/>
                      <wp:wrapNone/>
                      <wp:docPr id="452" name="Frame410"/>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8"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4.1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9215" cy="175260"/>
                      <wp:effectExtent l="0" t="0" r="0" b="0"/>
                      <wp:wrapNone/>
                      <wp:docPr id="453" name="Frame41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lineRule="auto" w:line="328" w:before="53" w:after="30"/>
              <w:ind w:left="0" w:right="0" w:hanging="0"/>
              <w:rPr/>
            </w:pPr>
            <w:hyperlink r:id="rId45">
              <w:r>
                <w:rPr>
                  <w:rStyle w:val="InternetLink"/>
                  <w:rFonts w:ascii="Arial;Helvetica;sans-serif" w:hAnsi="Arial;Helvetica;sans-serif"/>
                  <w:b w:val="false"/>
                  <w:i w:val="false"/>
                  <w:caps w:val="false"/>
                  <w:smallCaps w:val="false"/>
                  <w:color w:val="0000FF"/>
                  <w:sz w:val="18"/>
                  <w:u w:val="single"/>
                </w:rPr>
                <w:t>Registrant’s Specimen Certificate for Ordinary Shares.</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9215" cy="175260"/>
                      <wp:effectExtent l="0" t="0" r="0" b="0"/>
                      <wp:wrapNone/>
                      <wp:docPr id="454" name="Frame41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S-1/A</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9215" cy="208915"/>
                      <wp:effectExtent l="0" t="0" r="0" b="0"/>
                      <wp:wrapNone/>
                      <wp:docPr id="455" name="Frame413"/>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68"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53" w:after="30"/>
              <w:ind w:left="0" w:right="0" w:hanging="0"/>
              <w:jc w:val="center"/>
              <w:rPr/>
            </w:pPr>
            <w:r>
              <w:rPr/>
              <w:t>​</w:t>
            </w:r>
          </w:p>
        </w:tc>
        <w:tc>
          <w:tcPr>
            <w:tcW w:w="466"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4.1</w:t>
            </w:r>
          </w:p>
        </w:tc>
        <w:tc>
          <w:tcPr>
            <w:tcW w:w="109" w:type="dxa"/>
            <w:tcBorders/>
            <w:shd w:fill="auto" w:val="clear"/>
            <w:vAlign w:val="center"/>
          </w:tcPr>
          <w:p>
            <w:pPr>
              <w:pStyle w:val="TableContents"/>
              <w:spacing w:before="53" w:after="30"/>
              <w:ind w:left="0" w:right="0" w:hanging="0"/>
              <w:jc w:val="center"/>
              <w:rPr/>
            </w:pPr>
            <w:r>
              <w:rPr/>
              <w:t>​</w:t>
            </w:r>
          </w:p>
        </w:tc>
        <w:tc>
          <w:tcPr>
            <w:tcW w:w="1085"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30,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9215" cy="175260"/>
                      <wp:effectExtent l="0" t="0" r="0" b="0"/>
                      <wp:wrapNone/>
                      <wp:docPr id="456" name="Frame41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73355" cy="175260"/>
                      <wp:effectExtent l="0" t="0" r="0" b="0"/>
                      <wp:wrapNone/>
                      <wp:docPr id="457" name="Frame415"/>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328930" cy="175260"/>
                      <wp:effectExtent l="0" t="0" r="0" b="0"/>
                      <wp:wrapNone/>
                      <wp:docPr id="458" name="Frame416"/>
                      <a:graphic xmlns:a="http://schemas.openxmlformats.org/drawingml/2006/main">
                        <a:graphicData uri="http://schemas.microsoft.com/office/word/2010/wordprocessingShape">
                          <wps:wsp>
                            <wps:cNvSpPr txBox="1"/>
                            <wps:spPr>
                              <a:xfrm>
                                <a:off x="0" y="0"/>
                                <a:ext cx="3289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9215" cy="175260"/>
                      <wp:effectExtent l="0" t="0" r="0" b="0"/>
                      <wp:wrapNone/>
                      <wp:docPr id="459" name="Frame41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3784600" cy="175260"/>
                      <wp:effectExtent l="0" t="0" r="0" b="0"/>
                      <wp:wrapNone/>
                      <wp:docPr id="460" name="Frame418"/>
                      <a:graphic xmlns:a="http://schemas.openxmlformats.org/drawingml/2006/main">
                        <a:graphicData uri="http://schemas.microsoft.com/office/word/2010/wordprocessingShape">
                          <wps:wsp>
                            <wps:cNvSpPr txBox="1"/>
                            <wps:spPr>
                              <a:xfrm>
                                <a:off x="0" y="0"/>
                                <a:ext cx="3784600"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9215" cy="175260"/>
                      <wp:effectExtent l="0" t="0" r="0" b="0"/>
                      <wp:wrapNone/>
                      <wp:docPr id="461" name="Frame41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41935" cy="175260"/>
                      <wp:effectExtent l="0" t="0" r="0" b="0"/>
                      <wp:wrapNone/>
                      <wp:docPr id="462" name="Frame420"/>
                      <a:graphic xmlns:a="http://schemas.openxmlformats.org/drawingml/2006/main">
                        <a:graphicData uri="http://schemas.microsoft.com/office/word/2010/wordprocessingShape">
                          <wps:wsp>
                            <wps:cNvSpPr txBox="1"/>
                            <wps:spPr>
                              <a:xfrm>
                                <a:off x="0" y="0"/>
                                <a:ext cx="241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9215" cy="175260"/>
                      <wp:effectExtent l="0" t="0" r="0" b="0"/>
                      <wp:wrapNone/>
                      <wp:docPr id="463" name="Frame42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551180" cy="175260"/>
                      <wp:effectExtent l="0" t="0" r="0" b="0"/>
                      <wp:wrapNone/>
                      <wp:docPr id="464" name="Frame422"/>
                      <a:graphic xmlns:a="http://schemas.openxmlformats.org/drawingml/2006/main">
                        <a:graphicData uri="http://schemas.microsoft.com/office/word/2010/wordprocessingShape">
                          <wps:wsp>
                            <wps:cNvSpPr txBox="1"/>
                            <wps:spPr>
                              <a:xfrm>
                                <a:off x="0" y="0"/>
                                <a:ext cx="551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9215" cy="175260"/>
                      <wp:effectExtent l="0" t="0" r="0" b="0"/>
                      <wp:wrapNone/>
                      <wp:docPr id="465" name="Frame42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95910" cy="175260"/>
                      <wp:effectExtent l="0" t="0" r="0" b="0"/>
                      <wp:wrapNone/>
                      <wp:docPr id="466" name="Frame424"/>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9215" cy="175260"/>
                      <wp:effectExtent l="0" t="0" r="0" b="0"/>
                      <wp:wrapNone/>
                      <wp:docPr id="467" name="Frame42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88975" cy="175260"/>
                      <wp:effectExtent l="0" t="0" r="0" b="0"/>
                      <wp:wrapNone/>
                      <wp:docPr id="468" name="Frame426"/>
                      <a:graphic xmlns:a="http://schemas.openxmlformats.org/drawingml/2006/main">
                        <a:graphicData uri="http://schemas.microsoft.com/office/word/2010/wordprocessingShape">
                          <wps:wsp>
                            <wps:cNvSpPr txBox="1"/>
                            <wps:spPr>
                              <a:xfrm>
                                <a:off x="0" y="0"/>
                                <a:ext cx="688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9215" cy="175260"/>
                      <wp:effectExtent l="0" t="0" r="0" b="0"/>
                      <wp:wrapNone/>
                      <wp:docPr id="469" name="Frame42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173355" cy="175260"/>
                      <wp:effectExtent l="0" t="0" r="0" b="0"/>
                      <wp:wrapNone/>
                      <wp:docPr id="470" name="Frame428"/>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8"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4.2</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9215" cy="175260"/>
                      <wp:effectExtent l="0" t="0" r="0" b="0"/>
                      <wp:wrapNone/>
                      <wp:docPr id="471" name="Frame42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before="53" w:after="30"/>
              <w:ind w:left="0" w:right="0" w:hanging="0"/>
              <w:rPr/>
            </w:pPr>
            <w:hyperlink r:id="rId46">
              <w:r>
                <w:rPr>
                  <w:rStyle w:val="InternetLink"/>
                  <w:rFonts w:ascii="Arial;Helvetica;sans-serif" w:hAnsi="Arial;Helvetica;sans-serif"/>
                  <w:b w:val="false"/>
                  <w:i w:val="false"/>
                  <w:caps w:val="false"/>
                  <w:smallCaps w:val="false"/>
                  <w:color w:val="0000FF"/>
                  <w:sz w:val="18"/>
                  <w:u w:val="single"/>
                </w:rPr>
                <w:t>Form of Deposit Agreement.</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9215" cy="175260"/>
                      <wp:effectExtent l="0" t="0" r="0" b="0"/>
                      <wp:wrapNone/>
                      <wp:docPr id="472" name="Frame43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S-1/A</w:t>
            </w:r>
          </w:p>
        </w:tc>
        <w:tc>
          <w:tcPr>
            <w:tcW w:w="109" w:type="dxa"/>
            <w:tcBorders/>
            <w:shd w:fill="auto" w:val="clear"/>
            <w:vAlign w:val="center"/>
          </w:tcPr>
          <w:p>
            <w:pPr>
              <w:pStyle w:val="TableContents"/>
              <w:spacing w:before="53" w:after="30"/>
              <w:ind w:left="0" w:right="0" w:hanging="0"/>
              <w:jc w:val="center"/>
              <w:rPr/>
            </w:pPr>
            <w:r>
              <w:rPr/>
              <w:t>​</w:t>
            </w:r>
          </w:p>
        </w:tc>
        <w:tc>
          <w:tcPr>
            <w:tcW w:w="868"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53" w:after="30"/>
              <w:ind w:left="0" w:right="0" w:hanging="0"/>
              <w:jc w:val="center"/>
              <w:rPr/>
            </w:pPr>
            <w:r>
              <w:rPr/>
              <w:t>​</w:t>
            </w:r>
          </w:p>
        </w:tc>
        <w:tc>
          <w:tcPr>
            <w:tcW w:w="466"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4.2</w:t>
            </w:r>
          </w:p>
        </w:tc>
        <w:tc>
          <w:tcPr>
            <w:tcW w:w="109" w:type="dxa"/>
            <w:tcBorders/>
            <w:shd w:fill="auto" w:val="clear"/>
            <w:vAlign w:val="center"/>
          </w:tcPr>
          <w:p>
            <w:pPr>
              <w:pStyle w:val="TableContents"/>
              <w:spacing w:before="53" w:after="30"/>
              <w:ind w:left="0" w:right="0" w:hanging="0"/>
              <w:jc w:val="center"/>
              <w:rPr/>
            </w:pPr>
            <w:r>
              <w:rPr/>
              <w:t>​</w:t>
            </w:r>
          </w:p>
        </w:tc>
        <w:tc>
          <w:tcPr>
            <w:tcW w:w="1085"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30,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9215" cy="175260"/>
                      <wp:effectExtent l="0" t="0" r="0" b="0"/>
                      <wp:wrapNone/>
                      <wp:docPr id="473" name="Frame43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73355" cy="175260"/>
                      <wp:effectExtent l="0" t="0" r="0" b="0"/>
                      <wp:wrapNone/>
                      <wp:docPr id="474" name="Frame432"/>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328930" cy="175260"/>
                      <wp:effectExtent l="0" t="0" r="0" b="0"/>
                      <wp:wrapNone/>
                      <wp:docPr id="475" name="Frame433"/>
                      <a:graphic xmlns:a="http://schemas.openxmlformats.org/drawingml/2006/main">
                        <a:graphicData uri="http://schemas.microsoft.com/office/word/2010/wordprocessingShape">
                          <wps:wsp>
                            <wps:cNvSpPr txBox="1"/>
                            <wps:spPr>
                              <a:xfrm>
                                <a:off x="0" y="0"/>
                                <a:ext cx="3289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9215" cy="175260"/>
                      <wp:effectExtent l="0" t="0" r="0" b="0"/>
                      <wp:wrapNone/>
                      <wp:docPr id="476" name="Frame43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3784600" cy="175260"/>
                      <wp:effectExtent l="0" t="0" r="0" b="0"/>
                      <wp:wrapNone/>
                      <wp:docPr id="477" name="Frame435"/>
                      <a:graphic xmlns:a="http://schemas.openxmlformats.org/drawingml/2006/main">
                        <a:graphicData uri="http://schemas.microsoft.com/office/word/2010/wordprocessingShape">
                          <wps:wsp>
                            <wps:cNvSpPr txBox="1"/>
                            <wps:spPr>
                              <a:xfrm>
                                <a:off x="0" y="0"/>
                                <a:ext cx="3784600"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9215" cy="175260"/>
                      <wp:effectExtent l="0" t="0" r="0" b="0"/>
                      <wp:wrapNone/>
                      <wp:docPr id="478" name="Frame43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41935" cy="175260"/>
                      <wp:effectExtent l="0" t="0" r="0" b="0"/>
                      <wp:wrapNone/>
                      <wp:docPr id="479" name="Frame437"/>
                      <a:graphic xmlns:a="http://schemas.openxmlformats.org/drawingml/2006/main">
                        <a:graphicData uri="http://schemas.microsoft.com/office/word/2010/wordprocessingShape">
                          <wps:wsp>
                            <wps:cNvSpPr txBox="1"/>
                            <wps:spPr>
                              <a:xfrm>
                                <a:off x="0" y="0"/>
                                <a:ext cx="241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9215" cy="175260"/>
                      <wp:effectExtent l="0" t="0" r="0" b="0"/>
                      <wp:wrapNone/>
                      <wp:docPr id="480" name="Frame43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551180" cy="175260"/>
                      <wp:effectExtent l="0" t="0" r="0" b="0"/>
                      <wp:wrapNone/>
                      <wp:docPr id="481" name="Frame439"/>
                      <a:graphic xmlns:a="http://schemas.openxmlformats.org/drawingml/2006/main">
                        <a:graphicData uri="http://schemas.microsoft.com/office/word/2010/wordprocessingShape">
                          <wps:wsp>
                            <wps:cNvSpPr txBox="1"/>
                            <wps:spPr>
                              <a:xfrm>
                                <a:off x="0" y="0"/>
                                <a:ext cx="551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9215" cy="175260"/>
                      <wp:effectExtent l="0" t="0" r="0" b="0"/>
                      <wp:wrapNone/>
                      <wp:docPr id="482" name="Frame44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95910" cy="175260"/>
                      <wp:effectExtent l="0" t="0" r="0" b="0"/>
                      <wp:wrapNone/>
                      <wp:docPr id="483" name="Frame441"/>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9215" cy="175260"/>
                      <wp:effectExtent l="0" t="0" r="0" b="0"/>
                      <wp:wrapNone/>
                      <wp:docPr id="484" name="Frame44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88975" cy="175260"/>
                      <wp:effectExtent l="0" t="0" r="0" b="0"/>
                      <wp:wrapNone/>
                      <wp:docPr id="485" name="Frame443"/>
                      <a:graphic xmlns:a="http://schemas.openxmlformats.org/drawingml/2006/main">
                        <a:graphicData uri="http://schemas.microsoft.com/office/word/2010/wordprocessingShape">
                          <wps:wsp>
                            <wps:cNvSpPr txBox="1"/>
                            <wps:spPr>
                              <a:xfrm>
                                <a:off x="0" y="0"/>
                                <a:ext cx="688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9215" cy="175260"/>
                      <wp:effectExtent l="0" t="0" r="0" b="0"/>
                      <wp:wrapNone/>
                      <wp:docPr id="486" name="Frame44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73355" cy="175260"/>
                      <wp:effectExtent l="0" t="0" r="0" b="0"/>
                      <wp:wrapNone/>
                      <wp:docPr id="487" name="Frame445"/>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8"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4.3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9215" cy="175260"/>
                      <wp:effectExtent l="0" t="0" r="0" b="0"/>
                      <wp:wrapNone/>
                      <wp:docPr id="488" name="Frame44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lineRule="auto" w:line="328" w:before="53" w:after="30"/>
              <w:ind w:left="0" w:right="0" w:hanging="0"/>
              <w:rPr/>
            </w:pPr>
            <w:hyperlink r:id="rId47">
              <w:r>
                <w:rPr>
                  <w:rStyle w:val="InternetLink"/>
                  <w:rFonts w:ascii="Arial;Helvetica;sans-serif" w:hAnsi="Arial;Helvetica;sans-serif"/>
                  <w:b w:val="false"/>
                  <w:i w:val="false"/>
                  <w:caps w:val="false"/>
                  <w:smallCaps w:val="false"/>
                  <w:color w:val="0000FF"/>
                  <w:sz w:val="18"/>
                  <w:u w:val="single"/>
                </w:rPr>
                <w:t>Form of American Depositary Receipt evidencing American Depositary Shares (included in Exhibit 4.2).</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9215" cy="175260"/>
                      <wp:effectExtent l="0" t="0" r="0" b="0"/>
                      <wp:wrapNone/>
                      <wp:docPr id="489" name="Frame44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0"/>
              <w:ind w:left="0" w:right="0" w:hanging="0"/>
              <w:jc w:val="center"/>
              <w:rPr>
                <w:rFonts w:ascii="Arial;Helvetica;sans-serif" w:hAnsi="Arial;Helvetica;sans-serif"/>
                <w:sz w:val="18"/>
              </w:rPr>
            </w:pPr>
            <w:r>
              <w:rPr>
                <w:rFonts w:ascii="Arial;Helvetica;sans-serif" w:hAnsi="Arial;Helvetica;sans-serif"/>
                <w:sz w:val="18"/>
              </w:rPr>
              <w:t>S-1/A</w:t>
            </w:r>
          </w:p>
        </w:tc>
        <w:tc>
          <w:tcPr>
            <w:tcW w:w="109" w:type="dxa"/>
            <w:tcBorders/>
            <w:shd w:fill="auto" w:val="clear"/>
            <w:vAlign w:val="center"/>
          </w:tcPr>
          <w:p>
            <w:pPr>
              <w:pStyle w:val="TableContents"/>
              <w:spacing w:before="0" w:after="0"/>
              <w:ind w:left="0" w:right="0" w:hanging="0"/>
              <w:jc w:val="center"/>
              <w:rPr/>
            </w:pPr>
            <w:r>
              <w:rPr/>
              <w:t>​</w:t>
            </w:r>
          </w:p>
        </w:tc>
        <w:tc>
          <w:tcPr>
            <w:tcW w:w="868" w:type="dxa"/>
            <w:tcBorders/>
            <w:shd w:fill="auto" w:val="clear"/>
            <w:vAlign w:val="center"/>
          </w:tcPr>
          <w:p>
            <w:pPr>
              <w:pStyle w:val="TableContents"/>
              <w:spacing w:before="0" w:after="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0"/>
              <w:ind w:left="0" w:right="0" w:hanging="0"/>
              <w:jc w:val="center"/>
              <w:rPr/>
            </w:pPr>
            <w:r>
              <w:rPr/>
              <w:t>​</w:t>
            </w:r>
          </w:p>
        </w:tc>
        <w:tc>
          <w:tcPr>
            <w:tcW w:w="466" w:type="dxa"/>
            <w:tcBorders/>
            <w:shd w:fill="auto" w:val="clear"/>
            <w:vAlign w:val="center"/>
          </w:tcPr>
          <w:p>
            <w:pPr>
              <w:pStyle w:val="TableContents"/>
              <w:spacing w:before="0" w:after="0"/>
              <w:ind w:left="0" w:right="0" w:hanging="0"/>
              <w:jc w:val="center"/>
              <w:rPr>
                <w:rFonts w:ascii="Arial;Helvetica;sans-serif" w:hAnsi="Arial;Helvetica;sans-serif"/>
                <w:sz w:val="18"/>
              </w:rPr>
            </w:pPr>
            <w:r>
              <w:rPr>
                <w:rFonts w:ascii="Arial;Helvetica;sans-serif" w:hAnsi="Arial;Helvetica;sans-serif"/>
                <w:sz w:val="18"/>
              </w:rPr>
              <w:t>4.3</w:t>
            </w:r>
          </w:p>
        </w:tc>
        <w:tc>
          <w:tcPr>
            <w:tcW w:w="109" w:type="dxa"/>
            <w:tcBorders/>
            <w:shd w:fill="auto" w:val="clear"/>
            <w:vAlign w:val="center"/>
          </w:tcPr>
          <w:p>
            <w:pPr>
              <w:pStyle w:val="TableContents"/>
              <w:spacing w:before="0" w:after="0"/>
              <w:ind w:left="0" w:right="0" w:hanging="0"/>
              <w:jc w:val="center"/>
              <w:rPr/>
            </w:pPr>
            <w:r>
              <w:rPr/>
              <w:t>​</w:t>
            </w:r>
          </w:p>
        </w:tc>
        <w:tc>
          <w:tcPr>
            <w:tcW w:w="1085" w:type="dxa"/>
            <w:tcBorders/>
            <w:shd w:fill="auto" w:val="clear"/>
            <w:vAlign w:val="center"/>
          </w:tcPr>
          <w:p>
            <w:pPr>
              <w:pStyle w:val="TableContents"/>
              <w:spacing w:before="0" w:after="0"/>
              <w:ind w:left="0" w:right="0" w:hanging="0"/>
              <w:jc w:val="center"/>
              <w:rPr>
                <w:rFonts w:ascii="Arial;Helvetica;sans-serif" w:hAnsi="Arial;Helvetica;sans-serif"/>
                <w:sz w:val="18"/>
              </w:rPr>
            </w:pPr>
            <w:r>
              <w:rPr>
                <w:rFonts w:ascii="Arial;Helvetica;sans-serif" w:hAnsi="Arial;Helvetica;sans-serif"/>
                <w:sz w:val="18"/>
              </w:rPr>
              <w:t>January 30,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9215" cy="175260"/>
                      <wp:effectExtent l="0" t="0" r="0" b="0"/>
                      <wp:wrapNone/>
                      <wp:docPr id="490" name="Frame44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53" w:after="30"/>
              <w:ind w:left="0" w:right="0" w:hanging="0"/>
              <w:jc w:val="center"/>
              <w:rPr/>
            </w:pPr>
            <w:r>
              <w:rPr/>
              <w:t>​</w:t>
            </w:r>
          </w:p>
        </w:tc>
      </w:tr>
      <w:tr>
        <w:trPr/>
        <w:tc>
          <w:tcPr>
            <w:tcW w:w="518" w:type="dxa"/>
            <w:tcBorders/>
            <w:shd w:fill="auto" w:val="clear"/>
            <w:vAlign w:val="center"/>
          </w:tcPr>
          <w:p>
            <w:pPr>
              <w:pStyle w:val="TableContents"/>
              <w:spacing w:before="53" w:after="3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9215" cy="175260"/>
                      <wp:effectExtent l="0" t="0" r="0" b="0"/>
                      <wp:wrapNone/>
                      <wp:docPr id="491" name="Frame44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lineRule="auto" w:line="328" w:before="53" w:after="30"/>
              <w:ind w:left="0" w:right="0" w:hanging="0"/>
              <w:rPr>
                <w:color w:val="0000FF"/>
              </w:rPr>
            </w:pPr>
            <w:r>
              <w:rPr>
                <w:color w:val="0000FF"/>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9215" cy="175260"/>
                      <wp:effectExtent l="0" t="0" r="0" b="0"/>
                      <wp:wrapNone/>
                      <wp:docPr id="492" name="Frame45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868"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46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085"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9215" cy="175260"/>
                      <wp:effectExtent l="0" t="0" r="0" b="0"/>
                      <wp:wrapNone/>
                      <wp:docPr id="493" name="Frame45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53" w:after="30"/>
              <w:ind w:left="0" w:right="0" w:hanging="0"/>
              <w:jc w:val="center"/>
              <w:rPr/>
            </w:pPr>
            <w:r>
              <w:rPr/>
              <w:t>​</w:t>
            </w:r>
          </w:p>
        </w:tc>
      </w:tr>
      <w:tr>
        <w:trPr/>
        <w:tc>
          <w:tcPr>
            <w:tcW w:w="518"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4.4</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9215" cy="175260"/>
                      <wp:effectExtent l="0" t="0" r="0" b="0"/>
                      <wp:wrapNone/>
                      <wp:docPr id="494" name="Frame45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lineRule="auto" w:line="328" w:before="53" w:after="30"/>
              <w:ind w:left="0" w:right="0" w:hanging="0"/>
              <w:rPr/>
            </w:pPr>
            <w:hyperlink r:id="rId48">
              <w:r>
                <w:rPr>
                  <w:rStyle w:val="InternetLink"/>
                  <w:rFonts w:ascii="Arial;Helvetica;sans-serif" w:hAnsi="Arial;Helvetica;sans-serif"/>
                  <w:b w:val="false"/>
                  <w:i w:val="false"/>
                  <w:caps w:val="false"/>
                  <w:smallCaps w:val="false"/>
                  <w:color w:val="0000FF"/>
                  <w:sz w:val="18"/>
                  <w:u w:val="single"/>
                </w:rPr>
                <w:t>Amended and Restated Investors’ Rights Agreement, dated July 30, 2021, by and between the registrant and the investors named therein.</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9215" cy="175260"/>
                      <wp:effectExtent l="0" t="0" r="0" b="0"/>
                      <wp:wrapNone/>
                      <wp:docPr id="495" name="Frame45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9215" cy="175260"/>
                      <wp:effectExtent l="0" t="0" r="0" b="0"/>
                      <wp:wrapNone/>
                      <wp:docPr id="496" name="Frame45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c>
          <w:tcPr>
            <w:tcW w:w="868" w:type="dxa"/>
            <w:tcBorders/>
            <w:shd w:fill="auto" w:val="clear"/>
            <w:vAlign w:val="center"/>
          </w:tcPr>
          <w:p>
            <w:pPr>
              <w:pStyle w:val="TableContents"/>
              <w:spacing w:before="0" w:after="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9215" cy="175260"/>
                      <wp:effectExtent l="0" t="0" r="0" b="0"/>
                      <wp:wrapNone/>
                      <wp:docPr id="497" name="Frame4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c>
          <w:tcPr>
            <w:tcW w:w="466" w:type="dxa"/>
            <w:tcBorders/>
            <w:shd w:fill="auto" w:val="clear"/>
            <w:vAlign w:val="center"/>
          </w:tcPr>
          <w:p>
            <w:pPr>
              <w:pStyle w:val="TableContents"/>
              <w:spacing w:before="0" w:after="0"/>
              <w:ind w:left="0" w:right="0" w:hanging="0"/>
              <w:jc w:val="center"/>
              <w:rPr>
                <w:rFonts w:ascii="Arial;Helvetica;sans-serif" w:hAnsi="Arial;Helvetica;sans-serif"/>
                <w:sz w:val="18"/>
              </w:rPr>
            </w:pPr>
            <w:r>
              <w:rPr>
                <w:rFonts w:ascii="Arial;Helvetica;sans-serif" w:hAnsi="Arial;Helvetica;sans-serif"/>
                <w:sz w:val="18"/>
              </w:rPr>
              <w:t>4.4</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9215" cy="175260"/>
                      <wp:effectExtent l="0" t="0" r="0" b="0"/>
                      <wp:wrapNone/>
                      <wp:docPr id="498" name="Frame45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c>
          <w:tcPr>
            <w:tcW w:w="1085" w:type="dxa"/>
            <w:tcBorders/>
            <w:shd w:fill="auto" w:val="clear"/>
            <w:vAlign w:val="center"/>
          </w:tcPr>
          <w:p>
            <w:pPr>
              <w:pStyle w:val="TableContents"/>
              <w:spacing w:before="0" w:after="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9215" cy="175260"/>
                      <wp:effectExtent l="0" t="0" r="0" b="0"/>
                      <wp:wrapNone/>
                      <wp:docPr id="499" name="Frame45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53" w:after="30"/>
              <w:ind w:left="0" w:right="0" w:hanging="0"/>
              <w:jc w:val="center"/>
              <w:rPr/>
            </w:pPr>
            <w:r>
              <w:rPr/>
              <w:t>​</w:t>
            </w:r>
          </w:p>
        </w:tc>
      </w:tr>
      <w:tr>
        <w:trPr/>
        <w:tc>
          <w:tcPr>
            <w:tcW w:w="518" w:type="dxa"/>
            <w:tcBorders/>
            <w:shd w:fill="auto" w:val="clear"/>
            <w:vAlign w:val="center"/>
          </w:tcPr>
          <w:p>
            <w:pPr>
              <w:pStyle w:val="TableContents"/>
              <w:spacing w:before="53" w:after="3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9215" cy="175260"/>
                      <wp:effectExtent l="0" t="0" r="0" b="0"/>
                      <wp:wrapNone/>
                      <wp:docPr id="500" name="Frame45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lineRule="auto" w:line="328" w:before="53" w:after="3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9215" cy="175260"/>
                      <wp:effectExtent l="0" t="0" r="0" b="0"/>
                      <wp:wrapNone/>
                      <wp:docPr id="501" name="Frame45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9215" cy="175260"/>
                      <wp:effectExtent l="0" t="0" r="0" b="0"/>
                      <wp:wrapNone/>
                      <wp:docPr id="502" name="Frame46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c>
          <w:tcPr>
            <w:tcW w:w="868"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9215" cy="175260"/>
                      <wp:effectExtent l="0" t="0" r="0" b="0"/>
                      <wp:wrapNone/>
                      <wp:docPr id="503" name="Frame46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c>
          <w:tcPr>
            <w:tcW w:w="46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9215" cy="175260"/>
                      <wp:effectExtent l="0" t="0" r="0" b="0"/>
                      <wp:wrapNone/>
                      <wp:docPr id="504" name="Frame46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c>
          <w:tcPr>
            <w:tcW w:w="1085"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9215" cy="175260"/>
                      <wp:effectExtent l="0" t="0" r="0" b="0"/>
                      <wp:wrapNone/>
                      <wp:docPr id="505" name="Frame46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53" w:after="30"/>
              <w:ind w:left="0" w:right="0" w:hanging="0"/>
              <w:jc w:val="center"/>
              <w:rPr/>
            </w:pPr>
            <w:r>
              <w:rPr/>
              <w:t>​</w:t>
            </w:r>
          </w:p>
        </w:tc>
      </w:tr>
      <w:tr>
        <w:trPr/>
        <w:tc>
          <w:tcPr>
            <w:tcW w:w="518"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4.5</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9215" cy="175260"/>
                      <wp:effectExtent l="0" t="0" r="0" b="0"/>
                      <wp:wrapNone/>
                      <wp:docPr id="506" name="Frame46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lineRule="auto" w:line="328" w:before="53" w:after="30"/>
              <w:ind w:left="0" w:right="0" w:hanging="0"/>
              <w:rPr/>
            </w:pPr>
            <w:hyperlink w:anchor="gpcr-20221231xex4d5.htm">
              <w:r>
                <w:rPr>
                  <w:rStyle w:val="InternetLink"/>
                  <w:rFonts w:ascii="Arial;Helvetica;sans-serif" w:hAnsi="Arial;Helvetica;sans-serif"/>
                  <w:b w:val="false"/>
                  <w:i w:val="false"/>
                  <w:caps w:val="false"/>
                  <w:smallCaps w:val="false"/>
                  <w:color w:val="0000FF"/>
                  <w:sz w:val="18"/>
                  <w:u w:val="single"/>
                </w:rPr>
                <w:t>Description of Securities</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9215" cy="175260"/>
                      <wp:effectExtent l="0" t="0" r="0" b="0"/>
                      <wp:wrapNone/>
                      <wp:docPr id="507" name="Frame46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9215" cy="175260"/>
                      <wp:effectExtent l="0" t="0" r="0" b="0"/>
                      <wp:wrapNone/>
                      <wp:docPr id="508" name="Frame46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c>
          <w:tcPr>
            <w:tcW w:w="868"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9215" cy="175260"/>
                      <wp:effectExtent l="0" t="0" r="0" b="0"/>
                      <wp:wrapNone/>
                      <wp:docPr id="509" name="Frame46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c>
          <w:tcPr>
            <w:tcW w:w="46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9215" cy="175260"/>
                      <wp:effectExtent l="0" t="0" r="0" b="0"/>
                      <wp:wrapNone/>
                      <wp:docPr id="510" name="Frame46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c>
          <w:tcPr>
            <w:tcW w:w="1085"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9215" cy="175260"/>
                      <wp:effectExtent l="0" t="0" r="0" b="0"/>
                      <wp:wrapNone/>
                      <wp:docPr id="511" name="Frame46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53" w:after="3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518" w:type="dxa"/>
            <w:tcBorders/>
            <w:shd w:fill="auto" w:val="clear"/>
            <w:vAlign w:val="center"/>
          </w:tcPr>
          <w:p>
            <w:pPr>
              <w:pStyle w:val="TableContents"/>
              <w:spacing w:before="53" w:after="3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9215" cy="175260"/>
                      <wp:effectExtent l="0" t="0" r="0" b="0"/>
                      <wp:wrapNone/>
                      <wp:docPr id="512" name="Frame47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lineRule="auto" w:line="328" w:before="53" w:after="30"/>
              <w:ind w:left="0" w:right="0" w:hanging="0"/>
              <w:rPr>
                <w:color w:val="0000FF"/>
              </w:rPr>
            </w:pPr>
            <w:r>
              <w:rPr>
                <w:color w:val="0000FF"/>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9215" cy="175260"/>
                      <wp:effectExtent l="0" t="0" r="0" b="0"/>
                      <wp:wrapNone/>
                      <wp:docPr id="513" name="Frame47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9215" cy="175260"/>
                      <wp:effectExtent l="0" t="0" r="0" b="0"/>
                      <wp:wrapNone/>
                      <wp:docPr id="514" name="Frame47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c>
          <w:tcPr>
            <w:tcW w:w="868"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9215" cy="175260"/>
                      <wp:effectExtent l="0" t="0" r="0" b="0"/>
                      <wp:wrapNone/>
                      <wp:docPr id="515" name="Frame47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c>
          <w:tcPr>
            <w:tcW w:w="466"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9215" cy="175260"/>
                      <wp:effectExtent l="0" t="0" r="0" b="0"/>
                      <wp:wrapNone/>
                      <wp:docPr id="516" name="Frame47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c>
          <w:tcPr>
            <w:tcW w:w="1085"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9215" cy="175260"/>
                      <wp:effectExtent l="0" t="0" r="0" b="0"/>
                      <wp:wrapNone/>
                      <wp:docPr id="517" name="Frame47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53" w:after="30"/>
              <w:ind w:left="0" w:right="0" w:hanging="0"/>
              <w:jc w:val="center"/>
              <w:rPr/>
            </w:pPr>
            <w:r>
              <w:rPr/>
              <w:t>​</w:t>
            </w:r>
          </w:p>
        </w:tc>
      </w:tr>
      <w:tr>
        <w:trPr/>
        <w:tc>
          <w:tcPr>
            <w:tcW w:w="518"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9215" cy="175260"/>
                      <wp:effectExtent l="0" t="0" r="0" b="0"/>
                      <wp:wrapNone/>
                      <wp:docPr id="518" name="Frame47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before="53" w:after="30"/>
              <w:ind w:left="0" w:right="0" w:hanging="0"/>
              <w:rPr/>
            </w:pPr>
            <w:hyperlink r:id="rId49">
              <w:r>
                <w:rPr>
                  <w:rStyle w:val="InternetLink"/>
                  <w:rFonts w:ascii="Arial;Helvetica;sans-serif" w:hAnsi="Arial;Helvetica;sans-serif"/>
                  <w:b w:val="false"/>
                  <w:i w:val="false"/>
                  <w:caps w:val="false"/>
                  <w:smallCaps w:val="false"/>
                  <w:color w:val="0000FF"/>
                  <w:sz w:val="18"/>
                  <w:u w:val="single"/>
                </w:rPr>
                <w:t>Form of Indemnification Agreement between the registrant and each of its executive officers and directors.</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9215" cy="175260"/>
                      <wp:effectExtent l="0" t="0" r="0" b="0"/>
                      <wp:wrapNone/>
                      <wp:docPr id="519" name="Frame47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9215" cy="175260"/>
                      <wp:effectExtent l="0" t="0" r="0" b="0"/>
                      <wp:wrapNone/>
                      <wp:docPr id="520" name="Frame47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8"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9215" cy="175260"/>
                      <wp:effectExtent l="0" t="0" r="0" b="0"/>
                      <wp:wrapNone/>
                      <wp:docPr id="521" name="Frame47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9215" cy="175260"/>
                      <wp:effectExtent l="0" t="0" r="0" b="0"/>
                      <wp:wrapNone/>
                      <wp:docPr id="522" name="Frame48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5"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9215" cy="175260"/>
                      <wp:effectExtent l="0" t="0" r="0" b="0"/>
                      <wp:wrapNone/>
                      <wp:docPr id="523" name="Frame48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173355" cy="175260"/>
                      <wp:effectExtent l="0" t="0" r="0" b="0"/>
                      <wp:wrapNone/>
                      <wp:docPr id="524" name="Frame482"/>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328930" cy="175260"/>
                      <wp:effectExtent l="0" t="0" r="0" b="0"/>
                      <wp:wrapNone/>
                      <wp:docPr id="525" name="Frame483"/>
                      <a:graphic xmlns:a="http://schemas.openxmlformats.org/drawingml/2006/main">
                        <a:graphicData uri="http://schemas.microsoft.com/office/word/2010/wordprocessingShape">
                          <wps:wsp>
                            <wps:cNvSpPr txBox="1"/>
                            <wps:spPr>
                              <a:xfrm>
                                <a:off x="0" y="0"/>
                                <a:ext cx="3289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9215" cy="175260"/>
                      <wp:effectExtent l="0" t="0" r="0" b="0"/>
                      <wp:wrapNone/>
                      <wp:docPr id="526" name="Frame48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3784600" cy="175260"/>
                      <wp:effectExtent l="0" t="0" r="0" b="0"/>
                      <wp:wrapNone/>
                      <wp:docPr id="527" name="Frame485"/>
                      <a:graphic xmlns:a="http://schemas.openxmlformats.org/drawingml/2006/main">
                        <a:graphicData uri="http://schemas.microsoft.com/office/word/2010/wordprocessingShape">
                          <wps:wsp>
                            <wps:cNvSpPr txBox="1"/>
                            <wps:spPr>
                              <a:xfrm>
                                <a:off x="0" y="0"/>
                                <a:ext cx="3784600"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9215" cy="175260"/>
                      <wp:effectExtent l="0" t="0" r="0" b="0"/>
                      <wp:wrapNone/>
                      <wp:docPr id="528" name="Frame48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41935" cy="175260"/>
                      <wp:effectExtent l="0" t="0" r="0" b="0"/>
                      <wp:wrapNone/>
                      <wp:docPr id="529" name="Frame487"/>
                      <a:graphic xmlns:a="http://schemas.openxmlformats.org/drawingml/2006/main">
                        <a:graphicData uri="http://schemas.microsoft.com/office/word/2010/wordprocessingShape">
                          <wps:wsp>
                            <wps:cNvSpPr txBox="1"/>
                            <wps:spPr>
                              <a:xfrm>
                                <a:off x="0" y="0"/>
                                <a:ext cx="241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9215" cy="175260"/>
                      <wp:effectExtent l="0" t="0" r="0" b="0"/>
                      <wp:wrapNone/>
                      <wp:docPr id="530" name="Frame48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551180" cy="175260"/>
                      <wp:effectExtent l="0" t="0" r="0" b="0"/>
                      <wp:wrapNone/>
                      <wp:docPr id="531" name="Frame489"/>
                      <a:graphic xmlns:a="http://schemas.openxmlformats.org/drawingml/2006/main">
                        <a:graphicData uri="http://schemas.microsoft.com/office/word/2010/wordprocessingShape">
                          <wps:wsp>
                            <wps:cNvSpPr txBox="1"/>
                            <wps:spPr>
                              <a:xfrm>
                                <a:off x="0" y="0"/>
                                <a:ext cx="551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9215" cy="175260"/>
                      <wp:effectExtent l="0" t="0" r="0" b="0"/>
                      <wp:wrapNone/>
                      <wp:docPr id="532" name="Frame49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95910" cy="175260"/>
                      <wp:effectExtent l="0" t="0" r="0" b="0"/>
                      <wp:wrapNone/>
                      <wp:docPr id="533" name="Frame491"/>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9215" cy="175260"/>
                      <wp:effectExtent l="0" t="0" r="0" b="0"/>
                      <wp:wrapNone/>
                      <wp:docPr id="534" name="Frame49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88975" cy="175260"/>
                      <wp:effectExtent l="0" t="0" r="0" b="0"/>
                      <wp:wrapNone/>
                      <wp:docPr id="535" name="Frame493"/>
                      <a:graphic xmlns:a="http://schemas.openxmlformats.org/drawingml/2006/main">
                        <a:graphicData uri="http://schemas.microsoft.com/office/word/2010/wordprocessingShape">
                          <wps:wsp>
                            <wps:cNvSpPr txBox="1"/>
                            <wps:spPr>
                              <a:xfrm>
                                <a:off x="0" y="0"/>
                                <a:ext cx="688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9215" cy="175260"/>
                      <wp:effectExtent l="0" t="0" r="0" b="0"/>
                      <wp:wrapNone/>
                      <wp:docPr id="536" name="Frame49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73355" cy="175260"/>
                      <wp:effectExtent l="0" t="0" r="0" b="0"/>
                      <wp:wrapNone/>
                      <wp:docPr id="537" name="Frame495"/>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8"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10.2+</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9215" cy="175260"/>
                      <wp:effectExtent l="0" t="0" r="0" b="0"/>
                      <wp:wrapNone/>
                      <wp:docPr id="538" name="Frame49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before="53" w:after="30"/>
              <w:ind w:left="0" w:right="0" w:hanging="0"/>
              <w:rPr/>
            </w:pPr>
            <w:hyperlink r:id="rId50">
              <w:r>
                <w:rPr>
                  <w:rStyle w:val="InternetLink"/>
                  <w:rFonts w:ascii="Arial;Helvetica;sans-serif" w:hAnsi="Arial;Helvetica;sans-serif"/>
                  <w:b w:val="false"/>
                  <w:i w:val="false"/>
                  <w:caps w:val="false"/>
                  <w:smallCaps w:val="false"/>
                  <w:color w:val="0000FF"/>
                  <w:sz w:val="18"/>
                  <w:u w:val="single"/>
                </w:rPr>
                <w:t>ShouTi Inc. 2019 Equity Incentive Plan, as amended (including Forms of Option Grant Notice, Option Agreement and Notice of Exercise thereunder).</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9215" cy="175260"/>
                      <wp:effectExtent l="0" t="0" r="0" b="0"/>
                      <wp:wrapNone/>
                      <wp:docPr id="539" name="Frame49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9215" cy="208915"/>
                      <wp:effectExtent l="0" t="0" r="0" b="0"/>
                      <wp:wrapNone/>
                      <wp:docPr id="540" name="Frame49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68"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9215" cy="208915"/>
                      <wp:effectExtent l="0" t="0" r="0" b="0"/>
                      <wp:wrapNone/>
                      <wp:docPr id="541" name="Frame499"/>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466"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10.2</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9215" cy="208915"/>
                      <wp:effectExtent l="0" t="0" r="0" b="0"/>
                      <wp:wrapNone/>
                      <wp:docPr id="542" name="Frame500"/>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1085"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9215" cy="175260"/>
                      <wp:effectExtent l="0" t="0" r="0" b="0"/>
                      <wp:wrapNone/>
                      <wp:docPr id="543" name="Frame50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73355" cy="175260"/>
                      <wp:effectExtent l="0" t="0" r="0" b="0"/>
                      <wp:wrapNone/>
                      <wp:docPr id="544" name="Frame502"/>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r>
      <w:tr>
        <w:trPr/>
        <w:tc>
          <w:tcPr>
            <w:tcW w:w="5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328930" cy="175260"/>
                      <wp:effectExtent l="0" t="0" r="0" b="0"/>
                      <wp:wrapNone/>
                      <wp:docPr id="545" name="Frame503"/>
                      <a:graphic xmlns:a="http://schemas.openxmlformats.org/drawingml/2006/main">
                        <a:graphicData uri="http://schemas.microsoft.com/office/word/2010/wordprocessingShape">
                          <wps:wsp>
                            <wps:cNvSpPr txBox="1"/>
                            <wps:spPr>
                              <a:xfrm>
                                <a:off x="0" y="0"/>
                                <a:ext cx="3289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9215" cy="175260"/>
                      <wp:effectExtent l="0" t="0" r="0" b="0"/>
                      <wp:wrapNone/>
                      <wp:docPr id="546" name="Frame50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3784600" cy="175260"/>
                      <wp:effectExtent l="0" t="0" r="0" b="0"/>
                      <wp:wrapNone/>
                      <wp:docPr id="547" name="Frame505"/>
                      <a:graphic xmlns:a="http://schemas.openxmlformats.org/drawingml/2006/main">
                        <a:graphicData uri="http://schemas.microsoft.com/office/word/2010/wordprocessingShape">
                          <wps:wsp>
                            <wps:cNvSpPr txBox="1"/>
                            <wps:spPr>
                              <a:xfrm>
                                <a:off x="0" y="0"/>
                                <a:ext cx="3784600"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9215" cy="175260"/>
                      <wp:effectExtent l="0" t="0" r="0" b="0"/>
                      <wp:wrapNone/>
                      <wp:docPr id="548" name="Frame50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41935" cy="175260"/>
                      <wp:effectExtent l="0" t="0" r="0" b="0"/>
                      <wp:wrapNone/>
                      <wp:docPr id="549" name="Frame507"/>
                      <a:graphic xmlns:a="http://schemas.openxmlformats.org/drawingml/2006/main">
                        <a:graphicData uri="http://schemas.microsoft.com/office/word/2010/wordprocessingShape">
                          <wps:wsp>
                            <wps:cNvSpPr txBox="1"/>
                            <wps:spPr>
                              <a:xfrm>
                                <a:off x="0" y="0"/>
                                <a:ext cx="241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9215" cy="175260"/>
                      <wp:effectExtent l="0" t="0" r="0" b="0"/>
                      <wp:wrapNone/>
                      <wp:docPr id="550" name="Frame50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551180" cy="175260"/>
                      <wp:effectExtent l="0" t="0" r="0" b="0"/>
                      <wp:wrapNone/>
                      <wp:docPr id="551" name="Frame509"/>
                      <a:graphic xmlns:a="http://schemas.openxmlformats.org/drawingml/2006/main">
                        <a:graphicData uri="http://schemas.microsoft.com/office/word/2010/wordprocessingShape">
                          <wps:wsp>
                            <wps:cNvSpPr txBox="1"/>
                            <wps:spPr>
                              <a:xfrm>
                                <a:off x="0" y="0"/>
                                <a:ext cx="551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9215" cy="175260"/>
                      <wp:effectExtent l="0" t="0" r="0" b="0"/>
                      <wp:wrapNone/>
                      <wp:docPr id="552" name="Frame51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95910" cy="175260"/>
                      <wp:effectExtent l="0" t="0" r="0" b="0"/>
                      <wp:wrapNone/>
                      <wp:docPr id="553" name="Frame511"/>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9215" cy="175260"/>
                      <wp:effectExtent l="0" t="0" r="0" b="0"/>
                      <wp:wrapNone/>
                      <wp:docPr id="554" name="Frame51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88975" cy="175260"/>
                      <wp:effectExtent l="0" t="0" r="0" b="0"/>
                      <wp:wrapNone/>
                      <wp:docPr id="555" name="Frame513"/>
                      <a:graphic xmlns:a="http://schemas.openxmlformats.org/drawingml/2006/main">
                        <a:graphicData uri="http://schemas.microsoft.com/office/word/2010/wordprocessingShape">
                          <wps:wsp>
                            <wps:cNvSpPr txBox="1"/>
                            <wps:spPr>
                              <a:xfrm>
                                <a:off x="0" y="0"/>
                                <a:ext cx="688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9215" cy="175260"/>
                      <wp:effectExtent l="0" t="0" r="0" b="0"/>
                      <wp:wrapNone/>
                      <wp:docPr id="556" name="Frame51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173355" cy="175260"/>
                      <wp:effectExtent l="0" t="0" r="0" b="0"/>
                      <wp:wrapNone/>
                      <wp:docPr id="557" name="Frame515"/>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8"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9215" cy="175260"/>
                      <wp:effectExtent l="0" t="0" r="0" b="0"/>
                      <wp:wrapNone/>
                      <wp:docPr id="558" name="Frame51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before="53" w:after="30"/>
              <w:ind w:left="0" w:right="0" w:hanging="0"/>
              <w:rPr/>
            </w:pPr>
            <w:hyperlink w:anchor="gpcr-20221231xex10d3.htm">
              <w:r>
                <w:rPr>
                  <w:rStyle w:val="InternetLink"/>
                  <w:rFonts w:ascii="Arial;Helvetica;sans-serif" w:hAnsi="Arial;Helvetica;sans-serif"/>
                  <w:b w:val="false"/>
                  <w:i w:val="false"/>
                  <w:caps w:val="false"/>
                  <w:smallCaps w:val="false"/>
                  <w:color w:val="0000FF"/>
                  <w:sz w:val="18"/>
                  <w:u w:val="single"/>
                </w:rPr>
                <w:t>Structure Therapeutics Inc. 2023 Equity Incentive Plan.</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9215" cy="175260"/>
                      <wp:effectExtent l="0" t="0" r="0" b="0"/>
                      <wp:wrapNone/>
                      <wp:docPr id="559" name="Frame51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9215" cy="208915"/>
                      <wp:effectExtent l="0" t="0" r="0" b="0"/>
                      <wp:wrapNone/>
                      <wp:docPr id="560" name="Frame51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68"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9215" cy="208915"/>
                      <wp:effectExtent l="0" t="0" r="0" b="0"/>
                      <wp:wrapNone/>
                      <wp:docPr id="561" name="Frame519"/>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9215" cy="208915"/>
                      <wp:effectExtent l="0" t="0" r="0" b="0"/>
                      <wp:wrapNone/>
                      <wp:docPr id="562" name="Frame520"/>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1085"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9215" cy="175260"/>
                      <wp:effectExtent l="0" t="0" r="0" b="0"/>
                      <wp:wrapNone/>
                      <wp:docPr id="563" name="Frame52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5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328930" cy="175260"/>
                      <wp:effectExtent l="0" t="0" r="0" b="0"/>
                      <wp:wrapNone/>
                      <wp:docPr id="564" name="Frame522"/>
                      <a:graphic xmlns:a="http://schemas.openxmlformats.org/drawingml/2006/main">
                        <a:graphicData uri="http://schemas.microsoft.com/office/word/2010/wordprocessingShape">
                          <wps:wsp>
                            <wps:cNvSpPr txBox="1"/>
                            <wps:spPr>
                              <a:xfrm>
                                <a:off x="0" y="0"/>
                                <a:ext cx="3289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9215" cy="175260"/>
                      <wp:effectExtent l="0" t="0" r="0" b="0"/>
                      <wp:wrapNone/>
                      <wp:docPr id="565" name="Frame52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3784600" cy="175260"/>
                      <wp:effectExtent l="0" t="0" r="0" b="0"/>
                      <wp:wrapNone/>
                      <wp:docPr id="566" name="Frame524"/>
                      <a:graphic xmlns:a="http://schemas.openxmlformats.org/drawingml/2006/main">
                        <a:graphicData uri="http://schemas.microsoft.com/office/word/2010/wordprocessingShape">
                          <wps:wsp>
                            <wps:cNvSpPr txBox="1"/>
                            <wps:spPr>
                              <a:xfrm>
                                <a:off x="0" y="0"/>
                                <a:ext cx="3784600"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9215" cy="175260"/>
                      <wp:effectExtent l="0" t="0" r="0" b="0"/>
                      <wp:wrapNone/>
                      <wp:docPr id="567" name="Frame52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41935" cy="175260"/>
                      <wp:effectExtent l="0" t="0" r="0" b="0"/>
                      <wp:wrapNone/>
                      <wp:docPr id="568" name="Frame526"/>
                      <a:graphic xmlns:a="http://schemas.openxmlformats.org/drawingml/2006/main">
                        <a:graphicData uri="http://schemas.microsoft.com/office/word/2010/wordprocessingShape">
                          <wps:wsp>
                            <wps:cNvSpPr txBox="1"/>
                            <wps:spPr>
                              <a:xfrm>
                                <a:off x="0" y="0"/>
                                <a:ext cx="241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9215" cy="175260"/>
                      <wp:effectExtent l="0" t="0" r="0" b="0"/>
                      <wp:wrapNone/>
                      <wp:docPr id="569" name="Frame52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551180" cy="175260"/>
                      <wp:effectExtent l="0" t="0" r="0" b="0"/>
                      <wp:wrapNone/>
                      <wp:docPr id="570" name="Frame528"/>
                      <a:graphic xmlns:a="http://schemas.openxmlformats.org/drawingml/2006/main">
                        <a:graphicData uri="http://schemas.microsoft.com/office/word/2010/wordprocessingShape">
                          <wps:wsp>
                            <wps:cNvSpPr txBox="1"/>
                            <wps:spPr>
                              <a:xfrm>
                                <a:off x="0" y="0"/>
                                <a:ext cx="551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9215" cy="175260"/>
                      <wp:effectExtent l="0" t="0" r="0" b="0"/>
                      <wp:wrapNone/>
                      <wp:docPr id="571" name="Frame52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295910" cy="175260"/>
                      <wp:effectExtent l="0" t="0" r="0" b="0"/>
                      <wp:wrapNone/>
                      <wp:docPr id="572" name="Frame530"/>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9215" cy="175260"/>
                      <wp:effectExtent l="0" t="0" r="0" b="0"/>
                      <wp:wrapNone/>
                      <wp:docPr id="573" name="Frame53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88975" cy="175260"/>
                      <wp:effectExtent l="0" t="0" r="0" b="0"/>
                      <wp:wrapNone/>
                      <wp:docPr id="574" name="Frame532"/>
                      <a:graphic xmlns:a="http://schemas.openxmlformats.org/drawingml/2006/main">
                        <a:graphicData uri="http://schemas.microsoft.com/office/word/2010/wordprocessingShape">
                          <wps:wsp>
                            <wps:cNvSpPr txBox="1"/>
                            <wps:spPr>
                              <a:xfrm>
                                <a:off x="0" y="0"/>
                                <a:ext cx="688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9215" cy="175260"/>
                      <wp:effectExtent l="0" t="0" r="0" b="0"/>
                      <wp:wrapNone/>
                      <wp:docPr id="575" name="Frame53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173355" cy="175260"/>
                      <wp:effectExtent l="0" t="0" r="0" b="0"/>
                      <wp:wrapNone/>
                      <wp:docPr id="576" name="Frame534"/>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18"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10.4+</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9215" cy="175260"/>
                      <wp:effectExtent l="0" t="0" r="0" b="0"/>
                      <wp:wrapNone/>
                      <wp:docPr id="577" name="Frame53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3784600" cy="655955"/>
                      <wp:effectExtent l="0" t="0" r="0" b="0"/>
                      <wp:wrapNone/>
                      <wp:docPr id="578" name="Frame536"/>
                      <a:graphic xmlns:a="http://schemas.openxmlformats.org/drawingml/2006/main">
                        <a:graphicData uri="http://schemas.microsoft.com/office/word/2010/wordprocessingShape">
                          <wps:wsp>
                            <wps:cNvSpPr txBox="1"/>
                            <wps:spPr>
                              <a:xfrm>
                                <a:off x="0" y="0"/>
                                <a:ext cx="3784600" cy="655955"/>
                              </a:xfrm>
                              <a:prstGeom prst="rect"/>
                            </wps:spPr>
                            <wps:txbx>
                              <w:txbxContent>
                                <w:p>
                                  <w:pPr>
                                    <w:pStyle w:val="TableContents"/>
                                    <w:spacing w:before="53" w:after="30"/>
                                    <w:ind w:left="0" w:right="0" w:hanging="0"/>
                                    <w:rPr/>
                                  </w:pPr>
                                  <w:hyperlink r:id="rId51">
                                    <w:r>
                                      <w:rPr>
                                        <w:rStyle w:val="InternetLink"/>
                                        <w:rFonts w:ascii="Arial;Helvetica;sans-serif" w:hAnsi="Arial;Helvetica;sans-serif"/>
                                        <w:b w:val="false"/>
                                        <w:i w:val="false"/>
                                        <w:caps w:val="false"/>
                                        <w:smallCaps w:val="false"/>
                                        <w:color w:val="0000FF"/>
                                        <w:sz w:val="18"/>
                                        <w:u w:val="single"/>
                                      </w:rPr>
                                      <w:t>Form of Share Option Grant Notice, Share Option Agreement and Notice of Exercise (US) under the Structure Therapeutics Inc. 2023 Equity Incentive Plan.</w:t>
                                    </w:r>
                                  </w:hyperlink>
                                </w:p>
                                <w:p>
                                  <w:pPr>
                                    <w:pStyle w:val="TableContents"/>
                                    <w:spacing w:before="53" w:after="3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51.6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rPr/>
                            </w:pPr>
                            <w:hyperlink r:id="rId52">
                              <w:r>
                                <w:rPr>
                                  <w:rStyle w:val="InternetLink"/>
                                  <w:rFonts w:ascii="Arial;Helvetica;sans-serif" w:hAnsi="Arial;Helvetica;sans-serif"/>
                                  <w:b w:val="false"/>
                                  <w:i w:val="false"/>
                                  <w:caps w:val="false"/>
                                  <w:smallCaps w:val="false"/>
                                  <w:color w:val="0000FF"/>
                                  <w:sz w:val="18"/>
                                  <w:u w:val="single"/>
                                </w:rPr>
                                <w:t>Form of Share Option Grant Notice, Share Option Agreement and Notice of Exercise (US) under the Structure Therapeutics Inc. 2023 Equity Incentive Plan.</w:t>
                              </w:r>
                            </w:hyperlink>
                          </w:p>
                          <w:p>
                            <w:pPr>
                              <w:pStyle w:val="TableContents"/>
                              <w:spacing w:before="53" w:after="3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9215" cy="175260"/>
                      <wp:effectExtent l="0" t="0" r="0" b="0"/>
                      <wp:wrapNone/>
                      <wp:docPr id="579" name="Frame53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9215" cy="208915"/>
                      <wp:effectExtent l="0" t="0" r="0" b="0"/>
                      <wp:wrapNone/>
                      <wp:docPr id="580" name="Frame53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68"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9215" cy="208915"/>
                      <wp:effectExtent l="0" t="0" r="0" b="0"/>
                      <wp:wrapNone/>
                      <wp:docPr id="581" name="Frame539"/>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466"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10.4</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9215" cy="208915"/>
                      <wp:effectExtent l="0" t="0" r="0" b="0"/>
                      <wp:wrapNone/>
                      <wp:docPr id="582" name="Frame540"/>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1085"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9215" cy="175260"/>
                      <wp:effectExtent l="0" t="0" r="0" b="0"/>
                      <wp:wrapNone/>
                      <wp:docPr id="583" name="Frame54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173355" cy="175260"/>
                      <wp:effectExtent l="0" t="0" r="0" b="0"/>
                      <wp:wrapNone/>
                      <wp:docPr id="584" name="Frame542"/>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r>
      <w:tr>
        <w:trPr/>
        <w:tc>
          <w:tcPr>
            <w:tcW w:w="5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328930" cy="175260"/>
                      <wp:effectExtent l="0" t="0" r="0" b="0"/>
                      <wp:wrapNone/>
                      <wp:docPr id="585" name="Frame543"/>
                      <a:graphic xmlns:a="http://schemas.openxmlformats.org/drawingml/2006/main">
                        <a:graphicData uri="http://schemas.microsoft.com/office/word/2010/wordprocessingShape">
                          <wps:wsp>
                            <wps:cNvSpPr txBox="1"/>
                            <wps:spPr>
                              <a:xfrm>
                                <a:off x="0" y="0"/>
                                <a:ext cx="3289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9215" cy="175260"/>
                      <wp:effectExtent l="0" t="0" r="0" b="0"/>
                      <wp:wrapNone/>
                      <wp:docPr id="586" name="Frame54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3784600" cy="175260"/>
                      <wp:effectExtent l="0" t="0" r="0" b="0"/>
                      <wp:wrapNone/>
                      <wp:docPr id="587" name="Frame545"/>
                      <a:graphic xmlns:a="http://schemas.openxmlformats.org/drawingml/2006/main">
                        <a:graphicData uri="http://schemas.microsoft.com/office/word/2010/wordprocessingShape">
                          <wps:wsp>
                            <wps:cNvSpPr txBox="1"/>
                            <wps:spPr>
                              <a:xfrm>
                                <a:off x="0" y="0"/>
                                <a:ext cx="3784600"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9215" cy="175260"/>
                      <wp:effectExtent l="0" t="0" r="0" b="0"/>
                      <wp:wrapNone/>
                      <wp:docPr id="588" name="Frame54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41935" cy="175260"/>
                      <wp:effectExtent l="0" t="0" r="0" b="0"/>
                      <wp:wrapNone/>
                      <wp:docPr id="589" name="Frame547"/>
                      <a:graphic xmlns:a="http://schemas.openxmlformats.org/drawingml/2006/main">
                        <a:graphicData uri="http://schemas.microsoft.com/office/word/2010/wordprocessingShape">
                          <wps:wsp>
                            <wps:cNvSpPr txBox="1"/>
                            <wps:spPr>
                              <a:xfrm>
                                <a:off x="0" y="0"/>
                                <a:ext cx="241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9215" cy="175260"/>
                      <wp:effectExtent l="0" t="0" r="0" b="0"/>
                      <wp:wrapNone/>
                      <wp:docPr id="590" name="Frame54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551180" cy="175260"/>
                      <wp:effectExtent l="0" t="0" r="0" b="0"/>
                      <wp:wrapNone/>
                      <wp:docPr id="591" name="Frame549"/>
                      <a:graphic xmlns:a="http://schemas.openxmlformats.org/drawingml/2006/main">
                        <a:graphicData uri="http://schemas.microsoft.com/office/word/2010/wordprocessingShape">
                          <wps:wsp>
                            <wps:cNvSpPr txBox="1"/>
                            <wps:spPr>
                              <a:xfrm>
                                <a:off x="0" y="0"/>
                                <a:ext cx="551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9215" cy="175260"/>
                      <wp:effectExtent l="0" t="0" r="0" b="0"/>
                      <wp:wrapNone/>
                      <wp:docPr id="592" name="Frame55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295910" cy="175260"/>
                      <wp:effectExtent l="0" t="0" r="0" b="0"/>
                      <wp:wrapNone/>
                      <wp:docPr id="593" name="Frame551"/>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9215" cy="175260"/>
                      <wp:effectExtent l="0" t="0" r="0" b="0"/>
                      <wp:wrapNone/>
                      <wp:docPr id="594" name="Frame55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88975" cy="175260"/>
                      <wp:effectExtent l="0" t="0" r="0" b="0"/>
                      <wp:wrapNone/>
                      <wp:docPr id="595" name="Frame553"/>
                      <a:graphic xmlns:a="http://schemas.openxmlformats.org/drawingml/2006/main">
                        <a:graphicData uri="http://schemas.microsoft.com/office/word/2010/wordprocessingShape">
                          <wps:wsp>
                            <wps:cNvSpPr txBox="1"/>
                            <wps:spPr>
                              <a:xfrm>
                                <a:off x="0" y="0"/>
                                <a:ext cx="688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9215" cy="175260"/>
                      <wp:effectExtent l="0" t="0" r="0" b="0"/>
                      <wp:wrapNone/>
                      <wp:docPr id="596" name="Frame55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173355" cy="175260"/>
                      <wp:effectExtent l="0" t="0" r="0" b="0"/>
                      <wp:wrapNone/>
                      <wp:docPr id="597" name="Frame555"/>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r>
      <w:tr>
        <w:trPr/>
        <w:tc>
          <w:tcPr>
            <w:tcW w:w="518"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10.5+</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9215" cy="175260"/>
                      <wp:effectExtent l="0" t="0" r="0" b="0"/>
                      <wp:wrapNone/>
                      <wp:docPr id="598" name="Frame55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before="53" w:after="30"/>
              <w:ind w:left="0" w:right="0" w:hanging="0"/>
              <w:rPr/>
            </w:pPr>
            <w:hyperlink r:id="rId53">
              <w:r>
                <w:rPr>
                  <w:rStyle w:val="InternetLink"/>
                  <w:rFonts w:ascii="Arial;Helvetica;sans-serif" w:hAnsi="Arial;Helvetica;sans-serif"/>
                  <w:b w:val="false"/>
                  <w:i w:val="false"/>
                  <w:caps w:val="false"/>
                  <w:smallCaps w:val="false"/>
                  <w:color w:val="0000FF"/>
                  <w:sz w:val="18"/>
                  <w:u w:val="single"/>
                </w:rPr>
                <w:t>Form of Share Option Grant Notice, Share Option Agreement and Notice of Exercise (Non-Employee Director) under the Structure Therapeutics Inc. 2023 Equity Incentive Plan.</w:t>
              </w:r>
            </w:hyperlink>
          </w:p>
          <w:p>
            <w:pPr>
              <w:pStyle w:val="TableContents"/>
              <w:spacing w:lineRule="auto" w:line="328" w:before="53" w:after="30"/>
              <w:ind w:left="0" w:right="0" w:hanging="0"/>
              <w:rPr>
                <w:color w:val="0000FF"/>
              </w:rPr>
            </w:pPr>
            <w:r>
              <w:rPr>
                <w:color w:val="0000FF"/>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9215" cy="175260"/>
                      <wp:effectExtent l="0" t="0" r="0" b="0"/>
                      <wp:wrapNone/>
                      <wp:docPr id="599" name="Frame55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9215" cy="208915"/>
                      <wp:effectExtent l="0" t="0" r="0" b="0"/>
                      <wp:wrapNone/>
                      <wp:docPr id="600" name="Frame55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68"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9215" cy="208915"/>
                      <wp:effectExtent l="0" t="0" r="0" b="0"/>
                      <wp:wrapNone/>
                      <wp:docPr id="601" name="Frame559"/>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466"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10.5</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9215" cy="208915"/>
                      <wp:effectExtent l="0" t="0" r="0" b="0"/>
                      <wp:wrapNone/>
                      <wp:docPr id="602" name="Frame560"/>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1085"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69215" cy="175260"/>
                      <wp:effectExtent l="0" t="0" r="0" b="0"/>
                      <wp:wrapNone/>
                      <wp:docPr id="603" name="Frame56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173355" cy="175260"/>
                      <wp:effectExtent l="0" t="0" r="0" b="0"/>
                      <wp:wrapNone/>
                      <wp:docPr id="604" name="Frame562"/>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r>
      <w:tr>
        <w:trPr/>
        <w:tc>
          <w:tcPr>
            <w:tcW w:w="5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328930" cy="175260"/>
                      <wp:effectExtent l="0" t="0" r="0" b="0"/>
                      <wp:wrapNone/>
                      <wp:docPr id="605" name="Frame563"/>
                      <a:graphic xmlns:a="http://schemas.openxmlformats.org/drawingml/2006/main">
                        <a:graphicData uri="http://schemas.microsoft.com/office/word/2010/wordprocessingShape">
                          <wps:wsp>
                            <wps:cNvSpPr txBox="1"/>
                            <wps:spPr>
                              <a:xfrm>
                                <a:off x="0" y="0"/>
                                <a:ext cx="3289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9215" cy="175260"/>
                      <wp:effectExtent l="0" t="0" r="0" b="0"/>
                      <wp:wrapNone/>
                      <wp:docPr id="606" name="Frame56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3784600" cy="175260"/>
                      <wp:effectExtent l="0" t="0" r="0" b="0"/>
                      <wp:wrapNone/>
                      <wp:docPr id="607" name="Frame565"/>
                      <a:graphic xmlns:a="http://schemas.openxmlformats.org/drawingml/2006/main">
                        <a:graphicData uri="http://schemas.microsoft.com/office/word/2010/wordprocessingShape">
                          <wps:wsp>
                            <wps:cNvSpPr txBox="1"/>
                            <wps:spPr>
                              <a:xfrm>
                                <a:off x="0" y="0"/>
                                <a:ext cx="3784600"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9215" cy="175260"/>
                      <wp:effectExtent l="0" t="0" r="0" b="0"/>
                      <wp:wrapNone/>
                      <wp:docPr id="608" name="Frame56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241935" cy="175260"/>
                      <wp:effectExtent l="0" t="0" r="0" b="0"/>
                      <wp:wrapNone/>
                      <wp:docPr id="609" name="Frame567"/>
                      <a:graphic xmlns:a="http://schemas.openxmlformats.org/drawingml/2006/main">
                        <a:graphicData uri="http://schemas.microsoft.com/office/word/2010/wordprocessingShape">
                          <wps:wsp>
                            <wps:cNvSpPr txBox="1"/>
                            <wps:spPr>
                              <a:xfrm>
                                <a:off x="0" y="0"/>
                                <a:ext cx="241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69215" cy="175260"/>
                      <wp:effectExtent l="0" t="0" r="0" b="0"/>
                      <wp:wrapNone/>
                      <wp:docPr id="610" name="Frame56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551180" cy="175260"/>
                      <wp:effectExtent l="0" t="0" r="0" b="0"/>
                      <wp:wrapNone/>
                      <wp:docPr id="611" name="Frame569"/>
                      <a:graphic xmlns:a="http://schemas.openxmlformats.org/drawingml/2006/main">
                        <a:graphicData uri="http://schemas.microsoft.com/office/word/2010/wordprocessingShape">
                          <wps:wsp>
                            <wps:cNvSpPr txBox="1"/>
                            <wps:spPr>
                              <a:xfrm>
                                <a:off x="0" y="0"/>
                                <a:ext cx="551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69215" cy="175260"/>
                      <wp:effectExtent l="0" t="0" r="0" b="0"/>
                      <wp:wrapNone/>
                      <wp:docPr id="612" name="Frame57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95910" cy="175260"/>
                      <wp:effectExtent l="0" t="0" r="0" b="0"/>
                      <wp:wrapNone/>
                      <wp:docPr id="613" name="Frame571"/>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9215" cy="175260"/>
                      <wp:effectExtent l="0" t="0" r="0" b="0"/>
                      <wp:wrapNone/>
                      <wp:docPr id="614" name="Frame57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688975" cy="175260"/>
                      <wp:effectExtent l="0" t="0" r="0" b="0"/>
                      <wp:wrapNone/>
                      <wp:docPr id="615" name="Frame573"/>
                      <a:graphic xmlns:a="http://schemas.openxmlformats.org/drawingml/2006/main">
                        <a:graphicData uri="http://schemas.microsoft.com/office/word/2010/wordprocessingShape">
                          <wps:wsp>
                            <wps:cNvSpPr txBox="1"/>
                            <wps:spPr>
                              <a:xfrm>
                                <a:off x="0" y="0"/>
                                <a:ext cx="688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69215" cy="175260"/>
                      <wp:effectExtent l="0" t="0" r="0" b="0"/>
                      <wp:wrapNone/>
                      <wp:docPr id="616" name="Frame57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173355" cy="175260"/>
                      <wp:effectExtent l="0" t="0" r="0" b="0"/>
                      <wp:wrapNone/>
                      <wp:docPr id="617" name="Frame575"/>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r>
      <w:tr>
        <w:trPr/>
        <w:tc>
          <w:tcPr>
            <w:tcW w:w="518"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10.6+</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69215" cy="175260"/>
                      <wp:effectExtent l="0" t="0" r="0" b="0"/>
                      <wp:wrapNone/>
                      <wp:docPr id="618" name="Frame57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before="53" w:after="30"/>
              <w:ind w:left="0" w:right="0" w:hanging="0"/>
              <w:rPr/>
            </w:pPr>
            <w:hyperlink r:id="rId54">
              <w:r>
                <w:rPr>
                  <w:rStyle w:val="InternetLink"/>
                  <w:rFonts w:ascii="Arial;Helvetica;sans-serif" w:hAnsi="Arial;Helvetica;sans-serif"/>
                  <w:b w:val="false"/>
                  <w:i w:val="false"/>
                  <w:caps w:val="false"/>
                  <w:smallCaps w:val="false"/>
                  <w:color w:val="0000FF"/>
                  <w:sz w:val="18"/>
                  <w:u w:val="single"/>
                </w:rPr>
                <w:t>Form of Share Option Grant Notice, Share Option Agreement and Notice of Exercise (PRC) under the Structure Therapeutics Inc. 2023 Equity Incentive Plan.</w:t>
              </w:r>
            </w:hyperlink>
          </w:p>
          <w:p>
            <w:pPr>
              <w:pStyle w:val="TableContents"/>
              <w:spacing w:lineRule="auto" w:line="328" w:before="53" w:after="30"/>
              <w:ind w:left="0" w:right="0" w:hanging="0"/>
              <w:rPr>
                <w:color w:val="0000FF"/>
              </w:rPr>
            </w:pPr>
            <w:r>
              <w:rPr>
                <w:color w:val="0000FF"/>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69215" cy="175260"/>
                      <wp:effectExtent l="0" t="0" r="0" b="0"/>
                      <wp:wrapNone/>
                      <wp:docPr id="619" name="Frame57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9215" cy="208915"/>
                      <wp:effectExtent l="0" t="0" r="0" b="0"/>
                      <wp:wrapNone/>
                      <wp:docPr id="620" name="Frame57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68"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69215" cy="208915"/>
                      <wp:effectExtent l="0" t="0" r="0" b="0"/>
                      <wp:wrapNone/>
                      <wp:docPr id="621" name="Frame579"/>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466"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10.6</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69215" cy="208915"/>
                      <wp:effectExtent l="0" t="0" r="0" b="0"/>
                      <wp:wrapNone/>
                      <wp:docPr id="622" name="Frame580"/>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1085"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9215" cy="175260"/>
                      <wp:effectExtent l="0" t="0" r="0" b="0"/>
                      <wp:wrapNone/>
                      <wp:docPr id="623" name="Frame58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173355" cy="175260"/>
                      <wp:effectExtent l="0" t="0" r="0" b="0"/>
                      <wp:wrapNone/>
                      <wp:docPr id="624" name="Frame582"/>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r>
      <w:tr>
        <w:trPr/>
        <w:tc>
          <w:tcPr>
            <w:tcW w:w="5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328930" cy="175260"/>
                      <wp:effectExtent l="0" t="0" r="0" b="0"/>
                      <wp:wrapNone/>
                      <wp:docPr id="625" name="Frame583"/>
                      <a:graphic xmlns:a="http://schemas.openxmlformats.org/drawingml/2006/main">
                        <a:graphicData uri="http://schemas.microsoft.com/office/word/2010/wordprocessingShape">
                          <wps:wsp>
                            <wps:cNvSpPr txBox="1"/>
                            <wps:spPr>
                              <a:xfrm>
                                <a:off x="0" y="0"/>
                                <a:ext cx="3289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9215" cy="175260"/>
                      <wp:effectExtent l="0" t="0" r="0" b="0"/>
                      <wp:wrapNone/>
                      <wp:docPr id="626" name="Frame58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3784600" cy="175260"/>
                      <wp:effectExtent l="0" t="0" r="0" b="0"/>
                      <wp:wrapNone/>
                      <wp:docPr id="627" name="Frame585"/>
                      <a:graphic xmlns:a="http://schemas.openxmlformats.org/drawingml/2006/main">
                        <a:graphicData uri="http://schemas.microsoft.com/office/word/2010/wordprocessingShape">
                          <wps:wsp>
                            <wps:cNvSpPr txBox="1"/>
                            <wps:spPr>
                              <a:xfrm>
                                <a:off x="0" y="0"/>
                                <a:ext cx="3784600"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69215" cy="175260"/>
                      <wp:effectExtent l="0" t="0" r="0" b="0"/>
                      <wp:wrapNone/>
                      <wp:docPr id="628" name="Frame58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241935" cy="175260"/>
                      <wp:effectExtent l="0" t="0" r="0" b="0"/>
                      <wp:wrapNone/>
                      <wp:docPr id="629" name="Frame587"/>
                      <a:graphic xmlns:a="http://schemas.openxmlformats.org/drawingml/2006/main">
                        <a:graphicData uri="http://schemas.microsoft.com/office/word/2010/wordprocessingShape">
                          <wps:wsp>
                            <wps:cNvSpPr txBox="1"/>
                            <wps:spPr>
                              <a:xfrm>
                                <a:off x="0" y="0"/>
                                <a:ext cx="241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69215" cy="175260"/>
                      <wp:effectExtent l="0" t="0" r="0" b="0"/>
                      <wp:wrapNone/>
                      <wp:docPr id="630" name="Frame58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551180" cy="175260"/>
                      <wp:effectExtent l="0" t="0" r="0" b="0"/>
                      <wp:wrapNone/>
                      <wp:docPr id="631" name="Frame589"/>
                      <a:graphic xmlns:a="http://schemas.openxmlformats.org/drawingml/2006/main">
                        <a:graphicData uri="http://schemas.microsoft.com/office/word/2010/wordprocessingShape">
                          <wps:wsp>
                            <wps:cNvSpPr txBox="1"/>
                            <wps:spPr>
                              <a:xfrm>
                                <a:off x="0" y="0"/>
                                <a:ext cx="551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69215" cy="175260"/>
                      <wp:effectExtent l="0" t="0" r="0" b="0"/>
                      <wp:wrapNone/>
                      <wp:docPr id="632" name="Frame59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95910" cy="175260"/>
                      <wp:effectExtent l="0" t="0" r="0" b="0"/>
                      <wp:wrapNone/>
                      <wp:docPr id="633" name="Frame591"/>
                      <a:graphic xmlns:a="http://schemas.openxmlformats.org/drawingml/2006/main">
                        <a:graphicData uri="http://schemas.microsoft.com/office/word/2010/wordprocessingShape">
                          <wps:wsp>
                            <wps:cNvSpPr txBox="1"/>
                            <wps:spPr>
                              <a:xfrm>
                                <a:off x="0" y="0"/>
                                <a:ext cx="295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69215" cy="175260"/>
                      <wp:effectExtent l="0" t="0" r="0" b="0"/>
                      <wp:wrapNone/>
                      <wp:docPr id="634" name="Frame59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688975" cy="175260"/>
                      <wp:effectExtent l="0" t="0" r="0" b="0"/>
                      <wp:wrapNone/>
                      <wp:docPr id="635" name="Frame593"/>
                      <a:graphic xmlns:a="http://schemas.openxmlformats.org/drawingml/2006/main">
                        <a:graphicData uri="http://schemas.microsoft.com/office/word/2010/wordprocessingShape">
                          <wps:wsp>
                            <wps:cNvSpPr txBox="1"/>
                            <wps:spPr>
                              <a:xfrm>
                                <a:off x="0" y="0"/>
                                <a:ext cx="688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69215" cy="175260"/>
                      <wp:effectExtent l="0" t="0" r="0" b="0"/>
                      <wp:wrapNone/>
                      <wp:docPr id="636" name="Frame59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173355" cy="175260"/>
                      <wp:effectExtent l="0" t="0" r="0" b="0"/>
                      <wp:wrapNone/>
                      <wp:docPr id="637" name="Frame595"/>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r>
    </w:tbl>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233</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624"/>
        <w:gridCol w:w="109"/>
        <w:gridCol w:w="5843"/>
        <w:gridCol w:w="109"/>
        <w:gridCol w:w="324"/>
        <w:gridCol w:w="109"/>
        <w:gridCol w:w="872"/>
        <w:gridCol w:w="109"/>
        <w:gridCol w:w="571"/>
        <w:gridCol w:w="109"/>
        <w:gridCol w:w="1044"/>
        <w:gridCol w:w="109"/>
        <w:gridCol w:w="273"/>
      </w:tblGrid>
      <w:tr>
        <w:trPr/>
        <w:tc>
          <w:tcPr>
            <w:tcW w:w="624"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10.7+</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69215" cy="175260"/>
                      <wp:effectExtent l="0" t="0" r="0" b="0"/>
                      <wp:wrapNone/>
                      <wp:docPr id="638" name="Frame59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before="53" w:after="30"/>
              <w:ind w:left="0" w:right="0" w:hanging="0"/>
              <w:rPr/>
            </w:pPr>
            <w:hyperlink r:id="rId55">
              <w:r>
                <w:rPr>
                  <w:rStyle w:val="InternetLink"/>
                  <w:rFonts w:ascii="Arial;Helvetica;sans-serif" w:hAnsi="Arial;Helvetica;sans-serif"/>
                  <w:b w:val="false"/>
                  <w:i w:val="false"/>
                  <w:caps w:val="false"/>
                  <w:smallCaps w:val="false"/>
                  <w:color w:val="0000FF"/>
                  <w:sz w:val="18"/>
                  <w:u w:val="single"/>
                </w:rPr>
                <w:t>Form of Restricted Share Unit Award Grant Notice and Award Agreement (US) under the Structure Therapeutics Inc. 2023 Equity Incentive Plan.</w:t>
              </w:r>
            </w:hyperlink>
          </w:p>
          <w:p>
            <w:pPr>
              <w:pStyle w:val="TableContents"/>
              <w:spacing w:lineRule="auto" w:line="328" w:before="53" w:after="30"/>
              <w:ind w:left="0" w:right="0" w:hanging="0"/>
              <w:rPr>
                <w:color w:val="0000FF"/>
              </w:rPr>
            </w:pPr>
            <w:r>
              <w:rPr>
                <w:color w:val="0000FF"/>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9215" cy="175260"/>
                      <wp:effectExtent l="0" t="0" r="0" b="0"/>
                      <wp:wrapNone/>
                      <wp:docPr id="639" name="Frame59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69215" cy="208915"/>
                      <wp:effectExtent l="0" t="0" r="0" b="0"/>
                      <wp:wrapNone/>
                      <wp:docPr id="640" name="Frame59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72"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69215" cy="208915"/>
                      <wp:effectExtent l="0" t="0" r="0" b="0"/>
                      <wp:wrapNone/>
                      <wp:docPr id="641" name="Frame599"/>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57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10.7</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69215" cy="208915"/>
                      <wp:effectExtent l="0" t="0" r="0" b="0"/>
                      <wp:wrapNone/>
                      <wp:docPr id="642" name="Frame600"/>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104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69215" cy="175260"/>
                      <wp:effectExtent l="0" t="0" r="0" b="0"/>
                      <wp:wrapNone/>
                      <wp:docPr id="643" name="Frame60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173355" cy="175260"/>
                      <wp:effectExtent l="0" t="0" r="0" b="0"/>
                      <wp:wrapNone/>
                      <wp:docPr id="644" name="Frame602"/>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r>
      <w:tr>
        <w:trPr/>
        <w:tc>
          <w:tcPr>
            <w:tcW w:w="6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396240" cy="175260"/>
                      <wp:effectExtent l="0" t="0" r="0" b="0"/>
                      <wp:wrapNone/>
                      <wp:docPr id="645" name="Frame603"/>
                      <a:graphic xmlns:a="http://schemas.openxmlformats.org/drawingml/2006/main">
                        <a:graphicData uri="http://schemas.microsoft.com/office/word/2010/wordprocessingShape">
                          <wps:wsp>
                            <wps:cNvSpPr txBox="1"/>
                            <wps:spPr>
                              <a:xfrm>
                                <a:off x="0" y="0"/>
                                <a:ext cx="3962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69215" cy="175260"/>
                      <wp:effectExtent l="0" t="0" r="0" b="0"/>
                      <wp:wrapNone/>
                      <wp:docPr id="646" name="Frame60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3710305" cy="175260"/>
                      <wp:effectExtent l="0" t="0" r="0" b="0"/>
                      <wp:wrapNone/>
                      <wp:docPr id="647" name="Frame605"/>
                      <a:graphic xmlns:a="http://schemas.openxmlformats.org/drawingml/2006/main">
                        <a:graphicData uri="http://schemas.microsoft.com/office/word/2010/wordprocessingShape">
                          <wps:wsp>
                            <wps:cNvSpPr txBox="1"/>
                            <wps:spPr>
                              <a:xfrm>
                                <a:off x="0" y="0"/>
                                <a:ext cx="3710305"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69215" cy="175260"/>
                      <wp:effectExtent l="0" t="0" r="0" b="0"/>
                      <wp:wrapNone/>
                      <wp:docPr id="648" name="Frame60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205740" cy="175260"/>
                      <wp:effectExtent l="0" t="0" r="0" b="0"/>
                      <wp:wrapNone/>
                      <wp:docPr id="649" name="Frame607"/>
                      <a:graphic xmlns:a="http://schemas.openxmlformats.org/drawingml/2006/main">
                        <a:graphicData uri="http://schemas.microsoft.com/office/word/2010/wordprocessingShape">
                          <wps:wsp>
                            <wps:cNvSpPr txBox="1"/>
                            <wps:spPr>
                              <a:xfrm>
                                <a:off x="0" y="0"/>
                                <a:ext cx="205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69215" cy="175260"/>
                      <wp:effectExtent l="0" t="0" r="0" b="0"/>
                      <wp:wrapNone/>
                      <wp:docPr id="650" name="Frame60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553720" cy="175260"/>
                      <wp:effectExtent l="0" t="0" r="0" b="0"/>
                      <wp:wrapNone/>
                      <wp:docPr id="651" name="Frame609"/>
                      <a:graphic xmlns:a="http://schemas.openxmlformats.org/drawingml/2006/main">
                        <a:graphicData uri="http://schemas.microsoft.com/office/word/2010/wordprocessingShape">
                          <wps:wsp>
                            <wps:cNvSpPr txBox="1"/>
                            <wps:spPr>
                              <a:xfrm>
                                <a:off x="0" y="0"/>
                                <a:ext cx="553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69215" cy="175260"/>
                      <wp:effectExtent l="0" t="0" r="0" b="0"/>
                      <wp:wrapNone/>
                      <wp:docPr id="652" name="Frame61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362585" cy="175260"/>
                      <wp:effectExtent l="0" t="0" r="0" b="0"/>
                      <wp:wrapNone/>
                      <wp:docPr id="653" name="Frame61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69215" cy="175260"/>
                      <wp:effectExtent l="0" t="0" r="0" b="0"/>
                      <wp:wrapNone/>
                      <wp:docPr id="654" name="Frame61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662940" cy="175260"/>
                      <wp:effectExtent l="0" t="0" r="0" b="0"/>
                      <wp:wrapNone/>
                      <wp:docPr id="655" name="Frame613"/>
                      <a:graphic xmlns:a="http://schemas.openxmlformats.org/drawingml/2006/main">
                        <a:graphicData uri="http://schemas.microsoft.com/office/word/2010/wordprocessingShape">
                          <wps:wsp>
                            <wps:cNvSpPr txBox="1"/>
                            <wps:spPr>
                              <a:xfrm>
                                <a:off x="0" y="0"/>
                                <a:ext cx="662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69215" cy="175260"/>
                      <wp:effectExtent l="0" t="0" r="0" b="0"/>
                      <wp:wrapNone/>
                      <wp:docPr id="656" name="Frame61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173355" cy="175260"/>
                      <wp:effectExtent l="0" t="0" r="0" b="0"/>
                      <wp:wrapNone/>
                      <wp:docPr id="657" name="Frame615"/>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4"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10.8+</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69215" cy="175260"/>
                      <wp:effectExtent l="0" t="0" r="0" b="0"/>
                      <wp:wrapNone/>
                      <wp:docPr id="658" name="Frame61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before="53" w:after="30"/>
              <w:ind w:left="0" w:right="0" w:hanging="0"/>
              <w:rPr/>
            </w:pPr>
            <w:hyperlink r:id="rId56">
              <w:r>
                <w:rPr>
                  <w:rStyle w:val="InternetLink"/>
                  <w:rFonts w:ascii="Arial;Helvetica;sans-serif" w:hAnsi="Arial;Helvetica;sans-serif"/>
                  <w:b w:val="false"/>
                  <w:i w:val="false"/>
                  <w:caps w:val="false"/>
                  <w:smallCaps w:val="false"/>
                  <w:color w:val="0000FF"/>
                  <w:sz w:val="18"/>
                  <w:u w:val="single"/>
                </w:rPr>
                <w:t>Form of Restricted Share Unit Award Grant Notice and Award Agreement (PRC) under the Structure Therapeutics Inc. 2023 Equity Incentive Plan.</w:t>
              </w:r>
            </w:hyperlink>
          </w:p>
          <w:p>
            <w:pPr>
              <w:pStyle w:val="TableContents"/>
              <w:spacing w:lineRule="auto" w:line="328" w:before="53" w:after="30"/>
              <w:ind w:left="0" w:right="0" w:hanging="0"/>
              <w:rPr>
                <w:color w:val="0000FF"/>
              </w:rPr>
            </w:pPr>
            <w:r>
              <w:rPr>
                <w:color w:val="0000FF"/>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69215" cy="175260"/>
                      <wp:effectExtent l="0" t="0" r="0" b="0"/>
                      <wp:wrapNone/>
                      <wp:docPr id="659" name="Frame61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69215" cy="208915"/>
                      <wp:effectExtent l="0" t="0" r="0" b="0"/>
                      <wp:wrapNone/>
                      <wp:docPr id="660" name="Frame61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72"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69215" cy="208915"/>
                      <wp:effectExtent l="0" t="0" r="0" b="0"/>
                      <wp:wrapNone/>
                      <wp:docPr id="661" name="Frame619"/>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57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10.8</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69215" cy="208915"/>
                      <wp:effectExtent l="0" t="0" r="0" b="0"/>
                      <wp:wrapNone/>
                      <wp:docPr id="662" name="Frame620"/>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104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69215" cy="175260"/>
                      <wp:effectExtent l="0" t="0" r="0" b="0"/>
                      <wp:wrapNone/>
                      <wp:docPr id="663" name="Frame62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173355" cy="175260"/>
                      <wp:effectExtent l="0" t="0" r="0" b="0"/>
                      <wp:wrapNone/>
                      <wp:docPr id="664" name="Frame622"/>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r>
      <w:tr>
        <w:trPr/>
        <w:tc>
          <w:tcPr>
            <w:tcW w:w="6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396240" cy="175260"/>
                      <wp:effectExtent l="0" t="0" r="0" b="0"/>
                      <wp:wrapNone/>
                      <wp:docPr id="665" name="Frame623"/>
                      <a:graphic xmlns:a="http://schemas.openxmlformats.org/drawingml/2006/main">
                        <a:graphicData uri="http://schemas.microsoft.com/office/word/2010/wordprocessingShape">
                          <wps:wsp>
                            <wps:cNvSpPr txBox="1"/>
                            <wps:spPr>
                              <a:xfrm>
                                <a:off x="0" y="0"/>
                                <a:ext cx="3962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69215" cy="175260"/>
                      <wp:effectExtent l="0" t="0" r="0" b="0"/>
                      <wp:wrapNone/>
                      <wp:docPr id="666" name="Frame62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3710305" cy="175260"/>
                      <wp:effectExtent l="0" t="0" r="0" b="0"/>
                      <wp:wrapNone/>
                      <wp:docPr id="667" name="Frame625"/>
                      <a:graphic xmlns:a="http://schemas.openxmlformats.org/drawingml/2006/main">
                        <a:graphicData uri="http://schemas.microsoft.com/office/word/2010/wordprocessingShape">
                          <wps:wsp>
                            <wps:cNvSpPr txBox="1"/>
                            <wps:spPr>
                              <a:xfrm>
                                <a:off x="0" y="0"/>
                                <a:ext cx="3710305"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69215" cy="175260"/>
                      <wp:effectExtent l="0" t="0" r="0" b="0"/>
                      <wp:wrapNone/>
                      <wp:docPr id="668" name="Frame62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205740" cy="175260"/>
                      <wp:effectExtent l="0" t="0" r="0" b="0"/>
                      <wp:wrapNone/>
                      <wp:docPr id="669" name="Frame627"/>
                      <a:graphic xmlns:a="http://schemas.openxmlformats.org/drawingml/2006/main">
                        <a:graphicData uri="http://schemas.microsoft.com/office/word/2010/wordprocessingShape">
                          <wps:wsp>
                            <wps:cNvSpPr txBox="1"/>
                            <wps:spPr>
                              <a:xfrm>
                                <a:off x="0" y="0"/>
                                <a:ext cx="205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69215" cy="175260"/>
                      <wp:effectExtent l="0" t="0" r="0" b="0"/>
                      <wp:wrapNone/>
                      <wp:docPr id="670" name="Frame62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553720" cy="175260"/>
                      <wp:effectExtent l="0" t="0" r="0" b="0"/>
                      <wp:wrapNone/>
                      <wp:docPr id="671" name="Frame629"/>
                      <a:graphic xmlns:a="http://schemas.openxmlformats.org/drawingml/2006/main">
                        <a:graphicData uri="http://schemas.microsoft.com/office/word/2010/wordprocessingShape">
                          <wps:wsp>
                            <wps:cNvSpPr txBox="1"/>
                            <wps:spPr>
                              <a:xfrm>
                                <a:off x="0" y="0"/>
                                <a:ext cx="553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69215" cy="175260"/>
                      <wp:effectExtent l="0" t="0" r="0" b="0"/>
                      <wp:wrapNone/>
                      <wp:docPr id="672" name="Frame63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362585" cy="175260"/>
                      <wp:effectExtent l="0" t="0" r="0" b="0"/>
                      <wp:wrapNone/>
                      <wp:docPr id="673" name="Frame63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69215" cy="175260"/>
                      <wp:effectExtent l="0" t="0" r="0" b="0"/>
                      <wp:wrapNone/>
                      <wp:docPr id="674" name="Frame63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662940" cy="175260"/>
                      <wp:effectExtent l="0" t="0" r="0" b="0"/>
                      <wp:wrapNone/>
                      <wp:docPr id="675" name="Frame633"/>
                      <a:graphic xmlns:a="http://schemas.openxmlformats.org/drawingml/2006/main">
                        <a:graphicData uri="http://schemas.microsoft.com/office/word/2010/wordprocessingShape">
                          <wps:wsp>
                            <wps:cNvSpPr txBox="1"/>
                            <wps:spPr>
                              <a:xfrm>
                                <a:off x="0" y="0"/>
                                <a:ext cx="662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69215" cy="175260"/>
                      <wp:effectExtent l="0" t="0" r="0" b="0"/>
                      <wp:wrapNone/>
                      <wp:docPr id="676" name="Frame63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173355" cy="175260"/>
                      <wp:effectExtent l="0" t="0" r="0" b="0"/>
                      <wp:wrapNone/>
                      <wp:docPr id="677" name="Frame635"/>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4"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10.9+</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69215" cy="175260"/>
                      <wp:effectExtent l="0" t="0" r="0" b="0"/>
                      <wp:wrapNone/>
                      <wp:docPr id="678" name="Frame63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before="0" w:after="0"/>
              <w:ind w:left="0" w:right="0" w:hanging="0"/>
              <w:rPr/>
            </w:pPr>
            <w:hyperlink w:anchor="gpcr-20221231xex10d9.htm">
              <w:r>
                <w:rPr>
                  <w:rStyle w:val="InternetLink"/>
                  <w:rFonts w:ascii="Arial;Helvetica;sans-serif" w:hAnsi="Arial;Helvetica;sans-serif"/>
                  <w:b w:val="false"/>
                  <w:i w:val="false"/>
                  <w:caps w:val="false"/>
                  <w:smallCaps w:val="false"/>
                  <w:color w:val="0000FF"/>
                  <w:sz w:val="18"/>
                  <w:u w:val="single"/>
                </w:rPr>
                <w:t>Structure Therapeutics Inc. 2023 Employee Share Purchase Plan.</w:t>
              </w:r>
            </w:hyperlink>
          </w:p>
          <w:p>
            <w:pPr>
              <w:pStyle w:val="TableContents"/>
              <w:spacing w:lineRule="auto" w:line="328" w:before="53" w:after="30"/>
              <w:ind w:left="0" w:right="0" w:hanging="0"/>
              <w:rPr>
                <w:color w:val="0000FF"/>
              </w:rPr>
            </w:pPr>
            <w:r>
              <w:rPr>
                <w:color w:val="0000FF"/>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69215" cy="175260"/>
                      <wp:effectExtent l="0" t="0" r="0" b="0"/>
                      <wp:wrapNone/>
                      <wp:docPr id="679" name="Frame63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69215" cy="208915"/>
                      <wp:effectExtent l="0" t="0" r="0" b="0"/>
                      <wp:wrapNone/>
                      <wp:docPr id="680" name="Frame63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72"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69215" cy="208915"/>
                      <wp:effectExtent l="0" t="0" r="0" b="0"/>
                      <wp:wrapNone/>
                      <wp:docPr id="681" name="Frame639"/>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69215" cy="208915"/>
                      <wp:effectExtent l="0" t="0" r="0" b="0"/>
                      <wp:wrapNone/>
                      <wp:docPr id="682" name="Frame640"/>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1044" w:type="dxa"/>
            <w:tcBorders/>
            <w:shd w:fill="auto" w:val="clear"/>
            <w:vAlign w:val="center"/>
          </w:tcPr>
          <w:p>
            <w:pPr>
              <w:pStyle w:val="TableContents"/>
              <w:spacing w:before="0" w:after="283"/>
              <w:ind w:left="0" w:right="0" w:hanging="0"/>
              <w:rPr>
                <w:sz w:val="4"/>
                <w:szCs w:val="4"/>
              </w:rPr>
            </w:pPr>
            <w:r>
              <w:rPr>
                <w:sz w:val="4"/>
                <w:szCs w:val="4"/>
              </w:rPr>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69215" cy="175260"/>
                      <wp:effectExtent l="0" t="0" r="0" b="0"/>
                      <wp:wrapNone/>
                      <wp:docPr id="683" name="Frame64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6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396240" cy="175260"/>
                      <wp:effectExtent l="0" t="0" r="0" b="0"/>
                      <wp:wrapNone/>
                      <wp:docPr id="684" name="Frame642"/>
                      <a:graphic xmlns:a="http://schemas.openxmlformats.org/drawingml/2006/main">
                        <a:graphicData uri="http://schemas.microsoft.com/office/word/2010/wordprocessingShape">
                          <wps:wsp>
                            <wps:cNvSpPr txBox="1"/>
                            <wps:spPr>
                              <a:xfrm>
                                <a:off x="0" y="0"/>
                                <a:ext cx="3962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69215" cy="175260"/>
                      <wp:effectExtent l="0" t="0" r="0" b="0"/>
                      <wp:wrapNone/>
                      <wp:docPr id="685" name="Frame64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3710305" cy="175260"/>
                      <wp:effectExtent l="0" t="0" r="0" b="0"/>
                      <wp:wrapNone/>
                      <wp:docPr id="686" name="Frame644"/>
                      <a:graphic xmlns:a="http://schemas.openxmlformats.org/drawingml/2006/main">
                        <a:graphicData uri="http://schemas.microsoft.com/office/word/2010/wordprocessingShape">
                          <wps:wsp>
                            <wps:cNvSpPr txBox="1"/>
                            <wps:spPr>
                              <a:xfrm>
                                <a:off x="0" y="0"/>
                                <a:ext cx="3710305"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69215" cy="175260"/>
                      <wp:effectExtent l="0" t="0" r="0" b="0"/>
                      <wp:wrapNone/>
                      <wp:docPr id="687" name="Frame64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205740" cy="175260"/>
                      <wp:effectExtent l="0" t="0" r="0" b="0"/>
                      <wp:wrapNone/>
                      <wp:docPr id="688" name="Frame646"/>
                      <a:graphic xmlns:a="http://schemas.openxmlformats.org/drawingml/2006/main">
                        <a:graphicData uri="http://schemas.microsoft.com/office/word/2010/wordprocessingShape">
                          <wps:wsp>
                            <wps:cNvSpPr txBox="1"/>
                            <wps:spPr>
                              <a:xfrm>
                                <a:off x="0" y="0"/>
                                <a:ext cx="205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0">
                      <wp:simplePos x="0" y="0"/>
                      <wp:positionH relativeFrom="character">
                        <wp:align>left</wp:align>
                      </wp:positionH>
                      <wp:positionV relativeFrom="line">
                        <wp:posOffset>635</wp:posOffset>
                      </wp:positionV>
                      <wp:extent cx="69215" cy="175260"/>
                      <wp:effectExtent l="0" t="0" r="0" b="0"/>
                      <wp:wrapNone/>
                      <wp:docPr id="689" name="Frame64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1">
                      <wp:simplePos x="0" y="0"/>
                      <wp:positionH relativeFrom="character">
                        <wp:align>left</wp:align>
                      </wp:positionH>
                      <wp:positionV relativeFrom="line">
                        <wp:posOffset>635</wp:posOffset>
                      </wp:positionV>
                      <wp:extent cx="553720" cy="175260"/>
                      <wp:effectExtent l="0" t="0" r="0" b="0"/>
                      <wp:wrapNone/>
                      <wp:docPr id="690" name="Frame648"/>
                      <a:graphic xmlns:a="http://schemas.openxmlformats.org/drawingml/2006/main">
                        <a:graphicData uri="http://schemas.microsoft.com/office/word/2010/wordprocessingShape">
                          <wps:wsp>
                            <wps:cNvSpPr txBox="1"/>
                            <wps:spPr>
                              <a:xfrm>
                                <a:off x="0" y="0"/>
                                <a:ext cx="553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2">
                      <wp:simplePos x="0" y="0"/>
                      <wp:positionH relativeFrom="character">
                        <wp:align>left</wp:align>
                      </wp:positionH>
                      <wp:positionV relativeFrom="line">
                        <wp:posOffset>635</wp:posOffset>
                      </wp:positionV>
                      <wp:extent cx="69215" cy="175260"/>
                      <wp:effectExtent l="0" t="0" r="0" b="0"/>
                      <wp:wrapNone/>
                      <wp:docPr id="691" name="Frame64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3">
                      <wp:simplePos x="0" y="0"/>
                      <wp:positionH relativeFrom="character">
                        <wp:align>left</wp:align>
                      </wp:positionH>
                      <wp:positionV relativeFrom="line">
                        <wp:posOffset>635</wp:posOffset>
                      </wp:positionV>
                      <wp:extent cx="362585" cy="175260"/>
                      <wp:effectExtent l="0" t="0" r="0" b="0"/>
                      <wp:wrapNone/>
                      <wp:docPr id="692" name="Frame650"/>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4">
                      <wp:simplePos x="0" y="0"/>
                      <wp:positionH relativeFrom="character">
                        <wp:align>left</wp:align>
                      </wp:positionH>
                      <wp:positionV relativeFrom="line">
                        <wp:posOffset>635</wp:posOffset>
                      </wp:positionV>
                      <wp:extent cx="69215" cy="175260"/>
                      <wp:effectExtent l="0" t="0" r="0" b="0"/>
                      <wp:wrapNone/>
                      <wp:docPr id="693" name="Frame65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5">
                      <wp:simplePos x="0" y="0"/>
                      <wp:positionH relativeFrom="character">
                        <wp:align>left</wp:align>
                      </wp:positionH>
                      <wp:positionV relativeFrom="line">
                        <wp:posOffset>635</wp:posOffset>
                      </wp:positionV>
                      <wp:extent cx="662940" cy="175260"/>
                      <wp:effectExtent l="0" t="0" r="0" b="0"/>
                      <wp:wrapNone/>
                      <wp:docPr id="694" name="Frame652"/>
                      <a:graphic xmlns:a="http://schemas.openxmlformats.org/drawingml/2006/main">
                        <a:graphicData uri="http://schemas.microsoft.com/office/word/2010/wordprocessingShape">
                          <wps:wsp>
                            <wps:cNvSpPr txBox="1"/>
                            <wps:spPr>
                              <a:xfrm>
                                <a:off x="0" y="0"/>
                                <a:ext cx="662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6">
                      <wp:simplePos x="0" y="0"/>
                      <wp:positionH relativeFrom="character">
                        <wp:align>left</wp:align>
                      </wp:positionH>
                      <wp:positionV relativeFrom="line">
                        <wp:posOffset>635</wp:posOffset>
                      </wp:positionV>
                      <wp:extent cx="69215" cy="175260"/>
                      <wp:effectExtent l="0" t="0" r="0" b="0"/>
                      <wp:wrapNone/>
                      <wp:docPr id="695" name="Frame65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7">
                      <wp:simplePos x="0" y="0"/>
                      <wp:positionH relativeFrom="character">
                        <wp:align>left</wp:align>
                      </wp:positionH>
                      <wp:positionV relativeFrom="line">
                        <wp:posOffset>635</wp:posOffset>
                      </wp:positionV>
                      <wp:extent cx="173355" cy="175260"/>
                      <wp:effectExtent l="0" t="0" r="0" b="0"/>
                      <wp:wrapNone/>
                      <wp:docPr id="696" name="Frame654"/>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4"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10.10+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8">
                      <wp:simplePos x="0" y="0"/>
                      <wp:positionH relativeFrom="character">
                        <wp:align>left</wp:align>
                      </wp:positionH>
                      <wp:positionV relativeFrom="line">
                        <wp:posOffset>635</wp:posOffset>
                      </wp:positionV>
                      <wp:extent cx="69215" cy="175260"/>
                      <wp:effectExtent l="0" t="0" r="0" b="0"/>
                      <wp:wrapNone/>
                      <wp:docPr id="697" name="Frame6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before="53" w:after="30"/>
              <w:ind w:left="0" w:right="0" w:hanging="0"/>
              <w:rPr/>
            </w:pPr>
            <w:hyperlink r:id="rId57">
              <w:r>
                <w:rPr>
                  <w:rStyle w:val="InternetLink"/>
                  <w:rFonts w:ascii="Arial;Helvetica;sans-serif" w:hAnsi="Arial;Helvetica;sans-serif"/>
                  <w:b w:val="false"/>
                  <w:i w:val="false"/>
                  <w:caps w:val="false"/>
                  <w:smallCaps w:val="false"/>
                  <w:color w:val="0000FF"/>
                  <w:sz w:val="18"/>
                  <w:u w:val="single"/>
                </w:rPr>
                <w:t>Executive Employment Agreement, by and between the registrant and Raymond Stevens, dated May 16, 2019.</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9">
                      <wp:simplePos x="0" y="0"/>
                      <wp:positionH relativeFrom="character">
                        <wp:align>left</wp:align>
                      </wp:positionH>
                      <wp:positionV relativeFrom="line">
                        <wp:posOffset>635</wp:posOffset>
                      </wp:positionV>
                      <wp:extent cx="69215" cy="175260"/>
                      <wp:effectExtent l="0" t="0" r="0" b="0"/>
                      <wp:wrapNone/>
                      <wp:docPr id="698" name="Frame65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0">
                      <wp:simplePos x="0" y="0"/>
                      <wp:positionH relativeFrom="character">
                        <wp:align>left</wp:align>
                      </wp:positionH>
                      <wp:positionV relativeFrom="line">
                        <wp:posOffset>635</wp:posOffset>
                      </wp:positionV>
                      <wp:extent cx="69215" cy="208915"/>
                      <wp:effectExtent l="0" t="0" r="0" b="0"/>
                      <wp:wrapNone/>
                      <wp:docPr id="699" name="Frame657"/>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72"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1">
                      <wp:simplePos x="0" y="0"/>
                      <wp:positionH relativeFrom="character">
                        <wp:align>left</wp:align>
                      </wp:positionH>
                      <wp:positionV relativeFrom="line">
                        <wp:posOffset>635</wp:posOffset>
                      </wp:positionV>
                      <wp:extent cx="69215" cy="208915"/>
                      <wp:effectExtent l="0" t="0" r="0" b="0"/>
                      <wp:wrapNone/>
                      <wp:docPr id="700" name="Frame65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57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10.10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2">
                      <wp:simplePos x="0" y="0"/>
                      <wp:positionH relativeFrom="character">
                        <wp:align>left</wp:align>
                      </wp:positionH>
                      <wp:positionV relativeFrom="line">
                        <wp:posOffset>635</wp:posOffset>
                      </wp:positionV>
                      <wp:extent cx="69215" cy="208915"/>
                      <wp:effectExtent l="0" t="0" r="0" b="0"/>
                      <wp:wrapNone/>
                      <wp:docPr id="701" name="Frame659"/>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104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3">
                      <wp:simplePos x="0" y="0"/>
                      <wp:positionH relativeFrom="character">
                        <wp:align>left</wp:align>
                      </wp:positionH>
                      <wp:positionV relativeFrom="line">
                        <wp:posOffset>635</wp:posOffset>
                      </wp:positionV>
                      <wp:extent cx="69215" cy="175260"/>
                      <wp:effectExtent l="0" t="0" r="0" b="0"/>
                      <wp:wrapNone/>
                      <wp:docPr id="702" name="Frame66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4">
                      <wp:simplePos x="0" y="0"/>
                      <wp:positionH relativeFrom="character">
                        <wp:align>left</wp:align>
                      </wp:positionH>
                      <wp:positionV relativeFrom="line">
                        <wp:posOffset>635</wp:posOffset>
                      </wp:positionV>
                      <wp:extent cx="173355" cy="175260"/>
                      <wp:effectExtent l="0" t="0" r="0" b="0"/>
                      <wp:wrapNone/>
                      <wp:docPr id="703" name="Frame661"/>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5">
                      <wp:simplePos x="0" y="0"/>
                      <wp:positionH relativeFrom="character">
                        <wp:align>left</wp:align>
                      </wp:positionH>
                      <wp:positionV relativeFrom="line">
                        <wp:posOffset>635</wp:posOffset>
                      </wp:positionV>
                      <wp:extent cx="396240" cy="175260"/>
                      <wp:effectExtent l="0" t="0" r="0" b="0"/>
                      <wp:wrapNone/>
                      <wp:docPr id="704" name="Frame662"/>
                      <a:graphic xmlns:a="http://schemas.openxmlformats.org/drawingml/2006/main">
                        <a:graphicData uri="http://schemas.microsoft.com/office/word/2010/wordprocessingShape">
                          <wps:wsp>
                            <wps:cNvSpPr txBox="1"/>
                            <wps:spPr>
                              <a:xfrm>
                                <a:off x="0" y="0"/>
                                <a:ext cx="3962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6">
                      <wp:simplePos x="0" y="0"/>
                      <wp:positionH relativeFrom="character">
                        <wp:align>left</wp:align>
                      </wp:positionH>
                      <wp:positionV relativeFrom="line">
                        <wp:posOffset>635</wp:posOffset>
                      </wp:positionV>
                      <wp:extent cx="69215" cy="175260"/>
                      <wp:effectExtent l="0" t="0" r="0" b="0"/>
                      <wp:wrapNone/>
                      <wp:docPr id="705" name="Frame66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7">
                      <wp:simplePos x="0" y="0"/>
                      <wp:positionH relativeFrom="character">
                        <wp:align>left</wp:align>
                      </wp:positionH>
                      <wp:positionV relativeFrom="line">
                        <wp:posOffset>635</wp:posOffset>
                      </wp:positionV>
                      <wp:extent cx="3710305" cy="175260"/>
                      <wp:effectExtent l="0" t="0" r="0" b="0"/>
                      <wp:wrapNone/>
                      <wp:docPr id="706" name="Frame664"/>
                      <a:graphic xmlns:a="http://schemas.openxmlformats.org/drawingml/2006/main">
                        <a:graphicData uri="http://schemas.microsoft.com/office/word/2010/wordprocessingShape">
                          <wps:wsp>
                            <wps:cNvSpPr txBox="1"/>
                            <wps:spPr>
                              <a:xfrm>
                                <a:off x="0" y="0"/>
                                <a:ext cx="3710305"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8">
                      <wp:simplePos x="0" y="0"/>
                      <wp:positionH relativeFrom="character">
                        <wp:align>left</wp:align>
                      </wp:positionH>
                      <wp:positionV relativeFrom="line">
                        <wp:posOffset>635</wp:posOffset>
                      </wp:positionV>
                      <wp:extent cx="69215" cy="175260"/>
                      <wp:effectExtent l="0" t="0" r="0" b="0"/>
                      <wp:wrapNone/>
                      <wp:docPr id="707" name="Frame66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9">
                      <wp:simplePos x="0" y="0"/>
                      <wp:positionH relativeFrom="character">
                        <wp:align>left</wp:align>
                      </wp:positionH>
                      <wp:positionV relativeFrom="line">
                        <wp:posOffset>635</wp:posOffset>
                      </wp:positionV>
                      <wp:extent cx="205740" cy="175260"/>
                      <wp:effectExtent l="0" t="0" r="0" b="0"/>
                      <wp:wrapNone/>
                      <wp:docPr id="708" name="Frame666"/>
                      <a:graphic xmlns:a="http://schemas.openxmlformats.org/drawingml/2006/main">
                        <a:graphicData uri="http://schemas.microsoft.com/office/word/2010/wordprocessingShape">
                          <wps:wsp>
                            <wps:cNvSpPr txBox="1"/>
                            <wps:spPr>
                              <a:xfrm>
                                <a:off x="0" y="0"/>
                                <a:ext cx="205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0">
                      <wp:simplePos x="0" y="0"/>
                      <wp:positionH relativeFrom="character">
                        <wp:align>left</wp:align>
                      </wp:positionH>
                      <wp:positionV relativeFrom="line">
                        <wp:posOffset>635</wp:posOffset>
                      </wp:positionV>
                      <wp:extent cx="69215" cy="175260"/>
                      <wp:effectExtent l="0" t="0" r="0" b="0"/>
                      <wp:wrapNone/>
                      <wp:docPr id="709" name="Frame66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1">
                      <wp:simplePos x="0" y="0"/>
                      <wp:positionH relativeFrom="character">
                        <wp:align>left</wp:align>
                      </wp:positionH>
                      <wp:positionV relativeFrom="line">
                        <wp:posOffset>635</wp:posOffset>
                      </wp:positionV>
                      <wp:extent cx="553720" cy="175260"/>
                      <wp:effectExtent l="0" t="0" r="0" b="0"/>
                      <wp:wrapNone/>
                      <wp:docPr id="710" name="Frame668"/>
                      <a:graphic xmlns:a="http://schemas.openxmlformats.org/drawingml/2006/main">
                        <a:graphicData uri="http://schemas.microsoft.com/office/word/2010/wordprocessingShape">
                          <wps:wsp>
                            <wps:cNvSpPr txBox="1"/>
                            <wps:spPr>
                              <a:xfrm>
                                <a:off x="0" y="0"/>
                                <a:ext cx="553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2">
                      <wp:simplePos x="0" y="0"/>
                      <wp:positionH relativeFrom="character">
                        <wp:align>left</wp:align>
                      </wp:positionH>
                      <wp:positionV relativeFrom="line">
                        <wp:posOffset>635</wp:posOffset>
                      </wp:positionV>
                      <wp:extent cx="69215" cy="175260"/>
                      <wp:effectExtent l="0" t="0" r="0" b="0"/>
                      <wp:wrapNone/>
                      <wp:docPr id="711" name="Frame66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3">
                      <wp:simplePos x="0" y="0"/>
                      <wp:positionH relativeFrom="character">
                        <wp:align>left</wp:align>
                      </wp:positionH>
                      <wp:positionV relativeFrom="line">
                        <wp:posOffset>635</wp:posOffset>
                      </wp:positionV>
                      <wp:extent cx="362585" cy="175260"/>
                      <wp:effectExtent l="0" t="0" r="0" b="0"/>
                      <wp:wrapNone/>
                      <wp:docPr id="712" name="Frame670"/>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4">
                      <wp:simplePos x="0" y="0"/>
                      <wp:positionH relativeFrom="character">
                        <wp:align>left</wp:align>
                      </wp:positionH>
                      <wp:positionV relativeFrom="line">
                        <wp:posOffset>635</wp:posOffset>
                      </wp:positionV>
                      <wp:extent cx="69215" cy="175260"/>
                      <wp:effectExtent l="0" t="0" r="0" b="0"/>
                      <wp:wrapNone/>
                      <wp:docPr id="713" name="Frame67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5">
                      <wp:simplePos x="0" y="0"/>
                      <wp:positionH relativeFrom="character">
                        <wp:align>left</wp:align>
                      </wp:positionH>
                      <wp:positionV relativeFrom="line">
                        <wp:posOffset>635</wp:posOffset>
                      </wp:positionV>
                      <wp:extent cx="662940" cy="175260"/>
                      <wp:effectExtent l="0" t="0" r="0" b="0"/>
                      <wp:wrapNone/>
                      <wp:docPr id="714" name="Frame672"/>
                      <a:graphic xmlns:a="http://schemas.openxmlformats.org/drawingml/2006/main">
                        <a:graphicData uri="http://schemas.microsoft.com/office/word/2010/wordprocessingShape">
                          <wps:wsp>
                            <wps:cNvSpPr txBox="1"/>
                            <wps:spPr>
                              <a:xfrm>
                                <a:off x="0" y="0"/>
                                <a:ext cx="662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6">
                      <wp:simplePos x="0" y="0"/>
                      <wp:positionH relativeFrom="character">
                        <wp:align>left</wp:align>
                      </wp:positionH>
                      <wp:positionV relativeFrom="line">
                        <wp:posOffset>635</wp:posOffset>
                      </wp:positionV>
                      <wp:extent cx="69215" cy="175260"/>
                      <wp:effectExtent l="0" t="0" r="0" b="0"/>
                      <wp:wrapNone/>
                      <wp:docPr id="715" name="Frame67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7">
                      <wp:simplePos x="0" y="0"/>
                      <wp:positionH relativeFrom="character">
                        <wp:align>left</wp:align>
                      </wp:positionH>
                      <wp:positionV relativeFrom="line">
                        <wp:posOffset>635</wp:posOffset>
                      </wp:positionV>
                      <wp:extent cx="173355" cy="175260"/>
                      <wp:effectExtent l="0" t="0" r="0" b="0"/>
                      <wp:wrapNone/>
                      <wp:docPr id="716" name="Frame674"/>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4"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10.11+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8">
                      <wp:simplePos x="0" y="0"/>
                      <wp:positionH relativeFrom="character">
                        <wp:align>left</wp:align>
                      </wp:positionH>
                      <wp:positionV relativeFrom="line">
                        <wp:posOffset>635</wp:posOffset>
                      </wp:positionV>
                      <wp:extent cx="69215" cy="175260"/>
                      <wp:effectExtent l="0" t="0" r="0" b="0"/>
                      <wp:wrapNone/>
                      <wp:docPr id="717" name="Frame67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before="53" w:after="30"/>
              <w:ind w:left="0" w:right="0" w:hanging="0"/>
              <w:rPr/>
            </w:pPr>
            <w:hyperlink r:id="rId58">
              <w:r>
                <w:rPr>
                  <w:rStyle w:val="InternetLink"/>
                  <w:rFonts w:ascii="Arial;Helvetica;sans-serif" w:hAnsi="Arial;Helvetica;sans-serif"/>
                  <w:b w:val="false"/>
                  <w:i w:val="false"/>
                  <w:caps w:val="false"/>
                  <w:smallCaps w:val="false"/>
                  <w:color w:val="0000FF"/>
                  <w:sz w:val="18"/>
                  <w:u w:val="single"/>
                </w:rPr>
                <w:t>Executive Employment Agreement by and between the registrant and Jun Yoon, dated May 1, 2019.</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9">
                      <wp:simplePos x="0" y="0"/>
                      <wp:positionH relativeFrom="character">
                        <wp:align>left</wp:align>
                      </wp:positionH>
                      <wp:positionV relativeFrom="line">
                        <wp:posOffset>635</wp:posOffset>
                      </wp:positionV>
                      <wp:extent cx="69215" cy="175260"/>
                      <wp:effectExtent l="0" t="0" r="0" b="0"/>
                      <wp:wrapNone/>
                      <wp:docPr id="718" name="Frame67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0">
                      <wp:simplePos x="0" y="0"/>
                      <wp:positionH relativeFrom="character">
                        <wp:align>left</wp:align>
                      </wp:positionH>
                      <wp:positionV relativeFrom="line">
                        <wp:posOffset>635</wp:posOffset>
                      </wp:positionV>
                      <wp:extent cx="69215" cy="208915"/>
                      <wp:effectExtent l="0" t="0" r="0" b="0"/>
                      <wp:wrapNone/>
                      <wp:docPr id="719" name="Frame677"/>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72"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1">
                      <wp:simplePos x="0" y="0"/>
                      <wp:positionH relativeFrom="character">
                        <wp:align>left</wp:align>
                      </wp:positionH>
                      <wp:positionV relativeFrom="line">
                        <wp:posOffset>635</wp:posOffset>
                      </wp:positionV>
                      <wp:extent cx="69215" cy="208915"/>
                      <wp:effectExtent l="0" t="0" r="0" b="0"/>
                      <wp:wrapNone/>
                      <wp:docPr id="720" name="Frame67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57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10.11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2">
                      <wp:simplePos x="0" y="0"/>
                      <wp:positionH relativeFrom="character">
                        <wp:align>left</wp:align>
                      </wp:positionH>
                      <wp:positionV relativeFrom="line">
                        <wp:posOffset>635</wp:posOffset>
                      </wp:positionV>
                      <wp:extent cx="69215" cy="208915"/>
                      <wp:effectExtent l="0" t="0" r="0" b="0"/>
                      <wp:wrapNone/>
                      <wp:docPr id="721" name="Frame679"/>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104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3">
                      <wp:simplePos x="0" y="0"/>
                      <wp:positionH relativeFrom="character">
                        <wp:align>left</wp:align>
                      </wp:positionH>
                      <wp:positionV relativeFrom="line">
                        <wp:posOffset>635</wp:posOffset>
                      </wp:positionV>
                      <wp:extent cx="69215" cy="175260"/>
                      <wp:effectExtent l="0" t="0" r="0" b="0"/>
                      <wp:wrapNone/>
                      <wp:docPr id="722" name="Frame68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4">
                      <wp:simplePos x="0" y="0"/>
                      <wp:positionH relativeFrom="character">
                        <wp:align>left</wp:align>
                      </wp:positionH>
                      <wp:positionV relativeFrom="line">
                        <wp:posOffset>635</wp:posOffset>
                      </wp:positionV>
                      <wp:extent cx="173355" cy="175260"/>
                      <wp:effectExtent l="0" t="0" r="0" b="0"/>
                      <wp:wrapNone/>
                      <wp:docPr id="723" name="Frame681"/>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5">
                      <wp:simplePos x="0" y="0"/>
                      <wp:positionH relativeFrom="character">
                        <wp:align>left</wp:align>
                      </wp:positionH>
                      <wp:positionV relativeFrom="line">
                        <wp:posOffset>635</wp:posOffset>
                      </wp:positionV>
                      <wp:extent cx="396240" cy="175260"/>
                      <wp:effectExtent l="0" t="0" r="0" b="0"/>
                      <wp:wrapNone/>
                      <wp:docPr id="724" name="Frame682"/>
                      <a:graphic xmlns:a="http://schemas.openxmlformats.org/drawingml/2006/main">
                        <a:graphicData uri="http://schemas.microsoft.com/office/word/2010/wordprocessingShape">
                          <wps:wsp>
                            <wps:cNvSpPr txBox="1"/>
                            <wps:spPr>
                              <a:xfrm>
                                <a:off x="0" y="0"/>
                                <a:ext cx="3962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6">
                      <wp:simplePos x="0" y="0"/>
                      <wp:positionH relativeFrom="character">
                        <wp:align>left</wp:align>
                      </wp:positionH>
                      <wp:positionV relativeFrom="line">
                        <wp:posOffset>635</wp:posOffset>
                      </wp:positionV>
                      <wp:extent cx="69215" cy="175260"/>
                      <wp:effectExtent l="0" t="0" r="0" b="0"/>
                      <wp:wrapNone/>
                      <wp:docPr id="725" name="Frame68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7">
                      <wp:simplePos x="0" y="0"/>
                      <wp:positionH relativeFrom="character">
                        <wp:align>left</wp:align>
                      </wp:positionH>
                      <wp:positionV relativeFrom="line">
                        <wp:posOffset>635</wp:posOffset>
                      </wp:positionV>
                      <wp:extent cx="3710305" cy="175260"/>
                      <wp:effectExtent l="0" t="0" r="0" b="0"/>
                      <wp:wrapNone/>
                      <wp:docPr id="726" name="Frame684"/>
                      <a:graphic xmlns:a="http://schemas.openxmlformats.org/drawingml/2006/main">
                        <a:graphicData uri="http://schemas.microsoft.com/office/word/2010/wordprocessingShape">
                          <wps:wsp>
                            <wps:cNvSpPr txBox="1"/>
                            <wps:spPr>
                              <a:xfrm>
                                <a:off x="0" y="0"/>
                                <a:ext cx="3710305"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8">
                      <wp:simplePos x="0" y="0"/>
                      <wp:positionH relativeFrom="character">
                        <wp:align>left</wp:align>
                      </wp:positionH>
                      <wp:positionV relativeFrom="line">
                        <wp:posOffset>635</wp:posOffset>
                      </wp:positionV>
                      <wp:extent cx="69215" cy="175260"/>
                      <wp:effectExtent l="0" t="0" r="0" b="0"/>
                      <wp:wrapNone/>
                      <wp:docPr id="727" name="Frame68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9">
                      <wp:simplePos x="0" y="0"/>
                      <wp:positionH relativeFrom="character">
                        <wp:align>left</wp:align>
                      </wp:positionH>
                      <wp:positionV relativeFrom="line">
                        <wp:posOffset>635</wp:posOffset>
                      </wp:positionV>
                      <wp:extent cx="205740" cy="175260"/>
                      <wp:effectExtent l="0" t="0" r="0" b="0"/>
                      <wp:wrapNone/>
                      <wp:docPr id="728" name="Frame686"/>
                      <a:graphic xmlns:a="http://schemas.openxmlformats.org/drawingml/2006/main">
                        <a:graphicData uri="http://schemas.microsoft.com/office/word/2010/wordprocessingShape">
                          <wps:wsp>
                            <wps:cNvSpPr txBox="1"/>
                            <wps:spPr>
                              <a:xfrm>
                                <a:off x="0" y="0"/>
                                <a:ext cx="205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0">
                      <wp:simplePos x="0" y="0"/>
                      <wp:positionH relativeFrom="character">
                        <wp:align>left</wp:align>
                      </wp:positionH>
                      <wp:positionV relativeFrom="line">
                        <wp:posOffset>635</wp:posOffset>
                      </wp:positionV>
                      <wp:extent cx="69215" cy="175260"/>
                      <wp:effectExtent l="0" t="0" r="0" b="0"/>
                      <wp:wrapNone/>
                      <wp:docPr id="729" name="Frame68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1">
                      <wp:simplePos x="0" y="0"/>
                      <wp:positionH relativeFrom="character">
                        <wp:align>left</wp:align>
                      </wp:positionH>
                      <wp:positionV relativeFrom="line">
                        <wp:posOffset>635</wp:posOffset>
                      </wp:positionV>
                      <wp:extent cx="553720" cy="175260"/>
                      <wp:effectExtent l="0" t="0" r="0" b="0"/>
                      <wp:wrapNone/>
                      <wp:docPr id="730" name="Frame688"/>
                      <a:graphic xmlns:a="http://schemas.openxmlformats.org/drawingml/2006/main">
                        <a:graphicData uri="http://schemas.microsoft.com/office/word/2010/wordprocessingShape">
                          <wps:wsp>
                            <wps:cNvSpPr txBox="1"/>
                            <wps:spPr>
                              <a:xfrm>
                                <a:off x="0" y="0"/>
                                <a:ext cx="553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2">
                      <wp:simplePos x="0" y="0"/>
                      <wp:positionH relativeFrom="character">
                        <wp:align>left</wp:align>
                      </wp:positionH>
                      <wp:positionV relativeFrom="line">
                        <wp:posOffset>635</wp:posOffset>
                      </wp:positionV>
                      <wp:extent cx="69215" cy="175260"/>
                      <wp:effectExtent l="0" t="0" r="0" b="0"/>
                      <wp:wrapNone/>
                      <wp:docPr id="731" name="Frame68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3">
                      <wp:simplePos x="0" y="0"/>
                      <wp:positionH relativeFrom="character">
                        <wp:align>left</wp:align>
                      </wp:positionH>
                      <wp:positionV relativeFrom="line">
                        <wp:posOffset>635</wp:posOffset>
                      </wp:positionV>
                      <wp:extent cx="362585" cy="175260"/>
                      <wp:effectExtent l="0" t="0" r="0" b="0"/>
                      <wp:wrapNone/>
                      <wp:docPr id="732" name="Frame690"/>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4">
                      <wp:simplePos x="0" y="0"/>
                      <wp:positionH relativeFrom="character">
                        <wp:align>left</wp:align>
                      </wp:positionH>
                      <wp:positionV relativeFrom="line">
                        <wp:posOffset>635</wp:posOffset>
                      </wp:positionV>
                      <wp:extent cx="69215" cy="175260"/>
                      <wp:effectExtent l="0" t="0" r="0" b="0"/>
                      <wp:wrapNone/>
                      <wp:docPr id="733" name="Frame69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5">
                      <wp:simplePos x="0" y="0"/>
                      <wp:positionH relativeFrom="character">
                        <wp:align>left</wp:align>
                      </wp:positionH>
                      <wp:positionV relativeFrom="line">
                        <wp:posOffset>635</wp:posOffset>
                      </wp:positionV>
                      <wp:extent cx="662940" cy="175260"/>
                      <wp:effectExtent l="0" t="0" r="0" b="0"/>
                      <wp:wrapNone/>
                      <wp:docPr id="734" name="Frame692"/>
                      <a:graphic xmlns:a="http://schemas.openxmlformats.org/drawingml/2006/main">
                        <a:graphicData uri="http://schemas.microsoft.com/office/word/2010/wordprocessingShape">
                          <wps:wsp>
                            <wps:cNvSpPr txBox="1"/>
                            <wps:spPr>
                              <a:xfrm>
                                <a:off x="0" y="0"/>
                                <a:ext cx="662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6">
                      <wp:simplePos x="0" y="0"/>
                      <wp:positionH relativeFrom="character">
                        <wp:align>left</wp:align>
                      </wp:positionH>
                      <wp:positionV relativeFrom="line">
                        <wp:posOffset>635</wp:posOffset>
                      </wp:positionV>
                      <wp:extent cx="69215" cy="175260"/>
                      <wp:effectExtent l="0" t="0" r="0" b="0"/>
                      <wp:wrapNone/>
                      <wp:docPr id="735" name="Frame69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7">
                      <wp:simplePos x="0" y="0"/>
                      <wp:positionH relativeFrom="character">
                        <wp:align>left</wp:align>
                      </wp:positionH>
                      <wp:positionV relativeFrom="line">
                        <wp:posOffset>635</wp:posOffset>
                      </wp:positionV>
                      <wp:extent cx="173355" cy="175260"/>
                      <wp:effectExtent l="0" t="0" r="0" b="0"/>
                      <wp:wrapNone/>
                      <wp:docPr id="736" name="Frame694"/>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4"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10.12+</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8">
                      <wp:simplePos x="0" y="0"/>
                      <wp:positionH relativeFrom="character">
                        <wp:align>left</wp:align>
                      </wp:positionH>
                      <wp:positionV relativeFrom="line">
                        <wp:posOffset>635</wp:posOffset>
                      </wp:positionV>
                      <wp:extent cx="69215" cy="175260"/>
                      <wp:effectExtent l="0" t="0" r="0" b="0"/>
                      <wp:wrapNone/>
                      <wp:docPr id="737" name="Frame69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before="53" w:after="30"/>
              <w:ind w:left="0" w:right="0" w:hanging="0"/>
              <w:rPr/>
            </w:pPr>
            <w:hyperlink r:id="rId59">
              <w:r>
                <w:rPr>
                  <w:rStyle w:val="InternetLink"/>
                  <w:rFonts w:ascii="Arial;Helvetica;sans-serif" w:hAnsi="Arial;Helvetica;sans-serif"/>
                  <w:b w:val="false"/>
                  <w:i w:val="false"/>
                  <w:caps w:val="false"/>
                  <w:smallCaps w:val="false"/>
                  <w:color w:val="0000FF"/>
                  <w:sz w:val="18"/>
                  <w:u w:val="single"/>
                </w:rPr>
                <w:t>Amendment to the Executive Employment Agreement by and between the registrant and Jun Yoon.</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9">
                      <wp:simplePos x="0" y="0"/>
                      <wp:positionH relativeFrom="character">
                        <wp:align>left</wp:align>
                      </wp:positionH>
                      <wp:positionV relativeFrom="line">
                        <wp:posOffset>635</wp:posOffset>
                      </wp:positionV>
                      <wp:extent cx="69215" cy="175260"/>
                      <wp:effectExtent l="0" t="0" r="0" b="0"/>
                      <wp:wrapNone/>
                      <wp:docPr id="738" name="Frame69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0">
                      <wp:simplePos x="0" y="0"/>
                      <wp:positionH relativeFrom="character">
                        <wp:align>left</wp:align>
                      </wp:positionH>
                      <wp:positionV relativeFrom="line">
                        <wp:posOffset>635</wp:posOffset>
                      </wp:positionV>
                      <wp:extent cx="69215" cy="208915"/>
                      <wp:effectExtent l="0" t="0" r="0" b="0"/>
                      <wp:wrapNone/>
                      <wp:docPr id="739" name="Frame697"/>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72"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1">
                      <wp:simplePos x="0" y="0"/>
                      <wp:positionH relativeFrom="character">
                        <wp:align>left</wp:align>
                      </wp:positionH>
                      <wp:positionV relativeFrom="line">
                        <wp:posOffset>635</wp:posOffset>
                      </wp:positionV>
                      <wp:extent cx="69215" cy="208915"/>
                      <wp:effectExtent l="0" t="0" r="0" b="0"/>
                      <wp:wrapNone/>
                      <wp:docPr id="740" name="Frame69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57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10.12</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2">
                      <wp:simplePos x="0" y="0"/>
                      <wp:positionH relativeFrom="character">
                        <wp:align>left</wp:align>
                      </wp:positionH>
                      <wp:positionV relativeFrom="line">
                        <wp:posOffset>635</wp:posOffset>
                      </wp:positionV>
                      <wp:extent cx="69215" cy="208915"/>
                      <wp:effectExtent l="0" t="0" r="0" b="0"/>
                      <wp:wrapNone/>
                      <wp:docPr id="741" name="Frame699"/>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104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3">
                      <wp:simplePos x="0" y="0"/>
                      <wp:positionH relativeFrom="character">
                        <wp:align>left</wp:align>
                      </wp:positionH>
                      <wp:positionV relativeFrom="line">
                        <wp:posOffset>635</wp:posOffset>
                      </wp:positionV>
                      <wp:extent cx="69215" cy="175260"/>
                      <wp:effectExtent l="0" t="0" r="0" b="0"/>
                      <wp:wrapNone/>
                      <wp:docPr id="742" name="Frame70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4">
                      <wp:simplePos x="0" y="0"/>
                      <wp:positionH relativeFrom="character">
                        <wp:align>left</wp:align>
                      </wp:positionH>
                      <wp:positionV relativeFrom="line">
                        <wp:posOffset>635</wp:posOffset>
                      </wp:positionV>
                      <wp:extent cx="173355" cy="175260"/>
                      <wp:effectExtent l="0" t="0" r="0" b="0"/>
                      <wp:wrapNone/>
                      <wp:docPr id="743" name="Frame701"/>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5">
                      <wp:simplePos x="0" y="0"/>
                      <wp:positionH relativeFrom="character">
                        <wp:align>left</wp:align>
                      </wp:positionH>
                      <wp:positionV relativeFrom="line">
                        <wp:posOffset>635</wp:posOffset>
                      </wp:positionV>
                      <wp:extent cx="396240" cy="175260"/>
                      <wp:effectExtent l="0" t="0" r="0" b="0"/>
                      <wp:wrapNone/>
                      <wp:docPr id="744" name="Frame702"/>
                      <a:graphic xmlns:a="http://schemas.openxmlformats.org/drawingml/2006/main">
                        <a:graphicData uri="http://schemas.microsoft.com/office/word/2010/wordprocessingShape">
                          <wps:wsp>
                            <wps:cNvSpPr txBox="1"/>
                            <wps:spPr>
                              <a:xfrm>
                                <a:off x="0" y="0"/>
                                <a:ext cx="3962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6">
                      <wp:simplePos x="0" y="0"/>
                      <wp:positionH relativeFrom="character">
                        <wp:align>left</wp:align>
                      </wp:positionH>
                      <wp:positionV relativeFrom="line">
                        <wp:posOffset>635</wp:posOffset>
                      </wp:positionV>
                      <wp:extent cx="69215" cy="175260"/>
                      <wp:effectExtent l="0" t="0" r="0" b="0"/>
                      <wp:wrapNone/>
                      <wp:docPr id="745" name="Frame70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7">
                      <wp:simplePos x="0" y="0"/>
                      <wp:positionH relativeFrom="character">
                        <wp:align>left</wp:align>
                      </wp:positionH>
                      <wp:positionV relativeFrom="line">
                        <wp:posOffset>635</wp:posOffset>
                      </wp:positionV>
                      <wp:extent cx="3710305" cy="175260"/>
                      <wp:effectExtent l="0" t="0" r="0" b="0"/>
                      <wp:wrapNone/>
                      <wp:docPr id="746" name="Frame704"/>
                      <a:graphic xmlns:a="http://schemas.openxmlformats.org/drawingml/2006/main">
                        <a:graphicData uri="http://schemas.microsoft.com/office/word/2010/wordprocessingShape">
                          <wps:wsp>
                            <wps:cNvSpPr txBox="1"/>
                            <wps:spPr>
                              <a:xfrm>
                                <a:off x="0" y="0"/>
                                <a:ext cx="3710305"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8">
                      <wp:simplePos x="0" y="0"/>
                      <wp:positionH relativeFrom="character">
                        <wp:align>left</wp:align>
                      </wp:positionH>
                      <wp:positionV relativeFrom="line">
                        <wp:posOffset>635</wp:posOffset>
                      </wp:positionV>
                      <wp:extent cx="69215" cy="175260"/>
                      <wp:effectExtent l="0" t="0" r="0" b="0"/>
                      <wp:wrapNone/>
                      <wp:docPr id="747" name="Frame70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9">
                      <wp:simplePos x="0" y="0"/>
                      <wp:positionH relativeFrom="character">
                        <wp:align>left</wp:align>
                      </wp:positionH>
                      <wp:positionV relativeFrom="line">
                        <wp:posOffset>635</wp:posOffset>
                      </wp:positionV>
                      <wp:extent cx="205740" cy="175260"/>
                      <wp:effectExtent l="0" t="0" r="0" b="0"/>
                      <wp:wrapNone/>
                      <wp:docPr id="748" name="Frame706"/>
                      <a:graphic xmlns:a="http://schemas.openxmlformats.org/drawingml/2006/main">
                        <a:graphicData uri="http://schemas.microsoft.com/office/word/2010/wordprocessingShape">
                          <wps:wsp>
                            <wps:cNvSpPr txBox="1"/>
                            <wps:spPr>
                              <a:xfrm>
                                <a:off x="0" y="0"/>
                                <a:ext cx="205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0">
                      <wp:simplePos x="0" y="0"/>
                      <wp:positionH relativeFrom="character">
                        <wp:align>left</wp:align>
                      </wp:positionH>
                      <wp:positionV relativeFrom="line">
                        <wp:posOffset>635</wp:posOffset>
                      </wp:positionV>
                      <wp:extent cx="69215" cy="175260"/>
                      <wp:effectExtent l="0" t="0" r="0" b="0"/>
                      <wp:wrapNone/>
                      <wp:docPr id="749" name="Frame70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1">
                      <wp:simplePos x="0" y="0"/>
                      <wp:positionH relativeFrom="character">
                        <wp:align>left</wp:align>
                      </wp:positionH>
                      <wp:positionV relativeFrom="line">
                        <wp:posOffset>635</wp:posOffset>
                      </wp:positionV>
                      <wp:extent cx="553720" cy="175260"/>
                      <wp:effectExtent l="0" t="0" r="0" b="0"/>
                      <wp:wrapNone/>
                      <wp:docPr id="750" name="Frame708"/>
                      <a:graphic xmlns:a="http://schemas.openxmlformats.org/drawingml/2006/main">
                        <a:graphicData uri="http://schemas.microsoft.com/office/word/2010/wordprocessingShape">
                          <wps:wsp>
                            <wps:cNvSpPr txBox="1"/>
                            <wps:spPr>
                              <a:xfrm>
                                <a:off x="0" y="0"/>
                                <a:ext cx="553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2">
                      <wp:simplePos x="0" y="0"/>
                      <wp:positionH relativeFrom="character">
                        <wp:align>left</wp:align>
                      </wp:positionH>
                      <wp:positionV relativeFrom="line">
                        <wp:posOffset>635</wp:posOffset>
                      </wp:positionV>
                      <wp:extent cx="69215" cy="175260"/>
                      <wp:effectExtent l="0" t="0" r="0" b="0"/>
                      <wp:wrapNone/>
                      <wp:docPr id="751" name="Frame70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3">
                      <wp:simplePos x="0" y="0"/>
                      <wp:positionH relativeFrom="character">
                        <wp:align>left</wp:align>
                      </wp:positionH>
                      <wp:positionV relativeFrom="line">
                        <wp:posOffset>635</wp:posOffset>
                      </wp:positionV>
                      <wp:extent cx="362585" cy="175260"/>
                      <wp:effectExtent l="0" t="0" r="0" b="0"/>
                      <wp:wrapNone/>
                      <wp:docPr id="752" name="Frame710"/>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4">
                      <wp:simplePos x="0" y="0"/>
                      <wp:positionH relativeFrom="character">
                        <wp:align>left</wp:align>
                      </wp:positionH>
                      <wp:positionV relativeFrom="line">
                        <wp:posOffset>635</wp:posOffset>
                      </wp:positionV>
                      <wp:extent cx="69215" cy="175260"/>
                      <wp:effectExtent l="0" t="0" r="0" b="0"/>
                      <wp:wrapNone/>
                      <wp:docPr id="753" name="Frame71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5">
                      <wp:simplePos x="0" y="0"/>
                      <wp:positionH relativeFrom="character">
                        <wp:align>left</wp:align>
                      </wp:positionH>
                      <wp:positionV relativeFrom="line">
                        <wp:posOffset>635</wp:posOffset>
                      </wp:positionV>
                      <wp:extent cx="662940" cy="175260"/>
                      <wp:effectExtent l="0" t="0" r="0" b="0"/>
                      <wp:wrapNone/>
                      <wp:docPr id="754" name="Frame712"/>
                      <a:graphic xmlns:a="http://schemas.openxmlformats.org/drawingml/2006/main">
                        <a:graphicData uri="http://schemas.microsoft.com/office/word/2010/wordprocessingShape">
                          <wps:wsp>
                            <wps:cNvSpPr txBox="1"/>
                            <wps:spPr>
                              <a:xfrm>
                                <a:off x="0" y="0"/>
                                <a:ext cx="662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6">
                      <wp:simplePos x="0" y="0"/>
                      <wp:positionH relativeFrom="character">
                        <wp:align>left</wp:align>
                      </wp:positionH>
                      <wp:positionV relativeFrom="line">
                        <wp:posOffset>635</wp:posOffset>
                      </wp:positionV>
                      <wp:extent cx="69215" cy="175260"/>
                      <wp:effectExtent l="0" t="0" r="0" b="0"/>
                      <wp:wrapNone/>
                      <wp:docPr id="755" name="Frame71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7">
                      <wp:simplePos x="0" y="0"/>
                      <wp:positionH relativeFrom="character">
                        <wp:align>left</wp:align>
                      </wp:positionH>
                      <wp:positionV relativeFrom="line">
                        <wp:posOffset>635</wp:posOffset>
                      </wp:positionV>
                      <wp:extent cx="173355" cy="175260"/>
                      <wp:effectExtent l="0" t="0" r="0" b="0"/>
                      <wp:wrapNone/>
                      <wp:docPr id="756" name="Frame714"/>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4"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10.13+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8">
                      <wp:simplePos x="0" y="0"/>
                      <wp:positionH relativeFrom="character">
                        <wp:align>left</wp:align>
                      </wp:positionH>
                      <wp:positionV relativeFrom="line">
                        <wp:posOffset>635</wp:posOffset>
                      </wp:positionV>
                      <wp:extent cx="69215" cy="175260"/>
                      <wp:effectExtent l="0" t="0" r="0" b="0"/>
                      <wp:wrapNone/>
                      <wp:docPr id="757" name="Frame71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before="53" w:after="30"/>
              <w:ind w:left="0" w:right="0" w:hanging="0"/>
              <w:rPr/>
            </w:pPr>
            <w:hyperlink r:id="rId60">
              <w:r>
                <w:rPr>
                  <w:rStyle w:val="InternetLink"/>
                  <w:rFonts w:ascii="Arial;Helvetica;sans-serif" w:hAnsi="Arial;Helvetica;sans-serif"/>
                  <w:b w:val="false"/>
                  <w:i w:val="false"/>
                  <w:caps w:val="false"/>
                  <w:smallCaps w:val="false"/>
                  <w:color w:val="0000FF"/>
                  <w:sz w:val="18"/>
                  <w:u w:val="single"/>
                </w:rPr>
                <w:t>Offer Letter, by and between the registrant and Mark Bach, M.D., dated April 19, 2021.</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9">
                      <wp:simplePos x="0" y="0"/>
                      <wp:positionH relativeFrom="character">
                        <wp:align>left</wp:align>
                      </wp:positionH>
                      <wp:positionV relativeFrom="line">
                        <wp:posOffset>635</wp:posOffset>
                      </wp:positionV>
                      <wp:extent cx="69215" cy="175260"/>
                      <wp:effectExtent l="0" t="0" r="0" b="0"/>
                      <wp:wrapNone/>
                      <wp:docPr id="758" name="Frame71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before="0" w:after="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0">
                      <wp:simplePos x="0" y="0"/>
                      <wp:positionH relativeFrom="character">
                        <wp:align>left</wp:align>
                      </wp:positionH>
                      <wp:positionV relativeFrom="line">
                        <wp:posOffset>635</wp:posOffset>
                      </wp:positionV>
                      <wp:extent cx="69215" cy="175260"/>
                      <wp:effectExtent l="0" t="0" r="0" b="0"/>
                      <wp:wrapNone/>
                      <wp:docPr id="759" name="Frame71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c>
          <w:tcPr>
            <w:tcW w:w="872" w:type="dxa"/>
            <w:tcBorders/>
            <w:shd w:fill="auto" w:val="clear"/>
            <w:vAlign w:val="center"/>
          </w:tcPr>
          <w:p>
            <w:pPr>
              <w:pStyle w:val="TableContents"/>
              <w:spacing w:before="0" w:after="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1">
                      <wp:simplePos x="0" y="0"/>
                      <wp:positionH relativeFrom="character">
                        <wp:align>left</wp:align>
                      </wp:positionH>
                      <wp:positionV relativeFrom="line">
                        <wp:posOffset>635</wp:posOffset>
                      </wp:positionV>
                      <wp:extent cx="69215" cy="175260"/>
                      <wp:effectExtent l="0" t="0" r="0" b="0"/>
                      <wp:wrapNone/>
                      <wp:docPr id="760" name="Frame71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c>
          <w:tcPr>
            <w:tcW w:w="571" w:type="dxa"/>
            <w:tcBorders/>
            <w:shd w:fill="auto" w:val="clear"/>
            <w:vAlign w:val="center"/>
          </w:tcPr>
          <w:p>
            <w:pPr>
              <w:pStyle w:val="TableContents"/>
              <w:spacing w:before="0" w:after="0"/>
              <w:ind w:left="0" w:right="0" w:hanging="0"/>
              <w:jc w:val="center"/>
              <w:rPr>
                <w:rFonts w:ascii="Arial;Helvetica;sans-serif" w:hAnsi="Arial;Helvetica;sans-serif"/>
                <w:sz w:val="18"/>
              </w:rPr>
            </w:pPr>
            <w:r>
              <w:rPr>
                <w:rFonts w:ascii="Arial;Helvetica;sans-serif" w:hAnsi="Arial;Helvetica;sans-serif"/>
                <w:sz w:val="18"/>
              </w:rPr>
              <w:t>10.13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2">
                      <wp:simplePos x="0" y="0"/>
                      <wp:positionH relativeFrom="character">
                        <wp:align>left</wp:align>
                      </wp:positionH>
                      <wp:positionV relativeFrom="line">
                        <wp:posOffset>635</wp:posOffset>
                      </wp:positionV>
                      <wp:extent cx="69215" cy="175260"/>
                      <wp:effectExtent l="0" t="0" r="0" b="0"/>
                      <wp:wrapNone/>
                      <wp:docPr id="761" name="Frame71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jc w:val="center"/>
                              <w:rPr/>
                            </w:pPr>
                            <w:r>
                              <w:rPr/>
                              <w:t>​</w:t>
                            </w:r>
                          </w:p>
                        </w:txbxContent>
                      </v:textbox>
                    </v:rect>
                  </w:pict>
                </mc:Fallback>
              </mc:AlternateContent>
            </w:r>
          </w:p>
        </w:tc>
        <w:tc>
          <w:tcPr>
            <w:tcW w:w="1044" w:type="dxa"/>
            <w:tcBorders/>
            <w:shd w:fill="auto" w:val="clear"/>
            <w:vAlign w:val="center"/>
          </w:tcPr>
          <w:p>
            <w:pPr>
              <w:pStyle w:val="TableContents"/>
              <w:spacing w:before="0" w:after="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3">
                      <wp:simplePos x="0" y="0"/>
                      <wp:positionH relativeFrom="character">
                        <wp:align>left</wp:align>
                      </wp:positionH>
                      <wp:positionV relativeFrom="line">
                        <wp:posOffset>635</wp:posOffset>
                      </wp:positionV>
                      <wp:extent cx="69215" cy="175260"/>
                      <wp:effectExtent l="0" t="0" r="0" b="0"/>
                      <wp:wrapNone/>
                      <wp:docPr id="762" name="Frame72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53" w:after="30"/>
              <w:ind w:left="0" w:right="0" w:hanging="0"/>
              <w:jc w:val="center"/>
              <w:rPr/>
            </w:pPr>
            <w:r>
              <w:rPr/>
              <w:t>​</w:t>
            </w:r>
          </w:p>
        </w:tc>
      </w:tr>
      <w:tr>
        <w:trPr/>
        <w:tc>
          <w:tcPr>
            <w:tcW w:w="6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4">
                      <wp:simplePos x="0" y="0"/>
                      <wp:positionH relativeFrom="character">
                        <wp:align>left</wp:align>
                      </wp:positionH>
                      <wp:positionV relativeFrom="line">
                        <wp:posOffset>635</wp:posOffset>
                      </wp:positionV>
                      <wp:extent cx="396240" cy="208915"/>
                      <wp:effectExtent l="0" t="0" r="0" b="0"/>
                      <wp:wrapNone/>
                      <wp:docPr id="763" name="Frame721"/>
                      <a:graphic xmlns:a="http://schemas.openxmlformats.org/drawingml/2006/main">
                        <a:graphicData uri="http://schemas.microsoft.com/office/word/2010/wordprocessingShape">
                          <wps:wsp>
                            <wps:cNvSpPr txBox="1"/>
                            <wps:spPr>
                              <a:xfrm>
                                <a:off x="0" y="0"/>
                                <a:ext cx="396240" cy="208915"/>
                              </a:xfrm>
                              <a:prstGeom prst="rect"/>
                            </wps:spPr>
                            <wps:txbx>
                              <w:txbxContent>
                                <w:p>
                                  <w:pPr>
                                    <w:pStyle w:val="TableContents"/>
                                    <w:spacing w:before="53" w:after="3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5">
                      <wp:simplePos x="0" y="0"/>
                      <wp:positionH relativeFrom="character">
                        <wp:align>left</wp:align>
                      </wp:positionH>
                      <wp:positionV relativeFrom="line">
                        <wp:posOffset>635</wp:posOffset>
                      </wp:positionV>
                      <wp:extent cx="69215" cy="175260"/>
                      <wp:effectExtent l="0" t="0" r="0" b="0"/>
                      <wp:wrapNone/>
                      <wp:docPr id="764" name="Frame72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6">
                      <wp:simplePos x="0" y="0"/>
                      <wp:positionH relativeFrom="character">
                        <wp:align>left</wp:align>
                      </wp:positionH>
                      <wp:positionV relativeFrom="line">
                        <wp:posOffset>635</wp:posOffset>
                      </wp:positionV>
                      <wp:extent cx="3710305" cy="175260"/>
                      <wp:effectExtent l="0" t="0" r="0" b="0"/>
                      <wp:wrapNone/>
                      <wp:docPr id="765" name="Frame723"/>
                      <a:graphic xmlns:a="http://schemas.openxmlformats.org/drawingml/2006/main">
                        <a:graphicData uri="http://schemas.microsoft.com/office/word/2010/wordprocessingShape">
                          <wps:wsp>
                            <wps:cNvSpPr txBox="1"/>
                            <wps:spPr>
                              <a:xfrm>
                                <a:off x="0" y="0"/>
                                <a:ext cx="3710305"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7">
                      <wp:simplePos x="0" y="0"/>
                      <wp:positionH relativeFrom="character">
                        <wp:align>left</wp:align>
                      </wp:positionH>
                      <wp:positionV relativeFrom="line">
                        <wp:posOffset>635</wp:posOffset>
                      </wp:positionV>
                      <wp:extent cx="69215" cy="175260"/>
                      <wp:effectExtent l="0" t="0" r="0" b="0"/>
                      <wp:wrapNone/>
                      <wp:docPr id="766" name="Frame72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8">
                      <wp:simplePos x="0" y="0"/>
                      <wp:positionH relativeFrom="character">
                        <wp:align>left</wp:align>
                      </wp:positionH>
                      <wp:positionV relativeFrom="line">
                        <wp:posOffset>635</wp:posOffset>
                      </wp:positionV>
                      <wp:extent cx="205740" cy="175260"/>
                      <wp:effectExtent l="0" t="0" r="0" b="0"/>
                      <wp:wrapNone/>
                      <wp:docPr id="767" name="Frame725"/>
                      <a:graphic xmlns:a="http://schemas.openxmlformats.org/drawingml/2006/main">
                        <a:graphicData uri="http://schemas.microsoft.com/office/word/2010/wordprocessingShape">
                          <wps:wsp>
                            <wps:cNvSpPr txBox="1"/>
                            <wps:spPr>
                              <a:xfrm>
                                <a:off x="0" y="0"/>
                                <a:ext cx="205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9">
                      <wp:simplePos x="0" y="0"/>
                      <wp:positionH relativeFrom="character">
                        <wp:align>left</wp:align>
                      </wp:positionH>
                      <wp:positionV relativeFrom="line">
                        <wp:posOffset>635</wp:posOffset>
                      </wp:positionV>
                      <wp:extent cx="69215" cy="175260"/>
                      <wp:effectExtent l="0" t="0" r="0" b="0"/>
                      <wp:wrapNone/>
                      <wp:docPr id="768" name="Frame72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0">
                      <wp:simplePos x="0" y="0"/>
                      <wp:positionH relativeFrom="character">
                        <wp:align>left</wp:align>
                      </wp:positionH>
                      <wp:positionV relativeFrom="line">
                        <wp:posOffset>635</wp:posOffset>
                      </wp:positionV>
                      <wp:extent cx="553720" cy="175260"/>
                      <wp:effectExtent l="0" t="0" r="0" b="0"/>
                      <wp:wrapNone/>
                      <wp:docPr id="769" name="Frame727"/>
                      <a:graphic xmlns:a="http://schemas.openxmlformats.org/drawingml/2006/main">
                        <a:graphicData uri="http://schemas.microsoft.com/office/word/2010/wordprocessingShape">
                          <wps:wsp>
                            <wps:cNvSpPr txBox="1"/>
                            <wps:spPr>
                              <a:xfrm>
                                <a:off x="0" y="0"/>
                                <a:ext cx="553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1">
                      <wp:simplePos x="0" y="0"/>
                      <wp:positionH relativeFrom="character">
                        <wp:align>left</wp:align>
                      </wp:positionH>
                      <wp:positionV relativeFrom="line">
                        <wp:posOffset>635</wp:posOffset>
                      </wp:positionV>
                      <wp:extent cx="69215" cy="175260"/>
                      <wp:effectExtent l="0" t="0" r="0" b="0"/>
                      <wp:wrapNone/>
                      <wp:docPr id="770" name="Frame72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2">
                      <wp:simplePos x="0" y="0"/>
                      <wp:positionH relativeFrom="character">
                        <wp:align>left</wp:align>
                      </wp:positionH>
                      <wp:positionV relativeFrom="line">
                        <wp:posOffset>635</wp:posOffset>
                      </wp:positionV>
                      <wp:extent cx="362585" cy="175260"/>
                      <wp:effectExtent l="0" t="0" r="0" b="0"/>
                      <wp:wrapNone/>
                      <wp:docPr id="771" name="Frame72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3">
                      <wp:simplePos x="0" y="0"/>
                      <wp:positionH relativeFrom="character">
                        <wp:align>left</wp:align>
                      </wp:positionH>
                      <wp:positionV relativeFrom="line">
                        <wp:posOffset>635</wp:posOffset>
                      </wp:positionV>
                      <wp:extent cx="69215" cy="175260"/>
                      <wp:effectExtent l="0" t="0" r="0" b="0"/>
                      <wp:wrapNone/>
                      <wp:docPr id="772" name="Frame73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4">
                      <wp:simplePos x="0" y="0"/>
                      <wp:positionH relativeFrom="character">
                        <wp:align>left</wp:align>
                      </wp:positionH>
                      <wp:positionV relativeFrom="line">
                        <wp:posOffset>635</wp:posOffset>
                      </wp:positionV>
                      <wp:extent cx="662940" cy="175260"/>
                      <wp:effectExtent l="0" t="0" r="0" b="0"/>
                      <wp:wrapNone/>
                      <wp:docPr id="773" name="Frame731"/>
                      <a:graphic xmlns:a="http://schemas.openxmlformats.org/drawingml/2006/main">
                        <a:graphicData uri="http://schemas.microsoft.com/office/word/2010/wordprocessingShape">
                          <wps:wsp>
                            <wps:cNvSpPr txBox="1"/>
                            <wps:spPr>
                              <a:xfrm>
                                <a:off x="0" y="0"/>
                                <a:ext cx="662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5">
                      <wp:simplePos x="0" y="0"/>
                      <wp:positionH relativeFrom="character">
                        <wp:align>left</wp:align>
                      </wp:positionH>
                      <wp:positionV relativeFrom="line">
                        <wp:posOffset>635</wp:posOffset>
                      </wp:positionV>
                      <wp:extent cx="69215" cy="175260"/>
                      <wp:effectExtent l="0" t="0" r="0" b="0"/>
                      <wp:wrapNone/>
                      <wp:docPr id="774" name="Frame73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6">
                      <wp:simplePos x="0" y="0"/>
                      <wp:positionH relativeFrom="character">
                        <wp:align>left</wp:align>
                      </wp:positionH>
                      <wp:positionV relativeFrom="line">
                        <wp:posOffset>635</wp:posOffset>
                      </wp:positionV>
                      <wp:extent cx="173355" cy="175260"/>
                      <wp:effectExtent l="0" t="0" r="0" b="0"/>
                      <wp:wrapNone/>
                      <wp:docPr id="775" name="Frame733"/>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4"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10.14+</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7">
                      <wp:simplePos x="0" y="0"/>
                      <wp:positionH relativeFrom="character">
                        <wp:align>left</wp:align>
                      </wp:positionH>
                      <wp:positionV relativeFrom="line">
                        <wp:posOffset>635</wp:posOffset>
                      </wp:positionV>
                      <wp:extent cx="69215" cy="175260"/>
                      <wp:effectExtent l="0" t="0" r="0" b="0"/>
                      <wp:wrapNone/>
                      <wp:docPr id="776" name="Frame73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lineRule="atLeast" w:line="200" w:before="53" w:after="30"/>
              <w:ind w:left="0" w:right="0" w:hanging="0"/>
              <w:rPr/>
            </w:pPr>
            <w:hyperlink r:id="rId61">
              <w:r>
                <w:rPr>
                  <w:rStyle w:val="InternetLink"/>
                  <w:rFonts w:ascii="Arial;Helvetica;sans-serif" w:hAnsi="Arial;Helvetica;sans-serif"/>
                  <w:b w:val="false"/>
                  <w:i w:val="false"/>
                  <w:caps w:val="false"/>
                  <w:smallCaps w:val="false"/>
                  <w:color w:val="0000FF"/>
                  <w:sz w:val="18"/>
                  <w:u w:val="single"/>
                </w:rPr>
                <w:t>Offer Letter, by and between the registrant and Melita Sun Jung, dated April 23, 2021.</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8">
                      <wp:simplePos x="0" y="0"/>
                      <wp:positionH relativeFrom="character">
                        <wp:align>left</wp:align>
                      </wp:positionH>
                      <wp:positionV relativeFrom="line">
                        <wp:posOffset>635</wp:posOffset>
                      </wp:positionV>
                      <wp:extent cx="69215" cy="175260"/>
                      <wp:effectExtent l="0" t="0" r="0" b="0"/>
                      <wp:wrapNone/>
                      <wp:docPr id="777" name="Frame73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9">
                      <wp:simplePos x="0" y="0"/>
                      <wp:positionH relativeFrom="character">
                        <wp:align>left</wp:align>
                      </wp:positionH>
                      <wp:positionV relativeFrom="line">
                        <wp:posOffset>635</wp:posOffset>
                      </wp:positionV>
                      <wp:extent cx="69215" cy="208915"/>
                      <wp:effectExtent l="0" t="0" r="0" b="0"/>
                      <wp:wrapNone/>
                      <wp:docPr id="778" name="Frame736"/>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72"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0">
                      <wp:simplePos x="0" y="0"/>
                      <wp:positionH relativeFrom="character">
                        <wp:align>left</wp:align>
                      </wp:positionH>
                      <wp:positionV relativeFrom="line">
                        <wp:posOffset>635</wp:posOffset>
                      </wp:positionV>
                      <wp:extent cx="69215" cy="208915"/>
                      <wp:effectExtent l="0" t="0" r="0" b="0"/>
                      <wp:wrapNone/>
                      <wp:docPr id="779" name="Frame737"/>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57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10.14</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1">
                      <wp:simplePos x="0" y="0"/>
                      <wp:positionH relativeFrom="character">
                        <wp:align>left</wp:align>
                      </wp:positionH>
                      <wp:positionV relativeFrom="line">
                        <wp:posOffset>635</wp:posOffset>
                      </wp:positionV>
                      <wp:extent cx="69215" cy="208915"/>
                      <wp:effectExtent l="0" t="0" r="0" b="0"/>
                      <wp:wrapNone/>
                      <wp:docPr id="780" name="Frame73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104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2">
                      <wp:simplePos x="0" y="0"/>
                      <wp:positionH relativeFrom="character">
                        <wp:align>left</wp:align>
                      </wp:positionH>
                      <wp:positionV relativeFrom="line">
                        <wp:posOffset>635</wp:posOffset>
                      </wp:positionV>
                      <wp:extent cx="69215" cy="175260"/>
                      <wp:effectExtent l="0" t="0" r="0" b="0"/>
                      <wp:wrapNone/>
                      <wp:docPr id="781" name="Frame73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3">
                      <wp:simplePos x="0" y="0"/>
                      <wp:positionH relativeFrom="character">
                        <wp:align>left</wp:align>
                      </wp:positionH>
                      <wp:positionV relativeFrom="line">
                        <wp:posOffset>635</wp:posOffset>
                      </wp:positionV>
                      <wp:extent cx="173355" cy="175260"/>
                      <wp:effectExtent l="0" t="0" r="0" b="0"/>
                      <wp:wrapNone/>
                      <wp:docPr id="782" name="Frame740"/>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4">
                      <wp:simplePos x="0" y="0"/>
                      <wp:positionH relativeFrom="character">
                        <wp:align>left</wp:align>
                      </wp:positionH>
                      <wp:positionV relativeFrom="line">
                        <wp:posOffset>635</wp:posOffset>
                      </wp:positionV>
                      <wp:extent cx="396240" cy="208915"/>
                      <wp:effectExtent l="0" t="0" r="0" b="0"/>
                      <wp:wrapNone/>
                      <wp:docPr id="783" name="Frame741"/>
                      <a:graphic xmlns:a="http://schemas.openxmlformats.org/drawingml/2006/main">
                        <a:graphicData uri="http://schemas.microsoft.com/office/word/2010/wordprocessingShape">
                          <wps:wsp>
                            <wps:cNvSpPr txBox="1"/>
                            <wps:spPr>
                              <a:xfrm>
                                <a:off x="0" y="0"/>
                                <a:ext cx="396240" cy="208915"/>
                              </a:xfrm>
                              <a:prstGeom prst="rect"/>
                            </wps:spPr>
                            <wps:txbx>
                              <w:txbxContent>
                                <w:p>
                                  <w:pPr>
                                    <w:pStyle w:val="TableContents"/>
                                    <w:spacing w:before="53" w:after="3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5">
                      <wp:simplePos x="0" y="0"/>
                      <wp:positionH relativeFrom="character">
                        <wp:align>left</wp:align>
                      </wp:positionH>
                      <wp:positionV relativeFrom="line">
                        <wp:posOffset>635</wp:posOffset>
                      </wp:positionV>
                      <wp:extent cx="69215" cy="175260"/>
                      <wp:effectExtent l="0" t="0" r="0" b="0"/>
                      <wp:wrapNone/>
                      <wp:docPr id="784" name="Frame74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6">
                      <wp:simplePos x="0" y="0"/>
                      <wp:positionH relativeFrom="character">
                        <wp:align>left</wp:align>
                      </wp:positionH>
                      <wp:positionV relativeFrom="line">
                        <wp:posOffset>635</wp:posOffset>
                      </wp:positionV>
                      <wp:extent cx="3710305" cy="175260"/>
                      <wp:effectExtent l="0" t="0" r="0" b="0"/>
                      <wp:wrapNone/>
                      <wp:docPr id="785" name="Frame743"/>
                      <a:graphic xmlns:a="http://schemas.openxmlformats.org/drawingml/2006/main">
                        <a:graphicData uri="http://schemas.microsoft.com/office/word/2010/wordprocessingShape">
                          <wps:wsp>
                            <wps:cNvSpPr txBox="1"/>
                            <wps:spPr>
                              <a:xfrm>
                                <a:off x="0" y="0"/>
                                <a:ext cx="3710305"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7">
                      <wp:simplePos x="0" y="0"/>
                      <wp:positionH relativeFrom="character">
                        <wp:align>left</wp:align>
                      </wp:positionH>
                      <wp:positionV relativeFrom="line">
                        <wp:posOffset>635</wp:posOffset>
                      </wp:positionV>
                      <wp:extent cx="69215" cy="175260"/>
                      <wp:effectExtent l="0" t="0" r="0" b="0"/>
                      <wp:wrapNone/>
                      <wp:docPr id="786" name="Frame74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8">
                      <wp:simplePos x="0" y="0"/>
                      <wp:positionH relativeFrom="character">
                        <wp:align>left</wp:align>
                      </wp:positionH>
                      <wp:positionV relativeFrom="line">
                        <wp:posOffset>635</wp:posOffset>
                      </wp:positionV>
                      <wp:extent cx="205740" cy="175260"/>
                      <wp:effectExtent l="0" t="0" r="0" b="0"/>
                      <wp:wrapNone/>
                      <wp:docPr id="787" name="Frame745"/>
                      <a:graphic xmlns:a="http://schemas.openxmlformats.org/drawingml/2006/main">
                        <a:graphicData uri="http://schemas.microsoft.com/office/word/2010/wordprocessingShape">
                          <wps:wsp>
                            <wps:cNvSpPr txBox="1"/>
                            <wps:spPr>
                              <a:xfrm>
                                <a:off x="0" y="0"/>
                                <a:ext cx="205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9">
                      <wp:simplePos x="0" y="0"/>
                      <wp:positionH relativeFrom="character">
                        <wp:align>left</wp:align>
                      </wp:positionH>
                      <wp:positionV relativeFrom="line">
                        <wp:posOffset>635</wp:posOffset>
                      </wp:positionV>
                      <wp:extent cx="69215" cy="175260"/>
                      <wp:effectExtent l="0" t="0" r="0" b="0"/>
                      <wp:wrapNone/>
                      <wp:docPr id="788" name="Frame74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0">
                      <wp:simplePos x="0" y="0"/>
                      <wp:positionH relativeFrom="character">
                        <wp:align>left</wp:align>
                      </wp:positionH>
                      <wp:positionV relativeFrom="line">
                        <wp:posOffset>635</wp:posOffset>
                      </wp:positionV>
                      <wp:extent cx="553720" cy="175260"/>
                      <wp:effectExtent l="0" t="0" r="0" b="0"/>
                      <wp:wrapNone/>
                      <wp:docPr id="789" name="Frame747"/>
                      <a:graphic xmlns:a="http://schemas.openxmlformats.org/drawingml/2006/main">
                        <a:graphicData uri="http://schemas.microsoft.com/office/word/2010/wordprocessingShape">
                          <wps:wsp>
                            <wps:cNvSpPr txBox="1"/>
                            <wps:spPr>
                              <a:xfrm>
                                <a:off x="0" y="0"/>
                                <a:ext cx="553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1">
                      <wp:simplePos x="0" y="0"/>
                      <wp:positionH relativeFrom="character">
                        <wp:align>left</wp:align>
                      </wp:positionH>
                      <wp:positionV relativeFrom="line">
                        <wp:posOffset>635</wp:posOffset>
                      </wp:positionV>
                      <wp:extent cx="69215" cy="175260"/>
                      <wp:effectExtent l="0" t="0" r="0" b="0"/>
                      <wp:wrapNone/>
                      <wp:docPr id="790" name="Frame74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2">
                      <wp:simplePos x="0" y="0"/>
                      <wp:positionH relativeFrom="character">
                        <wp:align>left</wp:align>
                      </wp:positionH>
                      <wp:positionV relativeFrom="line">
                        <wp:posOffset>635</wp:posOffset>
                      </wp:positionV>
                      <wp:extent cx="362585" cy="175260"/>
                      <wp:effectExtent l="0" t="0" r="0" b="0"/>
                      <wp:wrapNone/>
                      <wp:docPr id="791" name="Frame74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3">
                      <wp:simplePos x="0" y="0"/>
                      <wp:positionH relativeFrom="character">
                        <wp:align>left</wp:align>
                      </wp:positionH>
                      <wp:positionV relativeFrom="line">
                        <wp:posOffset>635</wp:posOffset>
                      </wp:positionV>
                      <wp:extent cx="69215" cy="175260"/>
                      <wp:effectExtent l="0" t="0" r="0" b="0"/>
                      <wp:wrapNone/>
                      <wp:docPr id="792" name="Frame75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4">
                      <wp:simplePos x="0" y="0"/>
                      <wp:positionH relativeFrom="character">
                        <wp:align>left</wp:align>
                      </wp:positionH>
                      <wp:positionV relativeFrom="line">
                        <wp:posOffset>635</wp:posOffset>
                      </wp:positionV>
                      <wp:extent cx="662940" cy="175260"/>
                      <wp:effectExtent l="0" t="0" r="0" b="0"/>
                      <wp:wrapNone/>
                      <wp:docPr id="793" name="Frame751"/>
                      <a:graphic xmlns:a="http://schemas.openxmlformats.org/drawingml/2006/main">
                        <a:graphicData uri="http://schemas.microsoft.com/office/word/2010/wordprocessingShape">
                          <wps:wsp>
                            <wps:cNvSpPr txBox="1"/>
                            <wps:spPr>
                              <a:xfrm>
                                <a:off x="0" y="0"/>
                                <a:ext cx="662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5">
                      <wp:simplePos x="0" y="0"/>
                      <wp:positionH relativeFrom="character">
                        <wp:align>left</wp:align>
                      </wp:positionH>
                      <wp:positionV relativeFrom="line">
                        <wp:posOffset>635</wp:posOffset>
                      </wp:positionV>
                      <wp:extent cx="69215" cy="175260"/>
                      <wp:effectExtent l="0" t="0" r="0" b="0"/>
                      <wp:wrapNone/>
                      <wp:docPr id="794" name="Frame75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6">
                      <wp:simplePos x="0" y="0"/>
                      <wp:positionH relativeFrom="character">
                        <wp:align>left</wp:align>
                      </wp:positionH>
                      <wp:positionV relativeFrom="line">
                        <wp:posOffset>635</wp:posOffset>
                      </wp:positionV>
                      <wp:extent cx="173355" cy="175260"/>
                      <wp:effectExtent l="0" t="0" r="0" b="0"/>
                      <wp:wrapNone/>
                      <wp:docPr id="795" name="Frame753"/>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4"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10.15+</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7">
                      <wp:simplePos x="0" y="0"/>
                      <wp:positionH relativeFrom="character">
                        <wp:align>left</wp:align>
                      </wp:positionH>
                      <wp:positionV relativeFrom="line">
                        <wp:posOffset>635</wp:posOffset>
                      </wp:positionV>
                      <wp:extent cx="69215" cy="175260"/>
                      <wp:effectExtent l="0" t="0" r="0" b="0"/>
                      <wp:wrapNone/>
                      <wp:docPr id="796" name="Frame75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lineRule="atLeast" w:line="200" w:before="53" w:after="30"/>
              <w:ind w:left="0" w:right="0" w:hanging="0"/>
              <w:rPr/>
            </w:pPr>
            <w:hyperlink r:id="rId62">
              <w:r>
                <w:rPr>
                  <w:rStyle w:val="InternetLink"/>
                  <w:rFonts w:ascii="Arial;Helvetica;sans-serif" w:hAnsi="Arial;Helvetica;sans-serif"/>
                  <w:b w:val="false"/>
                  <w:i w:val="false"/>
                  <w:caps w:val="false"/>
                  <w:smallCaps w:val="false"/>
                  <w:color w:val="0000FF"/>
                  <w:sz w:val="18"/>
                  <w:u w:val="single"/>
                </w:rPr>
                <w:t>Employment Contract, by and between Shanghai ShouTi Biotechnology Co., Ltd. and Xichen Lin, dated July 22, 2019.</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8">
                      <wp:simplePos x="0" y="0"/>
                      <wp:positionH relativeFrom="character">
                        <wp:align>left</wp:align>
                      </wp:positionH>
                      <wp:positionV relativeFrom="line">
                        <wp:posOffset>635</wp:posOffset>
                      </wp:positionV>
                      <wp:extent cx="69215" cy="175260"/>
                      <wp:effectExtent l="0" t="0" r="0" b="0"/>
                      <wp:wrapNone/>
                      <wp:docPr id="797" name="Frame7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9">
                      <wp:simplePos x="0" y="0"/>
                      <wp:positionH relativeFrom="character">
                        <wp:align>left</wp:align>
                      </wp:positionH>
                      <wp:positionV relativeFrom="line">
                        <wp:posOffset>635</wp:posOffset>
                      </wp:positionV>
                      <wp:extent cx="69215" cy="208915"/>
                      <wp:effectExtent l="0" t="0" r="0" b="0"/>
                      <wp:wrapNone/>
                      <wp:docPr id="798" name="Frame756"/>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72"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0">
                      <wp:simplePos x="0" y="0"/>
                      <wp:positionH relativeFrom="character">
                        <wp:align>left</wp:align>
                      </wp:positionH>
                      <wp:positionV relativeFrom="line">
                        <wp:posOffset>635</wp:posOffset>
                      </wp:positionV>
                      <wp:extent cx="69215" cy="208915"/>
                      <wp:effectExtent l="0" t="0" r="0" b="0"/>
                      <wp:wrapNone/>
                      <wp:docPr id="799" name="Frame757"/>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57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10.15</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1">
                      <wp:simplePos x="0" y="0"/>
                      <wp:positionH relativeFrom="character">
                        <wp:align>left</wp:align>
                      </wp:positionH>
                      <wp:positionV relativeFrom="line">
                        <wp:posOffset>635</wp:posOffset>
                      </wp:positionV>
                      <wp:extent cx="69215" cy="208915"/>
                      <wp:effectExtent l="0" t="0" r="0" b="0"/>
                      <wp:wrapNone/>
                      <wp:docPr id="800" name="Frame75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104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2">
                      <wp:simplePos x="0" y="0"/>
                      <wp:positionH relativeFrom="character">
                        <wp:align>left</wp:align>
                      </wp:positionH>
                      <wp:positionV relativeFrom="line">
                        <wp:posOffset>635</wp:posOffset>
                      </wp:positionV>
                      <wp:extent cx="69215" cy="175260"/>
                      <wp:effectExtent l="0" t="0" r="0" b="0"/>
                      <wp:wrapNone/>
                      <wp:docPr id="801" name="Frame75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3">
                      <wp:simplePos x="0" y="0"/>
                      <wp:positionH relativeFrom="character">
                        <wp:align>left</wp:align>
                      </wp:positionH>
                      <wp:positionV relativeFrom="line">
                        <wp:posOffset>635</wp:posOffset>
                      </wp:positionV>
                      <wp:extent cx="173355" cy="175260"/>
                      <wp:effectExtent l="0" t="0" r="0" b="0"/>
                      <wp:wrapNone/>
                      <wp:docPr id="802" name="Frame760"/>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4">
                      <wp:simplePos x="0" y="0"/>
                      <wp:positionH relativeFrom="character">
                        <wp:align>left</wp:align>
                      </wp:positionH>
                      <wp:positionV relativeFrom="line">
                        <wp:posOffset>635</wp:posOffset>
                      </wp:positionV>
                      <wp:extent cx="396240" cy="208915"/>
                      <wp:effectExtent l="0" t="0" r="0" b="0"/>
                      <wp:wrapNone/>
                      <wp:docPr id="803" name="Frame761"/>
                      <a:graphic xmlns:a="http://schemas.openxmlformats.org/drawingml/2006/main">
                        <a:graphicData uri="http://schemas.microsoft.com/office/word/2010/wordprocessingShape">
                          <wps:wsp>
                            <wps:cNvSpPr txBox="1"/>
                            <wps:spPr>
                              <a:xfrm>
                                <a:off x="0" y="0"/>
                                <a:ext cx="396240" cy="208915"/>
                              </a:xfrm>
                              <a:prstGeom prst="rect"/>
                            </wps:spPr>
                            <wps:txbx>
                              <w:txbxContent>
                                <w:p>
                                  <w:pPr>
                                    <w:pStyle w:val="TableContents"/>
                                    <w:spacing w:before="53" w:after="3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5">
                      <wp:simplePos x="0" y="0"/>
                      <wp:positionH relativeFrom="character">
                        <wp:align>left</wp:align>
                      </wp:positionH>
                      <wp:positionV relativeFrom="line">
                        <wp:posOffset>635</wp:posOffset>
                      </wp:positionV>
                      <wp:extent cx="69215" cy="175260"/>
                      <wp:effectExtent l="0" t="0" r="0" b="0"/>
                      <wp:wrapNone/>
                      <wp:docPr id="804" name="Frame76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6">
                      <wp:simplePos x="0" y="0"/>
                      <wp:positionH relativeFrom="character">
                        <wp:align>left</wp:align>
                      </wp:positionH>
                      <wp:positionV relativeFrom="line">
                        <wp:posOffset>635</wp:posOffset>
                      </wp:positionV>
                      <wp:extent cx="3710305" cy="175260"/>
                      <wp:effectExtent l="0" t="0" r="0" b="0"/>
                      <wp:wrapNone/>
                      <wp:docPr id="805" name="Frame763"/>
                      <a:graphic xmlns:a="http://schemas.openxmlformats.org/drawingml/2006/main">
                        <a:graphicData uri="http://schemas.microsoft.com/office/word/2010/wordprocessingShape">
                          <wps:wsp>
                            <wps:cNvSpPr txBox="1"/>
                            <wps:spPr>
                              <a:xfrm>
                                <a:off x="0" y="0"/>
                                <a:ext cx="3710305"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7">
                      <wp:simplePos x="0" y="0"/>
                      <wp:positionH relativeFrom="character">
                        <wp:align>left</wp:align>
                      </wp:positionH>
                      <wp:positionV relativeFrom="line">
                        <wp:posOffset>635</wp:posOffset>
                      </wp:positionV>
                      <wp:extent cx="69215" cy="175260"/>
                      <wp:effectExtent l="0" t="0" r="0" b="0"/>
                      <wp:wrapNone/>
                      <wp:docPr id="806" name="Frame76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8">
                      <wp:simplePos x="0" y="0"/>
                      <wp:positionH relativeFrom="character">
                        <wp:align>left</wp:align>
                      </wp:positionH>
                      <wp:positionV relativeFrom="line">
                        <wp:posOffset>635</wp:posOffset>
                      </wp:positionV>
                      <wp:extent cx="205740" cy="175260"/>
                      <wp:effectExtent l="0" t="0" r="0" b="0"/>
                      <wp:wrapNone/>
                      <wp:docPr id="807" name="Frame765"/>
                      <a:graphic xmlns:a="http://schemas.openxmlformats.org/drawingml/2006/main">
                        <a:graphicData uri="http://schemas.microsoft.com/office/word/2010/wordprocessingShape">
                          <wps:wsp>
                            <wps:cNvSpPr txBox="1"/>
                            <wps:spPr>
                              <a:xfrm>
                                <a:off x="0" y="0"/>
                                <a:ext cx="205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9">
                      <wp:simplePos x="0" y="0"/>
                      <wp:positionH relativeFrom="character">
                        <wp:align>left</wp:align>
                      </wp:positionH>
                      <wp:positionV relativeFrom="line">
                        <wp:posOffset>635</wp:posOffset>
                      </wp:positionV>
                      <wp:extent cx="69215" cy="175260"/>
                      <wp:effectExtent l="0" t="0" r="0" b="0"/>
                      <wp:wrapNone/>
                      <wp:docPr id="808" name="Frame76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0">
                      <wp:simplePos x="0" y="0"/>
                      <wp:positionH relativeFrom="character">
                        <wp:align>left</wp:align>
                      </wp:positionH>
                      <wp:positionV relativeFrom="line">
                        <wp:posOffset>635</wp:posOffset>
                      </wp:positionV>
                      <wp:extent cx="553720" cy="175260"/>
                      <wp:effectExtent l="0" t="0" r="0" b="0"/>
                      <wp:wrapNone/>
                      <wp:docPr id="809" name="Frame767"/>
                      <a:graphic xmlns:a="http://schemas.openxmlformats.org/drawingml/2006/main">
                        <a:graphicData uri="http://schemas.microsoft.com/office/word/2010/wordprocessingShape">
                          <wps:wsp>
                            <wps:cNvSpPr txBox="1"/>
                            <wps:spPr>
                              <a:xfrm>
                                <a:off x="0" y="0"/>
                                <a:ext cx="553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1">
                      <wp:simplePos x="0" y="0"/>
                      <wp:positionH relativeFrom="character">
                        <wp:align>left</wp:align>
                      </wp:positionH>
                      <wp:positionV relativeFrom="line">
                        <wp:posOffset>635</wp:posOffset>
                      </wp:positionV>
                      <wp:extent cx="69215" cy="175260"/>
                      <wp:effectExtent l="0" t="0" r="0" b="0"/>
                      <wp:wrapNone/>
                      <wp:docPr id="810" name="Frame76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2">
                      <wp:simplePos x="0" y="0"/>
                      <wp:positionH relativeFrom="character">
                        <wp:align>left</wp:align>
                      </wp:positionH>
                      <wp:positionV relativeFrom="line">
                        <wp:posOffset>635</wp:posOffset>
                      </wp:positionV>
                      <wp:extent cx="362585" cy="175260"/>
                      <wp:effectExtent l="0" t="0" r="0" b="0"/>
                      <wp:wrapNone/>
                      <wp:docPr id="811" name="Frame76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3">
                      <wp:simplePos x="0" y="0"/>
                      <wp:positionH relativeFrom="character">
                        <wp:align>left</wp:align>
                      </wp:positionH>
                      <wp:positionV relativeFrom="line">
                        <wp:posOffset>635</wp:posOffset>
                      </wp:positionV>
                      <wp:extent cx="69215" cy="175260"/>
                      <wp:effectExtent l="0" t="0" r="0" b="0"/>
                      <wp:wrapNone/>
                      <wp:docPr id="812" name="Frame77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4">
                      <wp:simplePos x="0" y="0"/>
                      <wp:positionH relativeFrom="character">
                        <wp:align>left</wp:align>
                      </wp:positionH>
                      <wp:positionV relativeFrom="line">
                        <wp:posOffset>635</wp:posOffset>
                      </wp:positionV>
                      <wp:extent cx="662940" cy="175260"/>
                      <wp:effectExtent l="0" t="0" r="0" b="0"/>
                      <wp:wrapNone/>
                      <wp:docPr id="813" name="Frame771"/>
                      <a:graphic xmlns:a="http://schemas.openxmlformats.org/drawingml/2006/main">
                        <a:graphicData uri="http://schemas.microsoft.com/office/word/2010/wordprocessingShape">
                          <wps:wsp>
                            <wps:cNvSpPr txBox="1"/>
                            <wps:spPr>
                              <a:xfrm>
                                <a:off x="0" y="0"/>
                                <a:ext cx="662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5">
                      <wp:simplePos x="0" y="0"/>
                      <wp:positionH relativeFrom="character">
                        <wp:align>left</wp:align>
                      </wp:positionH>
                      <wp:positionV relativeFrom="line">
                        <wp:posOffset>635</wp:posOffset>
                      </wp:positionV>
                      <wp:extent cx="69215" cy="175260"/>
                      <wp:effectExtent l="0" t="0" r="0" b="0"/>
                      <wp:wrapNone/>
                      <wp:docPr id="814" name="Frame77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6">
                      <wp:simplePos x="0" y="0"/>
                      <wp:positionH relativeFrom="character">
                        <wp:align>left</wp:align>
                      </wp:positionH>
                      <wp:positionV relativeFrom="line">
                        <wp:posOffset>635</wp:posOffset>
                      </wp:positionV>
                      <wp:extent cx="173355" cy="175260"/>
                      <wp:effectExtent l="0" t="0" r="0" b="0"/>
                      <wp:wrapNone/>
                      <wp:docPr id="815" name="Frame773"/>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4"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10.16+</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7">
                      <wp:simplePos x="0" y="0"/>
                      <wp:positionH relativeFrom="character">
                        <wp:align>left</wp:align>
                      </wp:positionH>
                      <wp:positionV relativeFrom="line">
                        <wp:posOffset>635</wp:posOffset>
                      </wp:positionV>
                      <wp:extent cx="69215" cy="175260"/>
                      <wp:effectExtent l="0" t="0" r="0" b="0"/>
                      <wp:wrapNone/>
                      <wp:docPr id="816" name="Frame77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lineRule="atLeast" w:line="200" w:before="53" w:after="30"/>
              <w:ind w:left="0" w:right="0" w:hanging="0"/>
              <w:rPr/>
            </w:pPr>
            <w:hyperlink r:id="rId63">
              <w:r>
                <w:rPr>
                  <w:rStyle w:val="InternetLink"/>
                  <w:rFonts w:ascii="Arial;Helvetica;sans-serif" w:hAnsi="Arial;Helvetica;sans-serif"/>
                  <w:b w:val="false"/>
                  <w:i w:val="false"/>
                  <w:caps w:val="false"/>
                  <w:smallCaps w:val="false"/>
                  <w:color w:val="0000FF"/>
                  <w:sz w:val="18"/>
                  <w:u w:val="single"/>
                </w:rPr>
                <w:t>Employment Contract, by and between Shanghai ShouTi Biotechnology Co., Ltd. and Yingli Ma, dated November 1, 2022.</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8">
                      <wp:simplePos x="0" y="0"/>
                      <wp:positionH relativeFrom="character">
                        <wp:align>left</wp:align>
                      </wp:positionH>
                      <wp:positionV relativeFrom="line">
                        <wp:posOffset>635</wp:posOffset>
                      </wp:positionV>
                      <wp:extent cx="69215" cy="175260"/>
                      <wp:effectExtent l="0" t="0" r="0" b="0"/>
                      <wp:wrapNone/>
                      <wp:docPr id="817" name="Frame77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69215" cy="208915"/>
                      <wp:effectExtent l="0" t="0" r="0" b="0"/>
                      <wp:wrapNone/>
                      <wp:docPr id="818" name="Frame776"/>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72"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0">
                      <wp:simplePos x="0" y="0"/>
                      <wp:positionH relativeFrom="character">
                        <wp:align>left</wp:align>
                      </wp:positionH>
                      <wp:positionV relativeFrom="line">
                        <wp:posOffset>635</wp:posOffset>
                      </wp:positionV>
                      <wp:extent cx="69215" cy="208915"/>
                      <wp:effectExtent l="0" t="0" r="0" b="0"/>
                      <wp:wrapNone/>
                      <wp:docPr id="819" name="Frame777"/>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57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10.16</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1">
                      <wp:simplePos x="0" y="0"/>
                      <wp:positionH relativeFrom="character">
                        <wp:align>left</wp:align>
                      </wp:positionH>
                      <wp:positionV relativeFrom="line">
                        <wp:posOffset>635</wp:posOffset>
                      </wp:positionV>
                      <wp:extent cx="69215" cy="208915"/>
                      <wp:effectExtent l="0" t="0" r="0" b="0"/>
                      <wp:wrapNone/>
                      <wp:docPr id="820" name="Frame77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104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2">
                      <wp:simplePos x="0" y="0"/>
                      <wp:positionH relativeFrom="character">
                        <wp:align>left</wp:align>
                      </wp:positionH>
                      <wp:positionV relativeFrom="line">
                        <wp:posOffset>635</wp:posOffset>
                      </wp:positionV>
                      <wp:extent cx="69215" cy="175260"/>
                      <wp:effectExtent l="0" t="0" r="0" b="0"/>
                      <wp:wrapNone/>
                      <wp:docPr id="821" name="Frame77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3">
                      <wp:simplePos x="0" y="0"/>
                      <wp:positionH relativeFrom="character">
                        <wp:align>left</wp:align>
                      </wp:positionH>
                      <wp:positionV relativeFrom="line">
                        <wp:posOffset>635</wp:posOffset>
                      </wp:positionV>
                      <wp:extent cx="173355" cy="175260"/>
                      <wp:effectExtent l="0" t="0" r="0" b="0"/>
                      <wp:wrapNone/>
                      <wp:docPr id="822" name="Frame780"/>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4">
                      <wp:simplePos x="0" y="0"/>
                      <wp:positionH relativeFrom="character">
                        <wp:align>left</wp:align>
                      </wp:positionH>
                      <wp:positionV relativeFrom="line">
                        <wp:posOffset>635</wp:posOffset>
                      </wp:positionV>
                      <wp:extent cx="396240" cy="208915"/>
                      <wp:effectExtent l="0" t="0" r="0" b="0"/>
                      <wp:wrapNone/>
                      <wp:docPr id="823" name="Frame781"/>
                      <a:graphic xmlns:a="http://schemas.openxmlformats.org/drawingml/2006/main">
                        <a:graphicData uri="http://schemas.microsoft.com/office/word/2010/wordprocessingShape">
                          <wps:wsp>
                            <wps:cNvSpPr txBox="1"/>
                            <wps:spPr>
                              <a:xfrm>
                                <a:off x="0" y="0"/>
                                <a:ext cx="396240" cy="208915"/>
                              </a:xfrm>
                              <a:prstGeom prst="rect"/>
                            </wps:spPr>
                            <wps:txbx>
                              <w:txbxContent>
                                <w:p>
                                  <w:pPr>
                                    <w:pStyle w:val="TableContents"/>
                                    <w:spacing w:before="53" w:after="3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5">
                      <wp:simplePos x="0" y="0"/>
                      <wp:positionH relativeFrom="character">
                        <wp:align>left</wp:align>
                      </wp:positionH>
                      <wp:positionV relativeFrom="line">
                        <wp:posOffset>635</wp:posOffset>
                      </wp:positionV>
                      <wp:extent cx="69215" cy="175260"/>
                      <wp:effectExtent l="0" t="0" r="0" b="0"/>
                      <wp:wrapNone/>
                      <wp:docPr id="824" name="Frame78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6">
                      <wp:simplePos x="0" y="0"/>
                      <wp:positionH relativeFrom="character">
                        <wp:align>left</wp:align>
                      </wp:positionH>
                      <wp:positionV relativeFrom="line">
                        <wp:posOffset>635</wp:posOffset>
                      </wp:positionV>
                      <wp:extent cx="3710305" cy="175260"/>
                      <wp:effectExtent l="0" t="0" r="0" b="0"/>
                      <wp:wrapNone/>
                      <wp:docPr id="825" name="Frame783"/>
                      <a:graphic xmlns:a="http://schemas.openxmlformats.org/drawingml/2006/main">
                        <a:graphicData uri="http://schemas.microsoft.com/office/word/2010/wordprocessingShape">
                          <wps:wsp>
                            <wps:cNvSpPr txBox="1"/>
                            <wps:spPr>
                              <a:xfrm>
                                <a:off x="0" y="0"/>
                                <a:ext cx="3710305"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7">
                      <wp:simplePos x="0" y="0"/>
                      <wp:positionH relativeFrom="character">
                        <wp:align>left</wp:align>
                      </wp:positionH>
                      <wp:positionV relativeFrom="line">
                        <wp:posOffset>635</wp:posOffset>
                      </wp:positionV>
                      <wp:extent cx="69215" cy="175260"/>
                      <wp:effectExtent l="0" t="0" r="0" b="0"/>
                      <wp:wrapNone/>
                      <wp:docPr id="826" name="Frame78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8">
                      <wp:simplePos x="0" y="0"/>
                      <wp:positionH relativeFrom="character">
                        <wp:align>left</wp:align>
                      </wp:positionH>
                      <wp:positionV relativeFrom="line">
                        <wp:posOffset>635</wp:posOffset>
                      </wp:positionV>
                      <wp:extent cx="205740" cy="175260"/>
                      <wp:effectExtent l="0" t="0" r="0" b="0"/>
                      <wp:wrapNone/>
                      <wp:docPr id="827" name="Frame785"/>
                      <a:graphic xmlns:a="http://schemas.openxmlformats.org/drawingml/2006/main">
                        <a:graphicData uri="http://schemas.microsoft.com/office/word/2010/wordprocessingShape">
                          <wps:wsp>
                            <wps:cNvSpPr txBox="1"/>
                            <wps:spPr>
                              <a:xfrm>
                                <a:off x="0" y="0"/>
                                <a:ext cx="205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9">
                      <wp:simplePos x="0" y="0"/>
                      <wp:positionH relativeFrom="character">
                        <wp:align>left</wp:align>
                      </wp:positionH>
                      <wp:positionV relativeFrom="line">
                        <wp:posOffset>635</wp:posOffset>
                      </wp:positionV>
                      <wp:extent cx="69215" cy="175260"/>
                      <wp:effectExtent l="0" t="0" r="0" b="0"/>
                      <wp:wrapNone/>
                      <wp:docPr id="828" name="Frame78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0">
                      <wp:simplePos x="0" y="0"/>
                      <wp:positionH relativeFrom="character">
                        <wp:align>left</wp:align>
                      </wp:positionH>
                      <wp:positionV relativeFrom="line">
                        <wp:posOffset>635</wp:posOffset>
                      </wp:positionV>
                      <wp:extent cx="553720" cy="175260"/>
                      <wp:effectExtent l="0" t="0" r="0" b="0"/>
                      <wp:wrapNone/>
                      <wp:docPr id="829" name="Frame787"/>
                      <a:graphic xmlns:a="http://schemas.openxmlformats.org/drawingml/2006/main">
                        <a:graphicData uri="http://schemas.microsoft.com/office/word/2010/wordprocessingShape">
                          <wps:wsp>
                            <wps:cNvSpPr txBox="1"/>
                            <wps:spPr>
                              <a:xfrm>
                                <a:off x="0" y="0"/>
                                <a:ext cx="553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1">
                      <wp:simplePos x="0" y="0"/>
                      <wp:positionH relativeFrom="character">
                        <wp:align>left</wp:align>
                      </wp:positionH>
                      <wp:positionV relativeFrom="line">
                        <wp:posOffset>635</wp:posOffset>
                      </wp:positionV>
                      <wp:extent cx="69215" cy="175260"/>
                      <wp:effectExtent l="0" t="0" r="0" b="0"/>
                      <wp:wrapNone/>
                      <wp:docPr id="830" name="Frame78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2">
                      <wp:simplePos x="0" y="0"/>
                      <wp:positionH relativeFrom="character">
                        <wp:align>left</wp:align>
                      </wp:positionH>
                      <wp:positionV relativeFrom="line">
                        <wp:posOffset>635</wp:posOffset>
                      </wp:positionV>
                      <wp:extent cx="362585" cy="175260"/>
                      <wp:effectExtent l="0" t="0" r="0" b="0"/>
                      <wp:wrapNone/>
                      <wp:docPr id="831" name="Frame78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3">
                      <wp:simplePos x="0" y="0"/>
                      <wp:positionH relativeFrom="character">
                        <wp:align>left</wp:align>
                      </wp:positionH>
                      <wp:positionV relativeFrom="line">
                        <wp:posOffset>635</wp:posOffset>
                      </wp:positionV>
                      <wp:extent cx="69215" cy="175260"/>
                      <wp:effectExtent l="0" t="0" r="0" b="0"/>
                      <wp:wrapNone/>
                      <wp:docPr id="832" name="Frame79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4">
                      <wp:simplePos x="0" y="0"/>
                      <wp:positionH relativeFrom="character">
                        <wp:align>left</wp:align>
                      </wp:positionH>
                      <wp:positionV relativeFrom="line">
                        <wp:posOffset>635</wp:posOffset>
                      </wp:positionV>
                      <wp:extent cx="662940" cy="175260"/>
                      <wp:effectExtent l="0" t="0" r="0" b="0"/>
                      <wp:wrapNone/>
                      <wp:docPr id="833" name="Frame791"/>
                      <a:graphic xmlns:a="http://schemas.openxmlformats.org/drawingml/2006/main">
                        <a:graphicData uri="http://schemas.microsoft.com/office/word/2010/wordprocessingShape">
                          <wps:wsp>
                            <wps:cNvSpPr txBox="1"/>
                            <wps:spPr>
                              <a:xfrm>
                                <a:off x="0" y="0"/>
                                <a:ext cx="662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5">
                      <wp:simplePos x="0" y="0"/>
                      <wp:positionH relativeFrom="character">
                        <wp:align>left</wp:align>
                      </wp:positionH>
                      <wp:positionV relativeFrom="line">
                        <wp:posOffset>635</wp:posOffset>
                      </wp:positionV>
                      <wp:extent cx="69215" cy="175260"/>
                      <wp:effectExtent l="0" t="0" r="0" b="0"/>
                      <wp:wrapNone/>
                      <wp:docPr id="834" name="Frame79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6">
                      <wp:simplePos x="0" y="0"/>
                      <wp:positionH relativeFrom="character">
                        <wp:align>left</wp:align>
                      </wp:positionH>
                      <wp:positionV relativeFrom="line">
                        <wp:posOffset>635</wp:posOffset>
                      </wp:positionV>
                      <wp:extent cx="173355" cy="175260"/>
                      <wp:effectExtent l="0" t="0" r="0" b="0"/>
                      <wp:wrapNone/>
                      <wp:docPr id="835" name="Frame793"/>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4"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10.17+</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7">
                      <wp:simplePos x="0" y="0"/>
                      <wp:positionH relativeFrom="character">
                        <wp:align>left</wp:align>
                      </wp:positionH>
                      <wp:positionV relativeFrom="line">
                        <wp:posOffset>635</wp:posOffset>
                      </wp:positionV>
                      <wp:extent cx="69215" cy="175260"/>
                      <wp:effectExtent l="0" t="0" r="0" b="0"/>
                      <wp:wrapNone/>
                      <wp:docPr id="836" name="Frame79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lineRule="atLeast" w:line="200" w:before="53" w:after="30"/>
              <w:ind w:left="0" w:right="0" w:hanging="0"/>
              <w:rPr/>
            </w:pPr>
            <w:hyperlink r:id="rId64">
              <w:r>
                <w:rPr>
                  <w:rStyle w:val="InternetLink"/>
                  <w:rFonts w:ascii="Arial;Helvetica;sans-serif" w:hAnsi="Arial;Helvetica;sans-serif"/>
                  <w:b w:val="false"/>
                  <w:i w:val="false"/>
                  <w:caps w:val="false"/>
                  <w:smallCaps w:val="false"/>
                  <w:color w:val="0000FF"/>
                  <w:sz w:val="18"/>
                  <w:u w:val="single"/>
                </w:rPr>
                <w:t>Supplemental Agreement, by and among Shanghai Basecamp Biotechnology Co., Ltd., Shanghai ShouTi Biotechnology Co., Ltd. and Yingli Ma, dated October 31, 2022.</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8">
                      <wp:simplePos x="0" y="0"/>
                      <wp:positionH relativeFrom="character">
                        <wp:align>left</wp:align>
                      </wp:positionH>
                      <wp:positionV relativeFrom="line">
                        <wp:posOffset>635</wp:posOffset>
                      </wp:positionV>
                      <wp:extent cx="69215" cy="175260"/>
                      <wp:effectExtent l="0" t="0" r="0" b="0"/>
                      <wp:wrapNone/>
                      <wp:docPr id="837" name="Frame79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9">
                      <wp:simplePos x="0" y="0"/>
                      <wp:positionH relativeFrom="character">
                        <wp:align>left</wp:align>
                      </wp:positionH>
                      <wp:positionV relativeFrom="line">
                        <wp:posOffset>635</wp:posOffset>
                      </wp:positionV>
                      <wp:extent cx="69215" cy="208915"/>
                      <wp:effectExtent l="0" t="0" r="0" b="0"/>
                      <wp:wrapNone/>
                      <wp:docPr id="838" name="Frame796"/>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72"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0">
                      <wp:simplePos x="0" y="0"/>
                      <wp:positionH relativeFrom="character">
                        <wp:align>left</wp:align>
                      </wp:positionH>
                      <wp:positionV relativeFrom="line">
                        <wp:posOffset>635</wp:posOffset>
                      </wp:positionV>
                      <wp:extent cx="69215" cy="208915"/>
                      <wp:effectExtent l="0" t="0" r="0" b="0"/>
                      <wp:wrapNone/>
                      <wp:docPr id="839" name="Frame797"/>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57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10.17</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1">
                      <wp:simplePos x="0" y="0"/>
                      <wp:positionH relativeFrom="character">
                        <wp:align>left</wp:align>
                      </wp:positionH>
                      <wp:positionV relativeFrom="line">
                        <wp:posOffset>635</wp:posOffset>
                      </wp:positionV>
                      <wp:extent cx="69215" cy="208915"/>
                      <wp:effectExtent l="0" t="0" r="0" b="0"/>
                      <wp:wrapNone/>
                      <wp:docPr id="840" name="Frame79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104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2">
                      <wp:simplePos x="0" y="0"/>
                      <wp:positionH relativeFrom="character">
                        <wp:align>left</wp:align>
                      </wp:positionH>
                      <wp:positionV relativeFrom="line">
                        <wp:posOffset>635</wp:posOffset>
                      </wp:positionV>
                      <wp:extent cx="69215" cy="175260"/>
                      <wp:effectExtent l="0" t="0" r="0" b="0"/>
                      <wp:wrapNone/>
                      <wp:docPr id="841" name="Frame79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3">
                      <wp:simplePos x="0" y="0"/>
                      <wp:positionH relativeFrom="character">
                        <wp:align>left</wp:align>
                      </wp:positionH>
                      <wp:positionV relativeFrom="line">
                        <wp:posOffset>635</wp:posOffset>
                      </wp:positionV>
                      <wp:extent cx="173355" cy="175260"/>
                      <wp:effectExtent l="0" t="0" r="0" b="0"/>
                      <wp:wrapNone/>
                      <wp:docPr id="842" name="Frame800"/>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4">
                      <wp:simplePos x="0" y="0"/>
                      <wp:positionH relativeFrom="character">
                        <wp:align>left</wp:align>
                      </wp:positionH>
                      <wp:positionV relativeFrom="line">
                        <wp:posOffset>635</wp:posOffset>
                      </wp:positionV>
                      <wp:extent cx="396240" cy="208915"/>
                      <wp:effectExtent l="0" t="0" r="0" b="0"/>
                      <wp:wrapNone/>
                      <wp:docPr id="843" name="Frame801"/>
                      <a:graphic xmlns:a="http://schemas.openxmlformats.org/drawingml/2006/main">
                        <a:graphicData uri="http://schemas.microsoft.com/office/word/2010/wordprocessingShape">
                          <wps:wsp>
                            <wps:cNvSpPr txBox="1"/>
                            <wps:spPr>
                              <a:xfrm>
                                <a:off x="0" y="0"/>
                                <a:ext cx="396240" cy="208915"/>
                              </a:xfrm>
                              <a:prstGeom prst="rect"/>
                            </wps:spPr>
                            <wps:txbx>
                              <w:txbxContent>
                                <w:p>
                                  <w:pPr>
                                    <w:pStyle w:val="TableContents"/>
                                    <w:spacing w:before="53" w:after="3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5">
                      <wp:simplePos x="0" y="0"/>
                      <wp:positionH relativeFrom="character">
                        <wp:align>left</wp:align>
                      </wp:positionH>
                      <wp:positionV relativeFrom="line">
                        <wp:posOffset>635</wp:posOffset>
                      </wp:positionV>
                      <wp:extent cx="69215" cy="175260"/>
                      <wp:effectExtent l="0" t="0" r="0" b="0"/>
                      <wp:wrapNone/>
                      <wp:docPr id="844" name="Frame80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6">
                      <wp:simplePos x="0" y="0"/>
                      <wp:positionH relativeFrom="character">
                        <wp:align>left</wp:align>
                      </wp:positionH>
                      <wp:positionV relativeFrom="line">
                        <wp:posOffset>635</wp:posOffset>
                      </wp:positionV>
                      <wp:extent cx="3710305" cy="175260"/>
                      <wp:effectExtent l="0" t="0" r="0" b="0"/>
                      <wp:wrapNone/>
                      <wp:docPr id="845" name="Frame803"/>
                      <a:graphic xmlns:a="http://schemas.openxmlformats.org/drawingml/2006/main">
                        <a:graphicData uri="http://schemas.microsoft.com/office/word/2010/wordprocessingShape">
                          <wps:wsp>
                            <wps:cNvSpPr txBox="1"/>
                            <wps:spPr>
                              <a:xfrm>
                                <a:off x="0" y="0"/>
                                <a:ext cx="3710305"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7">
                      <wp:simplePos x="0" y="0"/>
                      <wp:positionH relativeFrom="character">
                        <wp:align>left</wp:align>
                      </wp:positionH>
                      <wp:positionV relativeFrom="line">
                        <wp:posOffset>635</wp:posOffset>
                      </wp:positionV>
                      <wp:extent cx="69215" cy="175260"/>
                      <wp:effectExtent l="0" t="0" r="0" b="0"/>
                      <wp:wrapNone/>
                      <wp:docPr id="846" name="Frame80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8">
                      <wp:simplePos x="0" y="0"/>
                      <wp:positionH relativeFrom="character">
                        <wp:align>left</wp:align>
                      </wp:positionH>
                      <wp:positionV relativeFrom="line">
                        <wp:posOffset>635</wp:posOffset>
                      </wp:positionV>
                      <wp:extent cx="205740" cy="175260"/>
                      <wp:effectExtent l="0" t="0" r="0" b="0"/>
                      <wp:wrapNone/>
                      <wp:docPr id="847" name="Frame805"/>
                      <a:graphic xmlns:a="http://schemas.openxmlformats.org/drawingml/2006/main">
                        <a:graphicData uri="http://schemas.microsoft.com/office/word/2010/wordprocessingShape">
                          <wps:wsp>
                            <wps:cNvSpPr txBox="1"/>
                            <wps:spPr>
                              <a:xfrm>
                                <a:off x="0" y="0"/>
                                <a:ext cx="205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9">
                      <wp:simplePos x="0" y="0"/>
                      <wp:positionH relativeFrom="character">
                        <wp:align>left</wp:align>
                      </wp:positionH>
                      <wp:positionV relativeFrom="line">
                        <wp:posOffset>635</wp:posOffset>
                      </wp:positionV>
                      <wp:extent cx="69215" cy="175260"/>
                      <wp:effectExtent l="0" t="0" r="0" b="0"/>
                      <wp:wrapNone/>
                      <wp:docPr id="848" name="Frame80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0">
                      <wp:simplePos x="0" y="0"/>
                      <wp:positionH relativeFrom="character">
                        <wp:align>left</wp:align>
                      </wp:positionH>
                      <wp:positionV relativeFrom="line">
                        <wp:posOffset>635</wp:posOffset>
                      </wp:positionV>
                      <wp:extent cx="553720" cy="175260"/>
                      <wp:effectExtent l="0" t="0" r="0" b="0"/>
                      <wp:wrapNone/>
                      <wp:docPr id="849" name="Frame807"/>
                      <a:graphic xmlns:a="http://schemas.openxmlformats.org/drawingml/2006/main">
                        <a:graphicData uri="http://schemas.microsoft.com/office/word/2010/wordprocessingShape">
                          <wps:wsp>
                            <wps:cNvSpPr txBox="1"/>
                            <wps:spPr>
                              <a:xfrm>
                                <a:off x="0" y="0"/>
                                <a:ext cx="553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1">
                      <wp:simplePos x="0" y="0"/>
                      <wp:positionH relativeFrom="character">
                        <wp:align>left</wp:align>
                      </wp:positionH>
                      <wp:positionV relativeFrom="line">
                        <wp:posOffset>635</wp:posOffset>
                      </wp:positionV>
                      <wp:extent cx="69215" cy="175260"/>
                      <wp:effectExtent l="0" t="0" r="0" b="0"/>
                      <wp:wrapNone/>
                      <wp:docPr id="850" name="Frame80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2">
                      <wp:simplePos x="0" y="0"/>
                      <wp:positionH relativeFrom="character">
                        <wp:align>left</wp:align>
                      </wp:positionH>
                      <wp:positionV relativeFrom="line">
                        <wp:posOffset>635</wp:posOffset>
                      </wp:positionV>
                      <wp:extent cx="362585" cy="175260"/>
                      <wp:effectExtent l="0" t="0" r="0" b="0"/>
                      <wp:wrapNone/>
                      <wp:docPr id="851" name="Frame80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3">
                      <wp:simplePos x="0" y="0"/>
                      <wp:positionH relativeFrom="character">
                        <wp:align>left</wp:align>
                      </wp:positionH>
                      <wp:positionV relativeFrom="line">
                        <wp:posOffset>635</wp:posOffset>
                      </wp:positionV>
                      <wp:extent cx="69215" cy="175260"/>
                      <wp:effectExtent l="0" t="0" r="0" b="0"/>
                      <wp:wrapNone/>
                      <wp:docPr id="852" name="Frame81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4">
                      <wp:simplePos x="0" y="0"/>
                      <wp:positionH relativeFrom="character">
                        <wp:align>left</wp:align>
                      </wp:positionH>
                      <wp:positionV relativeFrom="line">
                        <wp:posOffset>635</wp:posOffset>
                      </wp:positionV>
                      <wp:extent cx="662940" cy="175260"/>
                      <wp:effectExtent l="0" t="0" r="0" b="0"/>
                      <wp:wrapNone/>
                      <wp:docPr id="853" name="Frame811"/>
                      <a:graphic xmlns:a="http://schemas.openxmlformats.org/drawingml/2006/main">
                        <a:graphicData uri="http://schemas.microsoft.com/office/word/2010/wordprocessingShape">
                          <wps:wsp>
                            <wps:cNvSpPr txBox="1"/>
                            <wps:spPr>
                              <a:xfrm>
                                <a:off x="0" y="0"/>
                                <a:ext cx="662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5">
                      <wp:simplePos x="0" y="0"/>
                      <wp:positionH relativeFrom="character">
                        <wp:align>left</wp:align>
                      </wp:positionH>
                      <wp:positionV relativeFrom="line">
                        <wp:posOffset>635</wp:posOffset>
                      </wp:positionV>
                      <wp:extent cx="69215" cy="175260"/>
                      <wp:effectExtent l="0" t="0" r="0" b="0"/>
                      <wp:wrapNone/>
                      <wp:docPr id="854" name="Frame81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6">
                      <wp:simplePos x="0" y="0"/>
                      <wp:positionH relativeFrom="character">
                        <wp:align>left</wp:align>
                      </wp:positionH>
                      <wp:positionV relativeFrom="line">
                        <wp:posOffset>635</wp:posOffset>
                      </wp:positionV>
                      <wp:extent cx="173355" cy="175260"/>
                      <wp:effectExtent l="0" t="0" r="0" b="0"/>
                      <wp:wrapNone/>
                      <wp:docPr id="855" name="Frame813"/>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4"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10.18+</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7">
                      <wp:simplePos x="0" y="0"/>
                      <wp:positionH relativeFrom="character">
                        <wp:align>left</wp:align>
                      </wp:positionH>
                      <wp:positionV relativeFrom="line">
                        <wp:posOffset>635</wp:posOffset>
                      </wp:positionV>
                      <wp:extent cx="69215" cy="175260"/>
                      <wp:effectExtent l="0" t="0" r="0" b="0"/>
                      <wp:wrapNone/>
                      <wp:docPr id="856" name="Frame81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lineRule="atLeast" w:line="200" w:before="53" w:after="30"/>
              <w:ind w:left="0" w:right="0" w:hanging="0"/>
              <w:rPr/>
            </w:pPr>
            <w:hyperlink r:id="rId65">
              <w:r>
                <w:rPr>
                  <w:rStyle w:val="InternetLink"/>
                  <w:rFonts w:ascii="Arial;Helvetica;sans-serif" w:hAnsi="Arial;Helvetica;sans-serif"/>
                  <w:b w:val="false"/>
                  <w:i w:val="false"/>
                  <w:caps w:val="false"/>
                  <w:smallCaps w:val="false"/>
                  <w:color w:val="0000FF"/>
                  <w:sz w:val="18"/>
                  <w:u w:val="single"/>
                </w:rPr>
                <w:t>Board Service Agreement by and between the registrant and Daniel Welch, dated December 10, 2021.</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8">
                      <wp:simplePos x="0" y="0"/>
                      <wp:positionH relativeFrom="character">
                        <wp:align>left</wp:align>
                      </wp:positionH>
                      <wp:positionV relativeFrom="line">
                        <wp:posOffset>635</wp:posOffset>
                      </wp:positionV>
                      <wp:extent cx="69215" cy="175260"/>
                      <wp:effectExtent l="0" t="0" r="0" b="0"/>
                      <wp:wrapNone/>
                      <wp:docPr id="857" name="Frame81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9">
                      <wp:simplePos x="0" y="0"/>
                      <wp:positionH relativeFrom="character">
                        <wp:align>left</wp:align>
                      </wp:positionH>
                      <wp:positionV relativeFrom="line">
                        <wp:posOffset>635</wp:posOffset>
                      </wp:positionV>
                      <wp:extent cx="69215" cy="208915"/>
                      <wp:effectExtent l="0" t="0" r="0" b="0"/>
                      <wp:wrapNone/>
                      <wp:docPr id="858" name="Frame816"/>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72"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0">
                      <wp:simplePos x="0" y="0"/>
                      <wp:positionH relativeFrom="character">
                        <wp:align>left</wp:align>
                      </wp:positionH>
                      <wp:positionV relativeFrom="line">
                        <wp:posOffset>635</wp:posOffset>
                      </wp:positionV>
                      <wp:extent cx="69215" cy="208915"/>
                      <wp:effectExtent l="0" t="0" r="0" b="0"/>
                      <wp:wrapNone/>
                      <wp:docPr id="859" name="Frame817"/>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57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10.18</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1">
                      <wp:simplePos x="0" y="0"/>
                      <wp:positionH relativeFrom="character">
                        <wp:align>left</wp:align>
                      </wp:positionH>
                      <wp:positionV relativeFrom="line">
                        <wp:posOffset>635</wp:posOffset>
                      </wp:positionV>
                      <wp:extent cx="69215" cy="208915"/>
                      <wp:effectExtent l="0" t="0" r="0" b="0"/>
                      <wp:wrapNone/>
                      <wp:docPr id="860" name="Frame81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104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2">
                      <wp:simplePos x="0" y="0"/>
                      <wp:positionH relativeFrom="character">
                        <wp:align>left</wp:align>
                      </wp:positionH>
                      <wp:positionV relativeFrom="line">
                        <wp:posOffset>635</wp:posOffset>
                      </wp:positionV>
                      <wp:extent cx="69215" cy="175260"/>
                      <wp:effectExtent l="0" t="0" r="0" b="0"/>
                      <wp:wrapNone/>
                      <wp:docPr id="861" name="Frame81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3">
                      <wp:simplePos x="0" y="0"/>
                      <wp:positionH relativeFrom="character">
                        <wp:align>left</wp:align>
                      </wp:positionH>
                      <wp:positionV relativeFrom="line">
                        <wp:posOffset>635</wp:posOffset>
                      </wp:positionV>
                      <wp:extent cx="173355" cy="175260"/>
                      <wp:effectExtent l="0" t="0" r="0" b="0"/>
                      <wp:wrapNone/>
                      <wp:docPr id="862" name="Frame820"/>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4">
                      <wp:simplePos x="0" y="0"/>
                      <wp:positionH relativeFrom="character">
                        <wp:align>left</wp:align>
                      </wp:positionH>
                      <wp:positionV relativeFrom="line">
                        <wp:posOffset>635</wp:posOffset>
                      </wp:positionV>
                      <wp:extent cx="396240" cy="208915"/>
                      <wp:effectExtent l="0" t="0" r="0" b="0"/>
                      <wp:wrapNone/>
                      <wp:docPr id="863" name="Frame821"/>
                      <a:graphic xmlns:a="http://schemas.openxmlformats.org/drawingml/2006/main">
                        <a:graphicData uri="http://schemas.microsoft.com/office/word/2010/wordprocessingShape">
                          <wps:wsp>
                            <wps:cNvSpPr txBox="1"/>
                            <wps:spPr>
                              <a:xfrm>
                                <a:off x="0" y="0"/>
                                <a:ext cx="396240" cy="208915"/>
                              </a:xfrm>
                              <a:prstGeom prst="rect"/>
                            </wps:spPr>
                            <wps:txbx>
                              <w:txbxContent>
                                <w:p>
                                  <w:pPr>
                                    <w:pStyle w:val="TableContents"/>
                                    <w:spacing w:before="53" w:after="3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5">
                      <wp:simplePos x="0" y="0"/>
                      <wp:positionH relativeFrom="character">
                        <wp:align>left</wp:align>
                      </wp:positionH>
                      <wp:positionV relativeFrom="line">
                        <wp:posOffset>635</wp:posOffset>
                      </wp:positionV>
                      <wp:extent cx="69215" cy="175260"/>
                      <wp:effectExtent l="0" t="0" r="0" b="0"/>
                      <wp:wrapNone/>
                      <wp:docPr id="864" name="Frame82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6">
                      <wp:simplePos x="0" y="0"/>
                      <wp:positionH relativeFrom="character">
                        <wp:align>left</wp:align>
                      </wp:positionH>
                      <wp:positionV relativeFrom="line">
                        <wp:posOffset>635</wp:posOffset>
                      </wp:positionV>
                      <wp:extent cx="3710305" cy="175260"/>
                      <wp:effectExtent l="0" t="0" r="0" b="0"/>
                      <wp:wrapNone/>
                      <wp:docPr id="865" name="Frame823"/>
                      <a:graphic xmlns:a="http://schemas.openxmlformats.org/drawingml/2006/main">
                        <a:graphicData uri="http://schemas.microsoft.com/office/word/2010/wordprocessingShape">
                          <wps:wsp>
                            <wps:cNvSpPr txBox="1"/>
                            <wps:spPr>
                              <a:xfrm>
                                <a:off x="0" y="0"/>
                                <a:ext cx="3710305"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7">
                      <wp:simplePos x="0" y="0"/>
                      <wp:positionH relativeFrom="character">
                        <wp:align>left</wp:align>
                      </wp:positionH>
                      <wp:positionV relativeFrom="line">
                        <wp:posOffset>635</wp:posOffset>
                      </wp:positionV>
                      <wp:extent cx="69215" cy="175260"/>
                      <wp:effectExtent l="0" t="0" r="0" b="0"/>
                      <wp:wrapNone/>
                      <wp:docPr id="866" name="Frame82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8">
                      <wp:simplePos x="0" y="0"/>
                      <wp:positionH relativeFrom="character">
                        <wp:align>left</wp:align>
                      </wp:positionH>
                      <wp:positionV relativeFrom="line">
                        <wp:posOffset>635</wp:posOffset>
                      </wp:positionV>
                      <wp:extent cx="205740" cy="175260"/>
                      <wp:effectExtent l="0" t="0" r="0" b="0"/>
                      <wp:wrapNone/>
                      <wp:docPr id="867" name="Frame825"/>
                      <a:graphic xmlns:a="http://schemas.openxmlformats.org/drawingml/2006/main">
                        <a:graphicData uri="http://schemas.microsoft.com/office/word/2010/wordprocessingShape">
                          <wps:wsp>
                            <wps:cNvSpPr txBox="1"/>
                            <wps:spPr>
                              <a:xfrm>
                                <a:off x="0" y="0"/>
                                <a:ext cx="205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9">
                      <wp:simplePos x="0" y="0"/>
                      <wp:positionH relativeFrom="character">
                        <wp:align>left</wp:align>
                      </wp:positionH>
                      <wp:positionV relativeFrom="line">
                        <wp:posOffset>635</wp:posOffset>
                      </wp:positionV>
                      <wp:extent cx="69215" cy="175260"/>
                      <wp:effectExtent l="0" t="0" r="0" b="0"/>
                      <wp:wrapNone/>
                      <wp:docPr id="868" name="Frame82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0">
                      <wp:simplePos x="0" y="0"/>
                      <wp:positionH relativeFrom="character">
                        <wp:align>left</wp:align>
                      </wp:positionH>
                      <wp:positionV relativeFrom="line">
                        <wp:posOffset>635</wp:posOffset>
                      </wp:positionV>
                      <wp:extent cx="553720" cy="175260"/>
                      <wp:effectExtent l="0" t="0" r="0" b="0"/>
                      <wp:wrapNone/>
                      <wp:docPr id="869" name="Frame827"/>
                      <a:graphic xmlns:a="http://schemas.openxmlformats.org/drawingml/2006/main">
                        <a:graphicData uri="http://schemas.microsoft.com/office/word/2010/wordprocessingShape">
                          <wps:wsp>
                            <wps:cNvSpPr txBox="1"/>
                            <wps:spPr>
                              <a:xfrm>
                                <a:off x="0" y="0"/>
                                <a:ext cx="553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1">
                      <wp:simplePos x="0" y="0"/>
                      <wp:positionH relativeFrom="character">
                        <wp:align>left</wp:align>
                      </wp:positionH>
                      <wp:positionV relativeFrom="line">
                        <wp:posOffset>635</wp:posOffset>
                      </wp:positionV>
                      <wp:extent cx="69215" cy="175260"/>
                      <wp:effectExtent l="0" t="0" r="0" b="0"/>
                      <wp:wrapNone/>
                      <wp:docPr id="870" name="Frame82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2">
                      <wp:simplePos x="0" y="0"/>
                      <wp:positionH relativeFrom="character">
                        <wp:align>left</wp:align>
                      </wp:positionH>
                      <wp:positionV relativeFrom="line">
                        <wp:posOffset>635</wp:posOffset>
                      </wp:positionV>
                      <wp:extent cx="362585" cy="175260"/>
                      <wp:effectExtent l="0" t="0" r="0" b="0"/>
                      <wp:wrapNone/>
                      <wp:docPr id="871" name="Frame82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3">
                      <wp:simplePos x="0" y="0"/>
                      <wp:positionH relativeFrom="character">
                        <wp:align>left</wp:align>
                      </wp:positionH>
                      <wp:positionV relativeFrom="line">
                        <wp:posOffset>635</wp:posOffset>
                      </wp:positionV>
                      <wp:extent cx="69215" cy="175260"/>
                      <wp:effectExtent l="0" t="0" r="0" b="0"/>
                      <wp:wrapNone/>
                      <wp:docPr id="872" name="Frame83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4">
                      <wp:simplePos x="0" y="0"/>
                      <wp:positionH relativeFrom="character">
                        <wp:align>left</wp:align>
                      </wp:positionH>
                      <wp:positionV relativeFrom="line">
                        <wp:posOffset>635</wp:posOffset>
                      </wp:positionV>
                      <wp:extent cx="662940" cy="175260"/>
                      <wp:effectExtent l="0" t="0" r="0" b="0"/>
                      <wp:wrapNone/>
                      <wp:docPr id="873" name="Frame831"/>
                      <a:graphic xmlns:a="http://schemas.openxmlformats.org/drawingml/2006/main">
                        <a:graphicData uri="http://schemas.microsoft.com/office/word/2010/wordprocessingShape">
                          <wps:wsp>
                            <wps:cNvSpPr txBox="1"/>
                            <wps:spPr>
                              <a:xfrm>
                                <a:off x="0" y="0"/>
                                <a:ext cx="662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5">
                      <wp:simplePos x="0" y="0"/>
                      <wp:positionH relativeFrom="character">
                        <wp:align>left</wp:align>
                      </wp:positionH>
                      <wp:positionV relativeFrom="line">
                        <wp:posOffset>635</wp:posOffset>
                      </wp:positionV>
                      <wp:extent cx="69215" cy="175260"/>
                      <wp:effectExtent l="0" t="0" r="0" b="0"/>
                      <wp:wrapNone/>
                      <wp:docPr id="874" name="Frame83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6">
                      <wp:simplePos x="0" y="0"/>
                      <wp:positionH relativeFrom="character">
                        <wp:align>left</wp:align>
                      </wp:positionH>
                      <wp:positionV relativeFrom="line">
                        <wp:posOffset>635</wp:posOffset>
                      </wp:positionV>
                      <wp:extent cx="173355" cy="175260"/>
                      <wp:effectExtent l="0" t="0" r="0" b="0"/>
                      <wp:wrapNone/>
                      <wp:docPr id="875" name="Frame833"/>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4"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10.19+</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7">
                      <wp:simplePos x="0" y="0"/>
                      <wp:positionH relativeFrom="character">
                        <wp:align>left</wp:align>
                      </wp:positionH>
                      <wp:positionV relativeFrom="line">
                        <wp:posOffset>635</wp:posOffset>
                      </wp:positionV>
                      <wp:extent cx="69215" cy="175260"/>
                      <wp:effectExtent l="0" t="0" r="0" b="0"/>
                      <wp:wrapNone/>
                      <wp:docPr id="876" name="Frame83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before="53" w:after="30"/>
              <w:ind w:left="0" w:right="0" w:hanging="0"/>
              <w:rPr/>
            </w:pPr>
            <w:hyperlink r:id="rId66">
              <w:r>
                <w:rPr>
                  <w:rStyle w:val="InternetLink"/>
                  <w:rFonts w:ascii="Arial;Helvetica;sans-serif" w:hAnsi="Arial;Helvetica;sans-serif"/>
                  <w:b w:val="false"/>
                  <w:i w:val="false"/>
                  <w:caps w:val="false"/>
                  <w:smallCaps w:val="false"/>
                  <w:color w:val="0000FF"/>
                  <w:sz w:val="18"/>
                  <w:u w:val="single"/>
                </w:rPr>
                <w:t>Board Service Agreement by and between the registrant and Sharon Tetlow, dated March 2, 2022.</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8">
                      <wp:simplePos x="0" y="0"/>
                      <wp:positionH relativeFrom="character">
                        <wp:align>left</wp:align>
                      </wp:positionH>
                      <wp:positionV relativeFrom="line">
                        <wp:posOffset>635</wp:posOffset>
                      </wp:positionV>
                      <wp:extent cx="69215" cy="175260"/>
                      <wp:effectExtent l="0" t="0" r="0" b="0"/>
                      <wp:wrapNone/>
                      <wp:docPr id="877" name="Frame83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9">
                      <wp:simplePos x="0" y="0"/>
                      <wp:positionH relativeFrom="character">
                        <wp:align>left</wp:align>
                      </wp:positionH>
                      <wp:positionV relativeFrom="line">
                        <wp:posOffset>635</wp:posOffset>
                      </wp:positionV>
                      <wp:extent cx="69215" cy="208915"/>
                      <wp:effectExtent l="0" t="0" r="0" b="0"/>
                      <wp:wrapNone/>
                      <wp:docPr id="878" name="Frame836"/>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72"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0">
                      <wp:simplePos x="0" y="0"/>
                      <wp:positionH relativeFrom="character">
                        <wp:align>left</wp:align>
                      </wp:positionH>
                      <wp:positionV relativeFrom="line">
                        <wp:posOffset>635</wp:posOffset>
                      </wp:positionV>
                      <wp:extent cx="69215" cy="208915"/>
                      <wp:effectExtent l="0" t="0" r="0" b="0"/>
                      <wp:wrapNone/>
                      <wp:docPr id="879" name="Frame837"/>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57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10.19</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1">
                      <wp:simplePos x="0" y="0"/>
                      <wp:positionH relativeFrom="character">
                        <wp:align>left</wp:align>
                      </wp:positionH>
                      <wp:positionV relativeFrom="line">
                        <wp:posOffset>635</wp:posOffset>
                      </wp:positionV>
                      <wp:extent cx="69215" cy="208915"/>
                      <wp:effectExtent l="0" t="0" r="0" b="0"/>
                      <wp:wrapNone/>
                      <wp:docPr id="880" name="Frame83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1044"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2">
                      <wp:simplePos x="0" y="0"/>
                      <wp:positionH relativeFrom="character">
                        <wp:align>left</wp:align>
                      </wp:positionH>
                      <wp:positionV relativeFrom="line">
                        <wp:posOffset>635</wp:posOffset>
                      </wp:positionV>
                      <wp:extent cx="69215" cy="175260"/>
                      <wp:effectExtent l="0" t="0" r="0" b="0"/>
                      <wp:wrapNone/>
                      <wp:docPr id="881" name="Frame83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3">
                      <wp:simplePos x="0" y="0"/>
                      <wp:positionH relativeFrom="character">
                        <wp:align>left</wp:align>
                      </wp:positionH>
                      <wp:positionV relativeFrom="line">
                        <wp:posOffset>635</wp:posOffset>
                      </wp:positionV>
                      <wp:extent cx="173355" cy="175260"/>
                      <wp:effectExtent l="0" t="0" r="0" b="0"/>
                      <wp:wrapNone/>
                      <wp:docPr id="882" name="Frame840"/>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4">
                      <wp:simplePos x="0" y="0"/>
                      <wp:positionH relativeFrom="character">
                        <wp:align>left</wp:align>
                      </wp:positionH>
                      <wp:positionV relativeFrom="line">
                        <wp:posOffset>635</wp:posOffset>
                      </wp:positionV>
                      <wp:extent cx="396240" cy="208915"/>
                      <wp:effectExtent l="0" t="0" r="0" b="0"/>
                      <wp:wrapNone/>
                      <wp:docPr id="883" name="Frame841"/>
                      <a:graphic xmlns:a="http://schemas.openxmlformats.org/drawingml/2006/main">
                        <a:graphicData uri="http://schemas.microsoft.com/office/word/2010/wordprocessingShape">
                          <wps:wsp>
                            <wps:cNvSpPr txBox="1"/>
                            <wps:spPr>
                              <a:xfrm>
                                <a:off x="0" y="0"/>
                                <a:ext cx="396240" cy="208915"/>
                              </a:xfrm>
                              <a:prstGeom prst="rect"/>
                            </wps:spPr>
                            <wps:txbx>
                              <w:txbxContent>
                                <w:p>
                                  <w:pPr>
                                    <w:pStyle w:val="TableContents"/>
                                    <w:spacing w:before="53" w:after="3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5">
                      <wp:simplePos x="0" y="0"/>
                      <wp:positionH relativeFrom="character">
                        <wp:align>left</wp:align>
                      </wp:positionH>
                      <wp:positionV relativeFrom="line">
                        <wp:posOffset>635</wp:posOffset>
                      </wp:positionV>
                      <wp:extent cx="69215" cy="175260"/>
                      <wp:effectExtent l="0" t="0" r="0" b="0"/>
                      <wp:wrapNone/>
                      <wp:docPr id="884" name="Frame84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6">
                      <wp:simplePos x="0" y="0"/>
                      <wp:positionH relativeFrom="character">
                        <wp:align>left</wp:align>
                      </wp:positionH>
                      <wp:positionV relativeFrom="line">
                        <wp:posOffset>635</wp:posOffset>
                      </wp:positionV>
                      <wp:extent cx="3710305" cy="175260"/>
                      <wp:effectExtent l="0" t="0" r="0" b="0"/>
                      <wp:wrapNone/>
                      <wp:docPr id="885" name="Frame843"/>
                      <a:graphic xmlns:a="http://schemas.openxmlformats.org/drawingml/2006/main">
                        <a:graphicData uri="http://schemas.microsoft.com/office/word/2010/wordprocessingShape">
                          <wps:wsp>
                            <wps:cNvSpPr txBox="1"/>
                            <wps:spPr>
                              <a:xfrm>
                                <a:off x="0" y="0"/>
                                <a:ext cx="3710305"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7">
                      <wp:simplePos x="0" y="0"/>
                      <wp:positionH relativeFrom="character">
                        <wp:align>left</wp:align>
                      </wp:positionH>
                      <wp:positionV relativeFrom="line">
                        <wp:posOffset>635</wp:posOffset>
                      </wp:positionV>
                      <wp:extent cx="69215" cy="175260"/>
                      <wp:effectExtent l="0" t="0" r="0" b="0"/>
                      <wp:wrapNone/>
                      <wp:docPr id="886" name="Frame84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8">
                      <wp:simplePos x="0" y="0"/>
                      <wp:positionH relativeFrom="character">
                        <wp:align>left</wp:align>
                      </wp:positionH>
                      <wp:positionV relativeFrom="line">
                        <wp:posOffset>635</wp:posOffset>
                      </wp:positionV>
                      <wp:extent cx="205740" cy="175260"/>
                      <wp:effectExtent l="0" t="0" r="0" b="0"/>
                      <wp:wrapNone/>
                      <wp:docPr id="887" name="Frame845"/>
                      <a:graphic xmlns:a="http://schemas.openxmlformats.org/drawingml/2006/main">
                        <a:graphicData uri="http://schemas.microsoft.com/office/word/2010/wordprocessingShape">
                          <wps:wsp>
                            <wps:cNvSpPr txBox="1"/>
                            <wps:spPr>
                              <a:xfrm>
                                <a:off x="0" y="0"/>
                                <a:ext cx="205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9">
                      <wp:simplePos x="0" y="0"/>
                      <wp:positionH relativeFrom="character">
                        <wp:align>left</wp:align>
                      </wp:positionH>
                      <wp:positionV relativeFrom="line">
                        <wp:posOffset>635</wp:posOffset>
                      </wp:positionV>
                      <wp:extent cx="69215" cy="175260"/>
                      <wp:effectExtent l="0" t="0" r="0" b="0"/>
                      <wp:wrapNone/>
                      <wp:docPr id="888" name="Frame84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0">
                      <wp:simplePos x="0" y="0"/>
                      <wp:positionH relativeFrom="character">
                        <wp:align>left</wp:align>
                      </wp:positionH>
                      <wp:positionV relativeFrom="line">
                        <wp:posOffset>635</wp:posOffset>
                      </wp:positionV>
                      <wp:extent cx="553720" cy="175260"/>
                      <wp:effectExtent l="0" t="0" r="0" b="0"/>
                      <wp:wrapNone/>
                      <wp:docPr id="889" name="Frame847"/>
                      <a:graphic xmlns:a="http://schemas.openxmlformats.org/drawingml/2006/main">
                        <a:graphicData uri="http://schemas.microsoft.com/office/word/2010/wordprocessingShape">
                          <wps:wsp>
                            <wps:cNvSpPr txBox="1"/>
                            <wps:spPr>
                              <a:xfrm>
                                <a:off x="0" y="0"/>
                                <a:ext cx="553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1">
                      <wp:simplePos x="0" y="0"/>
                      <wp:positionH relativeFrom="character">
                        <wp:align>left</wp:align>
                      </wp:positionH>
                      <wp:positionV relativeFrom="line">
                        <wp:posOffset>635</wp:posOffset>
                      </wp:positionV>
                      <wp:extent cx="69215" cy="175260"/>
                      <wp:effectExtent l="0" t="0" r="0" b="0"/>
                      <wp:wrapNone/>
                      <wp:docPr id="890" name="Frame84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2">
                      <wp:simplePos x="0" y="0"/>
                      <wp:positionH relativeFrom="character">
                        <wp:align>left</wp:align>
                      </wp:positionH>
                      <wp:positionV relativeFrom="line">
                        <wp:posOffset>635</wp:posOffset>
                      </wp:positionV>
                      <wp:extent cx="362585" cy="175260"/>
                      <wp:effectExtent l="0" t="0" r="0" b="0"/>
                      <wp:wrapNone/>
                      <wp:docPr id="891" name="Frame84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3">
                      <wp:simplePos x="0" y="0"/>
                      <wp:positionH relativeFrom="character">
                        <wp:align>left</wp:align>
                      </wp:positionH>
                      <wp:positionV relativeFrom="line">
                        <wp:posOffset>635</wp:posOffset>
                      </wp:positionV>
                      <wp:extent cx="69215" cy="175260"/>
                      <wp:effectExtent l="0" t="0" r="0" b="0"/>
                      <wp:wrapNone/>
                      <wp:docPr id="892" name="Frame85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4">
                      <wp:simplePos x="0" y="0"/>
                      <wp:positionH relativeFrom="character">
                        <wp:align>left</wp:align>
                      </wp:positionH>
                      <wp:positionV relativeFrom="line">
                        <wp:posOffset>635</wp:posOffset>
                      </wp:positionV>
                      <wp:extent cx="662940" cy="175260"/>
                      <wp:effectExtent l="0" t="0" r="0" b="0"/>
                      <wp:wrapNone/>
                      <wp:docPr id="893" name="Frame851"/>
                      <a:graphic xmlns:a="http://schemas.openxmlformats.org/drawingml/2006/main">
                        <a:graphicData uri="http://schemas.microsoft.com/office/word/2010/wordprocessingShape">
                          <wps:wsp>
                            <wps:cNvSpPr txBox="1"/>
                            <wps:spPr>
                              <a:xfrm>
                                <a:off x="0" y="0"/>
                                <a:ext cx="6629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5">
                      <wp:simplePos x="0" y="0"/>
                      <wp:positionH relativeFrom="character">
                        <wp:align>left</wp:align>
                      </wp:positionH>
                      <wp:positionV relativeFrom="line">
                        <wp:posOffset>635</wp:posOffset>
                      </wp:positionV>
                      <wp:extent cx="69215" cy="175260"/>
                      <wp:effectExtent l="0" t="0" r="0" b="0"/>
                      <wp:wrapNone/>
                      <wp:docPr id="894" name="Frame85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rPr>
                <w:sz w:val="4"/>
                <w:szCs w:val="4"/>
              </w:rPr>
            </w:pPr>
            <w:r>
              <w:rPr>
                <w:sz w:val="4"/>
                <w:szCs w:val="4"/>
              </w:rPr>
            </w:r>
            <w:r>
              <mc:AlternateContent>
                <mc:Choice Requires="wps">
                  <w:drawing>
                    <wp:anchor behindDoc="0" distT="0" distB="0" distL="0" distR="0" simplePos="0" locked="0" layoutInCell="1" allowOverlap="1" relativeHeight="896">
                      <wp:simplePos x="0" y="0"/>
                      <wp:positionH relativeFrom="character">
                        <wp:align>left</wp:align>
                      </wp:positionH>
                      <wp:positionV relativeFrom="line">
                        <wp:posOffset>635</wp:posOffset>
                      </wp:positionV>
                      <wp:extent cx="173355" cy="175260"/>
                      <wp:effectExtent l="0" t="0" r="0" b="0"/>
                      <wp:wrapNone/>
                      <wp:docPr id="895" name="Frame853"/>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bl>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234</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637"/>
        <w:gridCol w:w="109"/>
        <w:gridCol w:w="5952"/>
        <w:gridCol w:w="109"/>
        <w:gridCol w:w="313"/>
        <w:gridCol w:w="109"/>
        <w:gridCol w:w="835"/>
        <w:gridCol w:w="109"/>
        <w:gridCol w:w="571"/>
        <w:gridCol w:w="109"/>
        <w:gridCol w:w="969"/>
        <w:gridCol w:w="109"/>
        <w:gridCol w:w="274"/>
      </w:tblGrid>
      <w:tr>
        <w:trPr/>
        <w:tc>
          <w:tcPr>
            <w:tcW w:w="637"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10.20+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7">
                      <wp:simplePos x="0" y="0"/>
                      <wp:positionH relativeFrom="character">
                        <wp:align>left</wp:align>
                      </wp:positionH>
                      <wp:positionV relativeFrom="line">
                        <wp:posOffset>635</wp:posOffset>
                      </wp:positionV>
                      <wp:extent cx="69215" cy="175260"/>
                      <wp:effectExtent l="0" t="0" r="0" b="0"/>
                      <wp:wrapNone/>
                      <wp:docPr id="896" name="Frame85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53" w:after="30"/>
              <w:ind w:left="0" w:right="0" w:hanging="0"/>
              <w:rPr/>
            </w:pPr>
            <w:hyperlink r:id="rId67">
              <w:r>
                <w:rPr>
                  <w:rStyle w:val="InternetLink"/>
                  <w:rFonts w:ascii="Arial;Helvetica;sans-serif" w:hAnsi="Arial;Helvetica;sans-serif"/>
                  <w:b w:val="false"/>
                  <w:i w:val="false"/>
                  <w:caps w:val="false"/>
                  <w:smallCaps w:val="false"/>
                  <w:color w:val="0000FF"/>
                  <w:sz w:val="18"/>
                  <w:u w:val="single"/>
                </w:rPr>
                <w:t>Board Service Agreement by and between the registrant and Joanne Waldstreicher, dated November 23, 2022.</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8">
                      <wp:simplePos x="0" y="0"/>
                      <wp:positionH relativeFrom="character">
                        <wp:align>left</wp:align>
                      </wp:positionH>
                      <wp:positionV relativeFrom="line">
                        <wp:posOffset>635</wp:posOffset>
                      </wp:positionV>
                      <wp:extent cx="69215" cy="175260"/>
                      <wp:effectExtent l="0" t="0" r="0" b="0"/>
                      <wp:wrapNone/>
                      <wp:docPr id="897" name="Frame8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9">
                      <wp:simplePos x="0" y="0"/>
                      <wp:positionH relativeFrom="character">
                        <wp:align>left</wp:align>
                      </wp:positionH>
                      <wp:positionV relativeFrom="line">
                        <wp:posOffset>635</wp:posOffset>
                      </wp:positionV>
                      <wp:extent cx="69215" cy="208915"/>
                      <wp:effectExtent l="0" t="0" r="0" b="0"/>
                      <wp:wrapNone/>
                      <wp:docPr id="898" name="Frame856"/>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35"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0">
                      <wp:simplePos x="0" y="0"/>
                      <wp:positionH relativeFrom="character">
                        <wp:align>left</wp:align>
                      </wp:positionH>
                      <wp:positionV relativeFrom="line">
                        <wp:posOffset>635</wp:posOffset>
                      </wp:positionV>
                      <wp:extent cx="69215" cy="208915"/>
                      <wp:effectExtent l="0" t="0" r="0" b="0"/>
                      <wp:wrapNone/>
                      <wp:docPr id="899" name="Frame857"/>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57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10.20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1">
                      <wp:simplePos x="0" y="0"/>
                      <wp:positionH relativeFrom="character">
                        <wp:align>left</wp:align>
                      </wp:positionH>
                      <wp:positionV relativeFrom="line">
                        <wp:posOffset>635</wp:posOffset>
                      </wp:positionV>
                      <wp:extent cx="69215" cy="208915"/>
                      <wp:effectExtent l="0" t="0" r="0" b="0"/>
                      <wp:wrapNone/>
                      <wp:docPr id="900" name="Frame85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969"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2">
                      <wp:simplePos x="0" y="0"/>
                      <wp:positionH relativeFrom="character">
                        <wp:align>left</wp:align>
                      </wp:positionH>
                      <wp:positionV relativeFrom="line">
                        <wp:posOffset>635</wp:posOffset>
                      </wp:positionV>
                      <wp:extent cx="69215" cy="175260"/>
                      <wp:effectExtent l="0" t="0" r="0" b="0"/>
                      <wp:wrapNone/>
                      <wp:docPr id="901" name="Frame85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3">
                      <wp:simplePos x="0" y="0"/>
                      <wp:positionH relativeFrom="character">
                        <wp:align>left</wp:align>
                      </wp:positionH>
                      <wp:positionV relativeFrom="line">
                        <wp:posOffset>635</wp:posOffset>
                      </wp:positionV>
                      <wp:extent cx="173990" cy="175260"/>
                      <wp:effectExtent l="0" t="0" r="0" b="0"/>
                      <wp:wrapNone/>
                      <wp:docPr id="902" name="Frame860"/>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4">
                      <wp:simplePos x="0" y="0"/>
                      <wp:positionH relativeFrom="character">
                        <wp:align>left</wp:align>
                      </wp:positionH>
                      <wp:positionV relativeFrom="line">
                        <wp:posOffset>635</wp:posOffset>
                      </wp:positionV>
                      <wp:extent cx="404495" cy="208915"/>
                      <wp:effectExtent l="0" t="0" r="0" b="0"/>
                      <wp:wrapNone/>
                      <wp:docPr id="903" name="Frame861"/>
                      <a:graphic xmlns:a="http://schemas.openxmlformats.org/drawingml/2006/main">
                        <a:graphicData uri="http://schemas.microsoft.com/office/word/2010/wordprocessingShape">
                          <wps:wsp>
                            <wps:cNvSpPr txBox="1"/>
                            <wps:spPr>
                              <a:xfrm>
                                <a:off x="0" y="0"/>
                                <a:ext cx="404495" cy="208915"/>
                              </a:xfrm>
                              <a:prstGeom prst="rect"/>
                            </wps:spPr>
                            <wps:txbx>
                              <w:txbxContent>
                                <w:p>
                                  <w:pPr>
                                    <w:pStyle w:val="TableContents"/>
                                    <w:spacing w:before="53" w:after="3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5">
                      <wp:simplePos x="0" y="0"/>
                      <wp:positionH relativeFrom="character">
                        <wp:align>left</wp:align>
                      </wp:positionH>
                      <wp:positionV relativeFrom="line">
                        <wp:posOffset>635</wp:posOffset>
                      </wp:positionV>
                      <wp:extent cx="69215" cy="175260"/>
                      <wp:effectExtent l="0" t="0" r="0" b="0"/>
                      <wp:wrapNone/>
                      <wp:docPr id="904" name="Frame86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6">
                      <wp:simplePos x="0" y="0"/>
                      <wp:positionH relativeFrom="character">
                        <wp:align>left</wp:align>
                      </wp:positionH>
                      <wp:positionV relativeFrom="line">
                        <wp:posOffset>635</wp:posOffset>
                      </wp:positionV>
                      <wp:extent cx="3779520" cy="175260"/>
                      <wp:effectExtent l="0" t="0" r="0" b="0"/>
                      <wp:wrapNone/>
                      <wp:docPr id="905" name="Frame863"/>
                      <a:graphic xmlns:a="http://schemas.openxmlformats.org/drawingml/2006/main">
                        <a:graphicData uri="http://schemas.microsoft.com/office/word/2010/wordprocessingShape">
                          <wps:wsp>
                            <wps:cNvSpPr txBox="1"/>
                            <wps:spPr>
                              <a:xfrm>
                                <a:off x="0" y="0"/>
                                <a:ext cx="3779520" cy="175260"/>
                              </a:xfrm>
                              <a:prstGeom prst="rect"/>
                            </wps:spPr>
                            <wps:txbx>
                              <w:txbxContent>
                                <w:p>
                                  <w:pPr>
                                    <w:pStyle w:val="TableContents"/>
                                    <w:spacing w:before="0" w:after="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7">
                      <wp:simplePos x="0" y="0"/>
                      <wp:positionH relativeFrom="character">
                        <wp:align>left</wp:align>
                      </wp:positionH>
                      <wp:positionV relativeFrom="line">
                        <wp:posOffset>635</wp:posOffset>
                      </wp:positionV>
                      <wp:extent cx="69215" cy="175260"/>
                      <wp:effectExtent l="0" t="0" r="0" b="0"/>
                      <wp:wrapNone/>
                      <wp:docPr id="906" name="Frame86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8">
                      <wp:simplePos x="0" y="0"/>
                      <wp:positionH relativeFrom="character">
                        <wp:align>left</wp:align>
                      </wp:positionH>
                      <wp:positionV relativeFrom="line">
                        <wp:posOffset>635</wp:posOffset>
                      </wp:positionV>
                      <wp:extent cx="198755" cy="175260"/>
                      <wp:effectExtent l="0" t="0" r="0" b="0"/>
                      <wp:wrapNone/>
                      <wp:docPr id="907" name="Frame865"/>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9">
                      <wp:simplePos x="0" y="0"/>
                      <wp:positionH relativeFrom="character">
                        <wp:align>left</wp:align>
                      </wp:positionH>
                      <wp:positionV relativeFrom="line">
                        <wp:posOffset>635</wp:posOffset>
                      </wp:positionV>
                      <wp:extent cx="69215" cy="175260"/>
                      <wp:effectExtent l="0" t="0" r="0" b="0"/>
                      <wp:wrapNone/>
                      <wp:docPr id="908" name="Frame86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0">
                      <wp:simplePos x="0" y="0"/>
                      <wp:positionH relativeFrom="character">
                        <wp:align>left</wp:align>
                      </wp:positionH>
                      <wp:positionV relativeFrom="line">
                        <wp:posOffset>635</wp:posOffset>
                      </wp:positionV>
                      <wp:extent cx="530225" cy="175260"/>
                      <wp:effectExtent l="0" t="0" r="0" b="0"/>
                      <wp:wrapNone/>
                      <wp:docPr id="909" name="Frame867"/>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1">
                      <wp:simplePos x="0" y="0"/>
                      <wp:positionH relativeFrom="character">
                        <wp:align>left</wp:align>
                      </wp:positionH>
                      <wp:positionV relativeFrom="line">
                        <wp:posOffset>635</wp:posOffset>
                      </wp:positionV>
                      <wp:extent cx="69215" cy="175260"/>
                      <wp:effectExtent l="0" t="0" r="0" b="0"/>
                      <wp:wrapNone/>
                      <wp:docPr id="910" name="Frame86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2">
                      <wp:simplePos x="0" y="0"/>
                      <wp:positionH relativeFrom="character">
                        <wp:align>left</wp:align>
                      </wp:positionH>
                      <wp:positionV relativeFrom="line">
                        <wp:posOffset>635</wp:posOffset>
                      </wp:positionV>
                      <wp:extent cx="362585" cy="175260"/>
                      <wp:effectExtent l="0" t="0" r="0" b="0"/>
                      <wp:wrapNone/>
                      <wp:docPr id="911" name="Frame86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3">
                      <wp:simplePos x="0" y="0"/>
                      <wp:positionH relativeFrom="character">
                        <wp:align>left</wp:align>
                      </wp:positionH>
                      <wp:positionV relativeFrom="line">
                        <wp:posOffset>635</wp:posOffset>
                      </wp:positionV>
                      <wp:extent cx="69215" cy="175260"/>
                      <wp:effectExtent l="0" t="0" r="0" b="0"/>
                      <wp:wrapNone/>
                      <wp:docPr id="912" name="Frame87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4">
                      <wp:simplePos x="0" y="0"/>
                      <wp:positionH relativeFrom="character">
                        <wp:align>left</wp:align>
                      </wp:positionH>
                      <wp:positionV relativeFrom="line">
                        <wp:posOffset>635</wp:posOffset>
                      </wp:positionV>
                      <wp:extent cx="615315" cy="175260"/>
                      <wp:effectExtent l="0" t="0" r="0" b="0"/>
                      <wp:wrapNone/>
                      <wp:docPr id="913" name="Frame871"/>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5">
                      <wp:simplePos x="0" y="0"/>
                      <wp:positionH relativeFrom="character">
                        <wp:align>left</wp:align>
                      </wp:positionH>
                      <wp:positionV relativeFrom="line">
                        <wp:posOffset>635</wp:posOffset>
                      </wp:positionV>
                      <wp:extent cx="69215" cy="175260"/>
                      <wp:effectExtent l="0" t="0" r="0" b="0"/>
                      <wp:wrapNone/>
                      <wp:docPr id="914" name="Frame87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6">
                      <wp:simplePos x="0" y="0"/>
                      <wp:positionH relativeFrom="character">
                        <wp:align>left</wp:align>
                      </wp:positionH>
                      <wp:positionV relativeFrom="line">
                        <wp:posOffset>635</wp:posOffset>
                      </wp:positionV>
                      <wp:extent cx="173990" cy="175260"/>
                      <wp:effectExtent l="0" t="0" r="0" b="0"/>
                      <wp:wrapNone/>
                      <wp:docPr id="915" name="Frame873"/>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7"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10.21+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7">
                      <wp:simplePos x="0" y="0"/>
                      <wp:positionH relativeFrom="character">
                        <wp:align>left</wp:align>
                      </wp:positionH>
                      <wp:positionV relativeFrom="line">
                        <wp:posOffset>635</wp:posOffset>
                      </wp:positionV>
                      <wp:extent cx="69215" cy="175260"/>
                      <wp:effectExtent l="0" t="0" r="0" b="0"/>
                      <wp:wrapNone/>
                      <wp:docPr id="916" name="Frame87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53" w:after="30"/>
              <w:ind w:left="0" w:right="0" w:hanging="0"/>
              <w:rPr/>
            </w:pPr>
            <w:hyperlink r:id="rId68">
              <w:r>
                <w:rPr>
                  <w:rStyle w:val="InternetLink"/>
                  <w:rFonts w:ascii="Arial;Helvetica;sans-serif" w:hAnsi="Arial;Helvetica;sans-serif"/>
                  <w:b w:val="false"/>
                  <w:i w:val="false"/>
                  <w:caps w:val="false"/>
                  <w:smallCaps w:val="false"/>
                  <w:color w:val="0000FF"/>
                  <w:sz w:val="18"/>
                  <w:u w:val="single"/>
                </w:rPr>
                <w:t>Board Service Agreement by and between the registrant and Eric Dobmeier, dated December 13, 2022.</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8">
                      <wp:simplePos x="0" y="0"/>
                      <wp:positionH relativeFrom="character">
                        <wp:align>left</wp:align>
                      </wp:positionH>
                      <wp:positionV relativeFrom="line">
                        <wp:posOffset>635</wp:posOffset>
                      </wp:positionV>
                      <wp:extent cx="69215" cy="175260"/>
                      <wp:effectExtent l="0" t="0" r="0" b="0"/>
                      <wp:wrapNone/>
                      <wp:docPr id="917" name="Frame87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9">
                      <wp:simplePos x="0" y="0"/>
                      <wp:positionH relativeFrom="character">
                        <wp:align>left</wp:align>
                      </wp:positionH>
                      <wp:positionV relativeFrom="line">
                        <wp:posOffset>635</wp:posOffset>
                      </wp:positionV>
                      <wp:extent cx="69215" cy="208915"/>
                      <wp:effectExtent l="0" t="0" r="0" b="0"/>
                      <wp:wrapNone/>
                      <wp:docPr id="918" name="Frame876"/>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35"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0">
                      <wp:simplePos x="0" y="0"/>
                      <wp:positionH relativeFrom="character">
                        <wp:align>left</wp:align>
                      </wp:positionH>
                      <wp:positionV relativeFrom="line">
                        <wp:posOffset>635</wp:posOffset>
                      </wp:positionV>
                      <wp:extent cx="69215" cy="208915"/>
                      <wp:effectExtent l="0" t="0" r="0" b="0"/>
                      <wp:wrapNone/>
                      <wp:docPr id="919" name="Frame877"/>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57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10.21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1">
                      <wp:simplePos x="0" y="0"/>
                      <wp:positionH relativeFrom="character">
                        <wp:align>left</wp:align>
                      </wp:positionH>
                      <wp:positionV relativeFrom="line">
                        <wp:posOffset>635</wp:posOffset>
                      </wp:positionV>
                      <wp:extent cx="69215" cy="208915"/>
                      <wp:effectExtent l="0" t="0" r="0" b="0"/>
                      <wp:wrapNone/>
                      <wp:docPr id="920" name="Frame87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969"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2">
                      <wp:simplePos x="0" y="0"/>
                      <wp:positionH relativeFrom="character">
                        <wp:align>left</wp:align>
                      </wp:positionH>
                      <wp:positionV relativeFrom="line">
                        <wp:posOffset>635</wp:posOffset>
                      </wp:positionV>
                      <wp:extent cx="69215" cy="175260"/>
                      <wp:effectExtent l="0" t="0" r="0" b="0"/>
                      <wp:wrapNone/>
                      <wp:docPr id="921" name="Frame87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3">
                      <wp:simplePos x="0" y="0"/>
                      <wp:positionH relativeFrom="character">
                        <wp:align>left</wp:align>
                      </wp:positionH>
                      <wp:positionV relativeFrom="line">
                        <wp:posOffset>635</wp:posOffset>
                      </wp:positionV>
                      <wp:extent cx="173990" cy="175260"/>
                      <wp:effectExtent l="0" t="0" r="0" b="0"/>
                      <wp:wrapNone/>
                      <wp:docPr id="922" name="Frame880"/>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4">
                      <wp:simplePos x="0" y="0"/>
                      <wp:positionH relativeFrom="character">
                        <wp:align>left</wp:align>
                      </wp:positionH>
                      <wp:positionV relativeFrom="line">
                        <wp:posOffset>635</wp:posOffset>
                      </wp:positionV>
                      <wp:extent cx="404495" cy="175260"/>
                      <wp:effectExtent l="0" t="0" r="0" b="0"/>
                      <wp:wrapNone/>
                      <wp:docPr id="923" name="Frame881"/>
                      <a:graphic xmlns:a="http://schemas.openxmlformats.org/drawingml/2006/main">
                        <a:graphicData uri="http://schemas.microsoft.com/office/word/2010/wordprocessingShape">
                          <wps:wsp>
                            <wps:cNvSpPr txBox="1"/>
                            <wps:spPr>
                              <a:xfrm>
                                <a:off x="0" y="0"/>
                                <a:ext cx="404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5">
                      <wp:simplePos x="0" y="0"/>
                      <wp:positionH relativeFrom="character">
                        <wp:align>left</wp:align>
                      </wp:positionH>
                      <wp:positionV relativeFrom="line">
                        <wp:posOffset>635</wp:posOffset>
                      </wp:positionV>
                      <wp:extent cx="69215" cy="175260"/>
                      <wp:effectExtent l="0" t="0" r="0" b="0"/>
                      <wp:wrapNone/>
                      <wp:docPr id="924" name="Frame88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6">
                      <wp:simplePos x="0" y="0"/>
                      <wp:positionH relativeFrom="character">
                        <wp:align>left</wp:align>
                      </wp:positionH>
                      <wp:positionV relativeFrom="line">
                        <wp:posOffset>635</wp:posOffset>
                      </wp:positionV>
                      <wp:extent cx="3779520" cy="175260"/>
                      <wp:effectExtent l="0" t="0" r="0" b="0"/>
                      <wp:wrapNone/>
                      <wp:docPr id="925" name="Frame883"/>
                      <a:graphic xmlns:a="http://schemas.openxmlformats.org/drawingml/2006/main">
                        <a:graphicData uri="http://schemas.microsoft.com/office/word/2010/wordprocessingShape">
                          <wps:wsp>
                            <wps:cNvSpPr txBox="1"/>
                            <wps:spPr>
                              <a:xfrm>
                                <a:off x="0" y="0"/>
                                <a:ext cx="37795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7">
                      <wp:simplePos x="0" y="0"/>
                      <wp:positionH relativeFrom="character">
                        <wp:align>left</wp:align>
                      </wp:positionH>
                      <wp:positionV relativeFrom="line">
                        <wp:posOffset>635</wp:posOffset>
                      </wp:positionV>
                      <wp:extent cx="69215" cy="175260"/>
                      <wp:effectExtent l="0" t="0" r="0" b="0"/>
                      <wp:wrapNone/>
                      <wp:docPr id="926" name="Frame88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8">
                      <wp:simplePos x="0" y="0"/>
                      <wp:positionH relativeFrom="character">
                        <wp:align>left</wp:align>
                      </wp:positionH>
                      <wp:positionV relativeFrom="line">
                        <wp:posOffset>635</wp:posOffset>
                      </wp:positionV>
                      <wp:extent cx="198755" cy="175260"/>
                      <wp:effectExtent l="0" t="0" r="0" b="0"/>
                      <wp:wrapNone/>
                      <wp:docPr id="927" name="Frame885"/>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9">
                      <wp:simplePos x="0" y="0"/>
                      <wp:positionH relativeFrom="character">
                        <wp:align>left</wp:align>
                      </wp:positionH>
                      <wp:positionV relativeFrom="line">
                        <wp:posOffset>635</wp:posOffset>
                      </wp:positionV>
                      <wp:extent cx="69215" cy="175260"/>
                      <wp:effectExtent l="0" t="0" r="0" b="0"/>
                      <wp:wrapNone/>
                      <wp:docPr id="928" name="Frame88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0">
                      <wp:simplePos x="0" y="0"/>
                      <wp:positionH relativeFrom="character">
                        <wp:align>left</wp:align>
                      </wp:positionH>
                      <wp:positionV relativeFrom="line">
                        <wp:posOffset>635</wp:posOffset>
                      </wp:positionV>
                      <wp:extent cx="530225" cy="175260"/>
                      <wp:effectExtent l="0" t="0" r="0" b="0"/>
                      <wp:wrapNone/>
                      <wp:docPr id="929" name="Frame887"/>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1">
                      <wp:simplePos x="0" y="0"/>
                      <wp:positionH relativeFrom="character">
                        <wp:align>left</wp:align>
                      </wp:positionH>
                      <wp:positionV relativeFrom="line">
                        <wp:posOffset>635</wp:posOffset>
                      </wp:positionV>
                      <wp:extent cx="69215" cy="175260"/>
                      <wp:effectExtent l="0" t="0" r="0" b="0"/>
                      <wp:wrapNone/>
                      <wp:docPr id="930" name="Frame88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2">
                      <wp:simplePos x="0" y="0"/>
                      <wp:positionH relativeFrom="character">
                        <wp:align>left</wp:align>
                      </wp:positionH>
                      <wp:positionV relativeFrom="line">
                        <wp:posOffset>635</wp:posOffset>
                      </wp:positionV>
                      <wp:extent cx="362585" cy="175260"/>
                      <wp:effectExtent l="0" t="0" r="0" b="0"/>
                      <wp:wrapNone/>
                      <wp:docPr id="931" name="Frame88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3">
                      <wp:simplePos x="0" y="0"/>
                      <wp:positionH relativeFrom="character">
                        <wp:align>left</wp:align>
                      </wp:positionH>
                      <wp:positionV relativeFrom="line">
                        <wp:posOffset>635</wp:posOffset>
                      </wp:positionV>
                      <wp:extent cx="69215" cy="175260"/>
                      <wp:effectExtent l="0" t="0" r="0" b="0"/>
                      <wp:wrapNone/>
                      <wp:docPr id="932" name="Frame89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4">
                      <wp:simplePos x="0" y="0"/>
                      <wp:positionH relativeFrom="character">
                        <wp:align>left</wp:align>
                      </wp:positionH>
                      <wp:positionV relativeFrom="line">
                        <wp:posOffset>635</wp:posOffset>
                      </wp:positionV>
                      <wp:extent cx="615315" cy="175260"/>
                      <wp:effectExtent l="0" t="0" r="0" b="0"/>
                      <wp:wrapNone/>
                      <wp:docPr id="933" name="Frame891"/>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5">
                      <wp:simplePos x="0" y="0"/>
                      <wp:positionH relativeFrom="character">
                        <wp:align>left</wp:align>
                      </wp:positionH>
                      <wp:positionV relativeFrom="line">
                        <wp:posOffset>635</wp:posOffset>
                      </wp:positionV>
                      <wp:extent cx="69215" cy="175260"/>
                      <wp:effectExtent l="0" t="0" r="0" b="0"/>
                      <wp:wrapNone/>
                      <wp:docPr id="934" name="Frame89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6">
                      <wp:simplePos x="0" y="0"/>
                      <wp:positionH relativeFrom="character">
                        <wp:align>left</wp:align>
                      </wp:positionH>
                      <wp:positionV relativeFrom="line">
                        <wp:posOffset>635</wp:posOffset>
                      </wp:positionV>
                      <wp:extent cx="173990" cy="175260"/>
                      <wp:effectExtent l="0" t="0" r="0" b="0"/>
                      <wp:wrapNone/>
                      <wp:docPr id="935" name="Frame893"/>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7"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10.22+</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7">
                      <wp:simplePos x="0" y="0"/>
                      <wp:positionH relativeFrom="character">
                        <wp:align>left</wp:align>
                      </wp:positionH>
                      <wp:positionV relativeFrom="line">
                        <wp:posOffset>635</wp:posOffset>
                      </wp:positionV>
                      <wp:extent cx="69215" cy="175260"/>
                      <wp:effectExtent l="0" t="0" r="0" b="0"/>
                      <wp:wrapNone/>
                      <wp:docPr id="936" name="Frame89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53" w:after="30"/>
              <w:ind w:left="0" w:right="0" w:hanging="0"/>
              <w:rPr/>
            </w:pPr>
            <w:hyperlink r:id="rId69">
              <w:r>
                <w:rPr>
                  <w:rStyle w:val="InternetLink"/>
                  <w:rFonts w:ascii="Arial;Helvetica;sans-serif" w:hAnsi="Arial;Helvetica;sans-serif"/>
                  <w:b w:val="false"/>
                  <w:i w:val="false"/>
                  <w:caps w:val="false"/>
                  <w:smallCaps w:val="false"/>
                  <w:color w:val="0000FF"/>
                  <w:sz w:val="18"/>
                  <w:u w:val="single"/>
                </w:rPr>
                <w:t>Non-Employee Director Compensation Policy.</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8">
                      <wp:simplePos x="0" y="0"/>
                      <wp:positionH relativeFrom="character">
                        <wp:align>left</wp:align>
                      </wp:positionH>
                      <wp:positionV relativeFrom="line">
                        <wp:posOffset>635</wp:posOffset>
                      </wp:positionV>
                      <wp:extent cx="69215" cy="175260"/>
                      <wp:effectExtent l="0" t="0" r="0" b="0"/>
                      <wp:wrapNone/>
                      <wp:docPr id="937" name="Frame89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9">
                      <wp:simplePos x="0" y="0"/>
                      <wp:positionH relativeFrom="character">
                        <wp:align>left</wp:align>
                      </wp:positionH>
                      <wp:positionV relativeFrom="line">
                        <wp:posOffset>635</wp:posOffset>
                      </wp:positionV>
                      <wp:extent cx="69215" cy="208915"/>
                      <wp:effectExtent l="0" t="0" r="0" b="0"/>
                      <wp:wrapNone/>
                      <wp:docPr id="938" name="Frame896"/>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35"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0">
                      <wp:simplePos x="0" y="0"/>
                      <wp:positionH relativeFrom="character">
                        <wp:align>left</wp:align>
                      </wp:positionH>
                      <wp:positionV relativeFrom="line">
                        <wp:posOffset>635</wp:posOffset>
                      </wp:positionV>
                      <wp:extent cx="69215" cy="208915"/>
                      <wp:effectExtent l="0" t="0" r="0" b="0"/>
                      <wp:wrapNone/>
                      <wp:docPr id="939" name="Frame897"/>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57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10.22</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1">
                      <wp:simplePos x="0" y="0"/>
                      <wp:positionH relativeFrom="character">
                        <wp:align>left</wp:align>
                      </wp:positionH>
                      <wp:positionV relativeFrom="line">
                        <wp:posOffset>635</wp:posOffset>
                      </wp:positionV>
                      <wp:extent cx="69215" cy="208915"/>
                      <wp:effectExtent l="0" t="0" r="0" b="0"/>
                      <wp:wrapNone/>
                      <wp:docPr id="940" name="Frame89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969"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2">
                      <wp:simplePos x="0" y="0"/>
                      <wp:positionH relativeFrom="character">
                        <wp:align>left</wp:align>
                      </wp:positionH>
                      <wp:positionV relativeFrom="line">
                        <wp:posOffset>635</wp:posOffset>
                      </wp:positionV>
                      <wp:extent cx="69215" cy="175260"/>
                      <wp:effectExtent l="0" t="0" r="0" b="0"/>
                      <wp:wrapNone/>
                      <wp:docPr id="941" name="Frame89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3">
                      <wp:simplePos x="0" y="0"/>
                      <wp:positionH relativeFrom="character">
                        <wp:align>left</wp:align>
                      </wp:positionH>
                      <wp:positionV relativeFrom="line">
                        <wp:posOffset>635</wp:posOffset>
                      </wp:positionV>
                      <wp:extent cx="173990" cy="175260"/>
                      <wp:effectExtent l="0" t="0" r="0" b="0"/>
                      <wp:wrapNone/>
                      <wp:docPr id="942" name="Frame900"/>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4">
                      <wp:simplePos x="0" y="0"/>
                      <wp:positionH relativeFrom="character">
                        <wp:align>left</wp:align>
                      </wp:positionH>
                      <wp:positionV relativeFrom="line">
                        <wp:posOffset>635</wp:posOffset>
                      </wp:positionV>
                      <wp:extent cx="404495" cy="175260"/>
                      <wp:effectExtent l="0" t="0" r="0" b="0"/>
                      <wp:wrapNone/>
                      <wp:docPr id="943" name="Frame901"/>
                      <a:graphic xmlns:a="http://schemas.openxmlformats.org/drawingml/2006/main">
                        <a:graphicData uri="http://schemas.microsoft.com/office/word/2010/wordprocessingShape">
                          <wps:wsp>
                            <wps:cNvSpPr txBox="1"/>
                            <wps:spPr>
                              <a:xfrm>
                                <a:off x="0" y="0"/>
                                <a:ext cx="404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5">
                      <wp:simplePos x="0" y="0"/>
                      <wp:positionH relativeFrom="character">
                        <wp:align>left</wp:align>
                      </wp:positionH>
                      <wp:positionV relativeFrom="line">
                        <wp:posOffset>635</wp:posOffset>
                      </wp:positionV>
                      <wp:extent cx="69215" cy="175260"/>
                      <wp:effectExtent l="0" t="0" r="0" b="0"/>
                      <wp:wrapNone/>
                      <wp:docPr id="944" name="Frame90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6">
                      <wp:simplePos x="0" y="0"/>
                      <wp:positionH relativeFrom="character">
                        <wp:align>left</wp:align>
                      </wp:positionH>
                      <wp:positionV relativeFrom="line">
                        <wp:posOffset>635</wp:posOffset>
                      </wp:positionV>
                      <wp:extent cx="3779520" cy="175260"/>
                      <wp:effectExtent l="0" t="0" r="0" b="0"/>
                      <wp:wrapNone/>
                      <wp:docPr id="945" name="Frame903"/>
                      <a:graphic xmlns:a="http://schemas.openxmlformats.org/drawingml/2006/main">
                        <a:graphicData uri="http://schemas.microsoft.com/office/word/2010/wordprocessingShape">
                          <wps:wsp>
                            <wps:cNvSpPr txBox="1"/>
                            <wps:spPr>
                              <a:xfrm>
                                <a:off x="0" y="0"/>
                                <a:ext cx="37795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7">
                      <wp:simplePos x="0" y="0"/>
                      <wp:positionH relativeFrom="character">
                        <wp:align>left</wp:align>
                      </wp:positionH>
                      <wp:positionV relativeFrom="line">
                        <wp:posOffset>635</wp:posOffset>
                      </wp:positionV>
                      <wp:extent cx="69215" cy="175260"/>
                      <wp:effectExtent l="0" t="0" r="0" b="0"/>
                      <wp:wrapNone/>
                      <wp:docPr id="946" name="Frame90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8">
                      <wp:simplePos x="0" y="0"/>
                      <wp:positionH relativeFrom="character">
                        <wp:align>left</wp:align>
                      </wp:positionH>
                      <wp:positionV relativeFrom="line">
                        <wp:posOffset>635</wp:posOffset>
                      </wp:positionV>
                      <wp:extent cx="198755" cy="175260"/>
                      <wp:effectExtent l="0" t="0" r="0" b="0"/>
                      <wp:wrapNone/>
                      <wp:docPr id="947" name="Frame905"/>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9">
                      <wp:simplePos x="0" y="0"/>
                      <wp:positionH relativeFrom="character">
                        <wp:align>left</wp:align>
                      </wp:positionH>
                      <wp:positionV relativeFrom="line">
                        <wp:posOffset>635</wp:posOffset>
                      </wp:positionV>
                      <wp:extent cx="69215" cy="175260"/>
                      <wp:effectExtent l="0" t="0" r="0" b="0"/>
                      <wp:wrapNone/>
                      <wp:docPr id="948" name="Frame90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0">
                      <wp:simplePos x="0" y="0"/>
                      <wp:positionH relativeFrom="character">
                        <wp:align>left</wp:align>
                      </wp:positionH>
                      <wp:positionV relativeFrom="line">
                        <wp:posOffset>635</wp:posOffset>
                      </wp:positionV>
                      <wp:extent cx="530225" cy="175260"/>
                      <wp:effectExtent l="0" t="0" r="0" b="0"/>
                      <wp:wrapNone/>
                      <wp:docPr id="949" name="Frame907"/>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1">
                      <wp:simplePos x="0" y="0"/>
                      <wp:positionH relativeFrom="character">
                        <wp:align>left</wp:align>
                      </wp:positionH>
                      <wp:positionV relativeFrom="line">
                        <wp:posOffset>635</wp:posOffset>
                      </wp:positionV>
                      <wp:extent cx="69215" cy="175260"/>
                      <wp:effectExtent l="0" t="0" r="0" b="0"/>
                      <wp:wrapNone/>
                      <wp:docPr id="950" name="Frame90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2">
                      <wp:simplePos x="0" y="0"/>
                      <wp:positionH relativeFrom="character">
                        <wp:align>left</wp:align>
                      </wp:positionH>
                      <wp:positionV relativeFrom="line">
                        <wp:posOffset>635</wp:posOffset>
                      </wp:positionV>
                      <wp:extent cx="362585" cy="175260"/>
                      <wp:effectExtent l="0" t="0" r="0" b="0"/>
                      <wp:wrapNone/>
                      <wp:docPr id="951" name="Frame90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3">
                      <wp:simplePos x="0" y="0"/>
                      <wp:positionH relativeFrom="character">
                        <wp:align>left</wp:align>
                      </wp:positionH>
                      <wp:positionV relativeFrom="line">
                        <wp:posOffset>635</wp:posOffset>
                      </wp:positionV>
                      <wp:extent cx="69215" cy="175260"/>
                      <wp:effectExtent l="0" t="0" r="0" b="0"/>
                      <wp:wrapNone/>
                      <wp:docPr id="952" name="Frame91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4">
                      <wp:simplePos x="0" y="0"/>
                      <wp:positionH relativeFrom="character">
                        <wp:align>left</wp:align>
                      </wp:positionH>
                      <wp:positionV relativeFrom="line">
                        <wp:posOffset>635</wp:posOffset>
                      </wp:positionV>
                      <wp:extent cx="615315" cy="175260"/>
                      <wp:effectExtent l="0" t="0" r="0" b="0"/>
                      <wp:wrapNone/>
                      <wp:docPr id="953" name="Frame911"/>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5">
                      <wp:simplePos x="0" y="0"/>
                      <wp:positionH relativeFrom="character">
                        <wp:align>left</wp:align>
                      </wp:positionH>
                      <wp:positionV relativeFrom="line">
                        <wp:posOffset>635</wp:posOffset>
                      </wp:positionV>
                      <wp:extent cx="69215" cy="175260"/>
                      <wp:effectExtent l="0" t="0" r="0" b="0"/>
                      <wp:wrapNone/>
                      <wp:docPr id="954" name="Frame91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6">
                      <wp:simplePos x="0" y="0"/>
                      <wp:positionH relativeFrom="character">
                        <wp:align>left</wp:align>
                      </wp:positionH>
                      <wp:positionV relativeFrom="line">
                        <wp:posOffset>635</wp:posOffset>
                      </wp:positionV>
                      <wp:extent cx="173990" cy="175260"/>
                      <wp:effectExtent l="0" t="0" r="0" b="0"/>
                      <wp:wrapNone/>
                      <wp:docPr id="955" name="Frame913"/>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7"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7">
                      <wp:simplePos x="0" y="0"/>
                      <wp:positionH relativeFrom="character">
                        <wp:align>left</wp:align>
                      </wp:positionH>
                      <wp:positionV relativeFrom="line">
                        <wp:posOffset>635</wp:posOffset>
                      </wp:positionV>
                      <wp:extent cx="69215" cy="175260"/>
                      <wp:effectExtent l="0" t="0" r="0" b="0"/>
                      <wp:wrapNone/>
                      <wp:docPr id="956" name="Frame91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53" w:after="30"/>
              <w:ind w:left="0" w:right="0" w:hanging="0"/>
              <w:rPr/>
            </w:pPr>
            <w:hyperlink r:id="rId70">
              <w:r>
                <w:rPr>
                  <w:rStyle w:val="InternetLink"/>
                  <w:rFonts w:ascii="Arial;Helvetica;sans-serif" w:hAnsi="Arial;Helvetica;sans-serif"/>
                  <w:b w:val="false"/>
                  <w:i w:val="false"/>
                  <w:caps w:val="false"/>
                  <w:smallCaps w:val="false"/>
                  <w:color w:val="0000FF"/>
                  <w:sz w:val="18"/>
                  <w:u w:val="single"/>
                </w:rPr>
                <w:t>Severance and Change in Control Plan.</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8">
                      <wp:simplePos x="0" y="0"/>
                      <wp:positionH relativeFrom="character">
                        <wp:align>left</wp:align>
                      </wp:positionH>
                      <wp:positionV relativeFrom="line">
                        <wp:posOffset>635</wp:posOffset>
                      </wp:positionV>
                      <wp:extent cx="69215" cy="175260"/>
                      <wp:effectExtent l="0" t="0" r="0" b="0"/>
                      <wp:wrapNone/>
                      <wp:docPr id="957" name="Frame91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9">
                      <wp:simplePos x="0" y="0"/>
                      <wp:positionH relativeFrom="character">
                        <wp:align>left</wp:align>
                      </wp:positionH>
                      <wp:positionV relativeFrom="line">
                        <wp:posOffset>635</wp:posOffset>
                      </wp:positionV>
                      <wp:extent cx="69215" cy="208915"/>
                      <wp:effectExtent l="0" t="0" r="0" b="0"/>
                      <wp:wrapNone/>
                      <wp:docPr id="958" name="Frame916"/>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35"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0">
                      <wp:simplePos x="0" y="0"/>
                      <wp:positionH relativeFrom="character">
                        <wp:align>left</wp:align>
                      </wp:positionH>
                      <wp:positionV relativeFrom="line">
                        <wp:posOffset>635</wp:posOffset>
                      </wp:positionV>
                      <wp:extent cx="69215" cy="208915"/>
                      <wp:effectExtent l="0" t="0" r="0" b="0"/>
                      <wp:wrapNone/>
                      <wp:docPr id="959" name="Frame917"/>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57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1">
                      <wp:simplePos x="0" y="0"/>
                      <wp:positionH relativeFrom="character">
                        <wp:align>left</wp:align>
                      </wp:positionH>
                      <wp:positionV relativeFrom="line">
                        <wp:posOffset>635</wp:posOffset>
                      </wp:positionV>
                      <wp:extent cx="69215" cy="208915"/>
                      <wp:effectExtent l="0" t="0" r="0" b="0"/>
                      <wp:wrapNone/>
                      <wp:docPr id="960" name="Frame91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969"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2">
                      <wp:simplePos x="0" y="0"/>
                      <wp:positionH relativeFrom="character">
                        <wp:align>left</wp:align>
                      </wp:positionH>
                      <wp:positionV relativeFrom="line">
                        <wp:posOffset>635</wp:posOffset>
                      </wp:positionV>
                      <wp:extent cx="69215" cy="175260"/>
                      <wp:effectExtent l="0" t="0" r="0" b="0"/>
                      <wp:wrapNone/>
                      <wp:docPr id="961" name="Frame91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3">
                      <wp:simplePos x="0" y="0"/>
                      <wp:positionH relativeFrom="character">
                        <wp:align>left</wp:align>
                      </wp:positionH>
                      <wp:positionV relativeFrom="line">
                        <wp:posOffset>635</wp:posOffset>
                      </wp:positionV>
                      <wp:extent cx="173990" cy="175260"/>
                      <wp:effectExtent l="0" t="0" r="0" b="0"/>
                      <wp:wrapNone/>
                      <wp:docPr id="962" name="Frame920"/>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4">
                      <wp:simplePos x="0" y="0"/>
                      <wp:positionH relativeFrom="character">
                        <wp:align>left</wp:align>
                      </wp:positionH>
                      <wp:positionV relativeFrom="line">
                        <wp:posOffset>635</wp:posOffset>
                      </wp:positionV>
                      <wp:extent cx="404495" cy="175260"/>
                      <wp:effectExtent l="0" t="0" r="0" b="0"/>
                      <wp:wrapNone/>
                      <wp:docPr id="963" name="Frame921"/>
                      <a:graphic xmlns:a="http://schemas.openxmlformats.org/drawingml/2006/main">
                        <a:graphicData uri="http://schemas.microsoft.com/office/word/2010/wordprocessingShape">
                          <wps:wsp>
                            <wps:cNvSpPr txBox="1"/>
                            <wps:spPr>
                              <a:xfrm>
                                <a:off x="0" y="0"/>
                                <a:ext cx="404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5">
                      <wp:simplePos x="0" y="0"/>
                      <wp:positionH relativeFrom="character">
                        <wp:align>left</wp:align>
                      </wp:positionH>
                      <wp:positionV relativeFrom="line">
                        <wp:posOffset>635</wp:posOffset>
                      </wp:positionV>
                      <wp:extent cx="69215" cy="175260"/>
                      <wp:effectExtent l="0" t="0" r="0" b="0"/>
                      <wp:wrapNone/>
                      <wp:docPr id="964" name="Frame92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6">
                      <wp:simplePos x="0" y="0"/>
                      <wp:positionH relativeFrom="character">
                        <wp:align>left</wp:align>
                      </wp:positionH>
                      <wp:positionV relativeFrom="line">
                        <wp:posOffset>635</wp:posOffset>
                      </wp:positionV>
                      <wp:extent cx="3779520" cy="208915"/>
                      <wp:effectExtent l="0" t="0" r="0" b="0"/>
                      <wp:wrapNone/>
                      <wp:docPr id="965" name="Frame923"/>
                      <a:graphic xmlns:a="http://schemas.openxmlformats.org/drawingml/2006/main">
                        <a:graphicData uri="http://schemas.microsoft.com/office/word/2010/wordprocessingShape">
                          <wps:wsp>
                            <wps:cNvSpPr txBox="1"/>
                            <wps:spPr>
                              <a:xfrm>
                                <a:off x="0" y="0"/>
                                <a:ext cx="3779520" cy="208915"/>
                              </a:xfrm>
                              <a:prstGeom prst="rect"/>
                            </wps:spPr>
                            <wps:txbx>
                              <w:txbxContent>
                                <w:p>
                                  <w:pPr>
                                    <w:pStyle w:val="TableContents"/>
                                    <w:spacing w:before="53" w:after="3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6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7">
                      <wp:simplePos x="0" y="0"/>
                      <wp:positionH relativeFrom="character">
                        <wp:align>left</wp:align>
                      </wp:positionH>
                      <wp:positionV relativeFrom="line">
                        <wp:posOffset>635</wp:posOffset>
                      </wp:positionV>
                      <wp:extent cx="69215" cy="175260"/>
                      <wp:effectExtent l="0" t="0" r="0" b="0"/>
                      <wp:wrapNone/>
                      <wp:docPr id="966" name="Frame92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8">
                      <wp:simplePos x="0" y="0"/>
                      <wp:positionH relativeFrom="character">
                        <wp:align>left</wp:align>
                      </wp:positionH>
                      <wp:positionV relativeFrom="line">
                        <wp:posOffset>635</wp:posOffset>
                      </wp:positionV>
                      <wp:extent cx="198755" cy="175260"/>
                      <wp:effectExtent l="0" t="0" r="0" b="0"/>
                      <wp:wrapNone/>
                      <wp:docPr id="967" name="Frame925"/>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9">
                      <wp:simplePos x="0" y="0"/>
                      <wp:positionH relativeFrom="character">
                        <wp:align>left</wp:align>
                      </wp:positionH>
                      <wp:positionV relativeFrom="line">
                        <wp:posOffset>635</wp:posOffset>
                      </wp:positionV>
                      <wp:extent cx="69215" cy="175260"/>
                      <wp:effectExtent l="0" t="0" r="0" b="0"/>
                      <wp:wrapNone/>
                      <wp:docPr id="968" name="Frame92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0">
                      <wp:simplePos x="0" y="0"/>
                      <wp:positionH relativeFrom="character">
                        <wp:align>left</wp:align>
                      </wp:positionH>
                      <wp:positionV relativeFrom="line">
                        <wp:posOffset>635</wp:posOffset>
                      </wp:positionV>
                      <wp:extent cx="530225" cy="175260"/>
                      <wp:effectExtent l="0" t="0" r="0" b="0"/>
                      <wp:wrapNone/>
                      <wp:docPr id="969" name="Frame927"/>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1">
                      <wp:simplePos x="0" y="0"/>
                      <wp:positionH relativeFrom="character">
                        <wp:align>left</wp:align>
                      </wp:positionH>
                      <wp:positionV relativeFrom="line">
                        <wp:posOffset>635</wp:posOffset>
                      </wp:positionV>
                      <wp:extent cx="69215" cy="175260"/>
                      <wp:effectExtent l="0" t="0" r="0" b="0"/>
                      <wp:wrapNone/>
                      <wp:docPr id="970" name="Frame92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2">
                      <wp:simplePos x="0" y="0"/>
                      <wp:positionH relativeFrom="character">
                        <wp:align>left</wp:align>
                      </wp:positionH>
                      <wp:positionV relativeFrom="line">
                        <wp:posOffset>635</wp:posOffset>
                      </wp:positionV>
                      <wp:extent cx="362585" cy="175260"/>
                      <wp:effectExtent l="0" t="0" r="0" b="0"/>
                      <wp:wrapNone/>
                      <wp:docPr id="971" name="Frame92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3">
                      <wp:simplePos x="0" y="0"/>
                      <wp:positionH relativeFrom="character">
                        <wp:align>left</wp:align>
                      </wp:positionH>
                      <wp:positionV relativeFrom="line">
                        <wp:posOffset>635</wp:posOffset>
                      </wp:positionV>
                      <wp:extent cx="69215" cy="175260"/>
                      <wp:effectExtent l="0" t="0" r="0" b="0"/>
                      <wp:wrapNone/>
                      <wp:docPr id="972" name="Frame93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4">
                      <wp:simplePos x="0" y="0"/>
                      <wp:positionH relativeFrom="character">
                        <wp:align>left</wp:align>
                      </wp:positionH>
                      <wp:positionV relativeFrom="line">
                        <wp:posOffset>635</wp:posOffset>
                      </wp:positionV>
                      <wp:extent cx="615315" cy="175260"/>
                      <wp:effectExtent l="0" t="0" r="0" b="0"/>
                      <wp:wrapNone/>
                      <wp:docPr id="973" name="Frame931"/>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5">
                      <wp:simplePos x="0" y="0"/>
                      <wp:positionH relativeFrom="character">
                        <wp:align>left</wp:align>
                      </wp:positionH>
                      <wp:positionV relativeFrom="line">
                        <wp:posOffset>635</wp:posOffset>
                      </wp:positionV>
                      <wp:extent cx="69215" cy="175260"/>
                      <wp:effectExtent l="0" t="0" r="0" b="0"/>
                      <wp:wrapNone/>
                      <wp:docPr id="974" name="Frame93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6">
                      <wp:simplePos x="0" y="0"/>
                      <wp:positionH relativeFrom="character">
                        <wp:align>left</wp:align>
                      </wp:positionH>
                      <wp:positionV relativeFrom="line">
                        <wp:posOffset>635</wp:posOffset>
                      </wp:positionV>
                      <wp:extent cx="173990" cy="175260"/>
                      <wp:effectExtent l="0" t="0" r="0" b="0"/>
                      <wp:wrapNone/>
                      <wp:docPr id="975" name="Frame933"/>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7"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10.24*</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7">
                      <wp:simplePos x="0" y="0"/>
                      <wp:positionH relativeFrom="character">
                        <wp:align>left</wp:align>
                      </wp:positionH>
                      <wp:positionV relativeFrom="line">
                        <wp:posOffset>635</wp:posOffset>
                      </wp:positionV>
                      <wp:extent cx="69215" cy="175260"/>
                      <wp:effectExtent l="0" t="0" r="0" b="0"/>
                      <wp:wrapNone/>
                      <wp:docPr id="976" name="Frame93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53" w:after="30"/>
              <w:ind w:left="0" w:right="0" w:hanging="0"/>
              <w:rPr/>
            </w:pPr>
            <w:hyperlink r:id="rId71">
              <w:r>
                <w:rPr>
                  <w:rStyle w:val="InternetLink"/>
                  <w:rFonts w:ascii="Arial;Helvetica;sans-serif" w:hAnsi="Arial;Helvetica;sans-serif"/>
                  <w:b w:val="false"/>
                  <w:i w:val="false"/>
                  <w:caps w:val="false"/>
                  <w:smallCaps w:val="false"/>
                  <w:color w:val="0000FF"/>
                  <w:sz w:val="18"/>
                  <w:u w:val="single"/>
                </w:rPr>
                <w:t>Collaboration Agreement, by and between Lhotse Bio, Inc. and Schrödinger, LLC, dated October 9, 2020.</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8">
                      <wp:simplePos x="0" y="0"/>
                      <wp:positionH relativeFrom="character">
                        <wp:align>left</wp:align>
                      </wp:positionH>
                      <wp:positionV relativeFrom="line">
                        <wp:posOffset>635</wp:posOffset>
                      </wp:positionV>
                      <wp:extent cx="69215" cy="175260"/>
                      <wp:effectExtent l="0" t="0" r="0" b="0"/>
                      <wp:wrapNone/>
                      <wp:docPr id="977" name="Frame93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9">
                      <wp:simplePos x="0" y="0"/>
                      <wp:positionH relativeFrom="character">
                        <wp:align>left</wp:align>
                      </wp:positionH>
                      <wp:positionV relativeFrom="line">
                        <wp:posOffset>635</wp:posOffset>
                      </wp:positionV>
                      <wp:extent cx="69215" cy="208915"/>
                      <wp:effectExtent l="0" t="0" r="0" b="0"/>
                      <wp:wrapNone/>
                      <wp:docPr id="978" name="Frame936"/>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35"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0">
                      <wp:simplePos x="0" y="0"/>
                      <wp:positionH relativeFrom="character">
                        <wp:align>left</wp:align>
                      </wp:positionH>
                      <wp:positionV relativeFrom="line">
                        <wp:posOffset>635</wp:posOffset>
                      </wp:positionV>
                      <wp:extent cx="69215" cy="208915"/>
                      <wp:effectExtent l="0" t="0" r="0" b="0"/>
                      <wp:wrapNone/>
                      <wp:docPr id="979" name="Frame937"/>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57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10.24</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1">
                      <wp:simplePos x="0" y="0"/>
                      <wp:positionH relativeFrom="character">
                        <wp:align>left</wp:align>
                      </wp:positionH>
                      <wp:positionV relativeFrom="line">
                        <wp:posOffset>635</wp:posOffset>
                      </wp:positionV>
                      <wp:extent cx="69215" cy="208915"/>
                      <wp:effectExtent l="0" t="0" r="0" b="0"/>
                      <wp:wrapNone/>
                      <wp:docPr id="980" name="Frame93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969"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2">
                      <wp:simplePos x="0" y="0"/>
                      <wp:positionH relativeFrom="character">
                        <wp:align>left</wp:align>
                      </wp:positionH>
                      <wp:positionV relativeFrom="line">
                        <wp:posOffset>635</wp:posOffset>
                      </wp:positionV>
                      <wp:extent cx="69215" cy="175260"/>
                      <wp:effectExtent l="0" t="0" r="0" b="0"/>
                      <wp:wrapNone/>
                      <wp:docPr id="981" name="Frame93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3">
                      <wp:simplePos x="0" y="0"/>
                      <wp:positionH relativeFrom="character">
                        <wp:align>left</wp:align>
                      </wp:positionH>
                      <wp:positionV relativeFrom="line">
                        <wp:posOffset>635</wp:posOffset>
                      </wp:positionV>
                      <wp:extent cx="173990" cy="175260"/>
                      <wp:effectExtent l="0" t="0" r="0" b="0"/>
                      <wp:wrapNone/>
                      <wp:docPr id="982" name="Frame940"/>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4">
                      <wp:simplePos x="0" y="0"/>
                      <wp:positionH relativeFrom="character">
                        <wp:align>left</wp:align>
                      </wp:positionH>
                      <wp:positionV relativeFrom="line">
                        <wp:posOffset>635</wp:posOffset>
                      </wp:positionV>
                      <wp:extent cx="404495" cy="175260"/>
                      <wp:effectExtent l="0" t="0" r="0" b="0"/>
                      <wp:wrapNone/>
                      <wp:docPr id="983" name="Frame941"/>
                      <a:graphic xmlns:a="http://schemas.openxmlformats.org/drawingml/2006/main">
                        <a:graphicData uri="http://schemas.microsoft.com/office/word/2010/wordprocessingShape">
                          <wps:wsp>
                            <wps:cNvSpPr txBox="1"/>
                            <wps:spPr>
                              <a:xfrm>
                                <a:off x="0" y="0"/>
                                <a:ext cx="404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5">
                      <wp:simplePos x="0" y="0"/>
                      <wp:positionH relativeFrom="character">
                        <wp:align>left</wp:align>
                      </wp:positionH>
                      <wp:positionV relativeFrom="line">
                        <wp:posOffset>635</wp:posOffset>
                      </wp:positionV>
                      <wp:extent cx="69215" cy="175260"/>
                      <wp:effectExtent l="0" t="0" r="0" b="0"/>
                      <wp:wrapNone/>
                      <wp:docPr id="984" name="Frame94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6">
                      <wp:simplePos x="0" y="0"/>
                      <wp:positionH relativeFrom="character">
                        <wp:align>left</wp:align>
                      </wp:positionH>
                      <wp:positionV relativeFrom="line">
                        <wp:posOffset>635</wp:posOffset>
                      </wp:positionV>
                      <wp:extent cx="3779520" cy="208915"/>
                      <wp:effectExtent l="0" t="0" r="0" b="0"/>
                      <wp:wrapNone/>
                      <wp:docPr id="985" name="Frame943"/>
                      <a:graphic xmlns:a="http://schemas.openxmlformats.org/drawingml/2006/main">
                        <a:graphicData uri="http://schemas.microsoft.com/office/word/2010/wordprocessingShape">
                          <wps:wsp>
                            <wps:cNvSpPr txBox="1"/>
                            <wps:spPr>
                              <a:xfrm>
                                <a:off x="0" y="0"/>
                                <a:ext cx="3779520" cy="208915"/>
                              </a:xfrm>
                              <a:prstGeom prst="rect"/>
                            </wps:spPr>
                            <wps:txbx>
                              <w:txbxContent>
                                <w:p>
                                  <w:pPr>
                                    <w:pStyle w:val="TableContents"/>
                                    <w:spacing w:before="53" w:after="30"/>
                                    <w:ind w:left="0" w:right="0" w:hanging="0"/>
                                    <w:rPr>
                                      <w:color w:val="0000FF"/>
                                    </w:rPr>
                                  </w:pPr>
                                  <w:r>
                                    <w:rPr>
                                      <w:color w:val="0000FF"/>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6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rPr>
                                <w:color w:val="0000FF"/>
                              </w:rPr>
                            </w:pPr>
                            <w:r>
                              <w:rPr>
                                <w:color w:val="0000FF"/>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7">
                      <wp:simplePos x="0" y="0"/>
                      <wp:positionH relativeFrom="character">
                        <wp:align>left</wp:align>
                      </wp:positionH>
                      <wp:positionV relativeFrom="line">
                        <wp:posOffset>635</wp:posOffset>
                      </wp:positionV>
                      <wp:extent cx="69215" cy="175260"/>
                      <wp:effectExtent l="0" t="0" r="0" b="0"/>
                      <wp:wrapNone/>
                      <wp:docPr id="986" name="Frame94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8">
                      <wp:simplePos x="0" y="0"/>
                      <wp:positionH relativeFrom="character">
                        <wp:align>left</wp:align>
                      </wp:positionH>
                      <wp:positionV relativeFrom="line">
                        <wp:posOffset>635</wp:posOffset>
                      </wp:positionV>
                      <wp:extent cx="198755" cy="175260"/>
                      <wp:effectExtent l="0" t="0" r="0" b="0"/>
                      <wp:wrapNone/>
                      <wp:docPr id="987" name="Frame945"/>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9">
                      <wp:simplePos x="0" y="0"/>
                      <wp:positionH relativeFrom="character">
                        <wp:align>left</wp:align>
                      </wp:positionH>
                      <wp:positionV relativeFrom="line">
                        <wp:posOffset>635</wp:posOffset>
                      </wp:positionV>
                      <wp:extent cx="69215" cy="175260"/>
                      <wp:effectExtent l="0" t="0" r="0" b="0"/>
                      <wp:wrapNone/>
                      <wp:docPr id="988" name="Frame94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0">
                      <wp:simplePos x="0" y="0"/>
                      <wp:positionH relativeFrom="character">
                        <wp:align>left</wp:align>
                      </wp:positionH>
                      <wp:positionV relativeFrom="line">
                        <wp:posOffset>635</wp:posOffset>
                      </wp:positionV>
                      <wp:extent cx="530225" cy="175260"/>
                      <wp:effectExtent l="0" t="0" r="0" b="0"/>
                      <wp:wrapNone/>
                      <wp:docPr id="989" name="Frame947"/>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1">
                      <wp:simplePos x="0" y="0"/>
                      <wp:positionH relativeFrom="character">
                        <wp:align>left</wp:align>
                      </wp:positionH>
                      <wp:positionV relativeFrom="line">
                        <wp:posOffset>635</wp:posOffset>
                      </wp:positionV>
                      <wp:extent cx="69215" cy="175260"/>
                      <wp:effectExtent l="0" t="0" r="0" b="0"/>
                      <wp:wrapNone/>
                      <wp:docPr id="990" name="Frame94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2">
                      <wp:simplePos x="0" y="0"/>
                      <wp:positionH relativeFrom="character">
                        <wp:align>left</wp:align>
                      </wp:positionH>
                      <wp:positionV relativeFrom="line">
                        <wp:posOffset>635</wp:posOffset>
                      </wp:positionV>
                      <wp:extent cx="362585" cy="175260"/>
                      <wp:effectExtent l="0" t="0" r="0" b="0"/>
                      <wp:wrapNone/>
                      <wp:docPr id="991" name="Frame94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3">
                      <wp:simplePos x="0" y="0"/>
                      <wp:positionH relativeFrom="character">
                        <wp:align>left</wp:align>
                      </wp:positionH>
                      <wp:positionV relativeFrom="line">
                        <wp:posOffset>635</wp:posOffset>
                      </wp:positionV>
                      <wp:extent cx="69215" cy="175260"/>
                      <wp:effectExtent l="0" t="0" r="0" b="0"/>
                      <wp:wrapNone/>
                      <wp:docPr id="992" name="Frame95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4">
                      <wp:simplePos x="0" y="0"/>
                      <wp:positionH relativeFrom="character">
                        <wp:align>left</wp:align>
                      </wp:positionH>
                      <wp:positionV relativeFrom="line">
                        <wp:posOffset>635</wp:posOffset>
                      </wp:positionV>
                      <wp:extent cx="615315" cy="175260"/>
                      <wp:effectExtent l="0" t="0" r="0" b="0"/>
                      <wp:wrapNone/>
                      <wp:docPr id="993" name="Frame951"/>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5">
                      <wp:simplePos x="0" y="0"/>
                      <wp:positionH relativeFrom="character">
                        <wp:align>left</wp:align>
                      </wp:positionH>
                      <wp:positionV relativeFrom="line">
                        <wp:posOffset>635</wp:posOffset>
                      </wp:positionV>
                      <wp:extent cx="69215" cy="175260"/>
                      <wp:effectExtent l="0" t="0" r="0" b="0"/>
                      <wp:wrapNone/>
                      <wp:docPr id="994" name="Frame95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6">
                      <wp:simplePos x="0" y="0"/>
                      <wp:positionH relativeFrom="character">
                        <wp:align>left</wp:align>
                      </wp:positionH>
                      <wp:positionV relativeFrom="line">
                        <wp:posOffset>635</wp:posOffset>
                      </wp:positionV>
                      <wp:extent cx="173990" cy="175260"/>
                      <wp:effectExtent l="0" t="0" r="0" b="0"/>
                      <wp:wrapNone/>
                      <wp:docPr id="995" name="Frame953"/>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7"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10.25</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7">
                      <wp:simplePos x="0" y="0"/>
                      <wp:positionH relativeFrom="character">
                        <wp:align>left</wp:align>
                      </wp:positionH>
                      <wp:positionV relativeFrom="line">
                        <wp:posOffset>635</wp:posOffset>
                      </wp:positionV>
                      <wp:extent cx="69215" cy="175260"/>
                      <wp:effectExtent l="0" t="0" r="0" b="0"/>
                      <wp:wrapNone/>
                      <wp:docPr id="996" name="Frame95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53" w:after="30"/>
              <w:ind w:left="0" w:right="0" w:hanging="0"/>
              <w:rPr/>
            </w:pPr>
            <w:hyperlink r:id="rId72">
              <w:r>
                <w:rPr>
                  <w:rStyle w:val="InternetLink"/>
                  <w:rFonts w:ascii="Arial;Helvetica;sans-serif" w:hAnsi="Arial;Helvetica;sans-serif"/>
                  <w:b w:val="false"/>
                  <w:i w:val="false"/>
                  <w:caps w:val="false"/>
                  <w:smallCaps w:val="false"/>
                  <w:color w:val="0000FF"/>
                  <w:sz w:val="18"/>
                  <w:u w:val="single"/>
                </w:rPr>
                <w:t>Shanghai Premises Lease Contract, by and between Shanghai ShouTi Biotechnology Co., Ltd. and Shanghai Changtai Business Management Co., Ltd., dated June 22, 2021.</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8">
                      <wp:simplePos x="0" y="0"/>
                      <wp:positionH relativeFrom="character">
                        <wp:align>left</wp:align>
                      </wp:positionH>
                      <wp:positionV relativeFrom="line">
                        <wp:posOffset>635</wp:posOffset>
                      </wp:positionV>
                      <wp:extent cx="69215" cy="175260"/>
                      <wp:effectExtent l="0" t="0" r="0" b="0"/>
                      <wp:wrapNone/>
                      <wp:docPr id="997" name="Frame9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S-1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9">
                      <wp:simplePos x="0" y="0"/>
                      <wp:positionH relativeFrom="character">
                        <wp:align>left</wp:align>
                      </wp:positionH>
                      <wp:positionV relativeFrom="line">
                        <wp:posOffset>635</wp:posOffset>
                      </wp:positionV>
                      <wp:extent cx="69215" cy="208915"/>
                      <wp:effectExtent l="0" t="0" r="0" b="0"/>
                      <wp:wrapNone/>
                      <wp:docPr id="998" name="Frame956"/>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835"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333-269200</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0">
                      <wp:simplePos x="0" y="0"/>
                      <wp:positionH relativeFrom="character">
                        <wp:align>left</wp:align>
                      </wp:positionH>
                      <wp:positionV relativeFrom="line">
                        <wp:posOffset>635</wp:posOffset>
                      </wp:positionV>
                      <wp:extent cx="69215" cy="208915"/>
                      <wp:effectExtent l="0" t="0" r="0" b="0"/>
                      <wp:wrapNone/>
                      <wp:docPr id="999" name="Frame957"/>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571"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10.25</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1">
                      <wp:simplePos x="0" y="0"/>
                      <wp:positionH relativeFrom="character">
                        <wp:align>left</wp:align>
                      </wp:positionH>
                      <wp:positionV relativeFrom="line">
                        <wp:posOffset>635</wp:posOffset>
                      </wp:positionV>
                      <wp:extent cx="69215" cy="208915"/>
                      <wp:effectExtent l="0" t="0" r="0" b="0"/>
                      <wp:wrapNone/>
                      <wp:docPr id="1000" name="Frame958"/>
                      <a:graphic xmlns:a="http://schemas.openxmlformats.org/drawingml/2006/main">
                        <a:graphicData uri="http://schemas.microsoft.com/office/word/2010/wordprocessingShape">
                          <wps:wsp>
                            <wps:cNvSpPr txBox="1"/>
                            <wps:spPr>
                              <a:xfrm>
                                <a:off x="0" y="0"/>
                                <a:ext cx="69215" cy="208915"/>
                              </a:xfrm>
                              <a:prstGeom prst="rect"/>
                            </wps:spPr>
                            <wps:txbx>
                              <w:txbxContent>
                                <w:p>
                                  <w:pPr>
                                    <w:pStyle w:val="TableContents"/>
                                    <w:spacing w:before="53" w:after="30"/>
                                    <w:ind w:left="0" w:right="0" w:hanging="0"/>
                                    <w:jc w:val="center"/>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jc w:val="center"/>
                              <w:rPr/>
                            </w:pPr>
                            <w:r>
                              <w:rPr/>
                              <w:t>​</w:t>
                            </w:r>
                          </w:p>
                        </w:txbxContent>
                      </v:textbox>
                    </v:rect>
                  </w:pict>
                </mc:Fallback>
              </mc:AlternateContent>
            </w:r>
          </w:p>
        </w:tc>
        <w:tc>
          <w:tcPr>
            <w:tcW w:w="969" w:type="dxa"/>
            <w:tcBorders/>
            <w:shd w:fill="auto" w:val="clear"/>
            <w:vAlign w:val="center"/>
          </w:tcPr>
          <w:p>
            <w:pPr>
              <w:pStyle w:val="TableContents"/>
              <w:spacing w:lineRule="auto" w:line="328" w:before="53" w:after="30"/>
              <w:ind w:left="0" w:right="0" w:hanging="0"/>
              <w:jc w:val="center"/>
              <w:rPr>
                <w:rFonts w:ascii="Arial;Helvetica;sans-serif" w:hAnsi="Arial;Helvetica;sans-serif"/>
                <w:sz w:val="18"/>
              </w:rPr>
            </w:pPr>
            <w:r>
              <w:rPr>
                <w:rFonts w:ascii="Arial;Helvetica;sans-serif" w:hAnsi="Arial;Helvetica;sans-serif"/>
                <w:sz w:val="18"/>
              </w:rPr>
              <w:t>January 12, 2023</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2">
                      <wp:simplePos x="0" y="0"/>
                      <wp:positionH relativeFrom="character">
                        <wp:align>left</wp:align>
                      </wp:positionH>
                      <wp:positionV relativeFrom="line">
                        <wp:posOffset>635</wp:posOffset>
                      </wp:positionV>
                      <wp:extent cx="69215" cy="175260"/>
                      <wp:effectExtent l="0" t="0" r="0" b="0"/>
                      <wp:wrapNone/>
                      <wp:docPr id="1001" name="Frame95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3">
                      <wp:simplePos x="0" y="0"/>
                      <wp:positionH relativeFrom="character">
                        <wp:align>left</wp:align>
                      </wp:positionH>
                      <wp:positionV relativeFrom="line">
                        <wp:posOffset>635</wp:posOffset>
                      </wp:positionV>
                      <wp:extent cx="173990" cy="175260"/>
                      <wp:effectExtent l="0" t="0" r="0" b="0"/>
                      <wp:wrapNone/>
                      <wp:docPr id="1002" name="Frame960"/>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4">
                      <wp:simplePos x="0" y="0"/>
                      <wp:positionH relativeFrom="character">
                        <wp:align>left</wp:align>
                      </wp:positionH>
                      <wp:positionV relativeFrom="line">
                        <wp:posOffset>635</wp:posOffset>
                      </wp:positionV>
                      <wp:extent cx="404495" cy="175260"/>
                      <wp:effectExtent l="0" t="0" r="0" b="0"/>
                      <wp:wrapNone/>
                      <wp:docPr id="1003" name="Frame961"/>
                      <a:graphic xmlns:a="http://schemas.openxmlformats.org/drawingml/2006/main">
                        <a:graphicData uri="http://schemas.microsoft.com/office/word/2010/wordprocessingShape">
                          <wps:wsp>
                            <wps:cNvSpPr txBox="1"/>
                            <wps:spPr>
                              <a:xfrm>
                                <a:off x="0" y="0"/>
                                <a:ext cx="404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5">
                      <wp:simplePos x="0" y="0"/>
                      <wp:positionH relativeFrom="character">
                        <wp:align>left</wp:align>
                      </wp:positionH>
                      <wp:positionV relativeFrom="line">
                        <wp:posOffset>635</wp:posOffset>
                      </wp:positionV>
                      <wp:extent cx="69215" cy="175260"/>
                      <wp:effectExtent l="0" t="0" r="0" b="0"/>
                      <wp:wrapNone/>
                      <wp:docPr id="1004" name="Frame96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6">
                      <wp:simplePos x="0" y="0"/>
                      <wp:positionH relativeFrom="character">
                        <wp:align>left</wp:align>
                      </wp:positionH>
                      <wp:positionV relativeFrom="line">
                        <wp:posOffset>635</wp:posOffset>
                      </wp:positionV>
                      <wp:extent cx="3779520" cy="175260"/>
                      <wp:effectExtent l="0" t="0" r="0" b="0"/>
                      <wp:wrapNone/>
                      <wp:docPr id="1005" name="Frame963"/>
                      <a:graphic xmlns:a="http://schemas.openxmlformats.org/drawingml/2006/main">
                        <a:graphicData uri="http://schemas.microsoft.com/office/word/2010/wordprocessingShape">
                          <wps:wsp>
                            <wps:cNvSpPr txBox="1"/>
                            <wps:spPr>
                              <a:xfrm>
                                <a:off x="0" y="0"/>
                                <a:ext cx="37795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7">
                      <wp:simplePos x="0" y="0"/>
                      <wp:positionH relativeFrom="character">
                        <wp:align>left</wp:align>
                      </wp:positionH>
                      <wp:positionV relativeFrom="line">
                        <wp:posOffset>635</wp:posOffset>
                      </wp:positionV>
                      <wp:extent cx="69215" cy="175260"/>
                      <wp:effectExtent l="0" t="0" r="0" b="0"/>
                      <wp:wrapNone/>
                      <wp:docPr id="1006" name="Frame96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8">
                      <wp:simplePos x="0" y="0"/>
                      <wp:positionH relativeFrom="character">
                        <wp:align>left</wp:align>
                      </wp:positionH>
                      <wp:positionV relativeFrom="line">
                        <wp:posOffset>635</wp:posOffset>
                      </wp:positionV>
                      <wp:extent cx="198755" cy="175260"/>
                      <wp:effectExtent l="0" t="0" r="0" b="0"/>
                      <wp:wrapNone/>
                      <wp:docPr id="1007" name="Frame965"/>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9">
                      <wp:simplePos x="0" y="0"/>
                      <wp:positionH relativeFrom="character">
                        <wp:align>left</wp:align>
                      </wp:positionH>
                      <wp:positionV relativeFrom="line">
                        <wp:posOffset>635</wp:posOffset>
                      </wp:positionV>
                      <wp:extent cx="69215" cy="175260"/>
                      <wp:effectExtent l="0" t="0" r="0" b="0"/>
                      <wp:wrapNone/>
                      <wp:docPr id="1008" name="Frame96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0">
                      <wp:simplePos x="0" y="0"/>
                      <wp:positionH relativeFrom="character">
                        <wp:align>left</wp:align>
                      </wp:positionH>
                      <wp:positionV relativeFrom="line">
                        <wp:posOffset>635</wp:posOffset>
                      </wp:positionV>
                      <wp:extent cx="530225" cy="175260"/>
                      <wp:effectExtent l="0" t="0" r="0" b="0"/>
                      <wp:wrapNone/>
                      <wp:docPr id="1009" name="Frame967"/>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1">
                      <wp:simplePos x="0" y="0"/>
                      <wp:positionH relativeFrom="character">
                        <wp:align>left</wp:align>
                      </wp:positionH>
                      <wp:positionV relativeFrom="line">
                        <wp:posOffset>635</wp:posOffset>
                      </wp:positionV>
                      <wp:extent cx="69215" cy="175260"/>
                      <wp:effectExtent l="0" t="0" r="0" b="0"/>
                      <wp:wrapNone/>
                      <wp:docPr id="1010" name="Frame96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2">
                      <wp:simplePos x="0" y="0"/>
                      <wp:positionH relativeFrom="character">
                        <wp:align>left</wp:align>
                      </wp:positionH>
                      <wp:positionV relativeFrom="line">
                        <wp:posOffset>635</wp:posOffset>
                      </wp:positionV>
                      <wp:extent cx="362585" cy="175260"/>
                      <wp:effectExtent l="0" t="0" r="0" b="0"/>
                      <wp:wrapNone/>
                      <wp:docPr id="1011" name="Frame96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3">
                      <wp:simplePos x="0" y="0"/>
                      <wp:positionH relativeFrom="character">
                        <wp:align>left</wp:align>
                      </wp:positionH>
                      <wp:positionV relativeFrom="line">
                        <wp:posOffset>635</wp:posOffset>
                      </wp:positionV>
                      <wp:extent cx="69215" cy="175260"/>
                      <wp:effectExtent l="0" t="0" r="0" b="0"/>
                      <wp:wrapNone/>
                      <wp:docPr id="1012" name="Frame97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4">
                      <wp:simplePos x="0" y="0"/>
                      <wp:positionH relativeFrom="character">
                        <wp:align>left</wp:align>
                      </wp:positionH>
                      <wp:positionV relativeFrom="line">
                        <wp:posOffset>635</wp:posOffset>
                      </wp:positionV>
                      <wp:extent cx="615315" cy="175260"/>
                      <wp:effectExtent l="0" t="0" r="0" b="0"/>
                      <wp:wrapNone/>
                      <wp:docPr id="1013" name="Frame971"/>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5">
                      <wp:simplePos x="0" y="0"/>
                      <wp:positionH relativeFrom="character">
                        <wp:align>left</wp:align>
                      </wp:positionH>
                      <wp:positionV relativeFrom="line">
                        <wp:posOffset>635</wp:posOffset>
                      </wp:positionV>
                      <wp:extent cx="69215" cy="175260"/>
                      <wp:effectExtent l="0" t="0" r="0" b="0"/>
                      <wp:wrapNone/>
                      <wp:docPr id="1014" name="Frame97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6">
                      <wp:simplePos x="0" y="0"/>
                      <wp:positionH relativeFrom="character">
                        <wp:align>left</wp:align>
                      </wp:positionH>
                      <wp:positionV relativeFrom="line">
                        <wp:posOffset>635</wp:posOffset>
                      </wp:positionV>
                      <wp:extent cx="173990" cy="175260"/>
                      <wp:effectExtent l="0" t="0" r="0" b="0"/>
                      <wp:wrapNone/>
                      <wp:docPr id="1015" name="Frame973"/>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7"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21.1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7">
                      <wp:simplePos x="0" y="0"/>
                      <wp:positionH relativeFrom="character">
                        <wp:align>left</wp:align>
                      </wp:positionH>
                      <wp:positionV relativeFrom="line">
                        <wp:posOffset>635</wp:posOffset>
                      </wp:positionV>
                      <wp:extent cx="69215" cy="175260"/>
                      <wp:effectExtent l="0" t="0" r="0" b="0"/>
                      <wp:wrapNone/>
                      <wp:docPr id="1016" name="Frame97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53" w:after="30"/>
              <w:ind w:left="0" w:right="0" w:hanging="0"/>
              <w:rPr/>
            </w:pPr>
            <w:hyperlink w:anchor="gpcr-20221231xex21d1.htm">
              <w:r>
                <w:rPr>
                  <w:rStyle w:val="InternetLink"/>
                  <w:rFonts w:ascii="Arial;Helvetica;sans-serif" w:hAnsi="Arial;Helvetica;sans-serif"/>
                  <w:b w:val="false"/>
                  <w:i w:val="false"/>
                  <w:caps w:val="false"/>
                  <w:smallCaps w:val="false"/>
                  <w:color w:val="0000FF"/>
                  <w:sz w:val="18"/>
                  <w:u w:val="single"/>
                </w:rPr>
                <w:t>Subsidiaries of the registrant.</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8">
                      <wp:simplePos x="0" y="0"/>
                      <wp:positionH relativeFrom="character">
                        <wp:align>left</wp:align>
                      </wp:positionH>
                      <wp:positionV relativeFrom="line">
                        <wp:posOffset>635</wp:posOffset>
                      </wp:positionV>
                      <wp:extent cx="69215" cy="175260"/>
                      <wp:effectExtent l="0" t="0" r="0" b="0"/>
                      <wp:wrapNone/>
                      <wp:docPr id="1017" name="Frame97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9">
                      <wp:simplePos x="0" y="0"/>
                      <wp:positionH relativeFrom="character">
                        <wp:align>left</wp:align>
                      </wp:positionH>
                      <wp:positionV relativeFrom="line">
                        <wp:posOffset>635</wp:posOffset>
                      </wp:positionV>
                      <wp:extent cx="198755" cy="175260"/>
                      <wp:effectExtent l="0" t="0" r="0" b="0"/>
                      <wp:wrapNone/>
                      <wp:docPr id="1018" name="Frame976"/>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0">
                      <wp:simplePos x="0" y="0"/>
                      <wp:positionH relativeFrom="character">
                        <wp:align>left</wp:align>
                      </wp:positionH>
                      <wp:positionV relativeFrom="line">
                        <wp:posOffset>635</wp:posOffset>
                      </wp:positionV>
                      <wp:extent cx="69215" cy="175260"/>
                      <wp:effectExtent l="0" t="0" r="0" b="0"/>
                      <wp:wrapNone/>
                      <wp:docPr id="1019" name="Frame97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1">
                      <wp:simplePos x="0" y="0"/>
                      <wp:positionH relativeFrom="character">
                        <wp:align>left</wp:align>
                      </wp:positionH>
                      <wp:positionV relativeFrom="line">
                        <wp:posOffset>635</wp:posOffset>
                      </wp:positionV>
                      <wp:extent cx="530225" cy="175260"/>
                      <wp:effectExtent l="0" t="0" r="0" b="0"/>
                      <wp:wrapNone/>
                      <wp:docPr id="1020" name="Frame978"/>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2">
                      <wp:simplePos x="0" y="0"/>
                      <wp:positionH relativeFrom="character">
                        <wp:align>left</wp:align>
                      </wp:positionH>
                      <wp:positionV relativeFrom="line">
                        <wp:posOffset>635</wp:posOffset>
                      </wp:positionV>
                      <wp:extent cx="69215" cy="175260"/>
                      <wp:effectExtent l="0" t="0" r="0" b="0"/>
                      <wp:wrapNone/>
                      <wp:docPr id="1021" name="Frame97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3">
                      <wp:simplePos x="0" y="0"/>
                      <wp:positionH relativeFrom="character">
                        <wp:align>left</wp:align>
                      </wp:positionH>
                      <wp:positionV relativeFrom="line">
                        <wp:posOffset>635</wp:posOffset>
                      </wp:positionV>
                      <wp:extent cx="362585" cy="175260"/>
                      <wp:effectExtent l="0" t="0" r="0" b="0"/>
                      <wp:wrapNone/>
                      <wp:docPr id="1022" name="Frame980"/>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4">
                      <wp:simplePos x="0" y="0"/>
                      <wp:positionH relativeFrom="character">
                        <wp:align>left</wp:align>
                      </wp:positionH>
                      <wp:positionV relativeFrom="line">
                        <wp:posOffset>635</wp:posOffset>
                      </wp:positionV>
                      <wp:extent cx="69215" cy="175260"/>
                      <wp:effectExtent l="0" t="0" r="0" b="0"/>
                      <wp:wrapNone/>
                      <wp:docPr id="1023" name="Frame98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5">
                      <wp:simplePos x="0" y="0"/>
                      <wp:positionH relativeFrom="character">
                        <wp:align>left</wp:align>
                      </wp:positionH>
                      <wp:positionV relativeFrom="line">
                        <wp:posOffset>635</wp:posOffset>
                      </wp:positionV>
                      <wp:extent cx="615315" cy="175260"/>
                      <wp:effectExtent l="0" t="0" r="0" b="0"/>
                      <wp:wrapNone/>
                      <wp:docPr id="1024" name="Frame982"/>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6">
                      <wp:simplePos x="0" y="0"/>
                      <wp:positionH relativeFrom="character">
                        <wp:align>left</wp:align>
                      </wp:positionH>
                      <wp:positionV relativeFrom="line">
                        <wp:posOffset>635</wp:posOffset>
                      </wp:positionV>
                      <wp:extent cx="69215" cy="175260"/>
                      <wp:effectExtent l="0" t="0" r="0" b="0"/>
                      <wp:wrapNone/>
                      <wp:docPr id="1025" name="Frame98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53" w:after="3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6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7">
                      <wp:simplePos x="0" y="0"/>
                      <wp:positionH relativeFrom="character">
                        <wp:align>left</wp:align>
                      </wp:positionH>
                      <wp:positionV relativeFrom="line">
                        <wp:posOffset>635</wp:posOffset>
                      </wp:positionV>
                      <wp:extent cx="404495" cy="175260"/>
                      <wp:effectExtent l="0" t="0" r="0" b="0"/>
                      <wp:wrapNone/>
                      <wp:docPr id="1026" name="Frame984"/>
                      <a:graphic xmlns:a="http://schemas.openxmlformats.org/drawingml/2006/main">
                        <a:graphicData uri="http://schemas.microsoft.com/office/word/2010/wordprocessingShape">
                          <wps:wsp>
                            <wps:cNvSpPr txBox="1"/>
                            <wps:spPr>
                              <a:xfrm>
                                <a:off x="0" y="0"/>
                                <a:ext cx="404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8">
                      <wp:simplePos x="0" y="0"/>
                      <wp:positionH relativeFrom="character">
                        <wp:align>left</wp:align>
                      </wp:positionH>
                      <wp:positionV relativeFrom="line">
                        <wp:posOffset>635</wp:posOffset>
                      </wp:positionV>
                      <wp:extent cx="69215" cy="175260"/>
                      <wp:effectExtent l="0" t="0" r="0" b="0"/>
                      <wp:wrapNone/>
                      <wp:docPr id="1027" name="Frame98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9">
                      <wp:simplePos x="0" y="0"/>
                      <wp:positionH relativeFrom="character">
                        <wp:align>left</wp:align>
                      </wp:positionH>
                      <wp:positionV relativeFrom="line">
                        <wp:posOffset>635</wp:posOffset>
                      </wp:positionV>
                      <wp:extent cx="3779520" cy="175260"/>
                      <wp:effectExtent l="0" t="0" r="0" b="0"/>
                      <wp:wrapNone/>
                      <wp:docPr id="1028" name="Frame986"/>
                      <a:graphic xmlns:a="http://schemas.openxmlformats.org/drawingml/2006/main">
                        <a:graphicData uri="http://schemas.microsoft.com/office/word/2010/wordprocessingShape">
                          <wps:wsp>
                            <wps:cNvSpPr txBox="1"/>
                            <wps:spPr>
                              <a:xfrm>
                                <a:off x="0" y="0"/>
                                <a:ext cx="37795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0">
                      <wp:simplePos x="0" y="0"/>
                      <wp:positionH relativeFrom="character">
                        <wp:align>left</wp:align>
                      </wp:positionH>
                      <wp:positionV relativeFrom="line">
                        <wp:posOffset>635</wp:posOffset>
                      </wp:positionV>
                      <wp:extent cx="69215" cy="175260"/>
                      <wp:effectExtent l="0" t="0" r="0" b="0"/>
                      <wp:wrapNone/>
                      <wp:docPr id="1029" name="Frame98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1">
                      <wp:simplePos x="0" y="0"/>
                      <wp:positionH relativeFrom="character">
                        <wp:align>left</wp:align>
                      </wp:positionH>
                      <wp:positionV relativeFrom="line">
                        <wp:posOffset>635</wp:posOffset>
                      </wp:positionV>
                      <wp:extent cx="198755" cy="175260"/>
                      <wp:effectExtent l="0" t="0" r="0" b="0"/>
                      <wp:wrapNone/>
                      <wp:docPr id="1030" name="Frame988"/>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2">
                      <wp:simplePos x="0" y="0"/>
                      <wp:positionH relativeFrom="character">
                        <wp:align>left</wp:align>
                      </wp:positionH>
                      <wp:positionV relativeFrom="line">
                        <wp:posOffset>635</wp:posOffset>
                      </wp:positionV>
                      <wp:extent cx="69215" cy="175260"/>
                      <wp:effectExtent l="0" t="0" r="0" b="0"/>
                      <wp:wrapNone/>
                      <wp:docPr id="1031" name="Frame98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3">
                      <wp:simplePos x="0" y="0"/>
                      <wp:positionH relativeFrom="character">
                        <wp:align>left</wp:align>
                      </wp:positionH>
                      <wp:positionV relativeFrom="line">
                        <wp:posOffset>635</wp:posOffset>
                      </wp:positionV>
                      <wp:extent cx="530225" cy="175260"/>
                      <wp:effectExtent l="0" t="0" r="0" b="0"/>
                      <wp:wrapNone/>
                      <wp:docPr id="1032" name="Frame990"/>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4">
                      <wp:simplePos x="0" y="0"/>
                      <wp:positionH relativeFrom="character">
                        <wp:align>left</wp:align>
                      </wp:positionH>
                      <wp:positionV relativeFrom="line">
                        <wp:posOffset>635</wp:posOffset>
                      </wp:positionV>
                      <wp:extent cx="69215" cy="175260"/>
                      <wp:effectExtent l="0" t="0" r="0" b="0"/>
                      <wp:wrapNone/>
                      <wp:docPr id="1033" name="Frame99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5">
                      <wp:simplePos x="0" y="0"/>
                      <wp:positionH relativeFrom="character">
                        <wp:align>left</wp:align>
                      </wp:positionH>
                      <wp:positionV relativeFrom="line">
                        <wp:posOffset>635</wp:posOffset>
                      </wp:positionV>
                      <wp:extent cx="362585" cy="175260"/>
                      <wp:effectExtent l="0" t="0" r="0" b="0"/>
                      <wp:wrapNone/>
                      <wp:docPr id="1034" name="Frame99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6">
                      <wp:simplePos x="0" y="0"/>
                      <wp:positionH relativeFrom="character">
                        <wp:align>left</wp:align>
                      </wp:positionH>
                      <wp:positionV relativeFrom="line">
                        <wp:posOffset>635</wp:posOffset>
                      </wp:positionV>
                      <wp:extent cx="69215" cy="175260"/>
                      <wp:effectExtent l="0" t="0" r="0" b="0"/>
                      <wp:wrapNone/>
                      <wp:docPr id="1035" name="Frame99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7">
                      <wp:simplePos x="0" y="0"/>
                      <wp:positionH relativeFrom="character">
                        <wp:align>left</wp:align>
                      </wp:positionH>
                      <wp:positionV relativeFrom="line">
                        <wp:posOffset>635</wp:posOffset>
                      </wp:positionV>
                      <wp:extent cx="615315" cy="175260"/>
                      <wp:effectExtent l="0" t="0" r="0" b="0"/>
                      <wp:wrapNone/>
                      <wp:docPr id="1036" name="Frame994"/>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8">
                      <wp:simplePos x="0" y="0"/>
                      <wp:positionH relativeFrom="character">
                        <wp:align>left</wp:align>
                      </wp:positionH>
                      <wp:positionV relativeFrom="line">
                        <wp:posOffset>635</wp:posOffset>
                      </wp:positionV>
                      <wp:extent cx="69215" cy="175260"/>
                      <wp:effectExtent l="0" t="0" r="0" b="0"/>
                      <wp:wrapNone/>
                      <wp:docPr id="1037" name="Frame99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9">
                      <wp:simplePos x="0" y="0"/>
                      <wp:positionH relativeFrom="character">
                        <wp:align>left</wp:align>
                      </wp:positionH>
                      <wp:positionV relativeFrom="line">
                        <wp:posOffset>635</wp:posOffset>
                      </wp:positionV>
                      <wp:extent cx="173990" cy="175260"/>
                      <wp:effectExtent l="0" t="0" r="0" b="0"/>
                      <wp:wrapNone/>
                      <wp:docPr id="1038" name="Frame996"/>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7"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23.1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0">
                      <wp:simplePos x="0" y="0"/>
                      <wp:positionH relativeFrom="character">
                        <wp:align>left</wp:align>
                      </wp:positionH>
                      <wp:positionV relativeFrom="line">
                        <wp:posOffset>635</wp:posOffset>
                      </wp:positionV>
                      <wp:extent cx="69215" cy="175260"/>
                      <wp:effectExtent l="0" t="0" r="0" b="0"/>
                      <wp:wrapNone/>
                      <wp:docPr id="1039" name="Frame99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53" w:after="30"/>
              <w:ind w:left="0" w:right="0" w:hanging="0"/>
              <w:rPr/>
            </w:pPr>
            <w:hyperlink w:anchor="gpcr-20221231xex23d1.htm">
              <w:r>
                <w:rPr>
                  <w:rStyle w:val="InternetLink"/>
                  <w:rFonts w:ascii="Arial;Helvetica;sans-serif" w:hAnsi="Arial;Helvetica;sans-serif"/>
                  <w:b w:val="false"/>
                  <w:i w:val="false"/>
                  <w:caps w:val="false"/>
                  <w:smallCaps w:val="false"/>
                  <w:color w:val="0000FF"/>
                  <w:sz w:val="18"/>
                  <w:u w:val="single"/>
                </w:rPr>
                <w:t>Consent of PricewaterhouseCoopers LLP, Independent Registered Public Accounting Firm.</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1">
                      <wp:simplePos x="0" y="0"/>
                      <wp:positionH relativeFrom="character">
                        <wp:align>left</wp:align>
                      </wp:positionH>
                      <wp:positionV relativeFrom="line">
                        <wp:posOffset>635</wp:posOffset>
                      </wp:positionV>
                      <wp:extent cx="69215" cy="175260"/>
                      <wp:effectExtent l="0" t="0" r="0" b="0"/>
                      <wp:wrapNone/>
                      <wp:docPr id="1040" name="Frame99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2">
                      <wp:simplePos x="0" y="0"/>
                      <wp:positionH relativeFrom="character">
                        <wp:align>left</wp:align>
                      </wp:positionH>
                      <wp:positionV relativeFrom="line">
                        <wp:posOffset>635</wp:posOffset>
                      </wp:positionV>
                      <wp:extent cx="198755" cy="175260"/>
                      <wp:effectExtent l="0" t="0" r="0" b="0"/>
                      <wp:wrapNone/>
                      <wp:docPr id="1041" name="Frame999"/>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3">
                      <wp:simplePos x="0" y="0"/>
                      <wp:positionH relativeFrom="character">
                        <wp:align>left</wp:align>
                      </wp:positionH>
                      <wp:positionV relativeFrom="line">
                        <wp:posOffset>635</wp:posOffset>
                      </wp:positionV>
                      <wp:extent cx="69215" cy="175260"/>
                      <wp:effectExtent l="0" t="0" r="0" b="0"/>
                      <wp:wrapNone/>
                      <wp:docPr id="1042" name="Frame100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4">
                      <wp:simplePos x="0" y="0"/>
                      <wp:positionH relativeFrom="character">
                        <wp:align>left</wp:align>
                      </wp:positionH>
                      <wp:positionV relativeFrom="line">
                        <wp:posOffset>635</wp:posOffset>
                      </wp:positionV>
                      <wp:extent cx="530225" cy="175260"/>
                      <wp:effectExtent l="0" t="0" r="0" b="0"/>
                      <wp:wrapNone/>
                      <wp:docPr id="1043" name="Frame1001"/>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5">
                      <wp:simplePos x="0" y="0"/>
                      <wp:positionH relativeFrom="character">
                        <wp:align>left</wp:align>
                      </wp:positionH>
                      <wp:positionV relativeFrom="line">
                        <wp:posOffset>635</wp:posOffset>
                      </wp:positionV>
                      <wp:extent cx="69215" cy="175260"/>
                      <wp:effectExtent l="0" t="0" r="0" b="0"/>
                      <wp:wrapNone/>
                      <wp:docPr id="1044" name="Frame100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6">
                      <wp:simplePos x="0" y="0"/>
                      <wp:positionH relativeFrom="character">
                        <wp:align>left</wp:align>
                      </wp:positionH>
                      <wp:positionV relativeFrom="line">
                        <wp:posOffset>635</wp:posOffset>
                      </wp:positionV>
                      <wp:extent cx="362585" cy="175260"/>
                      <wp:effectExtent l="0" t="0" r="0" b="0"/>
                      <wp:wrapNone/>
                      <wp:docPr id="1045" name="Frame100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7">
                      <wp:simplePos x="0" y="0"/>
                      <wp:positionH relativeFrom="character">
                        <wp:align>left</wp:align>
                      </wp:positionH>
                      <wp:positionV relativeFrom="line">
                        <wp:posOffset>635</wp:posOffset>
                      </wp:positionV>
                      <wp:extent cx="69215" cy="175260"/>
                      <wp:effectExtent l="0" t="0" r="0" b="0"/>
                      <wp:wrapNone/>
                      <wp:docPr id="1046" name="Frame100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8">
                      <wp:simplePos x="0" y="0"/>
                      <wp:positionH relativeFrom="character">
                        <wp:align>left</wp:align>
                      </wp:positionH>
                      <wp:positionV relativeFrom="line">
                        <wp:posOffset>635</wp:posOffset>
                      </wp:positionV>
                      <wp:extent cx="615315" cy="175260"/>
                      <wp:effectExtent l="0" t="0" r="0" b="0"/>
                      <wp:wrapNone/>
                      <wp:docPr id="1047" name="Frame1005"/>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9">
                      <wp:simplePos x="0" y="0"/>
                      <wp:positionH relativeFrom="character">
                        <wp:align>left</wp:align>
                      </wp:positionH>
                      <wp:positionV relativeFrom="line">
                        <wp:posOffset>635</wp:posOffset>
                      </wp:positionV>
                      <wp:extent cx="69215" cy="175260"/>
                      <wp:effectExtent l="0" t="0" r="0" b="0"/>
                      <wp:wrapNone/>
                      <wp:docPr id="1048" name="Frame100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53" w:after="3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6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0">
                      <wp:simplePos x="0" y="0"/>
                      <wp:positionH relativeFrom="character">
                        <wp:align>left</wp:align>
                      </wp:positionH>
                      <wp:positionV relativeFrom="line">
                        <wp:posOffset>635</wp:posOffset>
                      </wp:positionV>
                      <wp:extent cx="404495" cy="175260"/>
                      <wp:effectExtent l="0" t="0" r="0" b="0"/>
                      <wp:wrapNone/>
                      <wp:docPr id="1049" name="Frame1007"/>
                      <a:graphic xmlns:a="http://schemas.openxmlformats.org/drawingml/2006/main">
                        <a:graphicData uri="http://schemas.microsoft.com/office/word/2010/wordprocessingShape">
                          <wps:wsp>
                            <wps:cNvSpPr txBox="1"/>
                            <wps:spPr>
                              <a:xfrm>
                                <a:off x="0" y="0"/>
                                <a:ext cx="404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1">
                      <wp:simplePos x="0" y="0"/>
                      <wp:positionH relativeFrom="character">
                        <wp:align>left</wp:align>
                      </wp:positionH>
                      <wp:positionV relativeFrom="line">
                        <wp:posOffset>635</wp:posOffset>
                      </wp:positionV>
                      <wp:extent cx="69215" cy="175260"/>
                      <wp:effectExtent l="0" t="0" r="0" b="0"/>
                      <wp:wrapNone/>
                      <wp:docPr id="1050" name="Frame100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2">
                      <wp:simplePos x="0" y="0"/>
                      <wp:positionH relativeFrom="character">
                        <wp:align>left</wp:align>
                      </wp:positionH>
                      <wp:positionV relativeFrom="line">
                        <wp:posOffset>635</wp:posOffset>
                      </wp:positionV>
                      <wp:extent cx="3779520" cy="175260"/>
                      <wp:effectExtent l="0" t="0" r="0" b="0"/>
                      <wp:wrapNone/>
                      <wp:docPr id="1051" name="Frame1009"/>
                      <a:graphic xmlns:a="http://schemas.openxmlformats.org/drawingml/2006/main">
                        <a:graphicData uri="http://schemas.microsoft.com/office/word/2010/wordprocessingShape">
                          <wps:wsp>
                            <wps:cNvSpPr txBox="1"/>
                            <wps:spPr>
                              <a:xfrm>
                                <a:off x="0" y="0"/>
                                <a:ext cx="37795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3">
                      <wp:simplePos x="0" y="0"/>
                      <wp:positionH relativeFrom="character">
                        <wp:align>left</wp:align>
                      </wp:positionH>
                      <wp:positionV relativeFrom="line">
                        <wp:posOffset>635</wp:posOffset>
                      </wp:positionV>
                      <wp:extent cx="69215" cy="175260"/>
                      <wp:effectExtent l="0" t="0" r="0" b="0"/>
                      <wp:wrapNone/>
                      <wp:docPr id="1052" name="Frame101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4">
                      <wp:simplePos x="0" y="0"/>
                      <wp:positionH relativeFrom="character">
                        <wp:align>left</wp:align>
                      </wp:positionH>
                      <wp:positionV relativeFrom="line">
                        <wp:posOffset>635</wp:posOffset>
                      </wp:positionV>
                      <wp:extent cx="198755" cy="175260"/>
                      <wp:effectExtent l="0" t="0" r="0" b="0"/>
                      <wp:wrapNone/>
                      <wp:docPr id="1053" name="Frame1011"/>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5">
                      <wp:simplePos x="0" y="0"/>
                      <wp:positionH relativeFrom="character">
                        <wp:align>left</wp:align>
                      </wp:positionH>
                      <wp:positionV relativeFrom="line">
                        <wp:posOffset>635</wp:posOffset>
                      </wp:positionV>
                      <wp:extent cx="69215" cy="175260"/>
                      <wp:effectExtent l="0" t="0" r="0" b="0"/>
                      <wp:wrapNone/>
                      <wp:docPr id="1054" name="Frame101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6">
                      <wp:simplePos x="0" y="0"/>
                      <wp:positionH relativeFrom="character">
                        <wp:align>left</wp:align>
                      </wp:positionH>
                      <wp:positionV relativeFrom="line">
                        <wp:posOffset>635</wp:posOffset>
                      </wp:positionV>
                      <wp:extent cx="530225" cy="175260"/>
                      <wp:effectExtent l="0" t="0" r="0" b="0"/>
                      <wp:wrapNone/>
                      <wp:docPr id="1055" name="Frame1013"/>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7">
                      <wp:simplePos x="0" y="0"/>
                      <wp:positionH relativeFrom="character">
                        <wp:align>left</wp:align>
                      </wp:positionH>
                      <wp:positionV relativeFrom="line">
                        <wp:posOffset>635</wp:posOffset>
                      </wp:positionV>
                      <wp:extent cx="69215" cy="175260"/>
                      <wp:effectExtent l="0" t="0" r="0" b="0"/>
                      <wp:wrapNone/>
                      <wp:docPr id="1056" name="Frame101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8">
                      <wp:simplePos x="0" y="0"/>
                      <wp:positionH relativeFrom="character">
                        <wp:align>left</wp:align>
                      </wp:positionH>
                      <wp:positionV relativeFrom="line">
                        <wp:posOffset>635</wp:posOffset>
                      </wp:positionV>
                      <wp:extent cx="362585" cy="175260"/>
                      <wp:effectExtent l="0" t="0" r="0" b="0"/>
                      <wp:wrapNone/>
                      <wp:docPr id="1057" name="Frame101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9">
                      <wp:simplePos x="0" y="0"/>
                      <wp:positionH relativeFrom="character">
                        <wp:align>left</wp:align>
                      </wp:positionH>
                      <wp:positionV relativeFrom="line">
                        <wp:posOffset>635</wp:posOffset>
                      </wp:positionV>
                      <wp:extent cx="69215" cy="175260"/>
                      <wp:effectExtent l="0" t="0" r="0" b="0"/>
                      <wp:wrapNone/>
                      <wp:docPr id="1058" name="Frame101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0">
                      <wp:simplePos x="0" y="0"/>
                      <wp:positionH relativeFrom="character">
                        <wp:align>left</wp:align>
                      </wp:positionH>
                      <wp:positionV relativeFrom="line">
                        <wp:posOffset>635</wp:posOffset>
                      </wp:positionV>
                      <wp:extent cx="615315" cy="175260"/>
                      <wp:effectExtent l="0" t="0" r="0" b="0"/>
                      <wp:wrapNone/>
                      <wp:docPr id="1059" name="Frame1017"/>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1">
                      <wp:simplePos x="0" y="0"/>
                      <wp:positionH relativeFrom="character">
                        <wp:align>left</wp:align>
                      </wp:positionH>
                      <wp:positionV relativeFrom="line">
                        <wp:posOffset>635</wp:posOffset>
                      </wp:positionV>
                      <wp:extent cx="69215" cy="175260"/>
                      <wp:effectExtent l="0" t="0" r="0" b="0"/>
                      <wp:wrapNone/>
                      <wp:docPr id="1060" name="Frame101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2">
                      <wp:simplePos x="0" y="0"/>
                      <wp:positionH relativeFrom="character">
                        <wp:align>left</wp:align>
                      </wp:positionH>
                      <wp:positionV relativeFrom="line">
                        <wp:posOffset>635</wp:posOffset>
                      </wp:positionV>
                      <wp:extent cx="173990" cy="175260"/>
                      <wp:effectExtent l="0" t="0" r="0" b="0"/>
                      <wp:wrapNone/>
                      <wp:docPr id="1061" name="Frame1019"/>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7"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24.1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3">
                      <wp:simplePos x="0" y="0"/>
                      <wp:positionH relativeFrom="character">
                        <wp:align>left</wp:align>
                      </wp:positionH>
                      <wp:positionV relativeFrom="line">
                        <wp:posOffset>635</wp:posOffset>
                      </wp:positionV>
                      <wp:extent cx="69215" cy="175260"/>
                      <wp:effectExtent l="0" t="0" r="0" b="0"/>
                      <wp:wrapNone/>
                      <wp:docPr id="1062" name="Frame102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53" w:after="30"/>
              <w:ind w:left="0" w:right="0" w:hanging="0"/>
              <w:rPr/>
            </w:pPr>
            <w:hyperlink w:anchor="Signatures">
              <w:r>
                <w:rPr>
                  <w:rStyle w:val="InternetLink"/>
                  <w:rFonts w:ascii="Arial;Helvetica;sans-serif" w:hAnsi="Arial;Helvetica;sans-serif"/>
                  <w:b w:val="false"/>
                  <w:i w:val="false"/>
                  <w:caps w:val="false"/>
                  <w:smallCaps w:val="false"/>
                  <w:color w:val="0000FF"/>
                  <w:sz w:val="18"/>
                  <w:u w:val="single"/>
                </w:rPr>
                <w:t>Powers of Attorney (included on the signature page).</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4">
                      <wp:simplePos x="0" y="0"/>
                      <wp:positionH relativeFrom="character">
                        <wp:align>left</wp:align>
                      </wp:positionH>
                      <wp:positionV relativeFrom="line">
                        <wp:posOffset>635</wp:posOffset>
                      </wp:positionV>
                      <wp:extent cx="69215" cy="175260"/>
                      <wp:effectExtent l="0" t="0" r="0" b="0"/>
                      <wp:wrapNone/>
                      <wp:docPr id="1063" name="Frame102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5">
                      <wp:simplePos x="0" y="0"/>
                      <wp:positionH relativeFrom="character">
                        <wp:align>left</wp:align>
                      </wp:positionH>
                      <wp:positionV relativeFrom="line">
                        <wp:posOffset>635</wp:posOffset>
                      </wp:positionV>
                      <wp:extent cx="198755" cy="175260"/>
                      <wp:effectExtent l="0" t="0" r="0" b="0"/>
                      <wp:wrapNone/>
                      <wp:docPr id="1064" name="Frame1022"/>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6">
                      <wp:simplePos x="0" y="0"/>
                      <wp:positionH relativeFrom="character">
                        <wp:align>left</wp:align>
                      </wp:positionH>
                      <wp:positionV relativeFrom="line">
                        <wp:posOffset>635</wp:posOffset>
                      </wp:positionV>
                      <wp:extent cx="69215" cy="175260"/>
                      <wp:effectExtent l="0" t="0" r="0" b="0"/>
                      <wp:wrapNone/>
                      <wp:docPr id="1065" name="Frame102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7">
                      <wp:simplePos x="0" y="0"/>
                      <wp:positionH relativeFrom="character">
                        <wp:align>left</wp:align>
                      </wp:positionH>
                      <wp:positionV relativeFrom="line">
                        <wp:posOffset>635</wp:posOffset>
                      </wp:positionV>
                      <wp:extent cx="530225" cy="175260"/>
                      <wp:effectExtent l="0" t="0" r="0" b="0"/>
                      <wp:wrapNone/>
                      <wp:docPr id="1066" name="Frame1024"/>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8">
                      <wp:simplePos x="0" y="0"/>
                      <wp:positionH relativeFrom="character">
                        <wp:align>left</wp:align>
                      </wp:positionH>
                      <wp:positionV relativeFrom="line">
                        <wp:posOffset>635</wp:posOffset>
                      </wp:positionV>
                      <wp:extent cx="69215" cy="175260"/>
                      <wp:effectExtent l="0" t="0" r="0" b="0"/>
                      <wp:wrapNone/>
                      <wp:docPr id="1067" name="Frame102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9">
                      <wp:simplePos x="0" y="0"/>
                      <wp:positionH relativeFrom="character">
                        <wp:align>left</wp:align>
                      </wp:positionH>
                      <wp:positionV relativeFrom="line">
                        <wp:posOffset>635</wp:posOffset>
                      </wp:positionV>
                      <wp:extent cx="362585" cy="175260"/>
                      <wp:effectExtent l="0" t="0" r="0" b="0"/>
                      <wp:wrapNone/>
                      <wp:docPr id="1068" name="Frame102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0">
                      <wp:simplePos x="0" y="0"/>
                      <wp:positionH relativeFrom="character">
                        <wp:align>left</wp:align>
                      </wp:positionH>
                      <wp:positionV relativeFrom="line">
                        <wp:posOffset>635</wp:posOffset>
                      </wp:positionV>
                      <wp:extent cx="69215" cy="175260"/>
                      <wp:effectExtent l="0" t="0" r="0" b="0"/>
                      <wp:wrapNone/>
                      <wp:docPr id="1069" name="Frame102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1">
                      <wp:simplePos x="0" y="0"/>
                      <wp:positionH relativeFrom="character">
                        <wp:align>left</wp:align>
                      </wp:positionH>
                      <wp:positionV relativeFrom="line">
                        <wp:posOffset>635</wp:posOffset>
                      </wp:positionV>
                      <wp:extent cx="615315" cy="175260"/>
                      <wp:effectExtent l="0" t="0" r="0" b="0"/>
                      <wp:wrapNone/>
                      <wp:docPr id="1070" name="Frame1028"/>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2">
                      <wp:simplePos x="0" y="0"/>
                      <wp:positionH relativeFrom="character">
                        <wp:align>left</wp:align>
                      </wp:positionH>
                      <wp:positionV relativeFrom="line">
                        <wp:posOffset>635</wp:posOffset>
                      </wp:positionV>
                      <wp:extent cx="69215" cy="175260"/>
                      <wp:effectExtent l="0" t="0" r="0" b="0"/>
                      <wp:wrapNone/>
                      <wp:docPr id="1071" name="Frame102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53" w:after="3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6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3">
                      <wp:simplePos x="0" y="0"/>
                      <wp:positionH relativeFrom="character">
                        <wp:align>left</wp:align>
                      </wp:positionH>
                      <wp:positionV relativeFrom="line">
                        <wp:posOffset>635</wp:posOffset>
                      </wp:positionV>
                      <wp:extent cx="404495" cy="175260"/>
                      <wp:effectExtent l="0" t="0" r="0" b="0"/>
                      <wp:wrapNone/>
                      <wp:docPr id="1072" name="Frame1030"/>
                      <a:graphic xmlns:a="http://schemas.openxmlformats.org/drawingml/2006/main">
                        <a:graphicData uri="http://schemas.microsoft.com/office/word/2010/wordprocessingShape">
                          <wps:wsp>
                            <wps:cNvSpPr txBox="1"/>
                            <wps:spPr>
                              <a:xfrm>
                                <a:off x="0" y="0"/>
                                <a:ext cx="404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4">
                      <wp:simplePos x="0" y="0"/>
                      <wp:positionH relativeFrom="character">
                        <wp:align>left</wp:align>
                      </wp:positionH>
                      <wp:positionV relativeFrom="line">
                        <wp:posOffset>635</wp:posOffset>
                      </wp:positionV>
                      <wp:extent cx="69215" cy="175260"/>
                      <wp:effectExtent l="0" t="0" r="0" b="0"/>
                      <wp:wrapNone/>
                      <wp:docPr id="1073" name="Frame103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5">
                      <wp:simplePos x="0" y="0"/>
                      <wp:positionH relativeFrom="character">
                        <wp:align>left</wp:align>
                      </wp:positionH>
                      <wp:positionV relativeFrom="line">
                        <wp:posOffset>635</wp:posOffset>
                      </wp:positionV>
                      <wp:extent cx="3779520" cy="175260"/>
                      <wp:effectExtent l="0" t="0" r="0" b="0"/>
                      <wp:wrapNone/>
                      <wp:docPr id="1074" name="Frame1032"/>
                      <a:graphic xmlns:a="http://schemas.openxmlformats.org/drawingml/2006/main">
                        <a:graphicData uri="http://schemas.microsoft.com/office/word/2010/wordprocessingShape">
                          <wps:wsp>
                            <wps:cNvSpPr txBox="1"/>
                            <wps:spPr>
                              <a:xfrm>
                                <a:off x="0" y="0"/>
                                <a:ext cx="37795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6">
                      <wp:simplePos x="0" y="0"/>
                      <wp:positionH relativeFrom="character">
                        <wp:align>left</wp:align>
                      </wp:positionH>
                      <wp:positionV relativeFrom="line">
                        <wp:posOffset>635</wp:posOffset>
                      </wp:positionV>
                      <wp:extent cx="69215" cy="175260"/>
                      <wp:effectExtent l="0" t="0" r="0" b="0"/>
                      <wp:wrapNone/>
                      <wp:docPr id="1075" name="Frame103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7">
                      <wp:simplePos x="0" y="0"/>
                      <wp:positionH relativeFrom="character">
                        <wp:align>left</wp:align>
                      </wp:positionH>
                      <wp:positionV relativeFrom="line">
                        <wp:posOffset>635</wp:posOffset>
                      </wp:positionV>
                      <wp:extent cx="198755" cy="175260"/>
                      <wp:effectExtent l="0" t="0" r="0" b="0"/>
                      <wp:wrapNone/>
                      <wp:docPr id="1076" name="Frame1034"/>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8">
                      <wp:simplePos x="0" y="0"/>
                      <wp:positionH relativeFrom="character">
                        <wp:align>left</wp:align>
                      </wp:positionH>
                      <wp:positionV relativeFrom="line">
                        <wp:posOffset>635</wp:posOffset>
                      </wp:positionV>
                      <wp:extent cx="69215" cy="175260"/>
                      <wp:effectExtent l="0" t="0" r="0" b="0"/>
                      <wp:wrapNone/>
                      <wp:docPr id="1077" name="Frame103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9">
                      <wp:simplePos x="0" y="0"/>
                      <wp:positionH relativeFrom="character">
                        <wp:align>left</wp:align>
                      </wp:positionH>
                      <wp:positionV relativeFrom="line">
                        <wp:posOffset>635</wp:posOffset>
                      </wp:positionV>
                      <wp:extent cx="530225" cy="175260"/>
                      <wp:effectExtent l="0" t="0" r="0" b="0"/>
                      <wp:wrapNone/>
                      <wp:docPr id="1078" name="Frame1036"/>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0">
                      <wp:simplePos x="0" y="0"/>
                      <wp:positionH relativeFrom="character">
                        <wp:align>left</wp:align>
                      </wp:positionH>
                      <wp:positionV relativeFrom="line">
                        <wp:posOffset>635</wp:posOffset>
                      </wp:positionV>
                      <wp:extent cx="69215" cy="175260"/>
                      <wp:effectExtent l="0" t="0" r="0" b="0"/>
                      <wp:wrapNone/>
                      <wp:docPr id="1079" name="Frame103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1">
                      <wp:simplePos x="0" y="0"/>
                      <wp:positionH relativeFrom="character">
                        <wp:align>left</wp:align>
                      </wp:positionH>
                      <wp:positionV relativeFrom="line">
                        <wp:posOffset>635</wp:posOffset>
                      </wp:positionV>
                      <wp:extent cx="362585" cy="175260"/>
                      <wp:effectExtent l="0" t="0" r="0" b="0"/>
                      <wp:wrapNone/>
                      <wp:docPr id="1080" name="Frame1038"/>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2">
                      <wp:simplePos x="0" y="0"/>
                      <wp:positionH relativeFrom="character">
                        <wp:align>left</wp:align>
                      </wp:positionH>
                      <wp:positionV relativeFrom="line">
                        <wp:posOffset>635</wp:posOffset>
                      </wp:positionV>
                      <wp:extent cx="69215" cy="175260"/>
                      <wp:effectExtent l="0" t="0" r="0" b="0"/>
                      <wp:wrapNone/>
                      <wp:docPr id="1081" name="Frame103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3">
                      <wp:simplePos x="0" y="0"/>
                      <wp:positionH relativeFrom="character">
                        <wp:align>left</wp:align>
                      </wp:positionH>
                      <wp:positionV relativeFrom="line">
                        <wp:posOffset>635</wp:posOffset>
                      </wp:positionV>
                      <wp:extent cx="615315" cy="175260"/>
                      <wp:effectExtent l="0" t="0" r="0" b="0"/>
                      <wp:wrapNone/>
                      <wp:docPr id="1082" name="Frame1040"/>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4">
                      <wp:simplePos x="0" y="0"/>
                      <wp:positionH relativeFrom="character">
                        <wp:align>left</wp:align>
                      </wp:positionH>
                      <wp:positionV relativeFrom="line">
                        <wp:posOffset>635</wp:posOffset>
                      </wp:positionV>
                      <wp:extent cx="69215" cy="175260"/>
                      <wp:effectExtent l="0" t="0" r="0" b="0"/>
                      <wp:wrapNone/>
                      <wp:docPr id="1083" name="Frame104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5">
                      <wp:simplePos x="0" y="0"/>
                      <wp:positionH relativeFrom="character">
                        <wp:align>left</wp:align>
                      </wp:positionH>
                      <wp:positionV relativeFrom="line">
                        <wp:posOffset>635</wp:posOffset>
                      </wp:positionV>
                      <wp:extent cx="173990" cy="175260"/>
                      <wp:effectExtent l="0" t="0" r="0" b="0"/>
                      <wp:wrapNone/>
                      <wp:docPr id="1084" name="Frame1042"/>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7"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31.1^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6">
                      <wp:simplePos x="0" y="0"/>
                      <wp:positionH relativeFrom="character">
                        <wp:align>left</wp:align>
                      </wp:positionH>
                      <wp:positionV relativeFrom="line">
                        <wp:posOffset>635</wp:posOffset>
                      </wp:positionV>
                      <wp:extent cx="69215" cy="175260"/>
                      <wp:effectExtent l="0" t="0" r="0" b="0"/>
                      <wp:wrapNone/>
                      <wp:docPr id="1085" name="Frame104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53" w:after="30"/>
              <w:ind w:left="0" w:right="0" w:hanging="0"/>
              <w:rPr/>
            </w:pPr>
            <w:hyperlink w:anchor="gpcr-20221231xex31d1.htm">
              <w:r>
                <w:rPr>
                  <w:rStyle w:val="InternetLink"/>
                  <w:rFonts w:ascii="Arial;Helvetica;sans-serif" w:hAnsi="Arial;Helvetica;sans-serif"/>
                  <w:b w:val="false"/>
                  <w:i w:val="false"/>
                  <w:caps w:val="false"/>
                  <w:smallCaps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7">
                      <wp:simplePos x="0" y="0"/>
                      <wp:positionH relativeFrom="character">
                        <wp:align>left</wp:align>
                      </wp:positionH>
                      <wp:positionV relativeFrom="line">
                        <wp:posOffset>635</wp:posOffset>
                      </wp:positionV>
                      <wp:extent cx="69215" cy="175260"/>
                      <wp:effectExtent l="0" t="0" r="0" b="0"/>
                      <wp:wrapNone/>
                      <wp:docPr id="1086" name="Frame104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8">
                      <wp:simplePos x="0" y="0"/>
                      <wp:positionH relativeFrom="character">
                        <wp:align>left</wp:align>
                      </wp:positionH>
                      <wp:positionV relativeFrom="line">
                        <wp:posOffset>635</wp:posOffset>
                      </wp:positionV>
                      <wp:extent cx="198755" cy="175260"/>
                      <wp:effectExtent l="0" t="0" r="0" b="0"/>
                      <wp:wrapNone/>
                      <wp:docPr id="1087" name="Frame1045"/>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9">
                      <wp:simplePos x="0" y="0"/>
                      <wp:positionH relativeFrom="character">
                        <wp:align>left</wp:align>
                      </wp:positionH>
                      <wp:positionV relativeFrom="line">
                        <wp:posOffset>635</wp:posOffset>
                      </wp:positionV>
                      <wp:extent cx="69215" cy="175260"/>
                      <wp:effectExtent l="0" t="0" r="0" b="0"/>
                      <wp:wrapNone/>
                      <wp:docPr id="1088" name="Frame104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0">
                      <wp:simplePos x="0" y="0"/>
                      <wp:positionH relativeFrom="character">
                        <wp:align>left</wp:align>
                      </wp:positionH>
                      <wp:positionV relativeFrom="line">
                        <wp:posOffset>635</wp:posOffset>
                      </wp:positionV>
                      <wp:extent cx="530225" cy="175260"/>
                      <wp:effectExtent l="0" t="0" r="0" b="0"/>
                      <wp:wrapNone/>
                      <wp:docPr id="1089" name="Frame1047"/>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1">
                      <wp:simplePos x="0" y="0"/>
                      <wp:positionH relativeFrom="character">
                        <wp:align>left</wp:align>
                      </wp:positionH>
                      <wp:positionV relativeFrom="line">
                        <wp:posOffset>635</wp:posOffset>
                      </wp:positionV>
                      <wp:extent cx="69215" cy="175260"/>
                      <wp:effectExtent l="0" t="0" r="0" b="0"/>
                      <wp:wrapNone/>
                      <wp:docPr id="1090" name="Frame104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2">
                      <wp:simplePos x="0" y="0"/>
                      <wp:positionH relativeFrom="character">
                        <wp:align>left</wp:align>
                      </wp:positionH>
                      <wp:positionV relativeFrom="line">
                        <wp:posOffset>635</wp:posOffset>
                      </wp:positionV>
                      <wp:extent cx="362585" cy="175260"/>
                      <wp:effectExtent l="0" t="0" r="0" b="0"/>
                      <wp:wrapNone/>
                      <wp:docPr id="1091" name="Frame1049"/>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3">
                      <wp:simplePos x="0" y="0"/>
                      <wp:positionH relativeFrom="character">
                        <wp:align>left</wp:align>
                      </wp:positionH>
                      <wp:positionV relativeFrom="line">
                        <wp:posOffset>635</wp:posOffset>
                      </wp:positionV>
                      <wp:extent cx="69215" cy="175260"/>
                      <wp:effectExtent l="0" t="0" r="0" b="0"/>
                      <wp:wrapNone/>
                      <wp:docPr id="1092" name="Frame105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4">
                      <wp:simplePos x="0" y="0"/>
                      <wp:positionH relativeFrom="character">
                        <wp:align>left</wp:align>
                      </wp:positionH>
                      <wp:positionV relativeFrom="line">
                        <wp:posOffset>635</wp:posOffset>
                      </wp:positionV>
                      <wp:extent cx="615315" cy="175260"/>
                      <wp:effectExtent l="0" t="0" r="0" b="0"/>
                      <wp:wrapNone/>
                      <wp:docPr id="1093" name="Frame1051"/>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5">
                      <wp:simplePos x="0" y="0"/>
                      <wp:positionH relativeFrom="character">
                        <wp:align>left</wp:align>
                      </wp:positionH>
                      <wp:positionV relativeFrom="line">
                        <wp:posOffset>635</wp:posOffset>
                      </wp:positionV>
                      <wp:extent cx="69215" cy="175260"/>
                      <wp:effectExtent l="0" t="0" r="0" b="0"/>
                      <wp:wrapNone/>
                      <wp:docPr id="1094" name="Frame105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53" w:after="3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6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6">
                      <wp:simplePos x="0" y="0"/>
                      <wp:positionH relativeFrom="character">
                        <wp:align>left</wp:align>
                      </wp:positionH>
                      <wp:positionV relativeFrom="line">
                        <wp:posOffset>635</wp:posOffset>
                      </wp:positionV>
                      <wp:extent cx="404495" cy="175260"/>
                      <wp:effectExtent l="0" t="0" r="0" b="0"/>
                      <wp:wrapNone/>
                      <wp:docPr id="1095" name="Frame1053"/>
                      <a:graphic xmlns:a="http://schemas.openxmlformats.org/drawingml/2006/main">
                        <a:graphicData uri="http://schemas.microsoft.com/office/word/2010/wordprocessingShape">
                          <wps:wsp>
                            <wps:cNvSpPr txBox="1"/>
                            <wps:spPr>
                              <a:xfrm>
                                <a:off x="0" y="0"/>
                                <a:ext cx="404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7">
                      <wp:simplePos x="0" y="0"/>
                      <wp:positionH relativeFrom="character">
                        <wp:align>left</wp:align>
                      </wp:positionH>
                      <wp:positionV relativeFrom="line">
                        <wp:posOffset>635</wp:posOffset>
                      </wp:positionV>
                      <wp:extent cx="69215" cy="175260"/>
                      <wp:effectExtent l="0" t="0" r="0" b="0"/>
                      <wp:wrapNone/>
                      <wp:docPr id="1096" name="Frame105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8">
                      <wp:simplePos x="0" y="0"/>
                      <wp:positionH relativeFrom="character">
                        <wp:align>left</wp:align>
                      </wp:positionH>
                      <wp:positionV relativeFrom="line">
                        <wp:posOffset>635</wp:posOffset>
                      </wp:positionV>
                      <wp:extent cx="3779520" cy="208915"/>
                      <wp:effectExtent l="0" t="0" r="0" b="0"/>
                      <wp:wrapNone/>
                      <wp:docPr id="1097" name="Frame1055"/>
                      <a:graphic xmlns:a="http://schemas.openxmlformats.org/drawingml/2006/main">
                        <a:graphicData uri="http://schemas.microsoft.com/office/word/2010/wordprocessingShape">
                          <wps:wsp>
                            <wps:cNvSpPr txBox="1"/>
                            <wps:spPr>
                              <a:xfrm>
                                <a:off x="0" y="0"/>
                                <a:ext cx="3779520" cy="208915"/>
                              </a:xfrm>
                              <a:prstGeom prst="rect"/>
                            </wps:spPr>
                            <wps:txbx>
                              <w:txbxContent>
                                <w:p>
                                  <w:pPr>
                                    <w:pStyle w:val="TableContents"/>
                                    <w:spacing w:before="53" w:after="3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6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9">
                      <wp:simplePos x="0" y="0"/>
                      <wp:positionH relativeFrom="character">
                        <wp:align>left</wp:align>
                      </wp:positionH>
                      <wp:positionV relativeFrom="line">
                        <wp:posOffset>635</wp:posOffset>
                      </wp:positionV>
                      <wp:extent cx="69215" cy="175260"/>
                      <wp:effectExtent l="0" t="0" r="0" b="0"/>
                      <wp:wrapNone/>
                      <wp:docPr id="1098" name="Frame105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0">
                      <wp:simplePos x="0" y="0"/>
                      <wp:positionH relativeFrom="character">
                        <wp:align>left</wp:align>
                      </wp:positionH>
                      <wp:positionV relativeFrom="line">
                        <wp:posOffset>635</wp:posOffset>
                      </wp:positionV>
                      <wp:extent cx="198755" cy="175260"/>
                      <wp:effectExtent l="0" t="0" r="0" b="0"/>
                      <wp:wrapNone/>
                      <wp:docPr id="1099" name="Frame1057"/>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1">
                      <wp:simplePos x="0" y="0"/>
                      <wp:positionH relativeFrom="character">
                        <wp:align>left</wp:align>
                      </wp:positionH>
                      <wp:positionV relativeFrom="line">
                        <wp:posOffset>635</wp:posOffset>
                      </wp:positionV>
                      <wp:extent cx="69215" cy="175260"/>
                      <wp:effectExtent l="0" t="0" r="0" b="0"/>
                      <wp:wrapNone/>
                      <wp:docPr id="1100" name="Frame105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2">
                      <wp:simplePos x="0" y="0"/>
                      <wp:positionH relativeFrom="character">
                        <wp:align>left</wp:align>
                      </wp:positionH>
                      <wp:positionV relativeFrom="line">
                        <wp:posOffset>635</wp:posOffset>
                      </wp:positionV>
                      <wp:extent cx="530225" cy="175260"/>
                      <wp:effectExtent l="0" t="0" r="0" b="0"/>
                      <wp:wrapNone/>
                      <wp:docPr id="1101" name="Frame1059"/>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3">
                      <wp:simplePos x="0" y="0"/>
                      <wp:positionH relativeFrom="character">
                        <wp:align>left</wp:align>
                      </wp:positionH>
                      <wp:positionV relativeFrom="line">
                        <wp:posOffset>635</wp:posOffset>
                      </wp:positionV>
                      <wp:extent cx="69215" cy="175260"/>
                      <wp:effectExtent l="0" t="0" r="0" b="0"/>
                      <wp:wrapNone/>
                      <wp:docPr id="1102" name="Frame106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4">
                      <wp:simplePos x="0" y="0"/>
                      <wp:positionH relativeFrom="character">
                        <wp:align>left</wp:align>
                      </wp:positionH>
                      <wp:positionV relativeFrom="line">
                        <wp:posOffset>635</wp:posOffset>
                      </wp:positionV>
                      <wp:extent cx="362585" cy="175260"/>
                      <wp:effectExtent l="0" t="0" r="0" b="0"/>
                      <wp:wrapNone/>
                      <wp:docPr id="1103" name="Frame1061"/>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5">
                      <wp:simplePos x="0" y="0"/>
                      <wp:positionH relativeFrom="character">
                        <wp:align>left</wp:align>
                      </wp:positionH>
                      <wp:positionV relativeFrom="line">
                        <wp:posOffset>635</wp:posOffset>
                      </wp:positionV>
                      <wp:extent cx="69215" cy="175260"/>
                      <wp:effectExtent l="0" t="0" r="0" b="0"/>
                      <wp:wrapNone/>
                      <wp:docPr id="1104" name="Frame106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6">
                      <wp:simplePos x="0" y="0"/>
                      <wp:positionH relativeFrom="character">
                        <wp:align>left</wp:align>
                      </wp:positionH>
                      <wp:positionV relativeFrom="line">
                        <wp:posOffset>635</wp:posOffset>
                      </wp:positionV>
                      <wp:extent cx="615315" cy="175260"/>
                      <wp:effectExtent l="0" t="0" r="0" b="0"/>
                      <wp:wrapNone/>
                      <wp:docPr id="1105" name="Frame1063"/>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7">
                      <wp:simplePos x="0" y="0"/>
                      <wp:positionH relativeFrom="character">
                        <wp:align>left</wp:align>
                      </wp:positionH>
                      <wp:positionV relativeFrom="line">
                        <wp:posOffset>635</wp:posOffset>
                      </wp:positionV>
                      <wp:extent cx="69215" cy="175260"/>
                      <wp:effectExtent l="0" t="0" r="0" b="0"/>
                      <wp:wrapNone/>
                      <wp:docPr id="1106" name="Frame106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8">
                      <wp:simplePos x="0" y="0"/>
                      <wp:positionH relativeFrom="character">
                        <wp:align>left</wp:align>
                      </wp:positionH>
                      <wp:positionV relativeFrom="line">
                        <wp:posOffset>635</wp:posOffset>
                      </wp:positionV>
                      <wp:extent cx="173990" cy="175260"/>
                      <wp:effectExtent l="0" t="0" r="0" b="0"/>
                      <wp:wrapNone/>
                      <wp:docPr id="1107" name="Frame1065"/>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7"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31.2^</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9">
                      <wp:simplePos x="0" y="0"/>
                      <wp:positionH relativeFrom="character">
                        <wp:align>left</wp:align>
                      </wp:positionH>
                      <wp:positionV relativeFrom="line">
                        <wp:posOffset>635</wp:posOffset>
                      </wp:positionV>
                      <wp:extent cx="69215" cy="175260"/>
                      <wp:effectExtent l="0" t="0" r="0" b="0"/>
                      <wp:wrapNone/>
                      <wp:docPr id="1108" name="Frame106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53" w:after="30"/>
              <w:ind w:left="0" w:right="0" w:hanging="0"/>
              <w:rPr/>
            </w:pPr>
            <w:hyperlink w:anchor="gpcr-20221231xex31d2.htm">
              <w:r>
                <w:rPr>
                  <w:rStyle w:val="InternetLink"/>
                  <w:rFonts w:ascii="Arial;Helvetica;sans-serif" w:hAnsi="Arial;Helvetica;sans-serif"/>
                  <w:b w:val="false"/>
                  <w:i w:val="false"/>
                  <w:caps w:val="false"/>
                  <w:smallCaps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0">
                      <wp:simplePos x="0" y="0"/>
                      <wp:positionH relativeFrom="character">
                        <wp:align>left</wp:align>
                      </wp:positionH>
                      <wp:positionV relativeFrom="line">
                        <wp:posOffset>635</wp:posOffset>
                      </wp:positionV>
                      <wp:extent cx="69215" cy="175260"/>
                      <wp:effectExtent l="0" t="0" r="0" b="0"/>
                      <wp:wrapNone/>
                      <wp:docPr id="1109" name="Frame106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1">
                      <wp:simplePos x="0" y="0"/>
                      <wp:positionH relativeFrom="character">
                        <wp:align>left</wp:align>
                      </wp:positionH>
                      <wp:positionV relativeFrom="line">
                        <wp:posOffset>635</wp:posOffset>
                      </wp:positionV>
                      <wp:extent cx="198755" cy="175260"/>
                      <wp:effectExtent l="0" t="0" r="0" b="0"/>
                      <wp:wrapNone/>
                      <wp:docPr id="1110" name="Frame1068"/>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2">
                      <wp:simplePos x="0" y="0"/>
                      <wp:positionH relativeFrom="character">
                        <wp:align>left</wp:align>
                      </wp:positionH>
                      <wp:positionV relativeFrom="line">
                        <wp:posOffset>635</wp:posOffset>
                      </wp:positionV>
                      <wp:extent cx="69215" cy="175260"/>
                      <wp:effectExtent l="0" t="0" r="0" b="0"/>
                      <wp:wrapNone/>
                      <wp:docPr id="1111" name="Frame106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3">
                      <wp:simplePos x="0" y="0"/>
                      <wp:positionH relativeFrom="character">
                        <wp:align>left</wp:align>
                      </wp:positionH>
                      <wp:positionV relativeFrom="line">
                        <wp:posOffset>635</wp:posOffset>
                      </wp:positionV>
                      <wp:extent cx="530225" cy="175260"/>
                      <wp:effectExtent l="0" t="0" r="0" b="0"/>
                      <wp:wrapNone/>
                      <wp:docPr id="1112" name="Frame1070"/>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4">
                      <wp:simplePos x="0" y="0"/>
                      <wp:positionH relativeFrom="character">
                        <wp:align>left</wp:align>
                      </wp:positionH>
                      <wp:positionV relativeFrom="line">
                        <wp:posOffset>635</wp:posOffset>
                      </wp:positionV>
                      <wp:extent cx="69215" cy="175260"/>
                      <wp:effectExtent l="0" t="0" r="0" b="0"/>
                      <wp:wrapNone/>
                      <wp:docPr id="1113" name="Frame107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5">
                      <wp:simplePos x="0" y="0"/>
                      <wp:positionH relativeFrom="character">
                        <wp:align>left</wp:align>
                      </wp:positionH>
                      <wp:positionV relativeFrom="line">
                        <wp:posOffset>635</wp:posOffset>
                      </wp:positionV>
                      <wp:extent cx="362585" cy="175260"/>
                      <wp:effectExtent l="0" t="0" r="0" b="0"/>
                      <wp:wrapNone/>
                      <wp:docPr id="1114" name="Frame107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6">
                      <wp:simplePos x="0" y="0"/>
                      <wp:positionH relativeFrom="character">
                        <wp:align>left</wp:align>
                      </wp:positionH>
                      <wp:positionV relativeFrom="line">
                        <wp:posOffset>635</wp:posOffset>
                      </wp:positionV>
                      <wp:extent cx="69215" cy="175260"/>
                      <wp:effectExtent l="0" t="0" r="0" b="0"/>
                      <wp:wrapNone/>
                      <wp:docPr id="1115" name="Frame107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7">
                      <wp:simplePos x="0" y="0"/>
                      <wp:positionH relativeFrom="character">
                        <wp:align>left</wp:align>
                      </wp:positionH>
                      <wp:positionV relativeFrom="line">
                        <wp:posOffset>635</wp:posOffset>
                      </wp:positionV>
                      <wp:extent cx="615315" cy="175260"/>
                      <wp:effectExtent l="0" t="0" r="0" b="0"/>
                      <wp:wrapNone/>
                      <wp:docPr id="1116" name="Frame1074"/>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8">
                      <wp:simplePos x="0" y="0"/>
                      <wp:positionH relativeFrom="character">
                        <wp:align>left</wp:align>
                      </wp:positionH>
                      <wp:positionV relativeFrom="line">
                        <wp:posOffset>635</wp:posOffset>
                      </wp:positionV>
                      <wp:extent cx="69215" cy="175260"/>
                      <wp:effectExtent l="0" t="0" r="0" b="0"/>
                      <wp:wrapNone/>
                      <wp:docPr id="1117" name="Frame107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53" w:after="3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6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9">
                      <wp:simplePos x="0" y="0"/>
                      <wp:positionH relativeFrom="character">
                        <wp:align>left</wp:align>
                      </wp:positionH>
                      <wp:positionV relativeFrom="line">
                        <wp:posOffset>635</wp:posOffset>
                      </wp:positionV>
                      <wp:extent cx="404495" cy="175260"/>
                      <wp:effectExtent l="0" t="0" r="0" b="0"/>
                      <wp:wrapNone/>
                      <wp:docPr id="1118" name="Frame1076"/>
                      <a:graphic xmlns:a="http://schemas.openxmlformats.org/drawingml/2006/main">
                        <a:graphicData uri="http://schemas.microsoft.com/office/word/2010/wordprocessingShape">
                          <wps:wsp>
                            <wps:cNvSpPr txBox="1"/>
                            <wps:spPr>
                              <a:xfrm>
                                <a:off x="0" y="0"/>
                                <a:ext cx="404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0">
                      <wp:simplePos x="0" y="0"/>
                      <wp:positionH relativeFrom="character">
                        <wp:align>left</wp:align>
                      </wp:positionH>
                      <wp:positionV relativeFrom="line">
                        <wp:posOffset>635</wp:posOffset>
                      </wp:positionV>
                      <wp:extent cx="69215" cy="175260"/>
                      <wp:effectExtent l="0" t="0" r="0" b="0"/>
                      <wp:wrapNone/>
                      <wp:docPr id="1119" name="Frame107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53" w:after="3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1">
                      <wp:simplePos x="0" y="0"/>
                      <wp:positionH relativeFrom="character">
                        <wp:align>left</wp:align>
                      </wp:positionH>
                      <wp:positionV relativeFrom="line">
                        <wp:posOffset>635</wp:posOffset>
                      </wp:positionV>
                      <wp:extent cx="69215" cy="175260"/>
                      <wp:effectExtent l="0" t="0" r="0" b="0"/>
                      <wp:wrapNone/>
                      <wp:docPr id="1120" name="Frame107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2">
                      <wp:simplePos x="0" y="0"/>
                      <wp:positionH relativeFrom="character">
                        <wp:align>left</wp:align>
                      </wp:positionH>
                      <wp:positionV relativeFrom="line">
                        <wp:posOffset>635</wp:posOffset>
                      </wp:positionV>
                      <wp:extent cx="198755" cy="175260"/>
                      <wp:effectExtent l="0" t="0" r="0" b="0"/>
                      <wp:wrapNone/>
                      <wp:docPr id="1121" name="Frame1079"/>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3">
                      <wp:simplePos x="0" y="0"/>
                      <wp:positionH relativeFrom="character">
                        <wp:align>left</wp:align>
                      </wp:positionH>
                      <wp:positionV relativeFrom="line">
                        <wp:posOffset>635</wp:posOffset>
                      </wp:positionV>
                      <wp:extent cx="69215" cy="175260"/>
                      <wp:effectExtent l="0" t="0" r="0" b="0"/>
                      <wp:wrapNone/>
                      <wp:docPr id="1122" name="Frame108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4">
                      <wp:simplePos x="0" y="0"/>
                      <wp:positionH relativeFrom="character">
                        <wp:align>left</wp:align>
                      </wp:positionH>
                      <wp:positionV relativeFrom="line">
                        <wp:posOffset>635</wp:posOffset>
                      </wp:positionV>
                      <wp:extent cx="530225" cy="175260"/>
                      <wp:effectExtent l="0" t="0" r="0" b="0"/>
                      <wp:wrapNone/>
                      <wp:docPr id="1123" name="Frame1081"/>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5">
                      <wp:simplePos x="0" y="0"/>
                      <wp:positionH relativeFrom="character">
                        <wp:align>left</wp:align>
                      </wp:positionH>
                      <wp:positionV relativeFrom="line">
                        <wp:posOffset>635</wp:posOffset>
                      </wp:positionV>
                      <wp:extent cx="69215" cy="175260"/>
                      <wp:effectExtent l="0" t="0" r="0" b="0"/>
                      <wp:wrapNone/>
                      <wp:docPr id="1124" name="Frame108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6">
                      <wp:simplePos x="0" y="0"/>
                      <wp:positionH relativeFrom="character">
                        <wp:align>left</wp:align>
                      </wp:positionH>
                      <wp:positionV relativeFrom="line">
                        <wp:posOffset>635</wp:posOffset>
                      </wp:positionV>
                      <wp:extent cx="362585" cy="175260"/>
                      <wp:effectExtent l="0" t="0" r="0" b="0"/>
                      <wp:wrapNone/>
                      <wp:docPr id="1125" name="Frame1083"/>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7">
                      <wp:simplePos x="0" y="0"/>
                      <wp:positionH relativeFrom="character">
                        <wp:align>left</wp:align>
                      </wp:positionH>
                      <wp:positionV relativeFrom="line">
                        <wp:posOffset>635</wp:posOffset>
                      </wp:positionV>
                      <wp:extent cx="69215" cy="175260"/>
                      <wp:effectExtent l="0" t="0" r="0" b="0"/>
                      <wp:wrapNone/>
                      <wp:docPr id="1126" name="Frame108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8">
                      <wp:simplePos x="0" y="0"/>
                      <wp:positionH relativeFrom="character">
                        <wp:align>left</wp:align>
                      </wp:positionH>
                      <wp:positionV relativeFrom="line">
                        <wp:posOffset>635</wp:posOffset>
                      </wp:positionV>
                      <wp:extent cx="615315" cy="175260"/>
                      <wp:effectExtent l="0" t="0" r="0" b="0"/>
                      <wp:wrapNone/>
                      <wp:docPr id="1127" name="Frame1085"/>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9">
                      <wp:simplePos x="0" y="0"/>
                      <wp:positionH relativeFrom="character">
                        <wp:align>left</wp:align>
                      </wp:positionH>
                      <wp:positionV relativeFrom="line">
                        <wp:posOffset>635</wp:posOffset>
                      </wp:positionV>
                      <wp:extent cx="69215" cy="175260"/>
                      <wp:effectExtent l="0" t="0" r="0" b="0"/>
                      <wp:wrapNone/>
                      <wp:docPr id="1128" name="Frame108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0">
                      <wp:simplePos x="0" y="0"/>
                      <wp:positionH relativeFrom="character">
                        <wp:align>left</wp:align>
                      </wp:positionH>
                      <wp:positionV relativeFrom="line">
                        <wp:posOffset>635</wp:posOffset>
                      </wp:positionV>
                      <wp:extent cx="173990" cy="175260"/>
                      <wp:effectExtent l="0" t="0" r="0" b="0"/>
                      <wp:wrapNone/>
                      <wp:docPr id="1129" name="Frame1087"/>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7"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32.1^</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1">
                      <wp:simplePos x="0" y="0"/>
                      <wp:positionH relativeFrom="character">
                        <wp:align>left</wp:align>
                      </wp:positionH>
                      <wp:positionV relativeFrom="line">
                        <wp:posOffset>635</wp:posOffset>
                      </wp:positionV>
                      <wp:extent cx="69215" cy="175260"/>
                      <wp:effectExtent l="0" t="0" r="0" b="0"/>
                      <wp:wrapNone/>
                      <wp:docPr id="1130" name="Frame108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53" w:after="30"/>
              <w:ind w:left="0" w:right="0" w:hanging="0"/>
              <w:rPr/>
            </w:pPr>
            <w:hyperlink w:anchor="gpcr-20221231xex32d1.htm">
              <w:r>
                <w:rPr>
                  <w:rStyle w:val="InternetLink"/>
                  <w:rFonts w:ascii="Arial;Helvetica;sans-serif" w:hAnsi="Arial;Helvetica;sans-serif"/>
                  <w:b w:val="false"/>
                  <w:i w:val="false"/>
                  <w:caps w:val="false"/>
                  <w:smallCaps w:val="false"/>
                  <w:color w:val="0000FF"/>
                  <w:sz w:val="18"/>
                  <w:u w:val="single"/>
                </w:rPr>
                <w:t>Certification of Principal Executive Officer pursuant to 18 U.S.C. Section 1350, as adopted pursuant to Section 906 of the Sarbanes-Oxley Act of 2002.</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2">
                      <wp:simplePos x="0" y="0"/>
                      <wp:positionH relativeFrom="character">
                        <wp:align>left</wp:align>
                      </wp:positionH>
                      <wp:positionV relativeFrom="line">
                        <wp:posOffset>635</wp:posOffset>
                      </wp:positionV>
                      <wp:extent cx="69215" cy="175260"/>
                      <wp:effectExtent l="0" t="0" r="0" b="0"/>
                      <wp:wrapNone/>
                      <wp:docPr id="1131" name="Frame108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3">
                      <wp:simplePos x="0" y="0"/>
                      <wp:positionH relativeFrom="character">
                        <wp:align>left</wp:align>
                      </wp:positionH>
                      <wp:positionV relativeFrom="line">
                        <wp:posOffset>635</wp:posOffset>
                      </wp:positionV>
                      <wp:extent cx="198755" cy="175260"/>
                      <wp:effectExtent l="0" t="0" r="0" b="0"/>
                      <wp:wrapNone/>
                      <wp:docPr id="1132" name="Frame1090"/>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4">
                      <wp:simplePos x="0" y="0"/>
                      <wp:positionH relativeFrom="character">
                        <wp:align>left</wp:align>
                      </wp:positionH>
                      <wp:positionV relativeFrom="line">
                        <wp:posOffset>635</wp:posOffset>
                      </wp:positionV>
                      <wp:extent cx="69215" cy="175260"/>
                      <wp:effectExtent l="0" t="0" r="0" b="0"/>
                      <wp:wrapNone/>
                      <wp:docPr id="1133" name="Frame109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5">
                      <wp:simplePos x="0" y="0"/>
                      <wp:positionH relativeFrom="character">
                        <wp:align>left</wp:align>
                      </wp:positionH>
                      <wp:positionV relativeFrom="line">
                        <wp:posOffset>635</wp:posOffset>
                      </wp:positionV>
                      <wp:extent cx="530225" cy="175260"/>
                      <wp:effectExtent l="0" t="0" r="0" b="0"/>
                      <wp:wrapNone/>
                      <wp:docPr id="1134" name="Frame1092"/>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6">
                      <wp:simplePos x="0" y="0"/>
                      <wp:positionH relativeFrom="character">
                        <wp:align>left</wp:align>
                      </wp:positionH>
                      <wp:positionV relativeFrom="line">
                        <wp:posOffset>635</wp:posOffset>
                      </wp:positionV>
                      <wp:extent cx="69215" cy="175260"/>
                      <wp:effectExtent l="0" t="0" r="0" b="0"/>
                      <wp:wrapNone/>
                      <wp:docPr id="1135" name="Frame109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7">
                      <wp:simplePos x="0" y="0"/>
                      <wp:positionH relativeFrom="character">
                        <wp:align>left</wp:align>
                      </wp:positionH>
                      <wp:positionV relativeFrom="line">
                        <wp:posOffset>635</wp:posOffset>
                      </wp:positionV>
                      <wp:extent cx="362585" cy="175260"/>
                      <wp:effectExtent l="0" t="0" r="0" b="0"/>
                      <wp:wrapNone/>
                      <wp:docPr id="1136" name="Frame1094"/>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8">
                      <wp:simplePos x="0" y="0"/>
                      <wp:positionH relativeFrom="character">
                        <wp:align>left</wp:align>
                      </wp:positionH>
                      <wp:positionV relativeFrom="line">
                        <wp:posOffset>635</wp:posOffset>
                      </wp:positionV>
                      <wp:extent cx="69215" cy="175260"/>
                      <wp:effectExtent l="0" t="0" r="0" b="0"/>
                      <wp:wrapNone/>
                      <wp:docPr id="1137" name="Frame109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9">
                      <wp:simplePos x="0" y="0"/>
                      <wp:positionH relativeFrom="character">
                        <wp:align>left</wp:align>
                      </wp:positionH>
                      <wp:positionV relativeFrom="line">
                        <wp:posOffset>635</wp:posOffset>
                      </wp:positionV>
                      <wp:extent cx="615315" cy="175260"/>
                      <wp:effectExtent l="0" t="0" r="0" b="0"/>
                      <wp:wrapNone/>
                      <wp:docPr id="1138" name="Frame1096"/>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0">
                      <wp:simplePos x="0" y="0"/>
                      <wp:positionH relativeFrom="character">
                        <wp:align>left</wp:align>
                      </wp:positionH>
                      <wp:positionV relativeFrom="line">
                        <wp:posOffset>635</wp:posOffset>
                      </wp:positionV>
                      <wp:extent cx="69215" cy="175260"/>
                      <wp:effectExtent l="0" t="0" r="0" b="0"/>
                      <wp:wrapNone/>
                      <wp:docPr id="1139" name="Frame109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53" w:after="3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6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1">
                      <wp:simplePos x="0" y="0"/>
                      <wp:positionH relativeFrom="character">
                        <wp:align>left</wp:align>
                      </wp:positionH>
                      <wp:positionV relativeFrom="line">
                        <wp:posOffset>635</wp:posOffset>
                      </wp:positionV>
                      <wp:extent cx="404495" cy="175260"/>
                      <wp:effectExtent l="0" t="0" r="0" b="0"/>
                      <wp:wrapNone/>
                      <wp:docPr id="1140" name="Frame1098"/>
                      <a:graphic xmlns:a="http://schemas.openxmlformats.org/drawingml/2006/main">
                        <a:graphicData uri="http://schemas.microsoft.com/office/word/2010/wordprocessingShape">
                          <wps:wsp>
                            <wps:cNvSpPr txBox="1"/>
                            <wps:spPr>
                              <a:xfrm>
                                <a:off x="0" y="0"/>
                                <a:ext cx="4044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2">
                      <wp:simplePos x="0" y="0"/>
                      <wp:positionH relativeFrom="character">
                        <wp:align>left</wp:align>
                      </wp:positionH>
                      <wp:positionV relativeFrom="line">
                        <wp:posOffset>635</wp:posOffset>
                      </wp:positionV>
                      <wp:extent cx="69215" cy="175260"/>
                      <wp:effectExtent l="0" t="0" r="0" b="0"/>
                      <wp:wrapNone/>
                      <wp:docPr id="1141" name="Frame109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3">
                      <wp:simplePos x="0" y="0"/>
                      <wp:positionH relativeFrom="character">
                        <wp:align>left</wp:align>
                      </wp:positionH>
                      <wp:positionV relativeFrom="line">
                        <wp:posOffset>635</wp:posOffset>
                      </wp:positionV>
                      <wp:extent cx="3779520" cy="208915"/>
                      <wp:effectExtent l="0" t="0" r="0" b="0"/>
                      <wp:wrapNone/>
                      <wp:docPr id="1142" name="Frame1100"/>
                      <a:graphic xmlns:a="http://schemas.openxmlformats.org/drawingml/2006/main">
                        <a:graphicData uri="http://schemas.microsoft.com/office/word/2010/wordprocessingShape">
                          <wps:wsp>
                            <wps:cNvSpPr txBox="1"/>
                            <wps:spPr>
                              <a:xfrm>
                                <a:off x="0" y="0"/>
                                <a:ext cx="3779520" cy="208915"/>
                              </a:xfrm>
                              <a:prstGeom prst="rect"/>
                            </wps:spPr>
                            <wps:txbx>
                              <w:txbxContent>
                                <w:p>
                                  <w:pPr>
                                    <w:pStyle w:val="TableContents"/>
                                    <w:spacing w:before="53" w:after="3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6pt;height:16.4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53" w:after="3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4">
                      <wp:simplePos x="0" y="0"/>
                      <wp:positionH relativeFrom="character">
                        <wp:align>left</wp:align>
                      </wp:positionH>
                      <wp:positionV relativeFrom="line">
                        <wp:posOffset>635</wp:posOffset>
                      </wp:positionV>
                      <wp:extent cx="69215" cy="175260"/>
                      <wp:effectExtent l="0" t="0" r="0" b="0"/>
                      <wp:wrapNone/>
                      <wp:docPr id="1143" name="Frame110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5">
                      <wp:simplePos x="0" y="0"/>
                      <wp:positionH relativeFrom="character">
                        <wp:align>left</wp:align>
                      </wp:positionH>
                      <wp:positionV relativeFrom="line">
                        <wp:posOffset>635</wp:posOffset>
                      </wp:positionV>
                      <wp:extent cx="198755" cy="175260"/>
                      <wp:effectExtent l="0" t="0" r="0" b="0"/>
                      <wp:wrapNone/>
                      <wp:docPr id="1144" name="Frame1102"/>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6">
                      <wp:simplePos x="0" y="0"/>
                      <wp:positionH relativeFrom="character">
                        <wp:align>left</wp:align>
                      </wp:positionH>
                      <wp:positionV relativeFrom="line">
                        <wp:posOffset>635</wp:posOffset>
                      </wp:positionV>
                      <wp:extent cx="69215" cy="175260"/>
                      <wp:effectExtent l="0" t="0" r="0" b="0"/>
                      <wp:wrapNone/>
                      <wp:docPr id="1145" name="Frame110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7">
                      <wp:simplePos x="0" y="0"/>
                      <wp:positionH relativeFrom="character">
                        <wp:align>left</wp:align>
                      </wp:positionH>
                      <wp:positionV relativeFrom="line">
                        <wp:posOffset>635</wp:posOffset>
                      </wp:positionV>
                      <wp:extent cx="530225" cy="175260"/>
                      <wp:effectExtent l="0" t="0" r="0" b="0"/>
                      <wp:wrapNone/>
                      <wp:docPr id="1146" name="Frame1104"/>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8">
                      <wp:simplePos x="0" y="0"/>
                      <wp:positionH relativeFrom="character">
                        <wp:align>left</wp:align>
                      </wp:positionH>
                      <wp:positionV relativeFrom="line">
                        <wp:posOffset>635</wp:posOffset>
                      </wp:positionV>
                      <wp:extent cx="69215" cy="175260"/>
                      <wp:effectExtent l="0" t="0" r="0" b="0"/>
                      <wp:wrapNone/>
                      <wp:docPr id="1147" name="Frame110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9">
                      <wp:simplePos x="0" y="0"/>
                      <wp:positionH relativeFrom="character">
                        <wp:align>left</wp:align>
                      </wp:positionH>
                      <wp:positionV relativeFrom="line">
                        <wp:posOffset>635</wp:posOffset>
                      </wp:positionV>
                      <wp:extent cx="362585" cy="175260"/>
                      <wp:effectExtent l="0" t="0" r="0" b="0"/>
                      <wp:wrapNone/>
                      <wp:docPr id="1148" name="Frame1106"/>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0">
                      <wp:simplePos x="0" y="0"/>
                      <wp:positionH relativeFrom="character">
                        <wp:align>left</wp:align>
                      </wp:positionH>
                      <wp:positionV relativeFrom="line">
                        <wp:posOffset>635</wp:posOffset>
                      </wp:positionV>
                      <wp:extent cx="69215" cy="175260"/>
                      <wp:effectExtent l="0" t="0" r="0" b="0"/>
                      <wp:wrapNone/>
                      <wp:docPr id="1149" name="Frame110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1">
                      <wp:simplePos x="0" y="0"/>
                      <wp:positionH relativeFrom="character">
                        <wp:align>left</wp:align>
                      </wp:positionH>
                      <wp:positionV relativeFrom="line">
                        <wp:posOffset>635</wp:posOffset>
                      </wp:positionV>
                      <wp:extent cx="615315" cy="175260"/>
                      <wp:effectExtent l="0" t="0" r="0" b="0"/>
                      <wp:wrapNone/>
                      <wp:docPr id="1150" name="Frame1108"/>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2">
                      <wp:simplePos x="0" y="0"/>
                      <wp:positionH relativeFrom="character">
                        <wp:align>left</wp:align>
                      </wp:positionH>
                      <wp:positionV relativeFrom="line">
                        <wp:posOffset>635</wp:posOffset>
                      </wp:positionV>
                      <wp:extent cx="69215" cy="175260"/>
                      <wp:effectExtent l="0" t="0" r="0" b="0"/>
                      <wp:wrapNone/>
                      <wp:docPr id="1151" name="Frame110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3">
                      <wp:simplePos x="0" y="0"/>
                      <wp:positionH relativeFrom="character">
                        <wp:align>left</wp:align>
                      </wp:positionH>
                      <wp:positionV relativeFrom="line">
                        <wp:posOffset>635</wp:posOffset>
                      </wp:positionV>
                      <wp:extent cx="173990" cy="175260"/>
                      <wp:effectExtent l="0" t="0" r="0" b="0"/>
                      <wp:wrapNone/>
                      <wp:docPr id="1152" name="Frame1110"/>
                      <a:graphic xmlns:a="http://schemas.openxmlformats.org/drawingml/2006/main">
                        <a:graphicData uri="http://schemas.microsoft.com/office/word/2010/wordprocessingShape">
                          <wps:wsp>
                            <wps:cNvSpPr txBox="1"/>
                            <wps:spPr>
                              <a:xfrm>
                                <a:off x="0" y="0"/>
                                <a:ext cx="1739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37"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32.2^</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4">
                      <wp:simplePos x="0" y="0"/>
                      <wp:positionH relativeFrom="character">
                        <wp:align>left</wp:align>
                      </wp:positionH>
                      <wp:positionV relativeFrom="line">
                        <wp:posOffset>635</wp:posOffset>
                      </wp:positionV>
                      <wp:extent cx="69215" cy="175260"/>
                      <wp:effectExtent l="0" t="0" r="0" b="0"/>
                      <wp:wrapNone/>
                      <wp:docPr id="1153" name="Frame111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53" w:after="30"/>
              <w:ind w:left="0" w:right="0" w:hanging="0"/>
              <w:rPr/>
            </w:pPr>
            <w:hyperlink w:anchor="gpcr-20221231xex32d2.htm">
              <w:r>
                <w:rPr>
                  <w:rStyle w:val="InternetLink"/>
                  <w:rFonts w:ascii="Arial;Helvetica;sans-serif" w:hAnsi="Arial;Helvetica;sans-serif"/>
                  <w:b w:val="false"/>
                  <w:i w:val="false"/>
                  <w:caps w:val="false"/>
                  <w:smallCaps w:val="false"/>
                  <w:color w:val="0000FF"/>
                  <w:sz w:val="18"/>
                  <w:u w:val="single"/>
                </w:rPr>
                <w:t>Certification of Principal Financial Officer pursuant to 18 U.S.C. Section 1350, as adopted pursuant to Section 906 of the Sarbanes-Oxley Act of 2002.</w:t>
              </w:r>
            </w:hyperlink>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5">
                      <wp:simplePos x="0" y="0"/>
                      <wp:positionH relativeFrom="character">
                        <wp:align>left</wp:align>
                      </wp:positionH>
                      <wp:positionV relativeFrom="line">
                        <wp:posOffset>635</wp:posOffset>
                      </wp:positionV>
                      <wp:extent cx="69215" cy="175260"/>
                      <wp:effectExtent l="0" t="0" r="0" b="0"/>
                      <wp:wrapNone/>
                      <wp:docPr id="1154" name="Frame111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6">
                      <wp:simplePos x="0" y="0"/>
                      <wp:positionH relativeFrom="character">
                        <wp:align>left</wp:align>
                      </wp:positionH>
                      <wp:positionV relativeFrom="line">
                        <wp:posOffset>635</wp:posOffset>
                      </wp:positionV>
                      <wp:extent cx="198755" cy="175260"/>
                      <wp:effectExtent l="0" t="0" r="0" b="0"/>
                      <wp:wrapNone/>
                      <wp:docPr id="1155" name="Frame1113"/>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7">
                      <wp:simplePos x="0" y="0"/>
                      <wp:positionH relativeFrom="character">
                        <wp:align>left</wp:align>
                      </wp:positionH>
                      <wp:positionV relativeFrom="line">
                        <wp:posOffset>635</wp:posOffset>
                      </wp:positionV>
                      <wp:extent cx="69215" cy="175260"/>
                      <wp:effectExtent l="0" t="0" r="0" b="0"/>
                      <wp:wrapNone/>
                      <wp:docPr id="1156" name="Frame111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8">
                      <wp:simplePos x="0" y="0"/>
                      <wp:positionH relativeFrom="character">
                        <wp:align>left</wp:align>
                      </wp:positionH>
                      <wp:positionV relativeFrom="line">
                        <wp:posOffset>635</wp:posOffset>
                      </wp:positionV>
                      <wp:extent cx="530225" cy="175260"/>
                      <wp:effectExtent l="0" t="0" r="0" b="0"/>
                      <wp:wrapNone/>
                      <wp:docPr id="1157" name="Frame1115"/>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9">
                      <wp:simplePos x="0" y="0"/>
                      <wp:positionH relativeFrom="character">
                        <wp:align>left</wp:align>
                      </wp:positionH>
                      <wp:positionV relativeFrom="line">
                        <wp:posOffset>635</wp:posOffset>
                      </wp:positionV>
                      <wp:extent cx="69215" cy="175260"/>
                      <wp:effectExtent l="0" t="0" r="0" b="0"/>
                      <wp:wrapNone/>
                      <wp:docPr id="1158" name="Frame111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0">
                      <wp:simplePos x="0" y="0"/>
                      <wp:positionH relativeFrom="character">
                        <wp:align>left</wp:align>
                      </wp:positionH>
                      <wp:positionV relativeFrom="line">
                        <wp:posOffset>635</wp:posOffset>
                      </wp:positionV>
                      <wp:extent cx="362585" cy="175260"/>
                      <wp:effectExtent l="0" t="0" r="0" b="0"/>
                      <wp:wrapNone/>
                      <wp:docPr id="1159" name="Frame111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1">
                      <wp:simplePos x="0" y="0"/>
                      <wp:positionH relativeFrom="character">
                        <wp:align>left</wp:align>
                      </wp:positionH>
                      <wp:positionV relativeFrom="line">
                        <wp:posOffset>635</wp:posOffset>
                      </wp:positionV>
                      <wp:extent cx="69215" cy="175260"/>
                      <wp:effectExtent l="0" t="0" r="0" b="0"/>
                      <wp:wrapNone/>
                      <wp:docPr id="1160" name="Frame111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2">
                      <wp:simplePos x="0" y="0"/>
                      <wp:positionH relativeFrom="character">
                        <wp:align>left</wp:align>
                      </wp:positionH>
                      <wp:positionV relativeFrom="line">
                        <wp:posOffset>635</wp:posOffset>
                      </wp:positionV>
                      <wp:extent cx="615315" cy="175260"/>
                      <wp:effectExtent l="0" t="0" r="0" b="0"/>
                      <wp:wrapNone/>
                      <wp:docPr id="1161" name="Frame1119"/>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3">
                      <wp:simplePos x="0" y="0"/>
                      <wp:positionH relativeFrom="character">
                        <wp:align>left</wp:align>
                      </wp:positionH>
                      <wp:positionV relativeFrom="line">
                        <wp:posOffset>635</wp:posOffset>
                      </wp:positionV>
                      <wp:extent cx="69215" cy="175260"/>
                      <wp:effectExtent l="0" t="0" r="0" b="0"/>
                      <wp:wrapNone/>
                      <wp:docPr id="1162" name="Frame112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53" w:after="3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637" w:type="dxa"/>
            <w:tcBorders/>
            <w:shd w:fill="auto" w:val="clear"/>
            <w:vAlign w:val="center"/>
          </w:tcPr>
          <w:p>
            <w:pPr>
              <w:pStyle w:val="TableContents"/>
              <w:spacing w:before="53" w:after="3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4">
                      <wp:simplePos x="0" y="0"/>
                      <wp:positionH relativeFrom="character">
                        <wp:align>left</wp:align>
                      </wp:positionH>
                      <wp:positionV relativeFrom="line">
                        <wp:posOffset>635</wp:posOffset>
                      </wp:positionV>
                      <wp:extent cx="69215" cy="175260"/>
                      <wp:effectExtent l="0" t="0" r="0" b="0"/>
                      <wp:wrapNone/>
                      <wp:docPr id="1163" name="Frame112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53" w:after="3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5">
                      <wp:simplePos x="0" y="0"/>
                      <wp:positionH relativeFrom="character">
                        <wp:align>left</wp:align>
                      </wp:positionH>
                      <wp:positionV relativeFrom="line">
                        <wp:posOffset>635</wp:posOffset>
                      </wp:positionV>
                      <wp:extent cx="69215" cy="175260"/>
                      <wp:effectExtent l="0" t="0" r="0" b="0"/>
                      <wp:wrapNone/>
                      <wp:docPr id="1164" name="Frame112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6">
                      <wp:simplePos x="0" y="0"/>
                      <wp:positionH relativeFrom="character">
                        <wp:align>left</wp:align>
                      </wp:positionH>
                      <wp:positionV relativeFrom="line">
                        <wp:posOffset>635</wp:posOffset>
                      </wp:positionV>
                      <wp:extent cx="198755" cy="175260"/>
                      <wp:effectExtent l="0" t="0" r="0" b="0"/>
                      <wp:wrapNone/>
                      <wp:docPr id="1165" name="Frame1123"/>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7">
                      <wp:simplePos x="0" y="0"/>
                      <wp:positionH relativeFrom="character">
                        <wp:align>left</wp:align>
                      </wp:positionH>
                      <wp:positionV relativeFrom="line">
                        <wp:posOffset>635</wp:posOffset>
                      </wp:positionV>
                      <wp:extent cx="69215" cy="175260"/>
                      <wp:effectExtent l="0" t="0" r="0" b="0"/>
                      <wp:wrapNone/>
                      <wp:docPr id="1166" name="Frame112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8">
                      <wp:simplePos x="0" y="0"/>
                      <wp:positionH relativeFrom="character">
                        <wp:align>left</wp:align>
                      </wp:positionH>
                      <wp:positionV relativeFrom="line">
                        <wp:posOffset>635</wp:posOffset>
                      </wp:positionV>
                      <wp:extent cx="530225" cy="175260"/>
                      <wp:effectExtent l="0" t="0" r="0" b="0"/>
                      <wp:wrapNone/>
                      <wp:docPr id="1167" name="Frame1125"/>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9">
                      <wp:simplePos x="0" y="0"/>
                      <wp:positionH relativeFrom="character">
                        <wp:align>left</wp:align>
                      </wp:positionH>
                      <wp:positionV relativeFrom="line">
                        <wp:posOffset>635</wp:posOffset>
                      </wp:positionV>
                      <wp:extent cx="69215" cy="175260"/>
                      <wp:effectExtent l="0" t="0" r="0" b="0"/>
                      <wp:wrapNone/>
                      <wp:docPr id="1168" name="Frame112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0">
                      <wp:simplePos x="0" y="0"/>
                      <wp:positionH relativeFrom="character">
                        <wp:align>left</wp:align>
                      </wp:positionH>
                      <wp:positionV relativeFrom="line">
                        <wp:posOffset>635</wp:posOffset>
                      </wp:positionV>
                      <wp:extent cx="362585" cy="175260"/>
                      <wp:effectExtent l="0" t="0" r="0" b="0"/>
                      <wp:wrapNone/>
                      <wp:docPr id="1169" name="Frame112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1">
                      <wp:simplePos x="0" y="0"/>
                      <wp:positionH relativeFrom="character">
                        <wp:align>left</wp:align>
                      </wp:positionH>
                      <wp:positionV relativeFrom="line">
                        <wp:posOffset>635</wp:posOffset>
                      </wp:positionV>
                      <wp:extent cx="69215" cy="175260"/>
                      <wp:effectExtent l="0" t="0" r="0" b="0"/>
                      <wp:wrapNone/>
                      <wp:docPr id="1170" name="Frame112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2">
                      <wp:simplePos x="0" y="0"/>
                      <wp:positionH relativeFrom="character">
                        <wp:align>left</wp:align>
                      </wp:positionH>
                      <wp:positionV relativeFrom="line">
                        <wp:posOffset>635</wp:posOffset>
                      </wp:positionV>
                      <wp:extent cx="615315" cy="175260"/>
                      <wp:effectExtent l="0" t="0" r="0" b="0"/>
                      <wp:wrapNone/>
                      <wp:docPr id="1171" name="Frame1129"/>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3">
                      <wp:simplePos x="0" y="0"/>
                      <wp:positionH relativeFrom="character">
                        <wp:align>left</wp:align>
                      </wp:positionH>
                      <wp:positionV relativeFrom="line">
                        <wp:posOffset>635</wp:posOffset>
                      </wp:positionV>
                      <wp:extent cx="69215" cy="175260"/>
                      <wp:effectExtent l="0" t="0" r="0" b="0"/>
                      <wp:wrapNone/>
                      <wp:docPr id="1172" name="Frame113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53" w:after="30"/>
              <w:ind w:left="0" w:right="0" w:hanging="0"/>
              <w:jc w:val="center"/>
              <w:rPr/>
            </w:pPr>
            <w:r>
              <w:rPr/>
              <w:t>​</w:t>
            </w:r>
          </w:p>
        </w:tc>
      </w:tr>
      <w:tr>
        <w:trPr/>
        <w:tc>
          <w:tcPr>
            <w:tcW w:w="637"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101.INS</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4">
                      <wp:simplePos x="0" y="0"/>
                      <wp:positionH relativeFrom="character">
                        <wp:align>left</wp:align>
                      </wp:positionH>
                      <wp:positionV relativeFrom="line">
                        <wp:posOffset>635</wp:posOffset>
                      </wp:positionV>
                      <wp:extent cx="69215" cy="175260"/>
                      <wp:effectExtent l="0" t="0" r="0" b="0"/>
                      <wp:wrapNone/>
                      <wp:docPr id="1173" name="Frame113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Inline XBRL Instance Document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5">
                      <wp:simplePos x="0" y="0"/>
                      <wp:positionH relativeFrom="character">
                        <wp:align>left</wp:align>
                      </wp:positionH>
                      <wp:positionV relativeFrom="line">
                        <wp:posOffset>635</wp:posOffset>
                      </wp:positionV>
                      <wp:extent cx="69215" cy="175260"/>
                      <wp:effectExtent l="0" t="0" r="0" b="0"/>
                      <wp:wrapNone/>
                      <wp:docPr id="1174" name="Frame113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6">
                      <wp:simplePos x="0" y="0"/>
                      <wp:positionH relativeFrom="character">
                        <wp:align>left</wp:align>
                      </wp:positionH>
                      <wp:positionV relativeFrom="line">
                        <wp:posOffset>635</wp:posOffset>
                      </wp:positionV>
                      <wp:extent cx="198755" cy="175260"/>
                      <wp:effectExtent l="0" t="0" r="0" b="0"/>
                      <wp:wrapNone/>
                      <wp:docPr id="1175" name="Frame1133"/>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7">
                      <wp:simplePos x="0" y="0"/>
                      <wp:positionH relativeFrom="character">
                        <wp:align>left</wp:align>
                      </wp:positionH>
                      <wp:positionV relativeFrom="line">
                        <wp:posOffset>635</wp:posOffset>
                      </wp:positionV>
                      <wp:extent cx="69215" cy="175260"/>
                      <wp:effectExtent l="0" t="0" r="0" b="0"/>
                      <wp:wrapNone/>
                      <wp:docPr id="1176" name="Frame113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8">
                      <wp:simplePos x="0" y="0"/>
                      <wp:positionH relativeFrom="character">
                        <wp:align>left</wp:align>
                      </wp:positionH>
                      <wp:positionV relativeFrom="line">
                        <wp:posOffset>635</wp:posOffset>
                      </wp:positionV>
                      <wp:extent cx="530225" cy="175260"/>
                      <wp:effectExtent l="0" t="0" r="0" b="0"/>
                      <wp:wrapNone/>
                      <wp:docPr id="1177" name="Frame1135"/>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9">
                      <wp:simplePos x="0" y="0"/>
                      <wp:positionH relativeFrom="character">
                        <wp:align>left</wp:align>
                      </wp:positionH>
                      <wp:positionV relativeFrom="line">
                        <wp:posOffset>635</wp:posOffset>
                      </wp:positionV>
                      <wp:extent cx="69215" cy="175260"/>
                      <wp:effectExtent l="0" t="0" r="0" b="0"/>
                      <wp:wrapNone/>
                      <wp:docPr id="1178" name="Frame113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0">
                      <wp:simplePos x="0" y="0"/>
                      <wp:positionH relativeFrom="character">
                        <wp:align>left</wp:align>
                      </wp:positionH>
                      <wp:positionV relativeFrom="line">
                        <wp:posOffset>635</wp:posOffset>
                      </wp:positionV>
                      <wp:extent cx="362585" cy="175260"/>
                      <wp:effectExtent l="0" t="0" r="0" b="0"/>
                      <wp:wrapNone/>
                      <wp:docPr id="1179" name="Frame113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1">
                      <wp:simplePos x="0" y="0"/>
                      <wp:positionH relativeFrom="character">
                        <wp:align>left</wp:align>
                      </wp:positionH>
                      <wp:positionV relativeFrom="line">
                        <wp:posOffset>635</wp:posOffset>
                      </wp:positionV>
                      <wp:extent cx="69215" cy="175260"/>
                      <wp:effectExtent l="0" t="0" r="0" b="0"/>
                      <wp:wrapNone/>
                      <wp:docPr id="1180" name="Frame113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2">
                      <wp:simplePos x="0" y="0"/>
                      <wp:positionH relativeFrom="character">
                        <wp:align>left</wp:align>
                      </wp:positionH>
                      <wp:positionV relativeFrom="line">
                        <wp:posOffset>635</wp:posOffset>
                      </wp:positionV>
                      <wp:extent cx="615315" cy="175260"/>
                      <wp:effectExtent l="0" t="0" r="0" b="0"/>
                      <wp:wrapNone/>
                      <wp:docPr id="1181" name="Frame1139"/>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3">
                      <wp:simplePos x="0" y="0"/>
                      <wp:positionH relativeFrom="character">
                        <wp:align>left</wp:align>
                      </wp:positionH>
                      <wp:positionV relativeFrom="line">
                        <wp:posOffset>635</wp:posOffset>
                      </wp:positionV>
                      <wp:extent cx="69215" cy="175260"/>
                      <wp:effectExtent l="0" t="0" r="0" b="0"/>
                      <wp:wrapNone/>
                      <wp:docPr id="1182" name="Frame114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53" w:after="3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637" w:type="dxa"/>
            <w:tcBorders/>
            <w:shd w:fill="auto" w:val="clear"/>
            <w:vAlign w:val="center"/>
          </w:tcPr>
          <w:p>
            <w:pPr>
              <w:pStyle w:val="TableContents"/>
              <w:spacing w:before="53" w:after="3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4">
                      <wp:simplePos x="0" y="0"/>
                      <wp:positionH relativeFrom="character">
                        <wp:align>left</wp:align>
                      </wp:positionH>
                      <wp:positionV relativeFrom="line">
                        <wp:posOffset>635</wp:posOffset>
                      </wp:positionV>
                      <wp:extent cx="69215" cy="175260"/>
                      <wp:effectExtent l="0" t="0" r="0" b="0"/>
                      <wp:wrapNone/>
                      <wp:docPr id="1183" name="Frame114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952" w:type="dxa"/>
            <w:tcBorders/>
            <w:shd w:fill="auto" w:val="clear"/>
            <w:vAlign w:val="center"/>
          </w:tcPr>
          <w:p>
            <w:pPr>
              <w:pStyle w:val="TableContents"/>
              <w:spacing w:before="53" w:after="3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5">
                      <wp:simplePos x="0" y="0"/>
                      <wp:positionH relativeFrom="character">
                        <wp:align>left</wp:align>
                      </wp:positionH>
                      <wp:positionV relativeFrom="line">
                        <wp:posOffset>635</wp:posOffset>
                      </wp:positionV>
                      <wp:extent cx="69215" cy="175260"/>
                      <wp:effectExtent l="0" t="0" r="0" b="0"/>
                      <wp:wrapNone/>
                      <wp:docPr id="1184" name="Frame114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6">
                      <wp:simplePos x="0" y="0"/>
                      <wp:positionH relativeFrom="character">
                        <wp:align>left</wp:align>
                      </wp:positionH>
                      <wp:positionV relativeFrom="line">
                        <wp:posOffset>635</wp:posOffset>
                      </wp:positionV>
                      <wp:extent cx="198755" cy="175260"/>
                      <wp:effectExtent l="0" t="0" r="0" b="0"/>
                      <wp:wrapNone/>
                      <wp:docPr id="1185" name="Frame1143"/>
                      <a:graphic xmlns:a="http://schemas.openxmlformats.org/drawingml/2006/main">
                        <a:graphicData uri="http://schemas.microsoft.com/office/word/2010/wordprocessingShape">
                          <wps:wsp>
                            <wps:cNvSpPr txBox="1"/>
                            <wps:spPr>
                              <a:xfrm>
                                <a:off x="0" y="0"/>
                                <a:ext cx="198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7">
                      <wp:simplePos x="0" y="0"/>
                      <wp:positionH relativeFrom="character">
                        <wp:align>left</wp:align>
                      </wp:positionH>
                      <wp:positionV relativeFrom="line">
                        <wp:posOffset>635</wp:posOffset>
                      </wp:positionV>
                      <wp:extent cx="69215" cy="175260"/>
                      <wp:effectExtent l="0" t="0" r="0" b="0"/>
                      <wp:wrapNone/>
                      <wp:docPr id="1186" name="Frame114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8">
                      <wp:simplePos x="0" y="0"/>
                      <wp:positionH relativeFrom="character">
                        <wp:align>left</wp:align>
                      </wp:positionH>
                      <wp:positionV relativeFrom="line">
                        <wp:posOffset>635</wp:posOffset>
                      </wp:positionV>
                      <wp:extent cx="530225" cy="175260"/>
                      <wp:effectExtent l="0" t="0" r="0" b="0"/>
                      <wp:wrapNone/>
                      <wp:docPr id="1187" name="Frame1145"/>
                      <a:graphic xmlns:a="http://schemas.openxmlformats.org/drawingml/2006/main">
                        <a:graphicData uri="http://schemas.microsoft.com/office/word/2010/wordprocessingShape">
                          <wps:wsp>
                            <wps:cNvSpPr txBox="1"/>
                            <wps:spPr>
                              <a:xfrm>
                                <a:off x="0" y="0"/>
                                <a:ext cx="530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9">
                      <wp:simplePos x="0" y="0"/>
                      <wp:positionH relativeFrom="character">
                        <wp:align>left</wp:align>
                      </wp:positionH>
                      <wp:positionV relativeFrom="line">
                        <wp:posOffset>635</wp:posOffset>
                      </wp:positionV>
                      <wp:extent cx="69215" cy="175260"/>
                      <wp:effectExtent l="0" t="0" r="0" b="0"/>
                      <wp:wrapNone/>
                      <wp:docPr id="1188" name="Frame114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0">
                      <wp:simplePos x="0" y="0"/>
                      <wp:positionH relativeFrom="character">
                        <wp:align>left</wp:align>
                      </wp:positionH>
                      <wp:positionV relativeFrom="line">
                        <wp:posOffset>635</wp:posOffset>
                      </wp:positionV>
                      <wp:extent cx="362585" cy="175260"/>
                      <wp:effectExtent l="0" t="0" r="0" b="0"/>
                      <wp:wrapNone/>
                      <wp:docPr id="1189" name="Frame1147"/>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1">
                      <wp:simplePos x="0" y="0"/>
                      <wp:positionH relativeFrom="character">
                        <wp:align>left</wp:align>
                      </wp:positionH>
                      <wp:positionV relativeFrom="line">
                        <wp:posOffset>635</wp:posOffset>
                      </wp:positionV>
                      <wp:extent cx="69215" cy="175260"/>
                      <wp:effectExtent l="0" t="0" r="0" b="0"/>
                      <wp:wrapNone/>
                      <wp:docPr id="1190" name="Frame114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6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2">
                      <wp:simplePos x="0" y="0"/>
                      <wp:positionH relativeFrom="character">
                        <wp:align>left</wp:align>
                      </wp:positionH>
                      <wp:positionV relativeFrom="line">
                        <wp:posOffset>635</wp:posOffset>
                      </wp:positionV>
                      <wp:extent cx="615315" cy="175260"/>
                      <wp:effectExtent l="0" t="0" r="0" b="0"/>
                      <wp:wrapNone/>
                      <wp:docPr id="1191" name="Frame1149"/>
                      <a:graphic xmlns:a="http://schemas.openxmlformats.org/drawingml/2006/main">
                        <a:graphicData uri="http://schemas.microsoft.com/office/word/2010/wordprocessingShape">
                          <wps:wsp>
                            <wps:cNvSpPr txBox="1"/>
                            <wps:spPr>
                              <a:xfrm>
                                <a:off x="0" y="0"/>
                                <a:ext cx="6153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3">
                      <wp:simplePos x="0" y="0"/>
                      <wp:positionH relativeFrom="character">
                        <wp:align>left</wp:align>
                      </wp:positionH>
                      <wp:positionV relativeFrom="line">
                        <wp:posOffset>635</wp:posOffset>
                      </wp:positionV>
                      <wp:extent cx="69215" cy="175260"/>
                      <wp:effectExtent l="0" t="0" r="0" b="0"/>
                      <wp:wrapNone/>
                      <wp:docPr id="1192" name="Frame115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4" w:type="dxa"/>
            <w:tcBorders/>
            <w:shd w:fill="auto" w:val="clear"/>
            <w:vAlign w:val="center"/>
          </w:tcPr>
          <w:p>
            <w:pPr>
              <w:pStyle w:val="TableContents"/>
              <w:spacing w:before="53" w:after="30"/>
              <w:ind w:left="0" w:right="0" w:hanging="0"/>
              <w:jc w:val="center"/>
              <w:rPr/>
            </w:pPr>
            <w:r>
              <w:rPr/>
              <w:t>​</w:t>
            </w:r>
          </w:p>
        </w:tc>
      </w:tr>
    </w:tbl>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235</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tbl>
      <w:tblPr>
        <w:tblW w:w="8728" w:type="dxa"/>
        <w:jc w:val="left"/>
        <w:tblInd w:w="0" w:type="dxa"/>
        <w:tblCellMar>
          <w:top w:w="0" w:type="dxa"/>
          <w:left w:w="0" w:type="dxa"/>
          <w:bottom w:w="0" w:type="dxa"/>
          <w:right w:w="0" w:type="dxa"/>
        </w:tblCellMar>
      </w:tblPr>
      <w:tblGrid>
        <w:gridCol w:w="871"/>
        <w:gridCol w:w="109"/>
        <w:gridCol w:w="6496"/>
        <w:gridCol w:w="109"/>
        <w:gridCol w:w="109"/>
        <w:gridCol w:w="109"/>
        <w:gridCol w:w="109"/>
        <w:gridCol w:w="109"/>
        <w:gridCol w:w="109"/>
        <w:gridCol w:w="109"/>
        <w:gridCol w:w="109"/>
        <w:gridCol w:w="109"/>
        <w:gridCol w:w="271"/>
      </w:tblGrid>
      <w:tr>
        <w:trPr/>
        <w:tc>
          <w:tcPr>
            <w:tcW w:w="871"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101.SCH</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4">
                      <wp:simplePos x="0" y="0"/>
                      <wp:positionH relativeFrom="character">
                        <wp:align>left</wp:align>
                      </wp:positionH>
                      <wp:positionV relativeFrom="line">
                        <wp:posOffset>635</wp:posOffset>
                      </wp:positionV>
                      <wp:extent cx="69215" cy="175260"/>
                      <wp:effectExtent l="0" t="0" r="0" b="0"/>
                      <wp:wrapNone/>
                      <wp:docPr id="1193" name="Frame115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96"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Inline XBRL Taxonomy Extension Schema Document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5">
                      <wp:simplePos x="0" y="0"/>
                      <wp:positionH relativeFrom="character">
                        <wp:align>left</wp:align>
                      </wp:positionH>
                      <wp:positionV relativeFrom="line">
                        <wp:posOffset>635</wp:posOffset>
                      </wp:positionV>
                      <wp:extent cx="69215" cy="175260"/>
                      <wp:effectExtent l="0" t="0" r="0" b="0"/>
                      <wp:wrapNone/>
                      <wp:docPr id="1194" name="Frame115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6">
                      <wp:simplePos x="0" y="0"/>
                      <wp:positionH relativeFrom="character">
                        <wp:align>left</wp:align>
                      </wp:positionH>
                      <wp:positionV relativeFrom="line">
                        <wp:posOffset>635</wp:posOffset>
                      </wp:positionV>
                      <wp:extent cx="69215" cy="175260"/>
                      <wp:effectExtent l="0" t="0" r="0" b="0"/>
                      <wp:wrapNone/>
                      <wp:docPr id="1195" name="Frame115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7">
                      <wp:simplePos x="0" y="0"/>
                      <wp:positionH relativeFrom="character">
                        <wp:align>left</wp:align>
                      </wp:positionH>
                      <wp:positionV relativeFrom="line">
                        <wp:posOffset>635</wp:posOffset>
                      </wp:positionV>
                      <wp:extent cx="69215" cy="175260"/>
                      <wp:effectExtent l="0" t="0" r="0" b="0"/>
                      <wp:wrapNone/>
                      <wp:docPr id="1196" name="Frame115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8">
                      <wp:simplePos x="0" y="0"/>
                      <wp:positionH relativeFrom="character">
                        <wp:align>left</wp:align>
                      </wp:positionH>
                      <wp:positionV relativeFrom="line">
                        <wp:posOffset>635</wp:posOffset>
                      </wp:positionV>
                      <wp:extent cx="69215" cy="175260"/>
                      <wp:effectExtent l="0" t="0" r="0" b="0"/>
                      <wp:wrapNone/>
                      <wp:docPr id="1197" name="Frame11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9">
                      <wp:simplePos x="0" y="0"/>
                      <wp:positionH relativeFrom="character">
                        <wp:align>left</wp:align>
                      </wp:positionH>
                      <wp:positionV relativeFrom="line">
                        <wp:posOffset>635</wp:posOffset>
                      </wp:positionV>
                      <wp:extent cx="69215" cy="175260"/>
                      <wp:effectExtent l="0" t="0" r="0" b="0"/>
                      <wp:wrapNone/>
                      <wp:docPr id="1198" name="Frame115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0">
                      <wp:simplePos x="0" y="0"/>
                      <wp:positionH relativeFrom="character">
                        <wp:align>left</wp:align>
                      </wp:positionH>
                      <wp:positionV relativeFrom="line">
                        <wp:posOffset>635</wp:posOffset>
                      </wp:positionV>
                      <wp:extent cx="69215" cy="175260"/>
                      <wp:effectExtent l="0" t="0" r="0" b="0"/>
                      <wp:wrapNone/>
                      <wp:docPr id="1199" name="Frame115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1">
                      <wp:simplePos x="0" y="0"/>
                      <wp:positionH relativeFrom="character">
                        <wp:align>left</wp:align>
                      </wp:positionH>
                      <wp:positionV relativeFrom="line">
                        <wp:posOffset>635</wp:posOffset>
                      </wp:positionV>
                      <wp:extent cx="69215" cy="175260"/>
                      <wp:effectExtent l="0" t="0" r="0" b="0"/>
                      <wp:wrapNone/>
                      <wp:docPr id="1200" name="Frame115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2">
                      <wp:simplePos x="0" y="0"/>
                      <wp:positionH relativeFrom="character">
                        <wp:align>left</wp:align>
                      </wp:positionH>
                      <wp:positionV relativeFrom="line">
                        <wp:posOffset>635</wp:posOffset>
                      </wp:positionV>
                      <wp:extent cx="69215" cy="175260"/>
                      <wp:effectExtent l="0" t="0" r="0" b="0"/>
                      <wp:wrapNone/>
                      <wp:docPr id="1201" name="Frame115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3">
                      <wp:simplePos x="0" y="0"/>
                      <wp:positionH relativeFrom="character">
                        <wp:align>left</wp:align>
                      </wp:positionH>
                      <wp:positionV relativeFrom="line">
                        <wp:posOffset>635</wp:posOffset>
                      </wp:positionV>
                      <wp:extent cx="69215" cy="175260"/>
                      <wp:effectExtent l="0" t="0" r="0" b="0"/>
                      <wp:wrapNone/>
                      <wp:docPr id="1202" name="Frame116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53" w:after="3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871" w:type="dxa"/>
            <w:tcBorders/>
            <w:shd w:fill="auto" w:val="clear"/>
            <w:vAlign w:val="center"/>
          </w:tcPr>
          <w:p>
            <w:pPr>
              <w:pStyle w:val="TableContents"/>
              <w:spacing w:before="53" w:after="3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4">
                      <wp:simplePos x="0" y="0"/>
                      <wp:positionH relativeFrom="character">
                        <wp:align>left</wp:align>
                      </wp:positionH>
                      <wp:positionV relativeFrom="line">
                        <wp:posOffset>635</wp:posOffset>
                      </wp:positionV>
                      <wp:extent cx="69215" cy="175260"/>
                      <wp:effectExtent l="0" t="0" r="0" b="0"/>
                      <wp:wrapNone/>
                      <wp:docPr id="1203" name="Frame116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96" w:type="dxa"/>
            <w:tcBorders/>
            <w:shd w:fill="auto" w:val="clear"/>
            <w:vAlign w:val="center"/>
          </w:tcPr>
          <w:p>
            <w:pPr>
              <w:pStyle w:val="TableContents"/>
              <w:spacing w:before="53" w:after="3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5">
                      <wp:simplePos x="0" y="0"/>
                      <wp:positionH relativeFrom="character">
                        <wp:align>left</wp:align>
                      </wp:positionH>
                      <wp:positionV relativeFrom="line">
                        <wp:posOffset>635</wp:posOffset>
                      </wp:positionV>
                      <wp:extent cx="69215" cy="175260"/>
                      <wp:effectExtent l="0" t="0" r="0" b="0"/>
                      <wp:wrapNone/>
                      <wp:docPr id="1204" name="Frame116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6">
                      <wp:simplePos x="0" y="0"/>
                      <wp:positionH relativeFrom="character">
                        <wp:align>left</wp:align>
                      </wp:positionH>
                      <wp:positionV relativeFrom="line">
                        <wp:posOffset>635</wp:posOffset>
                      </wp:positionV>
                      <wp:extent cx="69215" cy="175260"/>
                      <wp:effectExtent l="0" t="0" r="0" b="0"/>
                      <wp:wrapNone/>
                      <wp:docPr id="1205" name="Frame116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7">
                      <wp:simplePos x="0" y="0"/>
                      <wp:positionH relativeFrom="character">
                        <wp:align>left</wp:align>
                      </wp:positionH>
                      <wp:positionV relativeFrom="line">
                        <wp:posOffset>635</wp:posOffset>
                      </wp:positionV>
                      <wp:extent cx="69215" cy="175260"/>
                      <wp:effectExtent l="0" t="0" r="0" b="0"/>
                      <wp:wrapNone/>
                      <wp:docPr id="1206" name="Frame116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8">
                      <wp:simplePos x="0" y="0"/>
                      <wp:positionH relativeFrom="character">
                        <wp:align>left</wp:align>
                      </wp:positionH>
                      <wp:positionV relativeFrom="line">
                        <wp:posOffset>635</wp:posOffset>
                      </wp:positionV>
                      <wp:extent cx="69215" cy="175260"/>
                      <wp:effectExtent l="0" t="0" r="0" b="0"/>
                      <wp:wrapNone/>
                      <wp:docPr id="1207" name="Frame116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9">
                      <wp:simplePos x="0" y="0"/>
                      <wp:positionH relativeFrom="character">
                        <wp:align>left</wp:align>
                      </wp:positionH>
                      <wp:positionV relativeFrom="line">
                        <wp:posOffset>635</wp:posOffset>
                      </wp:positionV>
                      <wp:extent cx="69215" cy="175260"/>
                      <wp:effectExtent l="0" t="0" r="0" b="0"/>
                      <wp:wrapNone/>
                      <wp:docPr id="1208" name="Frame116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0">
                      <wp:simplePos x="0" y="0"/>
                      <wp:positionH relativeFrom="character">
                        <wp:align>left</wp:align>
                      </wp:positionH>
                      <wp:positionV relativeFrom="line">
                        <wp:posOffset>635</wp:posOffset>
                      </wp:positionV>
                      <wp:extent cx="69215" cy="175260"/>
                      <wp:effectExtent l="0" t="0" r="0" b="0"/>
                      <wp:wrapNone/>
                      <wp:docPr id="1209" name="Frame116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1">
                      <wp:simplePos x="0" y="0"/>
                      <wp:positionH relativeFrom="character">
                        <wp:align>left</wp:align>
                      </wp:positionH>
                      <wp:positionV relativeFrom="line">
                        <wp:posOffset>635</wp:posOffset>
                      </wp:positionV>
                      <wp:extent cx="69215" cy="175260"/>
                      <wp:effectExtent l="0" t="0" r="0" b="0"/>
                      <wp:wrapNone/>
                      <wp:docPr id="1210" name="Frame116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2">
                      <wp:simplePos x="0" y="0"/>
                      <wp:positionH relativeFrom="character">
                        <wp:align>left</wp:align>
                      </wp:positionH>
                      <wp:positionV relativeFrom="line">
                        <wp:posOffset>635</wp:posOffset>
                      </wp:positionV>
                      <wp:extent cx="69215" cy="175260"/>
                      <wp:effectExtent l="0" t="0" r="0" b="0"/>
                      <wp:wrapNone/>
                      <wp:docPr id="1211" name="Frame116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3">
                      <wp:simplePos x="0" y="0"/>
                      <wp:positionH relativeFrom="character">
                        <wp:align>left</wp:align>
                      </wp:positionH>
                      <wp:positionV relativeFrom="line">
                        <wp:posOffset>635</wp:posOffset>
                      </wp:positionV>
                      <wp:extent cx="69215" cy="175260"/>
                      <wp:effectExtent l="0" t="0" r="0" b="0"/>
                      <wp:wrapNone/>
                      <wp:docPr id="1212" name="Frame117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53" w:after="30"/>
              <w:ind w:left="0" w:right="0" w:hanging="0"/>
              <w:jc w:val="center"/>
              <w:rPr/>
            </w:pPr>
            <w:r>
              <w:rPr/>
              <w:t>​</w:t>
            </w:r>
          </w:p>
        </w:tc>
      </w:tr>
      <w:tr>
        <w:trPr/>
        <w:tc>
          <w:tcPr>
            <w:tcW w:w="871"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101.CAL</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4">
                      <wp:simplePos x="0" y="0"/>
                      <wp:positionH relativeFrom="character">
                        <wp:align>left</wp:align>
                      </wp:positionH>
                      <wp:positionV relativeFrom="line">
                        <wp:posOffset>635</wp:posOffset>
                      </wp:positionV>
                      <wp:extent cx="69215" cy="175260"/>
                      <wp:effectExtent l="0" t="0" r="0" b="0"/>
                      <wp:wrapNone/>
                      <wp:docPr id="1213" name="Frame117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96"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Inline XBRL Taxonomy Extension Calculation Linkbase Document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5">
                      <wp:simplePos x="0" y="0"/>
                      <wp:positionH relativeFrom="character">
                        <wp:align>left</wp:align>
                      </wp:positionH>
                      <wp:positionV relativeFrom="line">
                        <wp:posOffset>635</wp:posOffset>
                      </wp:positionV>
                      <wp:extent cx="69215" cy="175260"/>
                      <wp:effectExtent l="0" t="0" r="0" b="0"/>
                      <wp:wrapNone/>
                      <wp:docPr id="1214" name="Frame117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6">
                      <wp:simplePos x="0" y="0"/>
                      <wp:positionH relativeFrom="character">
                        <wp:align>left</wp:align>
                      </wp:positionH>
                      <wp:positionV relativeFrom="line">
                        <wp:posOffset>635</wp:posOffset>
                      </wp:positionV>
                      <wp:extent cx="69215" cy="175260"/>
                      <wp:effectExtent l="0" t="0" r="0" b="0"/>
                      <wp:wrapNone/>
                      <wp:docPr id="1215" name="Frame117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7">
                      <wp:simplePos x="0" y="0"/>
                      <wp:positionH relativeFrom="character">
                        <wp:align>left</wp:align>
                      </wp:positionH>
                      <wp:positionV relativeFrom="line">
                        <wp:posOffset>635</wp:posOffset>
                      </wp:positionV>
                      <wp:extent cx="69215" cy="175260"/>
                      <wp:effectExtent l="0" t="0" r="0" b="0"/>
                      <wp:wrapNone/>
                      <wp:docPr id="1216" name="Frame117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8">
                      <wp:simplePos x="0" y="0"/>
                      <wp:positionH relativeFrom="character">
                        <wp:align>left</wp:align>
                      </wp:positionH>
                      <wp:positionV relativeFrom="line">
                        <wp:posOffset>635</wp:posOffset>
                      </wp:positionV>
                      <wp:extent cx="69215" cy="175260"/>
                      <wp:effectExtent l="0" t="0" r="0" b="0"/>
                      <wp:wrapNone/>
                      <wp:docPr id="1217" name="Frame117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9">
                      <wp:simplePos x="0" y="0"/>
                      <wp:positionH relativeFrom="character">
                        <wp:align>left</wp:align>
                      </wp:positionH>
                      <wp:positionV relativeFrom="line">
                        <wp:posOffset>635</wp:posOffset>
                      </wp:positionV>
                      <wp:extent cx="69215" cy="175260"/>
                      <wp:effectExtent l="0" t="0" r="0" b="0"/>
                      <wp:wrapNone/>
                      <wp:docPr id="1218" name="Frame117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0">
                      <wp:simplePos x="0" y="0"/>
                      <wp:positionH relativeFrom="character">
                        <wp:align>left</wp:align>
                      </wp:positionH>
                      <wp:positionV relativeFrom="line">
                        <wp:posOffset>635</wp:posOffset>
                      </wp:positionV>
                      <wp:extent cx="69215" cy="175260"/>
                      <wp:effectExtent l="0" t="0" r="0" b="0"/>
                      <wp:wrapNone/>
                      <wp:docPr id="1219" name="Frame117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1">
                      <wp:simplePos x="0" y="0"/>
                      <wp:positionH relativeFrom="character">
                        <wp:align>left</wp:align>
                      </wp:positionH>
                      <wp:positionV relativeFrom="line">
                        <wp:posOffset>635</wp:posOffset>
                      </wp:positionV>
                      <wp:extent cx="69215" cy="175260"/>
                      <wp:effectExtent l="0" t="0" r="0" b="0"/>
                      <wp:wrapNone/>
                      <wp:docPr id="1220" name="Frame117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2">
                      <wp:simplePos x="0" y="0"/>
                      <wp:positionH relativeFrom="character">
                        <wp:align>left</wp:align>
                      </wp:positionH>
                      <wp:positionV relativeFrom="line">
                        <wp:posOffset>635</wp:posOffset>
                      </wp:positionV>
                      <wp:extent cx="69215" cy="175260"/>
                      <wp:effectExtent l="0" t="0" r="0" b="0"/>
                      <wp:wrapNone/>
                      <wp:docPr id="1221" name="Frame117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3">
                      <wp:simplePos x="0" y="0"/>
                      <wp:positionH relativeFrom="character">
                        <wp:align>left</wp:align>
                      </wp:positionH>
                      <wp:positionV relativeFrom="line">
                        <wp:posOffset>635</wp:posOffset>
                      </wp:positionV>
                      <wp:extent cx="69215" cy="175260"/>
                      <wp:effectExtent l="0" t="0" r="0" b="0"/>
                      <wp:wrapNone/>
                      <wp:docPr id="1222" name="Frame118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53" w:after="3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871" w:type="dxa"/>
            <w:tcBorders/>
            <w:shd w:fill="auto" w:val="clear"/>
            <w:vAlign w:val="center"/>
          </w:tcPr>
          <w:p>
            <w:pPr>
              <w:pStyle w:val="TableContents"/>
              <w:spacing w:before="53" w:after="3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4">
                      <wp:simplePos x="0" y="0"/>
                      <wp:positionH relativeFrom="character">
                        <wp:align>left</wp:align>
                      </wp:positionH>
                      <wp:positionV relativeFrom="line">
                        <wp:posOffset>635</wp:posOffset>
                      </wp:positionV>
                      <wp:extent cx="69215" cy="175260"/>
                      <wp:effectExtent l="0" t="0" r="0" b="0"/>
                      <wp:wrapNone/>
                      <wp:docPr id="1223" name="Frame118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96" w:type="dxa"/>
            <w:tcBorders/>
            <w:shd w:fill="auto" w:val="clear"/>
            <w:vAlign w:val="center"/>
          </w:tcPr>
          <w:p>
            <w:pPr>
              <w:pStyle w:val="TableContents"/>
              <w:spacing w:before="53" w:after="3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5">
                      <wp:simplePos x="0" y="0"/>
                      <wp:positionH relativeFrom="character">
                        <wp:align>left</wp:align>
                      </wp:positionH>
                      <wp:positionV relativeFrom="line">
                        <wp:posOffset>635</wp:posOffset>
                      </wp:positionV>
                      <wp:extent cx="69215" cy="175260"/>
                      <wp:effectExtent l="0" t="0" r="0" b="0"/>
                      <wp:wrapNone/>
                      <wp:docPr id="1224" name="Frame118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6">
                      <wp:simplePos x="0" y="0"/>
                      <wp:positionH relativeFrom="character">
                        <wp:align>left</wp:align>
                      </wp:positionH>
                      <wp:positionV relativeFrom="line">
                        <wp:posOffset>635</wp:posOffset>
                      </wp:positionV>
                      <wp:extent cx="69215" cy="175260"/>
                      <wp:effectExtent l="0" t="0" r="0" b="0"/>
                      <wp:wrapNone/>
                      <wp:docPr id="1225" name="Frame118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7">
                      <wp:simplePos x="0" y="0"/>
                      <wp:positionH relativeFrom="character">
                        <wp:align>left</wp:align>
                      </wp:positionH>
                      <wp:positionV relativeFrom="line">
                        <wp:posOffset>635</wp:posOffset>
                      </wp:positionV>
                      <wp:extent cx="69215" cy="175260"/>
                      <wp:effectExtent l="0" t="0" r="0" b="0"/>
                      <wp:wrapNone/>
                      <wp:docPr id="1226" name="Frame118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8">
                      <wp:simplePos x="0" y="0"/>
                      <wp:positionH relativeFrom="character">
                        <wp:align>left</wp:align>
                      </wp:positionH>
                      <wp:positionV relativeFrom="line">
                        <wp:posOffset>635</wp:posOffset>
                      </wp:positionV>
                      <wp:extent cx="69215" cy="175260"/>
                      <wp:effectExtent l="0" t="0" r="0" b="0"/>
                      <wp:wrapNone/>
                      <wp:docPr id="1227" name="Frame118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9">
                      <wp:simplePos x="0" y="0"/>
                      <wp:positionH relativeFrom="character">
                        <wp:align>left</wp:align>
                      </wp:positionH>
                      <wp:positionV relativeFrom="line">
                        <wp:posOffset>635</wp:posOffset>
                      </wp:positionV>
                      <wp:extent cx="69215" cy="175260"/>
                      <wp:effectExtent l="0" t="0" r="0" b="0"/>
                      <wp:wrapNone/>
                      <wp:docPr id="1228" name="Frame118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0">
                      <wp:simplePos x="0" y="0"/>
                      <wp:positionH relativeFrom="character">
                        <wp:align>left</wp:align>
                      </wp:positionH>
                      <wp:positionV relativeFrom="line">
                        <wp:posOffset>635</wp:posOffset>
                      </wp:positionV>
                      <wp:extent cx="69215" cy="175260"/>
                      <wp:effectExtent l="0" t="0" r="0" b="0"/>
                      <wp:wrapNone/>
                      <wp:docPr id="1229" name="Frame118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1">
                      <wp:simplePos x="0" y="0"/>
                      <wp:positionH relativeFrom="character">
                        <wp:align>left</wp:align>
                      </wp:positionH>
                      <wp:positionV relativeFrom="line">
                        <wp:posOffset>635</wp:posOffset>
                      </wp:positionV>
                      <wp:extent cx="69215" cy="175260"/>
                      <wp:effectExtent l="0" t="0" r="0" b="0"/>
                      <wp:wrapNone/>
                      <wp:docPr id="1230" name="Frame118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2">
                      <wp:simplePos x="0" y="0"/>
                      <wp:positionH relativeFrom="character">
                        <wp:align>left</wp:align>
                      </wp:positionH>
                      <wp:positionV relativeFrom="line">
                        <wp:posOffset>635</wp:posOffset>
                      </wp:positionV>
                      <wp:extent cx="69215" cy="175260"/>
                      <wp:effectExtent l="0" t="0" r="0" b="0"/>
                      <wp:wrapNone/>
                      <wp:docPr id="1231" name="Frame118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3">
                      <wp:simplePos x="0" y="0"/>
                      <wp:positionH relativeFrom="character">
                        <wp:align>left</wp:align>
                      </wp:positionH>
                      <wp:positionV relativeFrom="line">
                        <wp:posOffset>635</wp:posOffset>
                      </wp:positionV>
                      <wp:extent cx="69215" cy="175260"/>
                      <wp:effectExtent l="0" t="0" r="0" b="0"/>
                      <wp:wrapNone/>
                      <wp:docPr id="1232" name="Frame119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53" w:after="30"/>
              <w:ind w:left="0" w:right="0" w:hanging="0"/>
              <w:jc w:val="center"/>
              <w:rPr/>
            </w:pPr>
            <w:r>
              <w:rPr/>
              <w:t>​</w:t>
            </w:r>
          </w:p>
        </w:tc>
      </w:tr>
      <w:tr>
        <w:trPr/>
        <w:tc>
          <w:tcPr>
            <w:tcW w:w="871"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101.DEF</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4">
                      <wp:simplePos x="0" y="0"/>
                      <wp:positionH relativeFrom="character">
                        <wp:align>left</wp:align>
                      </wp:positionH>
                      <wp:positionV relativeFrom="line">
                        <wp:posOffset>635</wp:posOffset>
                      </wp:positionV>
                      <wp:extent cx="69215" cy="175260"/>
                      <wp:effectExtent l="0" t="0" r="0" b="0"/>
                      <wp:wrapNone/>
                      <wp:docPr id="1233" name="Frame119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96"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Inline XBRL Taxonomy Extension Definition Linkbase Document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5">
                      <wp:simplePos x="0" y="0"/>
                      <wp:positionH relativeFrom="character">
                        <wp:align>left</wp:align>
                      </wp:positionH>
                      <wp:positionV relativeFrom="line">
                        <wp:posOffset>635</wp:posOffset>
                      </wp:positionV>
                      <wp:extent cx="69215" cy="175260"/>
                      <wp:effectExtent l="0" t="0" r="0" b="0"/>
                      <wp:wrapNone/>
                      <wp:docPr id="1234" name="Frame119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6">
                      <wp:simplePos x="0" y="0"/>
                      <wp:positionH relativeFrom="character">
                        <wp:align>left</wp:align>
                      </wp:positionH>
                      <wp:positionV relativeFrom="line">
                        <wp:posOffset>635</wp:posOffset>
                      </wp:positionV>
                      <wp:extent cx="69215" cy="175260"/>
                      <wp:effectExtent l="0" t="0" r="0" b="0"/>
                      <wp:wrapNone/>
                      <wp:docPr id="1235" name="Frame119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7">
                      <wp:simplePos x="0" y="0"/>
                      <wp:positionH relativeFrom="character">
                        <wp:align>left</wp:align>
                      </wp:positionH>
                      <wp:positionV relativeFrom="line">
                        <wp:posOffset>635</wp:posOffset>
                      </wp:positionV>
                      <wp:extent cx="69215" cy="175260"/>
                      <wp:effectExtent l="0" t="0" r="0" b="0"/>
                      <wp:wrapNone/>
                      <wp:docPr id="1236" name="Frame119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8">
                      <wp:simplePos x="0" y="0"/>
                      <wp:positionH relativeFrom="character">
                        <wp:align>left</wp:align>
                      </wp:positionH>
                      <wp:positionV relativeFrom="line">
                        <wp:posOffset>635</wp:posOffset>
                      </wp:positionV>
                      <wp:extent cx="69215" cy="175260"/>
                      <wp:effectExtent l="0" t="0" r="0" b="0"/>
                      <wp:wrapNone/>
                      <wp:docPr id="1237" name="Frame119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9">
                      <wp:simplePos x="0" y="0"/>
                      <wp:positionH relativeFrom="character">
                        <wp:align>left</wp:align>
                      </wp:positionH>
                      <wp:positionV relativeFrom="line">
                        <wp:posOffset>635</wp:posOffset>
                      </wp:positionV>
                      <wp:extent cx="69215" cy="175260"/>
                      <wp:effectExtent l="0" t="0" r="0" b="0"/>
                      <wp:wrapNone/>
                      <wp:docPr id="1238" name="Frame119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0">
                      <wp:simplePos x="0" y="0"/>
                      <wp:positionH relativeFrom="character">
                        <wp:align>left</wp:align>
                      </wp:positionH>
                      <wp:positionV relativeFrom="line">
                        <wp:posOffset>635</wp:posOffset>
                      </wp:positionV>
                      <wp:extent cx="69215" cy="175260"/>
                      <wp:effectExtent l="0" t="0" r="0" b="0"/>
                      <wp:wrapNone/>
                      <wp:docPr id="1239" name="Frame119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1">
                      <wp:simplePos x="0" y="0"/>
                      <wp:positionH relativeFrom="character">
                        <wp:align>left</wp:align>
                      </wp:positionH>
                      <wp:positionV relativeFrom="line">
                        <wp:posOffset>635</wp:posOffset>
                      </wp:positionV>
                      <wp:extent cx="69215" cy="175260"/>
                      <wp:effectExtent l="0" t="0" r="0" b="0"/>
                      <wp:wrapNone/>
                      <wp:docPr id="1240" name="Frame119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2">
                      <wp:simplePos x="0" y="0"/>
                      <wp:positionH relativeFrom="character">
                        <wp:align>left</wp:align>
                      </wp:positionH>
                      <wp:positionV relativeFrom="line">
                        <wp:posOffset>635</wp:posOffset>
                      </wp:positionV>
                      <wp:extent cx="69215" cy="175260"/>
                      <wp:effectExtent l="0" t="0" r="0" b="0"/>
                      <wp:wrapNone/>
                      <wp:docPr id="1241" name="Frame119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3">
                      <wp:simplePos x="0" y="0"/>
                      <wp:positionH relativeFrom="character">
                        <wp:align>left</wp:align>
                      </wp:positionH>
                      <wp:positionV relativeFrom="line">
                        <wp:posOffset>635</wp:posOffset>
                      </wp:positionV>
                      <wp:extent cx="69215" cy="175260"/>
                      <wp:effectExtent l="0" t="0" r="0" b="0"/>
                      <wp:wrapNone/>
                      <wp:docPr id="1242" name="Frame120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53" w:after="3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871" w:type="dxa"/>
            <w:tcBorders/>
            <w:shd w:fill="auto" w:val="clear"/>
            <w:vAlign w:val="center"/>
          </w:tcPr>
          <w:p>
            <w:pPr>
              <w:pStyle w:val="TableContents"/>
              <w:spacing w:before="53" w:after="3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4">
                      <wp:simplePos x="0" y="0"/>
                      <wp:positionH relativeFrom="character">
                        <wp:align>left</wp:align>
                      </wp:positionH>
                      <wp:positionV relativeFrom="line">
                        <wp:posOffset>635</wp:posOffset>
                      </wp:positionV>
                      <wp:extent cx="69215" cy="175260"/>
                      <wp:effectExtent l="0" t="0" r="0" b="0"/>
                      <wp:wrapNone/>
                      <wp:docPr id="1243" name="Frame120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96" w:type="dxa"/>
            <w:tcBorders/>
            <w:shd w:fill="auto" w:val="clear"/>
            <w:vAlign w:val="center"/>
          </w:tcPr>
          <w:p>
            <w:pPr>
              <w:pStyle w:val="TableContents"/>
              <w:spacing w:before="53" w:after="3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5">
                      <wp:simplePos x="0" y="0"/>
                      <wp:positionH relativeFrom="character">
                        <wp:align>left</wp:align>
                      </wp:positionH>
                      <wp:positionV relativeFrom="line">
                        <wp:posOffset>635</wp:posOffset>
                      </wp:positionV>
                      <wp:extent cx="69215" cy="175260"/>
                      <wp:effectExtent l="0" t="0" r="0" b="0"/>
                      <wp:wrapNone/>
                      <wp:docPr id="1244" name="Frame120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6">
                      <wp:simplePos x="0" y="0"/>
                      <wp:positionH relativeFrom="character">
                        <wp:align>left</wp:align>
                      </wp:positionH>
                      <wp:positionV relativeFrom="line">
                        <wp:posOffset>635</wp:posOffset>
                      </wp:positionV>
                      <wp:extent cx="69215" cy="175260"/>
                      <wp:effectExtent l="0" t="0" r="0" b="0"/>
                      <wp:wrapNone/>
                      <wp:docPr id="1245" name="Frame120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7">
                      <wp:simplePos x="0" y="0"/>
                      <wp:positionH relativeFrom="character">
                        <wp:align>left</wp:align>
                      </wp:positionH>
                      <wp:positionV relativeFrom="line">
                        <wp:posOffset>635</wp:posOffset>
                      </wp:positionV>
                      <wp:extent cx="69215" cy="175260"/>
                      <wp:effectExtent l="0" t="0" r="0" b="0"/>
                      <wp:wrapNone/>
                      <wp:docPr id="1246" name="Frame120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8">
                      <wp:simplePos x="0" y="0"/>
                      <wp:positionH relativeFrom="character">
                        <wp:align>left</wp:align>
                      </wp:positionH>
                      <wp:positionV relativeFrom="line">
                        <wp:posOffset>635</wp:posOffset>
                      </wp:positionV>
                      <wp:extent cx="69215" cy="175260"/>
                      <wp:effectExtent l="0" t="0" r="0" b="0"/>
                      <wp:wrapNone/>
                      <wp:docPr id="1247" name="Frame120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9">
                      <wp:simplePos x="0" y="0"/>
                      <wp:positionH relativeFrom="character">
                        <wp:align>left</wp:align>
                      </wp:positionH>
                      <wp:positionV relativeFrom="line">
                        <wp:posOffset>635</wp:posOffset>
                      </wp:positionV>
                      <wp:extent cx="69215" cy="175260"/>
                      <wp:effectExtent l="0" t="0" r="0" b="0"/>
                      <wp:wrapNone/>
                      <wp:docPr id="1248" name="Frame120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0">
                      <wp:simplePos x="0" y="0"/>
                      <wp:positionH relativeFrom="character">
                        <wp:align>left</wp:align>
                      </wp:positionH>
                      <wp:positionV relativeFrom="line">
                        <wp:posOffset>635</wp:posOffset>
                      </wp:positionV>
                      <wp:extent cx="69215" cy="175260"/>
                      <wp:effectExtent l="0" t="0" r="0" b="0"/>
                      <wp:wrapNone/>
                      <wp:docPr id="1249" name="Frame120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1">
                      <wp:simplePos x="0" y="0"/>
                      <wp:positionH relativeFrom="character">
                        <wp:align>left</wp:align>
                      </wp:positionH>
                      <wp:positionV relativeFrom="line">
                        <wp:posOffset>635</wp:posOffset>
                      </wp:positionV>
                      <wp:extent cx="69215" cy="175260"/>
                      <wp:effectExtent l="0" t="0" r="0" b="0"/>
                      <wp:wrapNone/>
                      <wp:docPr id="1250" name="Frame120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2">
                      <wp:simplePos x="0" y="0"/>
                      <wp:positionH relativeFrom="character">
                        <wp:align>left</wp:align>
                      </wp:positionH>
                      <wp:positionV relativeFrom="line">
                        <wp:posOffset>635</wp:posOffset>
                      </wp:positionV>
                      <wp:extent cx="69215" cy="175260"/>
                      <wp:effectExtent l="0" t="0" r="0" b="0"/>
                      <wp:wrapNone/>
                      <wp:docPr id="1251" name="Frame120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3">
                      <wp:simplePos x="0" y="0"/>
                      <wp:positionH relativeFrom="character">
                        <wp:align>left</wp:align>
                      </wp:positionH>
                      <wp:positionV relativeFrom="line">
                        <wp:posOffset>635</wp:posOffset>
                      </wp:positionV>
                      <wp:extent cx="69215" cy="175260"/>
                      <wp:effectExtent l="0" t="0" r="0" b="0"/>
                      <wp:wrapNone/>
                      <wp:docPr id="1252" name="Frame121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53" w:after="30"/>
              <w:ind w:left="0" w:right="0" w:hanging="0"/>
              <w:jc w:val="center"/>
              <w:rPr/>
            </w:pPr>
            <w:r>
              <w:rPr/>
              <w:t>​</w:t>
            </w:r>
          </w:p>
        </w:tc>
      </w:tr>
      <w:tr>
        <w:trPr/>
        <w:tc>
          <w:tcPr>
            <w:tcW w:w="871"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101.LAB</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4">
                      <wp:simplePos x="0" y="0"/>
                      <wp:positionH relativeFrom="character">
                        <wp:align>left</wp:align>
                      </wp:positionH>
                      <wp:positionV relativeFrom="line">
                        <wp:posOffset>635</wp:posOffset>
                      </wp:positionV>
                      <wp:extent cx="69215" cy="175260"/>
                      <wp:effectExtent l="0" t="0" r="0" b="0"/>
                      <wp:wrapNone/>
                      <wp:docPr id="1253" name="Frame121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96"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XBRL Taxonomy Extension Labels Linkbase Document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5">
                      <wp:simplePos x="0" y="0"/>
                      <wp:positionH relativeFrom="character">
                        <wp:align>left</wp:align>
                      </wp:positionH>
                      <wp:positionV relativeFrom="line">
                        <wp:posOffset>635</wp:posOffset>
                      </wp:positionV>
                      <wp:extent cx="69215" cy="175260"/>
                      <wp:effectExtent l="0" t="0" r="0" b="0"/>
                      <wp:wrapNone/>
                      <wp:docPr id="1254" name="Frame121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6">
                      <wp:simplePos x="0" y="0"/>
                      <wp:positionH relativeFrom="character">
                        <wp:align>left</wp:align>
                      </wp:positionH>
                      <wp:positionV relativeFrom="line">
                        <wp:posOffset>635</wp:posOffset>
                      </wp:positionV>
                      <wp:extent cx="69215" cy="175260"/>
                      <wp:effectExtent l="0" t="0" r="0" b="0"/>
                      <wp:wrapNone/>
                      <wp:docPr id="1255" name="Frame121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7">
                      <wp:simplePos x="0" y="0"/>
                      <wp:positionH relativeFrom="character">
                        <wp:align>left</wp:align>
                      </wp:positionH>
                      <wp:positionV relativeFrom="line">
                        <wp:posOffset>635</wp:posOffset>
                      </wp:positionV>
                      <wp:extent cx="69215" cy="175260"/>
                      <wp:effectExtent l="0" t="0" r="0" b="0"/>
                      <wp:wrapNone/>
                      <wp:docPr id="1256" name="Frame121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8">
                      <wp:simplePos x="0" y="0"/>
                      <wp:positionH relativeFrom="character">
                        <wp:align>left</wp:align>
                      </wp:positionH>
                      <wp:positionV relativeFrom="line">
                        <wp:posOffset>635</wp:posOffset>
                      </wp:positionV>
                      <wp:extent cx="69215" cy="175260"/>
                      <wp:effectExtent l="0" t="0" r="0" b="0"/>
                      <wp:wrapNone/>
                      <wp:docPr id="1257" name="Frame121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9">
                      <wp:simplePos x="0" y="0"/>
                      <wp:positionH relativeFrom="character">
                        <wp:align>left</wp:align>
                      </wp:positionH>
                      <wp:positionV relativeFrom="line">
                        <wp:posOffset>635</wp:posOffset>
                      </wp:positionV>
                      <wp:extent cx="69215" cy="175260"/>
                      <wp:effectExtent l="0" t="0" r="0" b="0"/>
                      <wp:wrapNone/>
                      <wp:docPr id="1258" name="Frame121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0">
                      <wp:simplePos x="0" y="0"/>
                      <wp:positionH relativeFrom="character">
                        <wp:align>left</wp:align>
                      </wp:positionH>
                      <wp:positionV relativeFrom="line">
                        <wp:posOffset>635</wp:posOffset>
                      </wp:positionV>
                      <wp:extent cx="69215" cy="175260"/>
                      <wp:effectExtent l="0" t="0" r="0" b="0"/>
                      <wp:wrapNone/>
                      <wp:docPr id="1259" name="Frame121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1">
                      <wp:simplePos x="0" y="0"/>
                      <wp:positionH relativeFrom="character">
                        <wp:align>left</wp:align>
                      </wp:positionH>
                      <wp:positionV relativeFrom="line">
                        <wp:posOffset>635</wp:posOffset>
                      </wp:positionV>
                      <wp:extent cx="69215" cy="175260"/>
                      <wp:effectExtent l="0" t="0" r="0" b="0"/>
                      <wp:wrapNone/>
                      <wp:docPr id="1260" name="Frame121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2">
                      <wp:simplePos x="0" y="0"/>
                      <wp:positionH relativeFrom="character">
                        <wp:align>left</wp:align>
                      </wp:positionH>
                      <wp:positionV relativeFrom="line">
                        <wp:posOffset>635</wp:posOffset>
                      </wp:positionV>
                      <wp:extent cx="69215" cy="175260"/>
                      <wp:effectExtent l="0" t="0" r="0" b="0"/>
                      <wp:wrapNone/>
                      <wp:docPr id="1261" name="Frame121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3">
                      <wp:simplePos x="0" y="0"/>
                      <wp:positionH relativeFrom="character">
                        <wp:align>left</wp:align>
                      </wp:positionH>
                      <wp:positionV relativeFrom="line">
                        <wp:posOffset>635</wp:posOffset>
                      </wp:positionV>
                      <wp:extent cx="69215" cy="175260"/>
                      <wp:effectExtent l="0" t="0" r="0" b="0"/>
                      <wp:wrapNone/>
                      <wp:docPr id="1262" name="Frame122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53" w:after="3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871" w:type="dxa"/>
            <w:tcBorders/>
            <w:shd w:fill="auto" w:val="clear"/>
            <w:vAlign w:val="center"/>
          </w:tcPr>
          <w:p>
            <w:pPr>
              <w:pStyle w:val="TableContents"/>
              <w:spacing w:before="53" w:after="3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4">
                      <wp:simplePos x="0" y="0"/>
                      <wp:positionH relativeFrom="character">
                        <wp:align>left</wp:align>
                      </wp:positionH>
                      <wp:positionV relativeFrom="line">
                        <wp:posOffset>635</wp:posOffset>
                      </wp:positionV>
                      <wp:extent cx="69215" cy="175260"/>
                      <wp:effectExtent l="0" t="0" r="0" b="0"/>
                      <wp:wrapNone/>
                      <wp:docPr id="1263" name="Frame122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96" w:type="dxa"/>
            <w:tcBorders/>
            <w:shd w:fill="auto" w:val="clear"/>
            <w:vAlign w:val="center"/>
          </w:tcPr>
          <w:p>
            <w:pPr>
              <w:pStyle w:val="TableContents"/>
              <w:spacing w:before="53" w:after="3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5">
                      <wp:simplePos x="0" y="0"/>
                      <wp:positionH relativeFrom="character">
                        <wp:align>left</wp:align>
                      </wp:positionH>
                      <wp:positionV relativeFrom="line">
                        <wp:posOffset>635</wp:posOffset>
                      </wp:positionV>
                      <wp:extent cx="69215" cy="175260"/>
                      <wp:effectExtent l="0" t="0" r="0" b="0"/>
                      <wp:wrapNone/>
                      <wp:docPr id="1264" name="Frame122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6">
                      <wp:simplePos x="0" y="0"/>
                      <wp:positionH relativeFrom="character">
                        <wp:align>left</wp:align>
                      </wp:positionH>
                      <wp:positionV relativeFrom="line">
                        <wp:posOffset>635</wp:posOffset>
                      </wp:positionV>
                      <wp:extent cx="69215" cy="175260"/>
                      <wp:effectExtent l="0" t="0" r="0" b="0"/>
                      <wp:wrapNone/>
                      <wp:docPr id="1265" name="Frame122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7">
                      <wp:simplePos x="0" y="0"/>
                      <wp:positionH relativeFrom="character">
                        <wp:align>left</wp:align>
                      </wp:positionH>
                      <wp:positionV relativeFrom="line">
                        <wp:posOffset>635</wp:posOffset>
                      </wp:positionV>
                      <wp:extent cx="69215" cy="175260"/>
                      <wp:effectExtent l="0" t="0" r="0" b="0"/>
                      <wp:wrapNone/>
                      <wp:docPr id="1266" name="Frame122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8">
                      <wp:simplePos x="0" y="0"/>
                      <wp:positionH relativeFrom="character">
                        <wp:align>left</wp:align>
                      </wp:positionH>
                      <wp:positionV relativeFrom="line">
                        <wp:posOffset>635</wp:posOffset>
                      </wp:positionV>
                      <wp:extent cx="69215" cy="175260"/>
                      <wp:effectExtent l="0" t="0" r="0" b="0"/>
                      <wp:wrapNone/>
                      <wp:docPr id="1267" name="Frame122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9">
                      <wp:simplePos x="0" y="0"/>
                      <wp:positionH relativeFrom="character">
                        <wp:align>left</wp:align>
                      </wp:positionH>
                      <wp:positionV relativeFrom="line">
                        <wp:posOffset>635</wp:posOffset>
                      </wp:positionV>
                      <wp:extent cx="69215" cy="175260"/>
                      <wp:effectExtent l="0" t="0" r="0" b="0"/>
                      <wp:wrapNone/>
                      <wp:docPr id="1268" name="Frame122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0">
                      <wp:simplePos x="0" y="0"/>
                      <wp:positionH relativeFrom="character">
                        <wp:align>left</wp:align>
                      </wp:positionH>
                      <wp:positionV relativeFrom="line">
                        <wp:posOffset>635</wp:posOffset>
                      </wp:positionV>
                      <wp:extent cx="69215" cy="175260"/>
                      <wp:effectExtent l="0" t="0" r="0" b="0"/>
                      <wp:wrapNone/>
                      <wp:docPr id="1269" name="Frame122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1">
                      <wp:simplePos x="0" y="0"/>
                      <wp:positionH relativeFrom="character">
                        <wp:align>left</wp:align>
                      </wp:positionH>
                      <wp:positionV relativeFrom="line">
                        <wp:posOffset>635</wp:posOffset>
                      </wp:positionV>
                      <wp:extent cx="69215" cy="175260"/>
                      <wp:effectExtent l="0" t="0" r="0" b="0"/>
                      <wp:wrapNone/>
                      <wp:docPr id="1270" name="Frame122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2">
                      <wp:simplePos x="0" y="0"/>
                      <wp:positionH relativeFrom="character">
                        <wp:align>left</wp:align>
                      </wp:positionH>
                      <wp:positionV relativeFrom="line">
                        <wp:posOffset>635</wp:posOffset>
                      </wp:positionV>
                      <wp:extent cx="69215" cy="175260"/>
                      <wp:effectExtent l="0" t="0" r="0" b="0"/>
                      <wp:wrapNone/>
                      <wp:docPr id="1271" name="Frame122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3">
                      <wp:simplePos x="0" y="0"/>
                      <wp:positionH relativeFrom="character">
                        <wp:align>left</wp:align>
                      </wp:positionH>
                      <wp:positionV relativeFrom="line">
                        <wp:posOffset>635</wp:posOffset>
                      </wp:positionV>
                      <wp:extent cx="69215" cy="175260"/>
                      <wp:effectExtent l="0" t="0" r="0" b="0"/>
                      <wp:wrapNone/>
                      <wp:docPr id="1272" name="Frame123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53" w:after="30"/>
              <w:ind w:left="0" w:right="0" w:hanging="0"/>
              <w:jc w:val="center"/>
              <w:rPr/>
            </w:pPr>
            <w:r>
              <w:rPr/>
              <w:t>​</w:t>
            </w:r>
          </w:p>
        </w:tc>
      </w:tr>
      <w:tr>
        <w:trPr/>
        <w:tc>
          <w:tcPr>
            <w:tcW w:w="871"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101.PRE</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4">
                      <wp:simplePos x="0" y="0"/>
                      <wp:positionH relativeFrom="character">
                        <wp:align>left</wp:align>
                      </wp:positionH>
                      <wp:positionV relativeFrom="line">
                        <wp:posOffset>635</wp:posOffset>
                      </wp:positionV>
                      <wp:extent cx="69215" cy="175260"/>
                      <wp:effectExtent l="0" t="0" r="0" b="0"/>
                      <wp:wrapNone/>
                      <wp:docPr id="1273" name="Frame123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96"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XBRL Taxonomy Extension Presentation Linkbase Document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5">
                      <wp:simplePos x="0" y="0"/>
                      <wp:positionH relativeFrom="character">
                        <wp:align>left</wp:align>
                      </wp:positionH>
                      <wp:positionV relativeFrom="line">
                        <wp:posOffset>635</wp:posOffset>
                      </wp:positionV>
                      <wp:extent cx="69215" cy="175260"/>
                      <wp:effectExtent l="0" t="0" r="0" b="0"/>
                      <wp:wrapNone/>
                      <wp:docPr id="1274" name="Frame123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6">
                      <wp:simplePos x="0" y="0"/>
                      <wp:positionH relativeFrom="character">
                        <wp:align>left</wp:align>
                      </wp:positionH>
                      <wp:positionV relativeFrom="line">
                        <wp:posOffset>635</wp:posOffset>
                      </wp:positionV>
                      <wp:extent cx="69215" cy="175260"/>
                      <wp:effectExtent l="0" t="0" r="0" b="0"/>
                      <wp:wrapNone/>
                      <wp:docPr id="1275" name="Frame123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7">
                      <wp:simplePos x="0" y="0"/>
                      <wp:positionH relativeFrom="character">
                        <wp:align>left</wp:align>
                      </wp:positionH>
                      <wp:positionV relativeFrom="line">
                        <wp:posOffset>635</wp:posOffset>
                      </wp:positionV>
                      <wp:extent cx="69215" cy="175260"/>
                      <wp:effectExtent l="0" t="0" r="0" b="0"/>
                      <wp:wrapNone/>
                      <wp:docPr id="1276" name="Frame123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8">
                      <wp:simplePos x="0" y="0"/>
                      <wp:positionH relativeFrom="character">
                        <wp:align>left</wp:align>
                      </wp:positionH>
                      <wp:positionV relativeFrom="line">
                        <wp:posOffset>635</wp:posOffset>
                      </wp:positionV>
                      <wp:extent cx="69215" cy="175260"/>
                      <wp:effectExtent l="0" t="0" r="0" b="0"/>
                      <wp:wrapNone/>
                      <wp:docPr id="1277" name="Frame123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9">
                      <wp:simplePos x="0" y="0"/>
                      <wp:positionH relativeFrom="character">
                        <wp:align>left</wp:align>
                      </wp:positionH>
                      <wp:positionV relativeFrom="line">
                        <wp:posOffset>635</wp:posOffset>
                      </wp:positionV>
                      <wp:extent cx="69215" cy="175260"/>
                      <wp:effectExtent l="0" t="0" r="0" b="0"/>
                      <wp:wrapNone/>
                      <wp:docPr id="1278" name="Frame123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0">
                      <wp:simplePos x="0" y="0"/>
                      <wp:positionH relativeFrom="character">
                        <wp:align>left</wp:align>
                      </wp:positionH>
                      <wp:positionV relativeFrom="line">
                        <wp:posOffset>635</wp:posOffset>
                      </wp:positionV>
                      <wp:extent cx="69215" cy="175260"/>
                      <wp:effectExtent l="0" t="0" r="0" b="0"/>
                      <wp:wrapNone/>
                      <wp:docPr id="1279" name="Frame123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1">
                      <wp:simplePos x="0" y="0"/>
                      <wp:positionH relativeFrom="character">
                        <wp:align>left</wp:align>
                      </wp:positionH>
                      <wp:positionV relativeFrom="line">
                        <wp:posOffset>635</wp:posOffset>
                      </wp:positionV>
                      <wp:extent cx="69215" cy="175260"/>
                      <wp:effectExtent l="0" t="0" r="0" b="0"/>
                      <wp:wrapNone/>
                      <wp:docPr id="1280" name="Frame123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2">
                      <wp:simplePos x="0" y="0"/>
                      <wp:positionH relativeFrom="character">
                        <wp:align>left</wp:align>
                      </wp:positionH>
                      <wp:positionV relativeFrom="line">
                        <wp:posOffset>635</wp:posOffset>
                      </wp:positionV>
                      <wp:extent cx="69215" cy="175260"/>
                      <wp:effectExtent l="0" t="0" r="0" b="0"/>
                      <wp:wrapNone/>
                      <wp:docPr id="1281" name="Frame123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3">
                      <wp:simplePos x="0" y="0"/>
                      <wp:positionH relativeFrom="character">
                        <wp:align>left</wp:align>
                      </wp:positionH>
                      <wp:positionV relativeFrom="line">
                        <wp:posOffset>635</wp:posOffset>
                      </wp:positionV>
                      <wp:extent cx="69215" cy="175260"/>
                      <wp:effectExtent l="0" t="0" r="0" b="0"/>
                      <wp:wrapNone/>
                      <wp:docPr id="1282" name="Frame124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53" w:after="30"/>
              <w:ind w:left="0" w:right="0" w:hanging="0"/>
              <w:jc w:val="center"/>
              <w:rPr>
                <w:rFonts w:ascii="Arial;Helvetica;sans-serif" w:hAnsi="Arial;Helvetica;sans-serif"/>
                <w:sz w:val="18"/>
              </w:rPr>
            </w:pPr>
            <w:r>
              <w:rPr>
                <w:rFonts w:ascii="Arial;Helvetica;sans-serif" w:hAnsi="Arial;Helvetica;sans-serif"/>
                <w:sz w:val="18"/>
              </w:rPr>
              <w:t>X</w:t>
            </w:r>
          </w:p>
        </w:tc>
      </w:tr>
      <w:tr>
        <w:trPr/>
        <w:tc>
          <w:tcPr>
            <w:tcW w:w="871" w:type="dxa"/>
            <w:tcBorders/>
            <w:shd w:fill="auto" w:val="clear"/>
            <w:vAlign w:val="center"/>
          </w:tcPr>
          <w:p>
            <w:pPr>
              <w:pStyle w:val="TableContents"/>
              <w:spacing w:before="53" w:after="3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4">
                      <wp:simplePos x="0" y="0"/>
                      <wp:positionH relativeFrom="character">
                        <wp:align>left</wp:align>
                      </wp:positionH>
                      <wp:positionV relativeFrom="line">
                        <wp:posOffset>635</wp:posOffset>
                      </wp:positionV>
                      <wp:extent cx="69215" cy="175260"/>
                      <wp:effectExtent l="0" t="0" r="0" b="0"/>
                      <wp:wrapNone/>
                      <wp:docPr id="1283" name="Frame124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96" w:type="dxa"/>
            <w:tcBorders/>
            <w:shd w:fill="auto" w:val="clear"/>
            <w:vAlign w:val="center"/>
          </w:tcPr>
          <w:p>
            <w:pPr>
              <w:pStyle w:val="TableContents"/>
              <w:spacing w:before="53" w:after="30"/>
              <w:ind w:left="0" w:right="0" w:hanging="0"/>
              <w:rPr/>
            </w:pPr>
            <w:r>
              <w:rPr/>
              <w: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5">
                      <wp:simplePos x="0" y="0"/>
                      <wp:positionH relativeFrom="character">
                        <wp:align>left</wp:align>
                      </wp:positionH>
                      <wp:positionV relativeFrom="line">
                        <wp:posOffset>635</wp:posOffset>
                      </wp:positionV>
                      <wp:extent cx="69215" cy="175260"/>
                      <wp:effectExtent l="0" t="0" r="0" b="0"/>
                      <wp:wrapNone/>
                      <wp:docPr id="1284" name="Frame124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6">
                      <wp:simplePos x="0" y="0"/>
                      <wp:positionH relativeFrom="character">
                        <wp:align>left</wp:align>
                      </wp:positionH>
                      <wp:positionV relativeFrom="line">
                        <wp:posOffset>635</wp:posOffset>
                      </wp:positionV>
                      <wp:extent cx="69215" cy="175260"/>
                      <wp:effectExtent l="0" t="0" r="0" b="0"/>
                      <wp:wrapNone/>
                      <wp:docPr id="1285" name="Frame124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7">
                      <wp:simplePos x="0" y="0"/>
                      <wp:positionH relativeFrom="character">
                        <wp:align>left</wp:align>
                      </wp:positionH>
                      <wp:positionV relativeFrom="line">
                        <wp:posOffset>635</wp:posOffset>
                      </wp:positionV>
                      <wp:extent cx="69215" cy="175260"/>
                      <wp:effectExtent l="0" t="0" r="0" b="0"/>
                      <wp:wrapNone/>
                      <wp:docPr id="1286" name="Frame124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8">
                      <wp:simplePos x="0" y="0"/>
                      <wp:positionH relativeFrom="character">
                        <wp:align>left</wp:align>
                      </wp:positionH>
                      <wp:positionV relativeFrom="line">
                        <wp:posOffset>635</wp:posOffset>
                      </wp:positionV>
                      <wp:extent cx="69215" cy="175260"/>
                      <wp:effectExtent l="0" t="0" r="0" b="0"/>
                      <wp:wrapNone/>
                      <wp:docPr id="1287" name="Frame124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9">
                      <wp:simplePos x="0" y="0"/>
                      <wp:positionH relativeFrom="character">
                        <wp:align>left</wp:align>
                      </wp:positionH>
                      <wp:positionV relativeFrom="line">
                        <wp:posOffset>635</wp:posOffset>
                      </wp:positionV>
                      <wp:extent cx="69215" cy="175260"/>
                      <wp:effectExtent l="0" t="0" r="0" b="0"/>
                      <wp:wrapNone/>
                      <wp:docPr id="1288" name="Frame124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0">
                      <wp:simplePos x="0" y="0"/>
                      <wp:positionH relativeFrom="character">
                        <wp:align>left</wp:align>
                      </wp:positionH>
                      <wp:positionV relativeFrom="line">
                        <wp:posOffset>635</wp:posOffset>
                      </wp:positionV>
                      <wp:extent cx="69215" cy="175260"/>
                      <wp:effectExtent l="0" t="0" r="0" b="0"/>
                      <wp:wrapNone/>
                      <wp:docPr id="1289" name="Frame124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1">
                      <wp:simplePos x="0" y="0"/>
                      <wp:positionH relativeFrom="character">
                        <wp:align>left</wp:align>
                      </wp:positionH>
                      <wp:positionV relativeFrom="line">
                        <wp:posOffset>635</wp:posOffset>
                      </wp:positionV>
                      <wp:extent cx="69215" cy="175260"/>
                      <wp:effectExtent l="0" t="0" r="0" b="0"/>
                      <wp:wrapNone/>
                      <wp:docPr id="1290" name="Frame124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2">
                      <wp:simplePos x="0" y="0"/>
                      <wp:positionH relativeFrom="character">
                        <wp:align>left</wp:align>
                      </wp:positionH>
                      <wp:positionV relativeFrom="line">
                        <wp:posOffset>635</wp:posOffset>
                      </wp:positionV>
                      <wp:extent cx="69215" cy="175260"/>
                      <wp:effectExtent l="0" t="0" r="0" b="0"/>
                      <wp:wrapNone/>
                      <wp:docPr id="1291" name="Frame124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3">
                      <wp:simplePos x="0" y="0"/>
                      <wp:positionH relativeFrom="character">
                        <wp:align>left</wp:align>
                      </wp:positionH>
                      <wp:positionV relativeFrom="line">
                        <wp:posOffset>635</wp:posOffset>
                      </wp:positionV>
                      <wp:extent cx="69215" cy="175260"/>
                      <wp:effectExtent l="0" t="0" r="0" b="0"/>
                      <wp:wrapNone/>
                      <wp:docPr id="1292" name="Frame125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53" w:after="30"/>
              <w:ind w:left="0" w:right="0" w:hanging="0"/>
              <w:jc w:val="center"/>
              <w:rPr/>
            </w:pPr>
            <w:r>
              <w:rPr/>
              <w:t>​</w:t>
            </w:r>
          </w:p>
        </w:tc>
      </w:tr>
      <w:tr>
        <w:trPr/>
        <w:tc>
          <w:tcPr>
            <w:tcW w:w="871"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104</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4">
                      <wp:simplePos x="0" y="0"/>
                      <wp:positionH relativeFrom="character">
                        <wp:align>left</wp:align>
                      </wp:positionH>
                      <wp:positionV relativeFrom="line">
                        <wp:posOffset>635</wp:posOffset>
                      </wp:positionV>
                      <wp:extent cx="69215" cy="175260"/>
                      <wp:effectExtent l="0" t="0" r="0" b="0"/>
                      <wp:wrapNone/>
                      <wp:docPr id="1293" name="Frame1251"/>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96" w:type="dxa"/>
            <w:tcBorders/>
            <w:shd w:fill="auto" w:val="clear"/>
            <w:vAlign w:val="center"/>
          </w:tcPr>
          <w:p>
            <w:pPr>
              <w:pStyle w:val="TableContents"/>
              <w:spacing w:before="53" w:after="30"/>
              <w:ind w:left="0" w:right="0" w:hanging="0"/>
              <w:rPr>
                <w:rFonts w:ascii="Arial;Helvetica;sans-serif" w:hAnsi="Arial;Helvetica;sans-serif"/>
                <w:sz w:val="18"/>
              </w:rPr>
            </w:pPr>
            <w:r>
              <w:rPr>
                <w:rFonts w:ascii="Arial;Helvetica;sans-serif" w:hAnsi="Arial;Helvetica;sans-serif"/>
                <w:sz w:val="18"/>
              </w:rPr>
              <w:t>Cover Page Interactive Data File (embedded within the Inline XBRL document)</w: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5">
                      <wp:simplePos x="0" y="0"/>
                      <wp:positionH relativeFrom="character">
                        <wp:align>left</wp:align>
                      </wp:positionH>
                      <wp:positionV relativeFrom="line">
                        <wp:posOffset>635</wp:posOffset>
                      </wp:positionV>
                      <wp:extent cx="69215" cy="175260"/>
                      <wp:effectExtent l="0" t="0" r="0" b="0"/>
                      <wp:wrapNone/>
                      <wp:docPr id="1294" name="Frame125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6">
                      <wp:simplePos x="0" y="0"/>
                      <wp:positionH relativeFrom="character">
                        <wp:align>left</wp:align>
                      </wp:positionH>
                      <wp:positionV relativeFrom="line">
                        <wp:posOffset>635</wp:posOffset>
                      </wp:positionV>
                      <wp:extent cx="69215" cy="175260"/>
                      <wp:effectExtent l="0" t="0" r="0" b="0"/>
                      <wp:wrapNone/>
                      <wp:docPr id="1295" name="Frame125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7">
                      <wp:simplePos x="0" y="0"/>
                      <wp:positionH relativeFrom="character">
                        <wp:align>left</wp:align>
                      </wp:positionH>
                      <wp:positionV relativeFrom="line">
                        <wp:posOffset>635</wp:posOffset>
                      </wp:positionV>
                      <wp:extent cx="69215" cy="175260"/>
                      <wp:effectExtent l="0" t="0" r="0" b="0"/>
                      <wp:wrapNone/>
                      <wp:docPr id="1296" name="Frame125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8">
                      <wp:simplePos x="0" y="0"/>
                      <wp:positionH relativeFrom="character">
                        <wp:align>left</wp:align>
                      </wp:positionH>
                      <wp:positionV relativeFrom="line">
                        <wp:posOffset>635</wp:posOffset>
                      </wp:positionV>
                      <wp:extent cx="69215" cy="175260"/>
                      <wp:effectExtent l="0" t="0" r="0" b="0"/>
                      <wp:wrapNone/>
                      <wp:docPr id="1297" name="Frame125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9">
                      <wp:simplePos x="0" y="0"/>
                      <wp:positionH relativeFrom="character">
                        <wp:align>left</wp:align>
                      </wp:positionH>
                      <wp:positionV relativeFrom="line">
                        <wp:posOffset>635</wp:posOffset>
                      </wp:positionV>
                      <wp:extent cx="69215" cy="175260"/>
                      <wp:effectExtent l="0" t="0" r="0" b="0"/>
                      <wp:wrapNone/>
                      <wp:docPr id="1298" name="Frame125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0">
                      <wp:simplePos x="0" y="0"/>
                      <wp:positionH relativeFrom="character">
                        <wp:align>left</wp:align>
                      </wp:positionH>
                      <wp:positionV relativeFrom="line">
                        <wp:posOffset>635</wp:posOffset>
                      </wp:positionV>
                      <wp:extent cx="69215" cy="175260"/>
                      <wp:effectExtent l="0" t="0" r="0" b="0"/>
                      <wp:wrapNone/>
                      <wp:docPr id="1299" name="Frame1257"/>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1">
                      <wp:simplePos x="0" y="0"/>
                      <wp:positionH relativeFrom="character">
                        <wp:align>left</wp:align>
                      </wp:positionH>
                      <wp:positionV relativeFrom="line">
                        <wp:posOffset>635</wp:posOffset>
                      </wp:positionV>
                      <wp:extent cx="69215" cy="175260"/>
                      <wp:effectExtent l="0" t="0" r="0" b="0"/>
                      <wp:wrapNone/>
                      <wp:docPr id="1300" name="Frame1258"/>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2">
                      <wp:simplePos x="0" y="0"/>
                      <wp:positionH relativeFrom="character">
                        <wp:align>left</wp:align>
                      </wp:positionH>
                      <wp:positionV relativeFrom="line">
                        <wp:posOffset>635</wp:posOffset>
                      </wp:positionV>
                      <wp:extent cx="69215" cy="175260"/>
                      <wp:effectExtent l="0" t="0" r="0" b="0"/>
                      <wp:wrapNone/>
                      <wp:docPr id="1301" name="Frame125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3">
                      <wp:simplePos x="0" y="0"/>
                      <wp:positionH relativeFrom="character">
                        <wp:align>left</wp:align>
                      </wp:positionH>
                      <wp:positionV relativeFrom="line">
                        <wp:posOffset>635</wp:posOffset>
                      </wp:positionV>
                      <wp:extent cx="69215" cy="175260"/>
                      <wp:effectExtent l="0" t="0" r="0" b="0"/>
                      <wp:wrapNone/>
                      <wp:docPr id="1302" name="Frame1260"/>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53" w:after="30"/>
              <w:ind w:left="0" w:right="0" w:hanging="0"/>
              <w:jc w:val="center"/>
              <w:rPr>
                <w:rFonts w:ascii="Arial;Helvetica;sans-serif" w:hAnsi="Arial;Helvetica;sans-serif"/>
                <w:sz w:val="18"/>
              </w:rPr>
            </w:pPr>
            <w:r>
              <w:rPr>
                <w:rFonts w:ascii="Arial;Helvetica;sans-serif" w:hAnsi="Arial;Helvetica;sans-serif"/>
                <w:sz w:val="18"/>
              </w:rPr>
              <w:t>X</w:t>
            </w:r>
          </w:p>
        </w:tc>
      </w:tr>
    </w:tbl>
    <w:p>
      <w:pPr>
        <w:pStyle w:val="HorizontalLine"/>
        <w:pBdr>
          <w:bottom w:val="single" w:sz="6" w:space="0" w:color="000000"/>
        </w:pBdr>
        <w:spacing w:before="0" w:after="0"/>
        <w:ind w:left="0" w:right="7654" w:hanging="0"/>
        <w:rPr/>
      </w:pPr>
      <w:r>
        <w:rPr/>
      </w:r>
    </w:p>
    <w:p>
      <w:pPr>
        <w:pStyle w:val="TextBody"/>
        <w:spacing w:before="0" w:after="120"/>
        <w:ind w:left="0" w:right="0" w:hanging="0"/>
        <w:rPr>
          <w:rFonts w:ascii="Arial;Helvetica;sans-serif" w:hAnsi="Arial;Helvetica;sans-serif"/>
          <w:sz w:val="16"/>
        </w:rPr>
      </w:pPr>
      <w:r>
        <w:rPr>
          <w:rFonts w:ascii="Arial;Helvetica;sans-serif" w:hAnsi="Arial;Helvetica;sans-serif"/>
          <w:sz w:val="16"/>
        </w:rPr>
        <w:t>+ Indicates management contract or compensatory plan</w:t>
      </w:r>
    </w:p>
    <w:p>
      <w:pPr>
        <w:pStyle w:val="TextBody"/>
        <w:spacing w:before="0" w:after="120"/>
        <w:ind w:left="0" w:right="0" w:hanging="0"/>
        <w:rPr>
          <w:rFonts w:ascii="Arial;Helvetica;sans-serif" w:hAnsi="Arial;Helvetica;sans-serif"/>
          <w:sz w:val="16"/>
        </w:rPr>
      </w:pPr>
      <w:r>
        <w:rPr>
          <w:rFonts w:ascii="Arial;Helvetica;sans-serif" w:hAnsi="Arial;Helvetica;sans-serif"/>
          <w:sz w:val="16"/>
        </w:rPr>
        <w:t>* Pursuant to Item 601(b)(10)(iv) of Regulation S-K promulgated by the SEC, certain portions of this exhibit have been redacted because they are both not material and is the type that the Registrant treats as private or confidential. The Registrant hereby agrees to furnish supplementally to the SEC, upon its request, an unredacted copy of this exhibit.</w:t>
      </w:r>
    </w:p>
    <w:p>
      <w:pPr>
        <w:pStyle w:val="TextBody"/>
        <w:spacing w:before="0" w:after="240"/>
        <w:ind w:left="0" w:right="0" w:hanging="0"/>
        <w:rPr>
          <w:rFonts w:ascii="Arial;Helvetica;sans-serif" w:hAnsi="Arial;Helvetica;sans-serif"/>
          <w:sz w:val="16"/>
        </w:rPr>
      </w:pPr>
      <w:r>
        <w:rPr>
          <w:rFonts w:ascii="Arial;Helvetica;sans-serif" w:hAnsi="Arial;Helvetica;sans-serif"/>
          <w:sz w:val="16"/>
        </w:rPr>
        <w:t>^ The certifications attached as Exhibits 32.1 and 32.2 accompanying this Annual Report on Form 10-K are not deemed filed with the SEC and are not to be incorporated by reference into any filing of the Company under the Securities Act or the Exchange Act whether made before or after the date of this Annual Report on Form 10-K, irrespective of any general incorporation language contained in such filing.</w:t>
      </w:r>
    </w:p>
    <w:p>
      <w:pPr>
        <w:pStyle w:val="TextBody"/>
        <w:spacing w:before="0" w:after="240"/>
        <w:ind w:left="0" w:right="0" w:hanging="0"/>
        <w:jc w:val="center"/>
        <w:rPr/>
      </w:pPr>
      <w:r>
        <w:rPr/>
        <w:t>​</w:t>
      </w:r>
    </w:p>
    <w:p>
      <w:pPr>
        <w:pStyle w:val="TextBody"/>
        <w:spacing w:before="0" w:after="240"/>
        <w:ind w:left="0" w:right="0" w:hanging="0"/>
        <w:rPr>
          <w:rFonts w:ascii="Arial;Helvetica;sans-serif" w:hAnsi="Arial;Helvetica;sans-serif"/>
          <w:b/>
          <w:sz w:val="20"/>
        </w:rPr>
      </w:pPr>
      <w:r>
        <w:rPr>
          <w:rFonts w:ascii="Arial;Helvetica;sans-serif" w:hAnsi="Arial;Helvetica;sans-serif"/>
          <w:b/>
          <w:sz w:val="20"/>
        </w:rPr>
        <w:t>Item 16. Form 10–K Summary.</w:t>
      </w:r>
      <w:bookmarkStart w:id="42" w:name="Item16_Form_10K_Summary"/>
      <w:bookmarkEnd w:id="42"/>
    </w:p>
    <w:p>
      <w:pPr>
        <w:pStyle w:val="TextBody"/>
        <w:spacing w:before="0" w:after="240"/>
        <w:ind w:left="0" w:right="0" w:hanging="0"/>
        <w:rPr>
          <w:rFonts w:ascii="Arial;Helvetica;sans-serif" w:hAnsi="Arial;Helvetica;sans-serif"/>
          <w:sz w:val="20"/>
        </w:rPr>
      </w:pPr>
      <w:r>
        <w:rPr>
          <w:rFonts w:ascii="Arial;Helvetica;sans-serif" w:hAnsi="Arial;Helvetica;sans-serif"/>
          <w:sz w:val="20"/>
        </w:rPr>
        <w:t>None.</w:t>
      </w:r>
    </w:p>
    <w:p>
      <w:pPr>
        <w:pStyle w:val="TextBody"/>
        <w:spacing w:before="0" w:after="240"/>
        <w:ind w:left="0" w:right="0" w:hanging="0"/>
        <w:rPr/>
      </w:pPr>
      <w:r>
        <w:rPr/>
        <w:t>​</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SIGNATURES</w:t>
      </w:r>
      <w:bookmarkStart w:id="43" w:name="Signatures"/>
      <w:bookmarkEnd w:id="43"/>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Pursuant to the requirements of Section 13 or 15(d) of the Securities Exchange Act of 1934, the registrant has duly caused this registration statement to be signed on its behalf by the undersigned, thereunto duly authorized, in the City of San Francisco, State of California, on March 30, 2023.</w:t>
      </w:r>
    </w:p>
    <w:tbl>
      <w:tblPr>
        <w:tblW w:w="3375" w:type="dxa"/>
        <w:jc w:val="left"/>
        <w:tblInd w:w="0" w:type="dxa"/>
        <w:tblCellMar>
          <w:top w:w="0" w:type="dxa"/>
          <w:left w:w="0" w:type="dxa"/>
          <w:bottom w:w="0" w:type="dxa"/>
          <w:right w:w="0" w:type="dxa"/>
        </w:tblCellMar>
      </w:tblPr>
      <w:tblGrid>
        <w:gridCol w:w="461"/>
        <w:gridCol w:w="2914"/>
      </w:tblGrid>
      <w:tr>
        <w:trPr/>
        <w:tc>
          <w:tcPr>
            <w:tcW w:w="461" w:type="dxa"/>
            <w:tcBorders/>
            <w:shd w:fill="auto" w:val="clear"/>
            <w:vAlign w:val="center"/>
          </w:tcPr>
          <w:p>
            <w:pPr>
              <w:pStyle w:val="TableContents"/>
              <w:spacing w:before="0" w:after="0"/>
              <w:ind w:left="0" w:right="0" w:hanging="0"/>
              <w:rPr/>
            </w:pPr>
            <w:r>
              <w:rPr/>
              <w:t>​</w:t>
            </w:r>
          </w:p>
        </w:tc>
        <w:tc>
          <w:tcPr>
            <w:tcW w:w="2914" w:type="dxa"/>
            <w:tcBorders/>
            <w:shd w:fill="auto" w:val="clear"/>
            <w:vAlign w:val="center"/>
          </w:tcPr>
          <w:p>
            <w:pPr>
              <w:pStyle w:val="TableContents"/>
              <w:spacing w:before="0" w:after="0"/>
              <w:ind w:left="0" w:right="0" w:hanging="0"/>
              <w:rPr/>
            </w:pPr>
            <w:r>
              <w:rPr/>
              <w:t>​</w:t>
            </w:r>
          </w:p>
        </w:tc>
      </w:tr>
      <w:tr>
        <w:trPr/>
        <w:tc>
          <w:tcPr>
            <w:tcW w:w="3375" w:type="dxa"/>
            <w:gridSpan w:val="2"/>
            <w:tcBorders/>
            <w:shd w:fill="auto" w:val="clear"/>
            <w:vAlign w:val="center"/>
          </w:tcPr>
          <w:p>
            <w:pPr>
              <w:pStyle w:val="TableContents"/>
              <w:spacing w:before="0" w:after="120"/>
              <w:ind w:left="0" w:right="0" w:hanging="0"/>
              <w:rPr>
                <w:rFonts w:ascii="Arial;Helvetica;sans-serif" w:hAnsi="Arial;Helvetica;sans-serif"/>
                <w:b/>
                <w:sz w:val="20"/>
              </w:rPr>
            </w:pPr>
            <w:r>
              <w:rPr>
                <w:rFonts w:ascii="Arial;Helvetica;sans-serif" w:hAnsi="Arial;Helvetica;sans-serif"/>
                <w:b/>
                <w:sz w:val="20"/>
              </w:rPr>
              <w:t>STRUCTURE THERAPEUTICS INC.</w:t>
            </w:r>
          </w:p>
        </w:tc>
      </w:tr>
      <w:tr>
        <w:trPr/>
        <w:tc>
          <w:tcPr>
            <w:tcW w:w="461" w:type="dxa"/>
            <w:tcBorders/>
            <w:shd w:fill="auto" w:val="cle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By:</w:t>
            </w:r>
          </w:p>
        </w:tc>
        <w:tc>
          <w:tcPr>
            <w:tcW w:w="2914" w:type="dxa"/>
            <w:tcBorders>
              <w:bottom w:val="single" w:sz="2" w:space="0" w:color="000000"/>
            </w:tcBorders>
            <w:shd w:fill="auto" w:val="clear"/>
            <w:tcMar>
              <w:bottom w:w="28" w:type="dxa"/>
            </w:tcMar>
            <w:vAlign w:val="center"/>
          </w:tcPr>
          <w:p>
            <w:pPr>
              <w:pStyle w:val="TableContents"/>
              <w:spacing w:before="0" w:after="120"/>
              <w:ind w:left="0" w:right="0" w:hanging="0"/>
              <w:rPr>
                <w:rFonts w:ascii="Arial;Helvetica;sans-serif" w:hAnsi="Arial;Helvetica;sans-serif"/>
                <w:sz w:val="20"/>
              </w:rPr>
            </w:pPr>
            <w:r>
              <w:rPr>
                <w:rFonts w:ascii="Arial;Helvetica;sans-serif" w:hAnsi="Arial;Helvetica;sans-serif"/>
                <w:sz w:val="20"/>
              </w:rPr>
              <w:t>/s/ Raymond Stevens, Ph.D.</w:t>
            </w:r>
          </w:p>
        </w:tc>
      </w:tr>
      <w:tr>
        <w:trPr/>
        <w:tc>
          <w:tcPr>
            <w:tcW w:w="461" w:type="dxa"/>
            <w:tcBorders/>
            <w:shd w:fill="auto" w:val="clear"/>
            <w:vAlign w:val="center"/>
          </w:tcPr>
          <w:p>
            <w:pPr>
              <w:pStyle w:val="TableContents"/>
              <w:spacing w:before="0" w:after="120"/>
              <w:ind w:left="0" w:right="0" w:hanging="0"/>
              <w:jc w:val="center"/>
              <w:rPr/>
            </w:pPr>
            <w:r>
              <w:rPr/>
              <w:t>​</w:t>
            </w:r>
          </w:p>
        </w:tc>
        <w:tc>
          <w:tcPr>
            <w:tcW w:w="2914" w:type="dxa"/>
            <w:tcBorders/>
            <w:shd w:fill="auto" w:val="cle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Raymond Stevens, Ph.D.</w:t>
            </w:r>
          </w:p>
          <w:p>
            <w:pPr>
              <w:pStyle w:val="TableContents"/>
              <w:spacing w:before="0" w:after="0"/>
              <w:ind w:left="0" w:right="0" w:hanging="0"/>
              <w:rPr>
                <w:rFonts w:ascii="Arial;Helvetica;sans-serif" w:hAnsi="Arial;Helvetica;sans-serif"/>
                <w:i/>
                <w:sz w:val="20"/>
              </w:rPr>
            </w:pPr>
            <w:r>
              <w:rPr>
                <w:rFonts w:ascii="Arial;Helvetica;sans-serif" w:hAnsi="Arial;Helvetica;sans-serif"/>
                <w:i/>
                <w:sz w:val="20"/>
              </w:rPr>
              <w:t>Chief Executive Officer</w:t>
            </w:r>
          </w:p>
        </w:tc>
      </w:tr>
      <w:tr>
        <w:trPr/>
        <w:tc>
          <w:tcPr>
            <w:tcW w:w="461" w:type="dxa"/>
            <w:tcBorders/>
            <w:shd w:fill="auto" w:val="clear"/>
            <w:vAlign w:val="center"/>
          </w:tcPr>
          <w:p>
            <w:pPr>
              <w:pStyle w:val="TableContents"/>
              <w:spacing w:before="0" w:after="0"/>
              <w:ind w:left="0" w:right="0" w:hanging="0"/>
              <w:jc w:val="center"/>
              <w:rPr/>
            </w:pPr>
            <w:r>
              <w:rPr/>
              <w:t>​</w:t>
            </w:r>
          </w:p>
        </w:tc>
        <w:tc>
          <w:tcPr>
            <w:tcW w:w="2914" w:type="dxa"/>
            <w:tcBorders/>
            <w:shd w:fill="auto" w:val="clear"/>
            <w:vAlign w:val="center"/>
          </w:tcPr>
          <w:p>
            <w:pPr>
              <w:pStyle w:val="TableContents"/>
              <w:spacing w:before="0" w:after="0"/>
              <w:ind w:left="0" w:right="0" w:hanging="0"/>
              <w:rPr/>
            </w:pPr>
            <w:r>
              <w:rPr/>
              <w:t>​</w:t>
            </w:r>
          </w:p>
        </w:tc>
      </w:tr>
      <w:tr>
        <w:trPr/>
        <w:tc>
          <w:tcPr>
            <w:tcW w:w="461" w:type="dxa"/>
            <w:tcBorders/>
            <w:shd w:fill="auto" w:val="cle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By:</w:t>
            </w:r>
          </w:p>
        </w:tc>
        <w:tc>
          <w:tcPr>
            <w:tcW w:w="2914" w:type="dxa"/>
            <w:tcBorders>
              <w:bottom w:val="single" w:sz="2" w:space="0" w:color="000000"/>
            </w:tcBorders>
            <w:shd w:fill="auto" w:val="clear"/>
            <w:tcMar>
              <w:bottom w:w="28" w:type="dxa"/>
            </w:tcMar>
            <w:vAlign w:val="center"/>
          </w:tcPr>
          <w:p>
            <w:pPr>
              <w:pStyle w:val="TableContents"/>
              <w:spacing w:before="0" w:after="120"/>
              <w:ind w:left="0" w:right="0" w:hanging="0"/>
              <w:rPr>
                <w:rFonts w:ascii="Arial;Helvetica;sans-serif" w:hAnsi="Arial;Helvetica;sans-serif"/>
                <w:sz w:val="20"/>
              </w:rPr>
            </w:pPr>
            <w:r>
              <w:rPr>
                <w:rFonts w:ascii="Arial;Helvetica;sans-serif" w:hAnsi="Arial;Helvetica;sans-serif"/>
                <w:sz w:val="20"/>
              </w:rPr>
              <w:t>/s/ Jun Yoon</w:t>
            </w:r>
          </w:p>
        </w:tc>
      </w:tr>
      <w:tr>
        <w:trPr/>
        <w:tc>
          <w:tcPr>
            <w:tcW w:w="461" w:type="dxa"/>
            <w:tcBorders/>
            <w:shd w:fill="auto" w:val="clear"/>
            <w:vAlign w:val="center"/>
          </w:tcPr>
          <w:p>
            <w:pPr>
              <w:pStyle w:val="TableContents"/>
              <w:spacing w:before="0" w:after="120"/>
              <w:ind w:left="0" w:right="0" w:hanging="0"/>
              <w:jc w:val="center"/>
              <w:rPr/>
            </w:pPr>
            <w:r>
              <w:rPr/>
              <w:t>​</w:t>
            </w:r>
          </w:p>
        </w:tc>
        <w:tc>
          <w:tcPr>
            <w:tcW w:w="2914" w:type="dxa"/>
            <w:tcBorders>
              <w:top w:val="single" w:sz="2" w:space="0" w:color="000000"/>
            </w:tcBorders>
            <w:shd w:fill="auto" w:val="clear"/>
            <w:tcMar>
              <w:top w:w="28" w:type="dxa"/>
            </w:tcMar>
            <w:vAlign w:val="center"/>
          </w:tcPr>
          <w:p>
            <w:pPr>
              <w:pStyle w:val="TableContents"/>
              <w:spacing w:before="0" w:after="0"/>
              <w:ind w:left="0" w:right="0" w:hanging="0"/>
              <w:rPr>
                <w:rFonts w:ascii="Arial;Helvetica;sans-serif" w:hAnsi="Arial;Helvetica;sans-serif"/>
                <w:sz w:val="20"/>
              </w:rPr>
            </w:pPr>
            <w:r>
              <w:rPr>
                <w:rFonts w:ascii="Arial;Helvetica;sans-serif" w:hAnsi="Arial;Helvetica;sans-serif"/>
                <w:sz w:val="20"/>
              </w:rPr>
              <w:t>Jun Yoon</w:t>
            </w:r>
          </w:p>
          <w:p>
            <w:pPr>
              <w:pStyle w:val="TableContents"/>
              <w:spacing w:before="0" w:after="0"/>
              <w:ind w:left="0" w:right="0" w:hanging="0"/>
              <w:rPr>
                <w:rFonts w:ascii="Arial;Helvetica;sans-serif" w:hAnsi="Arial;Helvetica;sans-serif"/>
                <w:i/>
                <w:sz w:val="20"/>
              </w:rPr>
            </w:pPr>
            <w:r>
              <w:rPr>
                <w:rFonts w:ascii="Arial;Helvetica;sans-serif" w:hAnsi="Arial;Helvetica;sans-serif"/>
                <w:i/>
                <w:sz w:val="20"/>
              </w:rPr>
              <w:t>Chief Financial Officer</w:t>
            </w:r>
          </w:p>
        </w:tc>
      </w:tr>
    </w:tbl>
    <w:p>
      <w:pPr>
        <w:pStyle w:val="TextBody"/>
        <w:spacing w:before="0" w:after="0"/>
        <w:ind w:left="0" w:right="0" w:hanging="0"/>
        <w:rPr/>
      </w:pPr>
      <w:r>
        <w:rPr/>
        <w:t>​</w:t>
      </w:r>
    </w:p>
    <w:p>
      <w:pPr>
        <w:pStyle w:val="TextBody"/>
        <w:spacing w:before="0" w:after="240"/>
        <w:ind w:left="0" w:right="0" w:hanging="0"/>
        <w:jc w:val="center"/>
        <w:rPr>
          <w:rFonts w:ascii="Arial;Helvetica;sans-serif" w:hAnsi="Arial;Helvetica;sans-serif"/>
          <w:b/>
          <w:sz w:val="20"/>
        </w:rPr>
      </w:pPr>
      <w:r>
        <w:rPr>
          <w:rFonts w:ascii="Arial;Helvetica;sans-serif" w:hAnsi="Arial;Helvetica;sans-serif"/>
          <w:b/>
          <w:sz w:val="20"/>
        </w:rPr>
        <w:t>POWER OF ATTORNEY</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236</w:t>
      </w:r>
    </w:p>
    <w:p>
      <w:pPr>
        <w:pStyle w:val="HorizontalLine"/>
        <w:rPr/>
      </w:pPr>
      <w:r>
        <w:rPr/>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KNOW ALL PERSONS BY THESE PRESENTS, that each person whose signature appears below constitutes and appoints Raymond Stevens and Jun Yoon,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that all said attorneys-in-fact and agents, or his or their substitute or substitutes, may lawfully do or cause to be done by virtue hereof.</w:t>
      </w:r>
    </w:p>
    <w:p>
      <w:pPr>
        <w:pStyle w:val="TextBody"/>
        <w:spacing w:before="0" w:after="240"/>
        <w:ind w:left="0" w:right="0" w:hanging="0"/>
        <w:rPr>
          <w:rFonts w:ascii="Arial;Helvetica;sans-serif" w:hAnsi="Arial;Helvetica;sans-serif"/>
          <w:sz w:val="20"/>
        </w:rPr>
      </w:pPr>
      <w:r>
        <w:rPr>
          <w:rFonts w:ascii="Arial;Helvetica;sans-serif" w:hAnsi="Arial;Helvetica;sans-serif"/>
          <w:sz w:val="20"/>
        </w:rPr>
        <w:t>Pursuant to the requirements of the Securities Exchange Act of 1934, this Annual Report on Form 10-K has been signed below by the following persons on behalf of the Registrant and in the capacities and on the dates indicated:</w:t>
      </w:r>
    </w:p>
    <w:tbl>
      <w:tblPr>
        <w:tblW w:w="8629" w:type="dxa"/>
        <w:jc w:val="left"/>
        <w:tblInd w:w="0" w:type="dxa"/>
        <w:tblCellMar>
          <w:top w:w="0" w:type="dxa"/>
          <w:left w:w="0" w:type="dxa"/>
          <w:bottom w:w="0" w:type="dxa"/>
          <w:right w:w="0" w:type="dxa"/>
        </w:tblCellMar>
      </w:tblPr>
      <w:tblGrid>
        <w:gridCol w:w="2821"/>
        <w:gridCol w:w="109"/>
        <w:gridCol w:w="3871"/>
        <w:gridCol w:w="109"/>
        <w:gridCol w:w="1456"/>
        <w:gridCol w:w="109"/>
        <w:gridCol w:w="154"/>
      </w:tblGrid>
      <w:tr>
        <w:trPr/>
        <w:tc>
          <w:tcPr>
            <w:tcW w:w="2821" w:type="dxa"/>
            <w:tcBorders/>
            <w:shd w:fill="auto" w:val="clear"/>
            <w:vAlign w:val="center"/>
          </w:tcPr>
          <w:p>
            <w:pPr>
              <w:pStyle w:val="TableContents"/>
              <w:spacing w:before="0" w:after="0"/>
              <w:ind w:left="0" w:right="0" w:hanging="0"/>
              <w:rPr/>
            </w:pPr>
            <w:bookmarkStart w:id="44" w:name="_Hlk130820315"/>
            <w:bookmarkEnd w:id="44"/>
            <w:r>
              <w:rPr/>
              <w:t>​</w:t>
            </w:r>
          </w:p>
        </w:tc>
        <w:tc>
          <w:tcPr>
            <w:tcW w:w="109" w:type="dxa"/>
            <w:tcBorders/>
            <w:shd w:fill="auto" w:val="clear"/>
            <w:vAlign w:val="center"/>
          </w:tcPr>
          <w:p>
            <w:pPr>
              <w:pStyle w:val="TableContents"/>
              <w:spacing w:before="0" w:after="0"/>
              <w:ind w:left="0" w:right="0" w:hanging="0"/>
              <w:rPr/>
            </w:pPr>
            <w:r>
              <w:rPr/>
              <w:t>​</w:t>
            </w:r>
          </w:p>
        </w:tc>
        <w:tc>
          <w:tcPr>
            <w:tcW w:w="38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0"/>
              <w:ind w:left="0" w:right="0" w:hanging="0"/>
              <w:rPr/>
            </w:pPr>
            <w:r>
              <w:rPr/>
              <w:t>​</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821" w:type="dxa"/>
            <w:tcBorders>
              <w:bottom w:val="single" w:sz="2" w:space="0" w:color="000000"/>
            </w:tcBorders>
            <w:shd w:fill="auto" w:val="clear"/>
            <w:tcMar>
              <w:bottom w:w="28" w:type="dxa"/>
            </w:tcMar>
            <w:vAlign w:val="center"/>
          </w:tcPr>
          <w:p>
            <w:pPr>
              <w:pStyle w:val="TableContents"/>
              <w:spacing w:before="0" w:after="120"/>
              <w:ind w:left="0" w:right="0" w:hanging="0"/>
              <w:jc w:val="center"/>
              <w:rPr>
                <w:rFonts w:ascii="Arial;Helvetica;sans-serif" w:hAnsi="Arial;Helvetica;sans-serif"/>
                <w:b/>
                <w:sz w:val="20"/>
              </w:rPr>
            </w:pPr>
            <w:r>
              <w:rPr>
                <w:rFonts w:ascii="Arial;Helvetica;sans-serif" w:hAnsi="Arial;Helvetica;sans-serif"/>
                <w:b/>
                <w:sz w:val="20"/>
              </w:rPr>
              <w:t>SIGNATURE</w:t>
            </w:r>
          </w:p>
        </w:tc>
        <w:tc>
          <w:tcPr>
            <w:tcW w:w="109" w:type="dxa"/>
            <w:tcBorders/>
            <w:shd w:fill="auto" w:val="clear"/>
            <w:vAlign w:val="center"/>
          </w:tcPr>
          <w:p>
            <w:pPr>
              <w:pStyle w:val="TableContents"/>
              <w:spacing w:before="0" w:after="120"/>
              <w:ind w:left="0" w:right="0" w:hanging="0"/>
              <w:jc w:val="center"/>
              <w:rPr/>
            </w:pPr>
            <w:r>
              <w:rPr/>
              <w:t>​</w:t>
            </w:r>
          </w:p>
        </w:tc>
        <w:tc>
          <w:tcPr>
            <w:tcW w:w="3871" w:type="dxa"/>
            <w:tcBorders>
              <w:bottom w:val="single" w:sz="2" w:space="0" w:color="000000"/>
            </w:tcBorders>
            <w:shd w:fill="auto" w:val="clear"/>
            <w:tcMar>
              <w:bottom w:w="28" w:type="dxa"/>
            </w:tcMar>
            <w:vAlign w:val="center"/>
          </w:tcPr>
          <w:p>
            <w:pPr>
              <w:pStyle w:val="TableContents"/>
              <w:spacing w:before="0" w:after="120"/>
              <w:ind w:left="0" w:right="0" w:hanging="0"/>
              <w:jc w:val="center"/>
              <w:rPr>
                <w:rFonts w:ascii="Arial;Helvetica;sans-serif" w:hAnsi="Arial;Helvetica;sans-serif"/>
                <w:b/>
                <w:sz w:val="20"/>
              </w:rPr>
            </w:pPr>
            <w:r>
              <w:rPr>
                <w:rFonts w:ascii="Arial;Helvetica;sans-serif" w:hAnsi="Arial;Helvetica;sans-serif"/>
                <w:b/>
                <w:sz w:val="20"/>
              </w:rPr>
              <w:t>TITLE</w:t>
            </w:r>
          </w:p>
        </w:tc>
        <w:tc>
          <w:tcPr>
            <w:tcW w:w="109" w:type="dxa"/>
            <w:tcBorders/>
            <w:shd w:fill="auto" w:val="clear"/>
            <w:vAlign w:val="center"/>
          </w:tcPr>
          <w:p>
            <w:pPr>
              <w:pStyle w:val="TableContents"/>
              <w:spacing w:before="0" w:after="120"/>
              <w:ind w:left="0" w:right="0" w:hanging="0"/>
              <w:jc w:val="center"/>
              <w:rPr/>
            </w:pPr>
            <w:r>
              <w:rPr/>
              <w:t>​</w:t>
            </w:r>
          </w:p>
        </w:tc>
        <w:tc>
          <w:tcPr>
            <w:tcW w:w="1456" w:type="dxa"/>
            <w:tcBorders>
              <w:bottom w:val="single" w:sz="2" w:space="0" w:color="000000"/>
            </w:tcBorders>
            <w:shd w:fill="auto" w:val="clear"/>
            <w:tcMar>
              <w:bottom w:w="28" w:type="dxa"/>
            </w:tcMar>
            <w:vAlign w:val="center"/>
          </w:tcPr>
          <w:p>
            <w:pPr>
              <w:pStyle w:val="TableContents"/>
              <w:spacing w:before="0" w:after="120"/>
              <w:ind w:left="0" w:right="0" w:hanging="0"/>
              <w:jc w:val="center"/>
              <w:rPr>
                <w:rFonts w:ascii="Arial;Helvetica;sans-serif" w:hAnsi="Arial;Helvetica;sans-serif"/>
                <w:b/>
                <w:sz w:val="20"/>
              </w:rPr>
            </w:pPr>
            <w:r>
              <w:rPr>
                <w:rFonts w:ascii="Arial;Helvetica;sans-serif" w:hAnsi="Arial;Helvetica;sans-serif"/>
                <w:b/>
                <w:sz w:val="20"/>
              </w:rPr>
              <w:t>DATE</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82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871"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456" w:type="dxa"/>
            <w:tcBorders>
              <w:top w:val="single" w:sz="2" w:space="0" w:color="000000"/>
            </w:tcBorders>
            <w:shd w:fill="auto" w:val="clear"/>
            <w:tcMar>
              <w:top w:w="28" w:type="dxa"/>
            </w:tcMar>
            <w:vAlign w:val="center"/>
          </w:tcPr>
          <w:p>
            <w:pPr>
              <w:pStyle w:val="TableContents"/>
              <w:spacing w:before="0" w:after="0"/>
              <w:ind w:left="0" w:right="0" w:hanging="0"/>
              <w:rPr/>
            </w:pPr>
            <w:r>
              <w:rPr/>
              <w:t>​</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82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3871"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1456" w:type="dxa"/>
            <w:tcBorders/>
            <w:shd w:fill="auto" w:val="clear"/>
            <w:vAlign w:val="center"/>
          </w:tcPr>
          <w:p>
            <w:pPr>
              <w:pStyle w:val="TableContents"/>
              <w:spacing w:before="0" w:after="0"/>
              <w:ind w:left="0" w:right="0" w:hanging="0"/>
              <w:rPr/>
            </w:pPr>
            <w:r>
              <w:rPr/>
              <w:t>​</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821" w:type="dxa"/>
            <w:tcBorders>
              <w:bottom w:val="single" w:sz="2" w:space="0" w:color="000000"/>
            </w:tcBorders>
            <w:shd w:fill="auto" w:val="clear"/>
            <w:tcMar>
              <w:bottom w:w="28" w:type="dxa"/>
            </w:tcM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/s/ Raymond Stevens, Ph.D.</w:t>
            </w:r>
          </w:p>
        </w:tc>
        <w:tc>
          <w:tcPr>
            <w:tcW w:w="109" w:type="dxa"/>
            <w:tcBorders/>
            <w:shd w:fill="auto" w:val="clear"/>
            <w:vAlign w:val="center"/>
          </w:tcPr>
          <w:p>
            <w:pPr>
              <w:pStyle w:val="TableContents"/>
              <w:spacing w:before="0" w:after="120"/>
              <w:ind w:left="0" w:right="0" w:hanging="0"/>
              <w:jc w:val="center"/>
              <w:rPr/>
            </w:pPr>
            <w:r>
              <w:rPr/>
              <w:t>​</w:t>
            </w:r>
          </w:p>
        </w:tc>
        <w:tc>
          <w:tcPr>
            <w:tcW w:w="3871" w:type="dxa"/>
            <w:tcBorders/>
            <w:shd w:fill="auto" w:val="cle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Chief Executive Officer and Director</w:t>
            </w:r>
          </w:p>
        </w:tc>
        <w:tc>
          <w:tcPr>
            <w:tcW w:w="109" w:type="dxa"/>
            <w:tcBorders/>
            <w:shd w:fill="auto" w:val="clear"/>
            <w:vAlign w:val="center"/>
          </w:tcPr>
          <w:p>
            <w:pPr>
              <w:pStyle w:val="TableContents"/>
              <w:spacing w:before="0" w:after="120"/>
              <w:ind w:left="0" w:right="0" w:hanging="0"/>
              <w:jc w:val="center"/>
              <w:rPr/>
            </w:pPr>
            <w:r>
              <w:rPr/>
              <w:t>​</w:t>
            </w:r>
          </w:p>
        </w:tc>
        <w:tc>
          <w:tcPr>
            <w:tcW w:w="1456" w:type="dxa"/>
            <w:vMerge w:val="restart"/>
            <w:tcBorders/>
            <w:shd w:fill="auto" w:val="cle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March 30, 2023</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821" w:type="dxa"/>
            <w:tcBorders>
              <w:top w:val="single" w:sz="2" w:space="0" w:color="000000"/>
            </w:tcBorders>
            <w:shd w:fill="auto" w:val="clear"/>
            <w:tcMar>
              <w:top w:w="28" w:type="dxa"/>
            </w:tcM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Raymond Stevens, Ph.D.</w:t>
            </w:r>
          </w:p>
        </w:tc>
        <w:tc>
          <w:tcPr>
            <w:tcW w:w="109" w:type="dxa"/>
            <w:tcBorders/>
            <w:shd w:fill="auto" w:val="clear"/>
            <w:vAlign w:val="center"/>
          </w:tcPr>
          <w:p>
            <w:pPr>
              <w:pStyle w:val="TableContents"/>
              <w:spacing w:before="0" w:after="120"/>
              <w:ind w:left="0" w:right="0" w:hanging="0"/>
              <w:jc w:val="center"/>
              <w:rPr/>
            </w:pPr>
            <w:r>
              <w:rPr/>
              <w:t>​</w:t>
            </w:r>
          </w:p>
        </w:tc>
        <w:tc>
          <w:tcPr>
            <w:tcW w:w="3871" w:type="dxa"/>
            <w:tcBorders/>
            <w:shd w:fill="auto" w:val="clear"/>
            <w:vAlign w:val="center"/>
          </w:tcPr>
          <w:p>
            <w:pPr>
              <w:pStyle w:val="TableContents"/>
              <w:spacing w:before="0" w:after="120"/>
              <w:ind w:left="0" w:right="0" w:hanging="0"/>
              <w:jc w:val="center"/>
              <w:rPr>
                <w:rFonts w:ascii="Arial;Helvetica;sans-serif" w:hAnsi="Arial;Helvetica;sans-serif"/>
                <w:i/>
                <w:sz w:val="20"/>
              </w:rPr>
            </w:pPr>
            <w:r>
              <w:rPr>
                <w:rFonts w:ascii="Arial;Helvetica;sans-serif" w:hAnsi="Arial;Helvetica;sans-serif"/>
                <w:i/>
                <w:sz w:val="20"/>
              </w:rPr>
              <w:t>(Principal Executive Officer)</w:t>
            </w:r>
          </w:p>
        </w:tc>
        <w:tc>
          <w:tcPr>
            <w:tcW w:w="109" w:type="dxa"/>
            <w:tcBorders/>
            <w:shd w:fill="auto" w:val="clear"/>
            <w:vAlign w:val="center"/>
          </w:tcPr>
          <w:p>
            <w:pPr>
              <w:pStyle w:val="TableContents"/>
              <w:spacing w:before="0" w:after="120"/>
              <w:ind w:left="0" w:right="0" w:hanging="0"/>
              <w:jc w:val="center"/>
              <w:rPr/>
            </w:pPr>
            <w:r>
              <w:rPr/>
              <w:t>​</w:t>
            </w:r>
          </w:p>
        </w:tc>
        <w:tc>
          <w:tcPr>
            <w:tcW w:w="1456"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82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87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456" w:type="dxa"/>
            <w:tcBorders/>
            <w:shd w:fill="auto" w:val="clear"/>
            <w:vAlign w:val="center"/>
          </w:tcPr>
          <w:p>
            <w:pPr>
              <w:pStyle w:val="TableContents"/>
              <w:spacing w:before="0" w:after="0"/>
              <w:ind w:left="0" w:right="0" w:hanging="0"/>
              <w:jc w:val="center"/>
              <w:rPr/>
            </w:pPr>
            <w:r>
              <w:rPr/>
              <w:t>​</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821" w:type="dxa"/>
            <w:tcBorders>
              <w:bottom w:val="single" w:sz="2" w:space="0" w:color="000000"/>
            </w:tcBorders>
            <w:shd w:fill="auto" w:val="clear"/>
            <w:tcMar>
              <w:bottom w:w="28" w:type="dxa"/>
            </w:tcM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/s/ Jun Yoon</w:t>
            </w:r>
          </w:p>
        </w:tc>
        <w:tc>
          <w:tcPr>
            <w:tcW w:w="109" w:type="dxa"/>
            <w:tcBorders/>
            <w:shd w:fill="auto" w:val="clear"/>
            <w:vAlign w:val="center"/>
          </w:tcPr>
          <w:p>
            <w:pPr>
              <w:pStyle w:val="TableContents"/>
              <w:spacing w:before="0" w:after="120"/>
              <w:ind w:left="0" w:right="0" w:hanging="0"/>
              <w:jc w:val="center"/>
              <w:rPr/>
            </w:pPr>
            <w:r>
              <w:rPr/>
              <w:t>​</w:t>
            </w:r>
          </w:p>
        </w:tc>
        <w:tc>
          <w:tcPr>
            <w:tcW w:w="3871" w:type="dxa"/>
            <w:tcBorders/>
            <w:shd w:fill="auto" w:val="cle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Chief Financial Officer and Director</w:t>
            </w:r>
          </w:p>
        </w:tc>
        <w:tc>
          <w:tcPr>
            <w:tcW w:w="109" w:type="dxa"/>
            <w:tcBorders/>
            <w:shd w:fill="auto" w:val="clear"/>
            <w:vAlign w:val="center"/>
          </w:tcPr>
          <w:p>
            <w:pPr>
              <w:pStyle w:val="TableContents"/>
              <w:spacing w:before="0" w:after="120"/>
              <w:ind w:left="0" w:right="0" w:hanging="0"/>
              <w:jc w:val="center"/>
              <w:rPr/>
            </w:pPr>
            <w:r>
              <w:rPr/>
              <w:t>​</w:t>
            </w:r>
          </w:p>
        </w:tc>
        <w:tc>
          <w:tcPr>
            <w:tcW w:w="1456" w:type="dxa"/>
            <w:vMerge w:val="restart"/>
            <w:tcBorders/>
            <w:shd w:fill="auto" w:val="cle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March 30, 2023</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821" w:type="dxa"/>
            <w:tcBorders>
              <w:top w:val="single" w:sz="2" w:space="0" w:color="000000"/>
            </w:tcBorders>
            <w:shd w:fill="auto" w:val="clear"/>
            <w:tcMar>
              <w:top w:w="28" w:type="dxa"/>
            </w:tcM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Jun Yoon</w:t>
            </w:r>
          </w:p>
        </w:tc>
        <w:tc>
          <w:tcPr>
            <w:tcW w:w="109" w:type="dxa"/>
            <w:tcBorders/>
            <w:shd w:fill="auto" w:val="clear"/>
            <w:vAlign w:val="center"/>
          </w:tcPr>
          <w:p>
            <w:pPr>
              <w:pStyle w:val="TableContents"/>
              <w:spacing w:before="0" w:after="120"/>
              <w:ind w:left="0" w:right="0" w:hanging="0"/>
              <w:jc w:val="center"/>
              <w:rPr/>
            </w:pPr>
            <w:r>
              <w:rPr/>
              <w:t>​</w:t>
            </w:r>
          </w:p>
        </w:tc>
        <w:tc>
          <w:tcPr>
            <w:tcW w:w="3871" w:type="dxa"/>
            <w:tcBorders/>
            <w:shd w:fill="auto" w:val="clear"/>
            <w:vAlign w:val="center"/>
          </w:tcPr>
          <w:p>
            <w:pPr>
              <w:pStyle w:val="TableContents"/>
              <w:spacing w:before="0" w:after="120"/>
              <w:ind w:left="0" w:right="0" w:hanging="0"/>
              <w:jc w:val="center"/>
              <w:rPr>
                <w:rFonts w:ascii="Arial;Helvetica;sans-serif" w:hAnsi="Arial;Helvetica;sans-serif"/>
                <w:i/>
                <w:sz w:val="20"/>
              </w:rPr>
            </w:pPr>
            <w:r>
              <w:rPr>
                <w:rFonts w:ascii="Arial;Helvetica;sans-serif" w:hAnsi="Arial;Helvetica;sans-serif"/>
                <w:i/>
                <w:sz w:val="20"/>
              </w:rPr>
              <w:t>(Principal Financial and Accounting Officer)</w:t>
            </w:r>
          </w:p>
        </w:tc>
        <w:tc>
          <w:tcPr>
            <w:tcW w:w="109" w:type="dxa"/>
            <w:tcBorders/>
            <w:shd w:fill="auto" w:val="clear"/>
            <w:vAlign w:val="center"/>
          </w:tcPr>
          <w:p>
            <w:pPr>
              <w:pStyle w:val="TableContents"/>
              <w:spacing w:before="0" w:after="120"/>
              <w:ind w:left="0" w:right="0" w:hanging="0"/>
              <w:jc w:val="center"/>
              <w:rPr/>
            </w:pPr>
            <w:r>
              <w:rPr/>
              <w:t>​</w:t>
            </w:r>
          </w:p>
        </w:tc>
        <w:tc>
          <w:tcPr>
            <w:tcW w:w="1456"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82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87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456" w:type="dxa"/>
            <w:tcBorders/>
            <w:shd w:fill="auto" w:val="clear"/>
            <w:vAlign w:val="center"/>
          </w:tcPr>
          <w:p>
            <w:pPr>
              <w:pStyle w:val="TableContents"/>
              <w:spacing w:before="0" w:after="0"/>
              <w:ind w:left="0" w:right="0" w:hanging="0"/>
              <w:jc w:val="center"/>
              <w:rPr/>
            </w:pPr>
            <w:r>
              <w:rPr/>
              <w:t>​</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821" w:type="dxa"/>
            <w:tcBorders>
              <w:bottom w:val="single" w:sz="2" w:space="0" w:color="000000"/>
            </w:tcBorders>
            <w:shd w:fill="auto" w:val="clear"/>
            <w:tcMar>
              <w:bottom w:w="28" w:type="dxa"/>
            </w:tcM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/s/ Daniel Welch</w:t>
            </w:r>
          </w:p>
        </w:tc>
        <w:tc>
          <w:tcPr>
            <w:tcW w:w="109" w:type="dxa"/>
            <w:tcBorders/>
            <w:shd w:fill="auto" w:val="clear"/>
            <w:vAlign w:val="center"/>
          </w:tcPr>
          <w:p>
            <w:pPr>
              <w:pStyle w:val="TableContents"/>
              <w:spacing w:before="0" w:after="120"/>
              <w:ind w:left="0" w:right="0" w:hanging="0"/>
              <w:jc w:val="center"/>
              <w:rPr/>
            </w:pPr>
            <w:r>
              <w:rPr/>
              <w:t>​</w:t>
            </w:r>
          </w:p>
        </w:tc>
        <w:tc>
          <w:tcPr>
            <w:tcW w:w="3871" w:type="dxa"/>
            <w:vMerge w:val="restart"/>
            <w:tcBorders/>
            <w:shd w:fill="auto" w:val="cle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Chairman</w:t>
            </w:r>
          </w:p>
        </w:tc>
        <w:tc>
          <w:tcPr>
            <w:tcW w:w="109" w:type="dxa"/>
            <w:tcBorders/>
            <w:shd w:fill="auto" w:val="clear"/>
            <w:vAlign w:val="center"/>
          </w:tcPr>
          <w:p>
            <w:pPr>
              <w:pStyle w:val="TableContents"/>
              <w:spacing w:before="0" w:after="120"/>
              <w:ind w:left="0" w:right="0" w:hanging="0"/>
              <w:jc w:val="center"/>
              <w:rPr/>
            </w:pPr>
            <w:r>
              <w:rPr/>
              <w:t>​</w:t>
            </w:r>
          </w:p>
        </w:tc>
        <w:tc>
          <w:tcPr>
            <w:tcW w:w="1456" w:type="dxa"/>
            <w:vMerge w:val="restart"/>
            <w:tcBorders/>
            <w:shd w:fill="auto" w:val="cle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March 30, 2023</w:t>
            </w:r>
          </w:p>
        </w:tc>
        <w:tc>
          <w:tcPr>
            <w:tcW w:w="109"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c>
          <w:tcPr>
            <w:tcW w:w="154" w:type="dxa"/>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821" w:type="dxa"/>
            <w:tcBorders>
              <w:top w:val="single" w:sz="2" w:space="0" w:color="000000"/>
            </w:tcBorders>
            <w:shd w:fill="auto" w:val="clear"/>
            <w:tcMar>
              <w:top w:w="28" w:type="dxa"/>
            </w:tcM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Daniel Welch</w:t>
            </w:r>
          </w:p>
        </w:tc>
        <w:tc>
          <w:tcPr>
            <w:tcW w:w="109" w:type="dxa"/>
            <w:tcBorders/>
            <w:shd w:fill="auto" w:val="clear"/>
            <w:vAlign w:val="center"/>
          </w:tcPr>
          <w:p>
            <w:pPr>
              <w:pStyle w:val="TableContents"/>
              <w:spacing w:before="0" w:after="120"/>
              <w:ind w:left="0" w:right="0" w:hanging="0"/>
              <w:jc w:val="center"/>
              <w:rPr/>
            </w:pPr>
            <w:r>
              <w:rPr/>
              <w:t>​</w:t>
            </w:r>
          </w:p>
        </w:tc>
        <w:tc>
          <w:tcPr>
            <w:tcW w:w="387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456"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120"/>
              <w:ind w:left="0" w:right="0" w:hanging="0"/>
              <w:jc w:val="center"/>
              <w:rPr/>
            </w:pPr>
            <w:r>
              <w:rPr/>
              <w:t>​</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282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87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456" w:type="dxa"/>
            <w:tcBorders/>
            <w:shd w:fill="auto" w:val="clear"/>
            <w:vAlign w:val="center"/>
          </w:tcPr>
          <w:p>
            <w:pPr>
              <w:pStyle w:val="TableContents"/>
              <w:spacing w:before="0" w:after="0"/>
              <w:ind w:left="0" w:right="0" w:hanging="0"/>
              <w:jc w:val="center"/>
              <w:rPr/>
            </w:pPr>
            <w:r>
              <w:rPr/>
              <w:t>​</w:t>
            </w:r>
          </w:p>
        </w:tc>
        <w:tc>
          <w:tcPr>
            <w:tcW w:w="263" w:type="dxa"/>
            <w:gridSpan w:val="2"/>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821" w:type="dxa"/>
            <w:tcBorders>
              <w:bottom w:val="single" w:sz="2" w:space="0" w:color="000000"/>
            </w:tcBorders>
            <w:shd w:fill="auto" w:val="clear"/>
            <w:tcMar>
              <w:bottom w:w="28" w:type="dxa"/>
            </w:tcM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/s/ Eric Dobmeier</w:t>
            </w:r>
          </w:p>
        </w:tc>
        <w:tc>
          <w:tcPr>
            <w:tcW w:w="109" w:type="dxa"/>
            <w:tcBorders/>
            <w:shd w:fill="auto" w:val="clear"/>
            <w:vAlign w:val="center"/>
          </w:tcPr>
          <w:p>
            <w:pPr>
              <w:pStyle w:val="TableContents"/>
              <w:spacing w:before="0" w:after="120"/>
              <w:ind w:left="0" w:right="0" w:hanging="0"/>
              <w:jc w:val="center"/>
              <w:rPr/>
            </w:pPr>
            <w:r>
              <w:rPr/>
              <w:t>​</w:t>
            </w:r>
          </w:p>
        </w:tc>
        <w:tc>
          <w:tcPr>
            <w:tcW w:w="3871" w:type="dxa"/>
            <w:vMerge w:val="restart"/>
            <w:tcBorders/>
            <w:shd w:fill="auto" w:val="cle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Director</w:t>
            </w:r>
          </w:p>
        </w:tc>
        <w:tc>
          <w:tcPr>
            <w:tcW w:w="109" w:type="dxa"/>
            <w:tcBorders/>
            <w:shd w:fill="auto" w:val="clear"/>
            <w:vAlign w:val="center"/>
          </w:tcPr>
          <w:p>
            <w:pPr>
              <w:pStyle w:val="TableContents"/>
              <w:spacing w:before="0" w:after="120"/>
              <w:ind w:left="0" w:right="0" w:hanging="0"/>
              <w:jc w:val="center"/>
              <w:rPr/>
            </w:pPr>
            <w:r>
              <w:rPr/>
              <w:t>​</w:t>
            </w:r>
          </w:p>
        </w:tc>
        <w:tc>
          <w:tcPr>
            <w:tcW w:w="1456" w:type="dxa"/>
            <w:vMerge w:val="restart"/>
            <w:tcBorders/>
            <w:shd w:fill="auto" w:val="cle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March 30, 2023</w:t>
            </w:r>
          </w:p>
        </w:tc>
        <w:tc>
          <w:tcPr>
            <w:tcW w:w="263" w:type="dxa"/>
            <w:gridSpan w:val="2"/>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821" w:type="dxa"/>
            <w:tcBorders>
              <w:top w:val="single" w:sz="2" w:space="0" w:color="000000"/>
            </w:tcBorders>
            <w:shd w:fill="auto" w:val="clear"/>
            <w:tcMar>
              <w:top w:w="28" w:type="dxa"/>
            </w:tcM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Eric Dobmeier</w:t>
            </w:r>
          </w:p>
        </w:tc>
        <w:tc>
          <w:tcPr>
            <w:tcW w:w="109" w:type="dxa"/>
            <w:tcBorders/>
            <w:shd w:fill="auto" w:val="clear"/>
            <w:vAlign w:val="center"/>
          </w:tcPr>
          <w:p>
            <w:pPr>
              <w:pStyle w:val="TableContents"/>
              <w:spacing w:before="0" w:after="120"/>
              <w:ind w:left="0" w:right="0" w:hanging="0"/>
              <w:jc w:val="center"/>
              <w:rPr/>
            </w:pPr>
            <w:r>
              <w:rPr/>
              <w:t>​</w:t>
            </w:r>
          </w:p>
        </w:tc>
        <w:tc>
          <w:tcPr>
            <w:tcW w:w="387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456"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120"/>
              <w:ind w:left="0" w:right="0" w:hanging="0"/>
              <w:jc w:val="center"/>
              <w:rPr/>
            </w:pPr>
            <w:r>
              <w:rPr/>
              <w:t>​</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282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87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456" w:type="dxa"/>
            <w:tcBorders/>
            <w:shd w:fill="auto" w:val="clear"/>
            <w:vAlign w:val="center"/>
          </w:tcPr>
          <w:p>
            <w:pPr>
              <w:pStyle w:val="TableContents"/>
              <w:spacing w:before="0" w:after="0"/>
              <w:ind w:left="0" w:right="0" w:hanging="0"/>
              <w:jc w:val="center"/>
              <w:rPr/>
            </w:pPr>
            <w:r>
              <w:rPr/>
              <w:t>​</w:t>
            </w:r>
          </w:p>
        </w:tc>
        <w:tc>
          <w:tcPr>
            <w:tcW w:w="263" w:type="dxa"/>
            <w:gridSpan w:val="2"/>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821" w:type="dxa"/>
            <w:tcBorders>
              <w:bottom w:val="single" w:sz="2" w:space="0" w:color="000000"/>
            </w:tcBorders>
            <w:shd w:fill="auto" w:val="clear"/>
            <w:tcMar>
              <w:bottom w:w="28" w:type="dxa"/>
            </w:tcM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/s/ Ramy Farid, Ph.D.</w:t>
            </w:r>
          </w:p>
        </w:tc>
        <w:tc>
          <w:tcPr>
            <w:tcW w:w="109" w:type="dxa"/>
            <w:tcBorders/>
            <w:shd w:fill="auto" w:val="clear"/>
            <w:vAlign w:val="center"/>
          </w:tcPr>
          <w:p>
            <w:pPr>
              <w:pStyle w:val="TableContents"/>
              <w:spacing w:before="0" w:after="120"/>
              <w:ind w:left="0" w:right="0" w:hanging="0"/>
              <w:jc w:val="center"/>
              <w:rPr/>
            </w:pPr>
            <w:r>
              <w:rPr/>
              <w:t>​</w:t>
            </w:r>
          </w:p>
        </w:tc>
        <w:tc>
          <w:tcPr>
            <w:tcW w:w="3871" w:type="dxa"/>
            <w:vMerge w:val="restart"/>
            <w:tcBorders/>
            <w:shd w:fill="auto" w:val="cle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Director</w:t>
            </w:r>
          </w:p>
        </w:tc>
        <w:tc>
          <w:tcPr>
            <w:tcW w:w="109" w:type="dxa"/>
            <w:tcBorders/>
            <w:shd w:fill="auto" w:val="clear"/>
            <w:vAlign w:val="center"/>
          </w:tcPr>
          <w:p>
            <w:pPr>
              <w:pStyle w:val="TableContents"/>
              <w:spacing w:before="0" w:after="120"/>
              <w:ind w:left="0" w:right="0" w:hanging="0"/>
              <w:jc w:val="center"/>
              <w:rPr/>
            </w:pPr>
            <w:r>
              <w:rPr/>
              <w:t>​</w:t>
            </w:r>
          </w:p>
        </w:tc>
        <w:tc>
          <w:tcPr>
            <w:tcW w:w="1456" w:type="dxa"/>
            <w:vMerge w:val="restart"/>
            <w:tcBorders/>
            <w:shd w:fill="auto" w:val="cle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March 30, 2023</w:t>
            </w:r>
          </w:p>
        </w:tc>
        <w:tc>
          <w:tcPr>
            <w:tcW w:w="263" w:type="dxa"/>
            <w:gridSpan w:val="2"/>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821" w:type="dxa"/>
            <w:tcBorders>
              <w:top w:val="single" w:sz="2" w:space="0" w:color="000000"/>
            </w:tcBorders>
            <w:shd w:fill="auto" w:val="clear"/>
            <w:tcMar>
              <w:top w:w="28" w:type="dxa"/>
            </w:tcM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Ramy Farid, Ph.D.</w:t>
            </w:r>
          </w:p>
        </w:tc>
        <w:tc>
          <w:tcPr>
            <w:tcW w:w="109" w:type="dxa"/>
            <w:tcBorders/>
            <w:shd w:fill="auto" w:val="clear"/>
            <w:vAlign w:val="center"/>
          </w:tcPr>
          <w:p>
            <w:pPr>
              <w:pStyle w:val="TableContents"/>
              <w:spacing w:before="0" w:after="120"/>
              <w:ind w:left="0" w:right="0" w:hanging="0"/>
              <w:jc w:val="center"/>
              <w:rPr/>
            </w:pPr>
            <w:r>
              <w:rPr/>
              <w:t>​</w:t>
            </w:r>
          </w:p>
        </w:tc>
        <w:tc>
          <w:tcPr>
            <w:tcW w:w="387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456"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120"/>
              <w:ind w:left="0" w:right="0" w:hanging="0"/>
              <w:jc w:val="center"/>
              <w:rPr/>
            </w:pPr>
            <w:r>
              <w:rPr/>
              <w:t>​</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282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87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456" w:type="dxa"/>
            <w:tcBorders/>
            <w:shd w:fill="auto" w:val="clear"/>
            <w:vAlign w:val="center"/>
          </w:tcPr>
          <w:p>
            <w:pPr>
              <w:pStyle w:val="TableContents"/>
              <w:spacing w:before="0" w:after="0"/>
              <w:ind w:left="0" w:right="0" w:hanging="0"/>
              <w:jc w:val="center"/>
              <w:rPr/>
            </w:pPr>
            <w:r>
              <w:rPr/>
              <w:t>​</w:t>
            </w:r>
          </w:p>
        </w:tc>
        <w:tc>
          <w:tcPr>
            <w:tcW w:w="263" w:type="dxa"/>
            <w:gridSpan w:val="2"/>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821" w:type="dxa"/>
            <w:tcBorders>
              <w:bottom w:val="single" w:sz="2" w:space="0" w:color="000000"/>
            </w:tcBorders>
            <w:shd w:fill="auto" w:val="clear"/>
            <w:tcMar>
              <w:bottom w:w="28" w:type="dxa"/>
            </w:tcM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/s/ Sharon Tetlow</w:t>
            </w:r>
          </w:p>
        </w:tc>
        <w:tc>
          <w:tcPr>
            <w:tcW w:w="109" w:type="dxa"/>
            <w:tcBorders/>
            <w:shd w:fill="auto" w:val="clear"/>
            <w:vAlign w:val="center"/>
          </w:tcPr>
          <w:p>
            <w:pPr>
              <w:pStyle w:val="TableContents"/>
              <w:spacing w:before="0" w:after="120"/>
              <w:ind w:left="0" w:right="0" w:hanging="0"/>
              <w:jc w:val="center"/>
              <w:rPr/>
            </w:pPr>
            <w:r>
              <w:rPr/>
              <w:t>​</w:t>
            </w:r>
          </w:p>
        </w:tc>
        <w:tc>
          <w:tcPr>
            <w:tcW w:w="3871" w:type="dxa"/>
            <w:vMerge w:val="restart"/>
            <w:tcBorders/>
            <w:shd w:fill="auto" w:val="cle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Director</w:t>
            </w:r>
          </w:p>
        </w:tc>
        <w:tc>
          <w:tcPr>
            <w:tcW w:w="109" w:type="dxa"/>
            <w:tcBorders/>
            <w:shd w:fill="auto" w:val="clear"/>
            <w:vAlign w:val="center"/>
          </w:tcPr>
          <w:p>
            <w:pPr>
              <w:pStyle w:val="TableContents"/>
              <w:spacing w:before="0" w:after="120"/>
              <w:ind w:left="0" w:right="0" w:hanging="0"/>
              <w:jc w:val="center"/>
              <w:rPr/>
            </w:pPr>
            <w:r>
              <w:rPr/>
              <w:t>​</w:t>
            </w:r>
          </w:p>
        </w:tc>
        <w:tc>
          <w:tcPr>
            <w:tcW w:w="1456" w:type="dxa"/>
            <w:vMerge w:val="restart"/>
            <w:tcBorders/>
            <w:shd w:fill="auto" w:val="cle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March 30, 2023</w:t>
            </w:r>
          </w:p>
        </w:tc>
        <w:tc>
          <w:tcPr>
            <w:tcW w:w="263" w:type="dxa"/>
            <w:gridSpan w:val="2"/>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821" w:type="dxa"/>
            <w:tcBorders>
              <w:top w:val="single" w:sz="2" w:space="0" w:color="000000"/>
            </w:tcBorders>
            <w:shd w:fill="auto" w:val="clear"/>
            <w:tcMar>
              <w:top w:w="28" w:type="dxa"/>
            </w:tcM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Sharon Tetlow</w:t>
            </w:r>
          </w:p>
        </w:tc>
        <w:tc>
          <w:tcPr>
            <w:tcW w:w="109" w:type="dxa"/>
            <w:tcBorders/>
            <w:shd w:fill="auto" w:val="clear"/>
            <w:vAlign w:val="center"/>
          </w:tcPr>
          <w:p>
            <w:pPr>
              <w:pStyle w:val="TableContents"/>
              <w:spacing w:before="0" w:after="120"/>
              <w:ind w:left="0" w:right="0" w:hanging="0"/>
              <w:jc w:val="center"/>
              <w:rPr/>
            </w:pPr>
            <w:r>
              <w:rPr/>
              <w:t>​</w:t>
            </w:r>
          </w:p>
        </w:tc>
        <w:tc>
          <w:tcPr>
            <w:tcW w:w="387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456"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120"/>
              <w:ind w:left="0" w:right="0" w:hanging="0"/>
              <w:jc w:val="center"/>
              <w:rPr/>
            </w:pPr>
            <w:r>
              <w:rPr/>
              <w:t>​</w:t>
            </w:r>
          </w:p>
        </w:tc>
        <w:tc>
          <w:tcPr>
            <w:tcW w:w="154" w:type="dxa"/>
            <w:tcBorders/>
            <w:shd w:fill="auto" w:val="clear"/>
            <w:vAlign w:val="center"/>
          </w:tcPr>
          <w:p>
            <w:pPr>
              <w:pStyle w:val="TableContents"/>
              <w:spacing w:before="0" w:after="283"/>
              <w:ind w:left="0" w:right="0" w:hanging="0"/>
              <w:rPr>
                <w:sz w:val="4"/>
                <w:szCs w:val="4"/>
              </w:rPr>
            </w:pPr>
            <w:r>
              <w:rPr>
                <w:sz w:val="4"/>
                <w:szCs w:val="4"/>
              </w:rPr>
            </w:r>
          </w:p>
        </w:tc>
      </w:tr>
      <w:tr>
        <w:trPr/>
        <w:tc>
          <w:tcPr>
            <w:tcW w:w="282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3871" w:type="dxa"/>
            <w:tcBorders/>
            <w:shd w:fill="auto" w:val="clear"/>
            <w:vAlign w:val="center"/>
          </w:tcPr>
          <w:p>
            <w:pPr>
              <w:pStyle w:val="TableContents"/>
              <w:spacing w:before="0" w:after="0"/>
              <w:ind w:left="0" w:right="0" w:hanging="0"/>
              <w:jc w:val="center"/>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1456" w:type="dxa"/>
            <w:tcBorders/>
            <w:shd w:fill="auto" w:val="clear"/>
            <w:vAlign w:val="center"/>
          </w:tcPr>
          <w:p>
            <w:pPr>
              <w:pStyle w:val="TableContents"/>
              <w:spacing w:before="0" w:after="0"/>
              <w:ind w:left="0" w:right="0" w:hanging="0"/>
              <w:jc w:val="center"/>
              <w:rPr/>
            </w:pPr>
            <w:r>
              <w:rPr/>
              <w:t>​</w:t>
            </w:r>
          </w:p>
        </w:tc>
        <w:tc>
          <w:tcPr>
            <w:tcW w:w="263" w:type="dxa"/>
            <w:gridSpan w:val="2"/>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821" w:type="dxa"/>
            <w:tcBorders>
              <w:bottom w:val="single" w:sz="2" w:space="0" w:color="000000"/>
            </w:tcBorders>
            <w:shd w:fill="auto" w:val="clear"/>
            <w:tcMar>
              <w:bottom w:w="28" w:type="dxa"/>
            </w:tcM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/s/ Joanne Waldstreicher, M.D.</w:t>
            </w:r>
          </w:p>
        </w:tc>
        <w:tc>
          <w:tcPr>
            <w:tcW w:w="109" w:type="dxa"/>
            <w:tcBorders/>
            <w:shd w:fill="auto" w:val="clear"/>
            <w:vAlign w:val="center"/>
          </w:tcPr>
          <w:p>
            <w:pPr>
              <w:pStyle w:val="TableContents"/>
              <w:spacing w:before="0" w:after="120"/>
              <w:ind w:left="0" w:right="0" w:hanging="0"/>
              <w:jc w:val="center"/>
              <w:rPr/>
            </w:pPr>
            <w:r>
              <w:rPr/>
              <w:t>​</w:t>
            </w:r>
          </w:p>
        </w:tc>
        <w:tc>
          <w:tcPr>
            <w:tcW w:w="3871" w:type="dxa"/>
            <w:vMerge w:val="restart"/>
            <w:tcBorders/>
            <w:shd w:fill="auto" w:val="cle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Director</w:t>
            </w:r>
          </w:p>
        </w:tc>
        <w:tc>
          <w:tcPr>
            <w:tcW w:w="109" w:type="dxa"/>
            <w:tcBorders/>
            <w:shd w:fill="auto" w:val="clear"/>
            <w:vAlign w:val="center"/>
          </w:tcPr>
          <w:p>
            <w:pPr>
              <w:pStyle w:val="TableContents"/>
              <w:spacing w:before="0" w:after="120"/>
              <w:ind w:left="0" w:right="0" w:hanging="0"/>
              <w:jc w:val="center"/>
              <w:rPr/>
            </w:pPr>
            <w:r>
              <w:rPr/>
              <w:t>​</w:t>
            </w:r>
          </w:p>
        </w:tc>
        <w:tc>
          <w:tcPr>
            <w:tcW w:w="1456" w:type="dxa"/>
            <w:vMerge w:val="restart"/>
            <w:tcBorders/>
            <w:shd w:fill="auto" w:val="cle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March 30, 2023</w:t>
            </w:r>
          </w:p>
        </w:tc>
        <w:tc>
          <w:tcPr>
            <w:tcW w:w="263" w:type="dxa"/>
            <w:gridSpan w:val="2"/>
            <w:tcBorders/>
            <w:shd w:fill="auto" w:val="clear"/>
            <w:tcMar>
              <w:top w:w="28" w:type="dxa"/>
              <w:left w:w="28" w:type="dxa"/>
              <w:bottom w:w="28" w:type="dxa"/>
              <w:right w:w="28" w:type="dxa"/>
            </w:tcMar>
          </w:tcPr>
          <w:p>
            <w:pPr>
              <w:pStyle w:val="TableContents"/>
              <w:spacing w:before="0" w:after="283"/>
              <w:rPr>
                <w:sz w:val="4"/>
                <w:szCs w:val="4"/>
              </w:rPr>
            </w:pPr>
            <w:r>
              <w:rPr>
                <w:sz w:val="4"/>
                <w:szCs w:val="4"/>
              </w:rPr>
            </w:r>
          </w:p>
        </w:tc>
      </w:tr>
      <w:tr>
        <w:trPr/>
        <w:tc>
          <w:tcPr>
            <w:tcW w:w="2821" w:type="dxa"/>
            <w:tcBorders>
              <w:top w:val="single" w:sz="2" w:space="0" w:color="000000"/>
            </w:tcBorders>
            <w:shd w:fill="auto" w:val="clear"/>
            <w:tcMar>
              <w:top w:w="28" w:type="dxa"/>
            </w:tcMar>
            <w:vAlign w:val="center"/>
          </w:tcPr>
          <w:p>
            <w:pPr>
              <w:pStyle w:val="TableContents"/>
              <w:spacing w:before="0" w:after="120"/>
              <w:ind w:left="0" w:right="0" w:hanging="0"/>
              <w:jc w:val="center"/>
              <w:rPr>
                <w:rFonts w:ascii="Arial;Helvetica;sans-serif" w:hAnsi="Arial;Helvetica;sans-serif"/>
                <w:sz w:val="20"/>
              </w:rPr>
            </w:pPr>
            <w:r>
              <w:rPr>
                <w:rFonts w:ascii="Arial;Helvetica;sans-serif" w:hAnsi="Arial;Helvetica;sans-serif"/>
                <w:sz w:val="20"/>
              </w:rPr>
              <w:t>Joanne Waldstreicher, M.D.</w:t>
            </w:r>
          </w:p>
        </w:tc>
        <w:tc>
          <w:tcPr>
            <w:tcW w:w="109" w:type="dxa"/>
            <w:tcBorders/>
            <w:shd w:fill="auto" w:val="clear"/>
            <w:vAlign w:val="center"/>
          </w:tcPr>
          <w:p>
            <w:pPr>
              <w:pStyle w:val="TableContents"/>
              <w:spacing w:before="0" w:after="120"/>
              <w:ind w:left="0" w:right="0" w:hanging="0"/>
              <w:jc w:val="center"/>
              <w:rPr/>
            </w:pPr>
            <w:r>
              <w:rPr/>
              <w:t>​</w:t>
            </w:r>
          </w:p>
        </w:tc>
        <w:tc>
          <w:tcPr>
            <w:tcW w:w="3871"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ind w:left="0" w:right="0" w:hanging="0"/>
              <w:rPr>
                <w:sz w:val="4"/>
                <w:szCs w:val="4"/>
              </w:rPr>
            </w:pPr>
            <w:r>
              <w:rPr>
                <w:sz w:val="4"/>
                <w:szCs w:val="4"/>
              </w:rPr>
            </w:r>
          </w:p>
        </w:tc>
        <w:tc>
          <w:tcPr>
            <w:tcW w:w="1456"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120"/>
              <w:ind w:left="0" w:right="0" w:hanging="0"/>
              <w:jc w:val="center"/>
              <w:rPr/>
            </w:pPr>
            <w:r>
              <w:rPr/>
              <w:t>​</w:t>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w:t>
      </w:r>
    </w:p>
    <w:p>
      <w:pPr>
        <w:pStyle w:val="TextBody"/>
        <w:spacing w:before="480" w:after="0"/>
        <w:ind w:left="0" w:right="0" w:hanging="0"/>
        <w:jc w:val="center"/>
        <w:rPr>
          <w:rFonts w:ascii="Arial;Helvetica;sans-serif" w:hAnsi="Arial;Helvetica;sans-serif"/>
          <w:caps/>
          <w:sz w:val="20"/>
        </w:rPr>
      </w:pPr>
      <w:r>
        <w:rPr>
          <w:rFonts w:ascii="Arial;Helvetica;sans-serif" w:hAnsi="Arial;Helvetica;sans-serif"/>
          <w:caps/>
          <w:sz w:val="20"/>
        </w:rPr>
        <w:t>237</w:t>
      </w:r>
    </w:p>
    <w:p>
      <w:pPr>
        <w:pStyle w:val="HorizontalLine"/>
        <w:rPr/>
      </w:pPr>
      <w:r>
        <w:rPr/>
      </w:r>
      <w:r>
        <w:br w:type="page"/>
      </w:r>
    </w:p>
    <w:p>
      <w:pPr>
        <w:pStyle w:val="TextBody"/>
        <w:spacing w:before="0" w:after="240"/>
        <w:ind w:left="0" w:right="0" w:hanging="0"/>
        <w:jc w:val="right"/>
        <w:rPr>
          <w:rFonts w:ascii="Times New Roman;Times;serif" w:hAnsi="Times New Roman;Times;serif"/>
          <w:b/>
          <w:sz w:val="20"/>
        </w:rPr>
      </w:pPr>
      <w:bookmarkStart w:id="45" w:name="_mps705156240000000000000004054000000000"/>
      <w:bookmarkStart w:id="46" w:name="gpcr-20221231xex4d5.htm"/>
      <w:bookmarkStart w:id="47" w:name="ksgpcr20221231xex4d5"/>
      <w:bookmarkEnd w:id="45"/>
      <w:bookmarkEnd w:id="46"/>
      <w:bookmarkEnd w:id="47"/>
      <w:r>
        <w:rPr>
          <w:rFonts w:ascii="Times New Roman;Times;serif" w:hAnsi="Times New Roman;Times;serif"/>
          <w:b/>
          <w:sz w:val="20"/>
        </w:rPr>
        <w:t>Exhibit 4.5</w:t>
      </w:r>
    </w:p>
    <w:p>
      <w:pPr>
        <w:pStyle w:val="TextBody"/>
        <w:spacing w:before="0" w:after="0"/>
        <w:ind w:left="0" w:right="0" w:hanging="0"/>
        <w:rPr>
          <w:highlight w:val="white"/>
        </w:rPr>
      </w:pPr>
      <w:r>
        <w:rPr>
          <w:highlight w:val="white"/>
        </w:rPr>
        <w:t>​</w:t>
      </w:r>
    </w:p>
    <w:p>
      <w:pPr>
        <w:pStyle w:val="TextBody"/>
        <w:spacing w:before="0" w:after="240"/>
        <w:ind w:left="0" w:right="0" w:hanging="0"/>
        <w:jc w:val="center"/>
        <w:rPr>
          <w:rFonts w:ascii="Times New Roman;Times;serif" w:hAnsi="Times New Roman;Times;serif"/>
          <w:b/>
          <w:sz w:val="20"/>
          <w:highlight w:val="white"/>
        </w:rPr>
      </w:pPr>
      <w:r>
        <w:rPr>
          <w:rFonts w:ascii="Times New Roman;Times;serif" w:hAnsi="Times New Roman;Times;serif"/>
          <w:b/>
          <w:sz w:val="20"/>
          <w:highlight w:val="white"/>
        </w:rPr>
        <w:t xml:space="preserve">DESCRIPTION OF SECURITIES </w:t>
        <w:br/>
        <w:t xml:space="preserve">REGISTERED UNDER SECTION 12 OF THE EXCHANGE ACT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Structure Therapeutics Inc., or “we,” “us,” and “our,” had the following series of securities registered pursuant to Section 12(b) of the Securities Exchange Act, as amended (the “Exchange Act”): </w:t>
      </w:r>
    </w:p>
    <w:tbl>
      <w:tblPr>
        <w:tblW w:w="10205" w:type="dxa"/>
        <w:jc w:val="left"/>
        <w:tblInd w:w="0" w:type="dxa"/>
        <w:tblCellMar>
          <w:top w:w="0" w:type="dxa"/>
          <w:left w:w="0" w:type="dxa"/>
          <w:bottom w:w="0" w:type="dxa"/>
          <w:right w:w="0" w:type="dxa"/>
        </w:tblCellMar>
      </w:tblPr>
      <w:tblGrid>
        <w:gridCol w:w="5682"/>
        <w:gridCol w:w="109"/>
        <w:gridCol w:w="1414"/>
        <w:gridCol w:w="109"/>
        <w:gridCol w:w="2891"/>
      </w:tblGrid>
      <w:tr>
        <w:trPr/>
        <w:tc>
          <w:tcPr>
            <w:tcW w:w="56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4">
                      <wp:simplePos x="0" y="0"/>
                      <wp:positionH relativeFrom="character">
                        <wp:align>left</wp:align>
                      </wp:positionH>
                      <wp:positionV relativeFrom="line">
                        <wp:posOffset>635</wp:posOffset>
                      </wp:positionV>
                      <wp:extent cx="3608070" cy="29210"/>
                      <wp:effectExtent l="0" t="0" r="0" b="0"/>
                      <wp:wrapNone/>
                      <wp:docPr id="1303" name="Frame1261"/>
                      <a:graphic xmlns:a="http://schemas.openxmlformats.org/drawingml/2006/main">
                        <a:graphicData uri="http://schemas.microsoft.com/office/word/2010/wordprocessingShape">
                          <wps:wsp>
                            <wps:cNvSpPr txBox="1"/>
                            <wps:spPr>
                              <a:xfrm>
                                <a:off x="0" y="0"/>
                                <a:ext cx="360807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5">
                      <wp:simplePos x="0" y="0"/>
                      <wp:positionH relativeFrom="character">
                        <wp:align>left</wp:align>
                      </wp:positionH>
                      <wp:positionV relativeFrom="line">
                        <wp:posOffset>635</wp:posOffset>
                      </wp:positionV>
                      <wp:extent cx="69215" cy="175260"/>
                      <wp:effectExtent l="0" t="0" r="0" b="0"/>
                      <wp:wrapNone/>
                      <wp:docPr id="1304" name="Frame126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4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6">
                      <wp:simplePos x="0" y="0"/>
                      <wp:positionH relativeFrom="character">
                        <wp:align>left</wp:align>
                      </wp:positionH>
                      <wp:positionV relativeFrom="line">
                        <wp:posOffset>635</wp:posOffset>
                      </wp:positionV>
                      <wp:extent cx="897890" cy="29210"/>
                      <wp:effectExtent l="0" t="0" r="0" b="0"/>
                      <wp:wrapNone/>
                      <wp:docPr id="1305" name="Frame1263"/>
                      <a:graphic xmlns:a="http://schemas.openxmlformats.org/drawingml/2006/main">
                        <a:graphicData uri="http://schemas.microsoft.com/office/word/2010/wordprocessingShape">
                          <wps:wsp>
                            <wps:cNvSpPr txBox="1"/>
                            <wps:spPr>
                              <a:xfrm>
                                <a:off x="0" y="0"/>
                                <a:ext cx="89789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7">
                      <wp:simplePos x="0" y="0"/>
                      <wp:positionH relativeFrom="character">
                        <wp:align>left</wp:align>
                      </wp:positionH>
                      <wp:positionV relativeFrom="line">
                        <wp:posOffset>635</wp:posOffset>
                      </wp:positionV>
                      <wp:extent cx="69215" cy="175260"/>
                      <wp:effectExtent l="0" t="0" r="0" b="0"/>
                      <wp:wrapNone/>
                      <wp:docPr id="1306" name="Frame126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8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8">
                      <wp:simplePos x="0" y="0"/>
                      <wp:positionH relativeFrom="character">
                        <wp:align>left</wp:align>
                      </wp:positionH>
                      <wp:positionV relativeFrom="line">
                        <wp:posOffset>635</wp:posOffset>
                      </wp:positionV>
                      <wp:extent cx="1835785" cy="29210"/>
                      <wp:effectExtent l="0" t="0" r="0" b="0"/>
                      <wp:wrapNone/>
                      <wp:docPr id="1307" name="Frame1265"/>
                      <a:graphic xmlns:a="http://schemas.openxmlformats.org/drawingml/2006/main">
                        <a:graphicData uri="http://schemas.microsoft.com/office/word/2010/wordprocessingShape">
                          <wps:wsp>
                            <wps:cNvSpPr txBox="1"/>
                            <wps:spPr>
                              <a:xfrm>
                                <a:off x="0" y="0"/>
                                <a:ext cx="18357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5682"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09" w:type="dxa"/>
            <w:tcBorders>
              <w:bottom w:val="single" w:sz="2" w:space="0" w:color="000000"/>
            </w:tcBorders>
            <w:shd w:fill="auto" w:val="clear"/>
            <w:tcMar>
              <w:bottom w:w="28" w:type="dxa"/>
            </w:tcMar>
            <w:vAlign w:val="center"/>
          </w:tcPr>
          <w:p>
            <w:pPr>
              <w:pStyle w:val="TableContents"/>
              <w:spacing w:before="0" w:after="240"/>
              <w:ind w:left="0" w:right="0" w:hanging="0"/>
              <w:jc w:val="center"/>
              <w:rPr/>
            </w:pPr>
            <w:r>
              <w:rPr/>
              <w:t>​</w:t>
            </w:r>
          </w:p>
        </w:tc>
        <w:tc>
          <w:tcPr>
            <w:tcW w:w="141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109" w:type="dxa"/>
            <w:tcBorders>
              <w:bottom w:val="single" w:sz="2" w:space="0" w:color="000000"/>
            </w:tcBorders>
            <w:shd w:fill="auto" w:val="clear"/>
            <w:tcMar>
              <w:bottom w:w="28" w:type="dxa"/>
            </w:tcMar>
            <w:vAlign w:val="center"/>
          </w:tcPr>
          <w:p>
            <w:pPr>
              <w:pStyle w:val="TableContents"/>
              <w:spacing w:before="0" w:after="240"/>
              <w:ind w:left="0" w:right="0" w:hanging="0"/>
              <w:jc w:val="center"/>
              <w:rPr/>
            </w:pPr>
            <w:r>
              <w:rPr/>
              <w:t>​</w:t>
            </w:r>
          </w:p>
        </w:tc>
        <w:tc>
          <w:tcPr>
            <w:tcW w:w="28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5682"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American Depositary Shares (ADSs), each representing three ordinary shares, par value $0.0001 per ordinary share</w:t>
            </w:r>
          </w:p>
        </w:tc>
        <w:tc>
          <w:tcPr>
            <w:tcW w:w="109" w:type="dxa"/>
            <w:tcBorders/>
            <w:shd w:fill="auto" w:val="clear"/>
            <w:vAlign w:val="center"/>
          </w:tcPr>
          <w:p>
            <w:pPr>
              <w:pStyle w:val="TableContents"/>
              <w:spacing w:before="0" w:after="240"/>
              <w:ind w:left="0" w:right="0" w:hanging="0"/>
              <w:jc w:val="center"/>
              <w:rPr/>
            </w:pPr>
            <w:r>
              <w:rPr/>
              <w:t>​</w:t>
            </w:r>
          </w:p>
        </w:tc>
        <w:tc>
          <w:tcPr>
            <w:tcW w:w="1414"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GPCR</w:t>
            </w:r>
          </w:p>
        </w:tc>
        <w:tc>
          <w:tcPr>
            <w:tcW w:w="109" w:type="dxa"/>
            <w:tcBorders/>
            <w:shd w:fill="auto" w:val="clear"/>
            <w:vAlign w:val="center"/>
          </w:tcPr>
          <w:p>
            <w:pPr>
              <w:pStyle w:val="TableContents"/>
              <w:spacing w:before="0" w:after="240"/>
              <w:ind w:left="0" w:right="0" w:hanging="0"/>
              <w:jc w:val="center"/>
              <w:rPr/>
            </w:pPr>
            <w:r>
              <w:rPr/>
              <w:t>​</w:t>
            </w:r>
          </w:p>
        </w:tc>
        <w:tc>
          <w:tcPr>
            <w:tcW w:w="289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Nasdaq Global Market</w:t>
            </w:r>
          </w:p>
          <w:p>
            <w:pPr>
              <w:pStyle w:val="TableContents"/>
              <w:spacing w:before="0" w:after="240"/>
              <w:ind w:left="0" w:right="0" w:hanging="0"/>
              <w:jc w:val="center"/>
              <w:rPr/>
            </w:pPr>
            <w:r>
              <w:rPr/>
              <w:t>​</w:t>
            </w:r>
          </w:p>
        </w:tc>
      </w:tr>
      <w:tr>
        <w:trPr/>
        <w:tc>
          <w:tcPr>
            <w:tcW w:w="5682"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Ordinary shares, par value $0.0001 per share*</w:t>
            </w:r>
          </w:p>
        </w:tc>
        <w:tc>
          <w:tcPr>
            <w:tcW w:w="109" w:type="dxa"/>
            <w:tcBorders/>
            <w:shd w:fill="auto" w:val="clear"/>
            <w:vAlign w:val="center"/>
          </w:tcPr>
          <w:p>
            <w:pPr>
              <w:pStyle w:val="TableContents"/>
              <w:spacing w:before="0" w:after="240"/>
              <w:ind w:left="0" w:right="0" w:hanging="0"/>
              <w:jc w:val="center"/>
              <w:rPr/>
            </w:pPr>
            <w:r>
              <w:rPr/>
              <w:t>​</w:t>
            </w:r>
          </w:p>
        </w:tc>
        <w:tc>
          <w:tcPr>
            <w:tcW w:w="1414" w:type="dxa"/>
            <w:tcBorders/>
            <w:shd w:fill="auto" w:val="clear"/>
            <w:vAlign w:val="center"/>
          </w:tcPr>
          <w:p>
            <w:pPr>
              <w:pStyle w:val="TableContents"/>
              <w:spacing w:before="0" w:after="240"/>
              <w:ind w:left="0" w:right="0" w:hanging="0"/>
              <w:jc w:val="center"/>
              <w:rPr/>
            </w:pPr>
            <w:r>
              <w:rPr/>
              <w:t>​</w:t>
            </w:r>
          </w:p>
        </w:tc>
        <w:tc>
          <w:tcPr>
            <w:tcW w:w="109" w:type="dxa"/>
            <w:tcBorders/>
            <w:shd w:fill="auto" w:val="clear"/>
            <w:vAlign w:val="center"/>
          </w:tcPr>
          <w:p>
            <w:pPr>
              <w:pStyle w:val="TableContents"/>
              <w:spacing w:before="0" w:after="240"/>
              <w:ind w:left="0" w:right="0" w:hanging="0"/>
              <w:jc w:val="center"/>
              <w:rPr/>
            </w:pPr>
            <w:r>
              <w:rPr/>
              <w:t>​</w:t>
            </w:r>
          </w:p>
        </w:tc>
        <w:tc>
          <w:tcPr>
            <w:tcW w:w="289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Nasdaq Global Market*</w:t>
            </w:r>
          </w:p>
        </w:tc>
      </w:tr>
    </w:tbl>
    <w:p>
      <w:pPr>
        <w:pStyle w:val="TextBody"/>
        <w:spacing w:before="0" w:after="0"/>
        <w:ind w:left="0" w:right="0" w:hanging="0"/>
        <w:rPr>
          <w:highlight w:val="white"/>
        </w:rPr>
      </w:pPr>
      <w:r>
        <w:rPr>
          <w:highlight w:val="white"/>
        </w:rPr>
        <w:t>​</w:t>
      </w:r>
    </w:p>
    <w:tbl>
      <w:tblPr>
        <w:tblW w:w="7855" w:type="dxa"/>
        <w:jc w:val="left"/>
        <w:tblInd w:w="0" w:type="dxa"/>
        <w:tblCellMar>
          <w:top w:w="0" w:type="dxa"/>
          <w:left w:w="0" w:type="dxa"/>
          <w:bottom w:w="0" w:type="dxa"/>
          <w:right w:w="0" w:type="dxa"/>
        </w:tblCellMar>
      </w:tblPr>
      <w:tblGrid>
        <w:gridCol w:w="170"/>
        <w:gridCol w:w="7685"/>
      </w:tblGrid>
      <w:tr>
        <w:trPr/>
        <w:tc>
          <w:tcPr>
            <w:tcW w:w="170"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 xml:space="preserve">* </w:t>
            </w:r>
          </w:p>
        </w:tc>
        <w:tc>
          <w:tcPr>
            <w:tcW w:w="7685"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Not for trading, but only in connection with the registration of the American Depositary Shares</w:t>
            </w:r>
          </w:p>
        </w:tc>
      </w:tr>
    </w:tbl>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American Depositary Shares (“ADSs”), each representing three ordinary shares, par value $0.0001 per ordinary share (the “shares” or “ordinary shares”), have been available in the U.S. through an American Depositary Receipt (“ADR”) program since February 2, 2023. This program was established pursuant to the deposit agreement that we entered into with JPMorgan Chase Bank, N.A. (“JPMorgan”) as depositary, or “Deposit Agreement.” Our ADSs have been listed on Nasdaq Global Market (“Nasdaq”) since February 2023 and are traded under the symbol “GPCR”. In connection with this listing (but not for trading), the shares are registered under Section 12(b) of the Exchange Act. This exhibit contains a description of the rights of (i) the holders of ordinary shares and (ii) ADR holders. Shares underlying the ADSs are held by JPMorgan, the depositary, and holders of ADSs will not be treated as holders of the shares.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The following summary is subject to and qualified in its entirety by our amended and restated memorandum and articles of association and by the Companies Act (as amended) of the Cayman Islands (the “Companies Act”) and by the common law of the Cayman Islands. This is not a summary of all the significant provisions of the Articles, the Companies Act or the common law of the Cayman Islands and does not purport to be complete. Capitalized terms used but not defined herein have the meanings given to them in our registration statement on Form S-1/A and in the Deposit Agreement, which is an exhibit to our registration statement on Form S-1/A filed with the Securities and Exchange Commission, or “SEC,” on January 30, 2023. </w:t>
      </w:r>
    </w:p>
    <w:p>
      <w:pPr>
        <w:pStyle w:val="TextBody"/>
        <w:spacing w:before="0" w:after="240"/>
        <w:ind w:left="0" w:right="0" w:hanging="0"/>
        <w:jc w:val="center"/>
        <w:rPr>
          <w:rFonts w:ascii="Times New Roman;Times;serif" w:hAnsi="Times New Roman;Times;serif"/>
          <w:b/>
          <w:caps/>
          <w:sz w:val="20"/>
          <w:highlight w:val="white"/>
        </w:rPr>
      </w:pPr>
      <w:r>
        <w:rPr>
          <w:rFonts w:ascii="Times New Roman;Times;serif" w:hAnsi="Times New Roman;Times;serif"/>
          <w:b/>
          <w:caps/>
          <w:sz w:val="20"/>
          <w:highlight w:val="white"/>
        </w:rPr>
        <w:t xml:space="preserve">DESCRIPTION OF ORDINARY SHARES </w:t>
      </w:r>
    </w:p>
    <w:p>
      <w:pPr>
        <w:pStyle w:val="TextBody"/>
        <w:spacing w:before="0" w:after="240"/>
        <w:ind w:left="0" w:right="0" w:hanging="0"/>
        <w:jc w:val="both"/>
        <w:rPr>
          <w:rFonts w:ascii="Times New Roman;Times;serif" w:hAnsi="Times New Roman;Times;serif"/>
          <w:b/>
          <w:sz w:val="20"/>
          <w:highlight w:val="white"/>
        </w:rPr>
      </w:pPr>
      <w:r>
        <w:rPr>
          <w:rFonts w:ascii="Times New Roman;Times;serif" w:hAnsi="Times New Roman;Times;serif"/>
          <w:b/>
          <w:sz w:val="20"/>
          <w:highlight w:val="white"/>
        </w:rPr>
        <w:t>General</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We are a Cayman Islands exempted company incorporated with limited liability and our affairs are governed by our amended and restated memorandum and articles of association, the Companies Act and the common law of the Cayman Islands.</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Our authorized share capital is $60,000 divided into (i) 500,000,000 ordinary shares, par value $0.0001 each and (ii) 100,000,000 shares, par value $0.0001 each of such class or classes (however designated) as our board of directors may determine in accordance with Article 9 of our articles of association.</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Ordinary Shares.</w:t>
      </w:r>
      <w:r>
        <w:rPr>
          <w:rFonts w:ascii="Times New Roman;Times;serif" w:hAnsi="Times New Roman;Times;serif"/>
          <w:sz w:val="20"/>
          <w:highlight w:val="white"/>
        </w:rPr>
        <w:t xml:space="preserve"> Our ordinary shares are issued in registered form and are issued when registered in our register of members. We may not issue shares to bearer. Our shareholders who are nonresidents of the Cayman Islands may freely hold and vote their shares.</w:t>
      </w:r>
      <w:r>
        <w:rPr>
          <w:rFonts w:ascii="Times New Roman;Times;serif" w:hAnsi="Times New Roman;Times;serif"/>
          <w:spacing w:val="4"/>
          <w:sz w:val="20"/>
          <w:highlight w:val="white"/>
        </w:rPr>
        <w:t> </w:t>
      </w:r>
    </w:p>
    <w:p>
      <w:pPr>
        <w:pStyle w:val="TextBody"/>
        <w:spacing w:before="0" w:after="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Dividends.</w:t>
      </w:r>
      <w:r>
        <w:rPr>
          <w:rFonts w:ascii="Times New Roman;Times;serif" w:hAnsi="Times New Roman;Times;serif"/>
          <w:sz w:val="20"/>
          <w:highlight w:val="white"/>
        </w:rPr>
        <w:t xml:space="preserve"> The holders of our ordinary shares are entitled to such dividends as may be declared by our board of directors. In addition, our shareholders may declare dividends by ordinary resolution, but no dividend shall exceed the amount recommended by our directors. Our amended memorandum and restated articles of association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we may pay a dividend out of either profit or the credit standing in our share premium account, provided that in no circumstances may a dividend be paid if this </w:t>
      </w:r>
    </w:p>
    <w:p>
      <w:pPr>
        <w:pStyle w:val="TextBody"/>
        <w:spacing w:before="0" w:after="0"/>
        <w:ind w:left="0" w:right="0" w:hanging="0"/>
        <w:jc w:val="center"/>
        <w:rPr>
          <w:rFonts w:ascii="Times New Roman;Times;serif" w:hAnsi="Times New Roman;Times;serif"/>
          <w:sz w:val="20"/>
        </w:rPr>
      </w:pPr>
      <w:bookmarkStart w:id="48" w:name="_mps182360890000000000000004054000000000"/>
      <w:bookmarkEnd w:id="48"/>
      <w:r>
        <w:rPr>
          <w:rFonts w:ascii="Times New Roman;Times;serif" w:hAnsi="Times New Roman;Times;serif"/>
          <w:sz w:val="20"/>
        </w:rPr>
        <w:t>1</w:t>
      </w:r>
    </w:p>
    <w:p>
      <w:pPr>
        <w:pStyle w:val="HorizontalLine"/>
        <w:rPr/>
      </w:pPr>
      <w:r>
        <w:rPr/>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would result in our inability to pay our debts as they fall due in the ordinary course of business immediately following the date on which the distribution or dividend is paid.</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Voting Rights.</w:t>
      </w:r>
      <w:r>
        <w:rPr>
          <w:rFonts w:ascii="Times New Roman;Times;serif" w:hAnsi="Times New Roman;Times;serif"/>
          <w:sz w:val="20"/>
          <w:highlight w:val="white"/>
        </w:rPr>
        <w:t xml:space="preserve"> Holders of our ordinary shares are entitled to one vote per share. Voting at any shareholders’ meeting is by show of hands unless a poll is demanded (before or on the declaration of the result of the show of hands). A poll may be demanded by the chairman of such meeting or any one or more shareholders who together hold not less than 10% of the votes attaching to the total ordinary shares which are present in person or by proxy at the meeting.</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issued and outstanding ordinary shares at a meeting. A special resolution will be required for important matters such as a change of name or making changes to our amended and restated memorandum and articles of association. Holders of the ordinary shares may, among other things, divide or combine their shares by ordinary resolution.</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General Meetings of Shareholders</w:t>
      </w:r>
      <w:r>
        <w:rPr>
          <w:rFonts w:ascii="Times New Roman;Times;serif" w:hAnsi="Times New Roman;Times;serif"/>
          <w:sz w:val="20"/>
          <w:highlight w:val="white"/>
        </w:rPr>
        <w:t>. Shareholders’ general meetings may be convened by a majority of our board of directors. Advance notice of at least 10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all of our shares in issue and entitled to vote.</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Companies Act provides shareholders with only limited rights to requisition a general meeting, and does not provide shareholders with any right to put any proposal before a general meeting. However, these rights may be provided in a company’s articles of association. Our amended and restated memorandum and articles of association provide that upon the requisition of shareholders representing in aggregate not less than one-third of the votes attaching to the issued and outstanding shares of our company entitled to vote at general meetings, our board of directors will convene an extraordinary general meeting and put the resolutions so requisitioned to a vote at such meeting. Shareholders seeking to bring business before the annual general meeting or to nominate candidates for election to our board of directors at the annual general meeting are required to deliver notice not later than the 90th day nor earlier than the 120th day prior to the scheduled date of the annual general meeting.</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Transfer of Ordinary Shares.</w:t>
      </w:r>
      <w:r>
        <w:rPr>
          <w:rFonts w:ascii="Times New Roman;Times;serif" w:hAnsi="Times New Roman;Times;serif"/>
          <w:sz w:val="20"/>
          <w:highlight w:val="white"/>
        </w:rPr>
        <w:t xml:space="preserve"> Subject to the restrictions set out below, any of our shareholders may transfer all or any of such shareholder’s ordinary shares by an instrument of transfer in the usual or common form or any other form approved by our board of directors.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Our board of directors may, in its absolute discretion, decline to register any transfer of any ordinary share which is not fully paid up or on which we have a lien. Our board of directors may also decline to register any transfer of any ordinary share unless:</w:t>
      </w:r>
      <w:r>
        <w:rPr>
          <w:rFonts w:ascii="Times New Roman;Times;serif" w:hAnsi="Times New Roman;Times;serif"/>
          <w:spacing w:val="4"/>
          <w:sz w:val="20"/>
          <w:highlight w:val="white"/>
        </w:rPr>
        <w:t> </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of directors may reasonably require to show the right of the transferor to make the transfer;</w:t>
            </w:r>
            <w:r>
              <w:rPr>
                <w:caps w:val="false"/>
                <w:smallCaps w:val="false"/>
                <w:spacing w:val="4"/>
              </w:rPr>
              <w:t> </w:t>
            </w:r>
          </w:p>
        </w:tc>
      </w:tr>
    </w:tbl>
    <w:tbl>
      <w:tblPr>
        <w:tblW w:w="6258" w:type="dxa"/>
        <w:jc w:val="left"/>
        <w:tblInd w:w="0" w:type="dxa"/>
        <w:tblCellMar>
          <w:top w:w="0" w:type="dxa"/>
          <w:left w:w="0" w:type="dxa"/>
          <w:bottom w:w="0" w:type="dxa"/>
          <w:right w:w="0" w:type="dxa"/>
        </w:tblCellMar>
      </w:tblPr>
      <w:tblGrid>
        <w:gridCol w:w="23"/>
        <w:gridCol w:w="170"/>
        <w:gridCol w:w="60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065"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the instrument of transfer is in respect of only one class of ordinary shares;</w:t>
            </w:r>
            <w:r>
              <w:rPr>
                <w:caps w:val="false"/>
                <w:smallCaps w:val="false"/>
                <w:spacing w:val="4"/>
              </w:rPr>
              <w:t> </w:t>
            </w:r>
          </w:p>
        </w:tc>
      </w:tr>
    </w:tbl>
    <w:tbl>
      <w:tblPr>
        <w:tblW w:w="4923" w:type="dxa"/>
        <w:jc w:val="left"/>
        <w:tblInd w:w="0" w:type="dxa"/>
        <w:tblCellMar>
          <w:top w:w="0" w:type="dxa"/>
          <w:left w:w="0" w:type="dxa"/>
          <w:bottom w:w="0" w:type="dxa"/>
          <w:right w:w="0" w:type="dxa"/>
        </w:tblCellMar>
      </w:tblPr>
      <w:tblGrid>
        <w:gridCol w:w="23"/>
        <w:gridCol w:w="170"/>
        <w:gridCol w:w="47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730"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the instrument of transfer is properly stamped, if required;</w:t>
            </w:r>
            <w:r>
              <w:rPr>
                <w:caps w:val="false"/>
                <w:smallCaps w:val="false"/>
                <w:spacing w:val="4"/>
              </w:rPr>
              <w: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 and</w:t>
            </w:r>
            <w:r>
              <w:rPr>
                <w:caps w:val="false"/>
                <w:smallCaps w:val="false"/>
                <w:spacing w:val="4"/>
              </w:rPr>
              <w: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a fee of such maximum sum as Nasdaq may determine to be payable or such lesser sum as our directors may from time to time require is paid to us in respect thereof.</w:t>
            </w:r>
            <w:r>
              <w:rPr>
                <w:caps w:val="false"/>
                <w:smallCaps w:val="false"/>
                <w:spacing w:val="4"/>
              </w:rPr>
              <w:t> </w:t>
            </w:r>
          </w:p>
        </w:tc>
      </w:tr>
    </w:tbl>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If our directors refuse to register a transfer they shall, within three months after the date on which the instrument of transfer was lodged, send to each of the transferor and the transferee notice of such refusal.</w:t>
      </w:r>
      <w:r>
        <w:rPr>
          <w:rFonts w:ascii="Times New Roman;Times;serif" w:hAnsi="Times New Roman;Times;serif"/>
          <w:spacing w:val="4"/>
          <w:sz w:val="20"/>
          <w:highlight w:val="white"/>
        </w:rPr>
        <w:t> </w:t>
      </w:r>
    </w:p>
    <w:p>
      <w:pPr>
        <w:pStyle w:val="TextBody"/>
        <w:spacing w:before="0" w:after="0"/>
        <w:ind w:left="0" w:right="0" w:hanging="0"/>
        <w:jc w:val="center"/>
        <w:rPr>
          <w:rFonts w:ascii="Times New Roman;Times;serif" w:hAnsi="Times New Roman;Times;serif"/>
          <w:sz w:val="20"/>
        </w:rPr>
      </w:pPr>
      <w:bookmarkStart w:id="49" w:name="_mps304427940000000000000004054000000000"/>
      <w:bookmarkEnd w:id="49"/>
      <w:r>
        <w:rPr>
          <w:rFonts w:ascii="Times New Roman;Times;serif" w:hAnsi="Times New Roman;Times;serif"/>
          <w:sz w:val="20"/>
        </w:rPr>
        <w:t>2</w:t>
      </w:r>
    </w:p>
    <w:p>
      <w:pPr>
        <w:pStyle w:val="HorizontalLine"/>
        <w:rPr/>
      </w:pPr>
      <w:r>
        <w:rPr/>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The registration of transfers may, after compliance with any notice required of Nasdaq, be suspended and the register closed at such times and for such periods as our board of directors may from time to time determine, provided, however, that the registration of transfers shall not be suspended nor the register closed for more than 30 days in any year.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Liquidation.</w:t>
      </w:r>
      <w:r>
        <w:rPr>
          <w:rFonts w:ascii="Times New Roman;Times;serif" w:hAnsi="Times New Roman;Times;serif"/>
          <w:sz w:val="20"/>
          <w:highlight w:val="white"/>
        </w:rPr>
        <w:t xml:space="preserve"> 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Calls on Shares and Forfeiture of Shares.</w:t>
      </w:r>
      <w:r>
        <w:rPr>
          <w:rFonts w:ascii="Times New Roman;Times;serif" w:hAnsi="Times New Roman;Times;serif"/>
          <w:sz w:val="20"/>
          <w:highlight w:val="white"/>
        </w:rPr>
        <w:t xml:space="preserve"> 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Redemption, Repurchase and Surrender of Shares.</w:t>
      </w:r>
      <w:r>
        <w:rPr>
          <w:rFonts w:ascii="Times New Roman;Times;serif" w:hAnsi="Times New Roman;Times;serif"/>
          <w:sz w:val="20"/>
          <w:highlight w:val="white"/>
        </w:rPr>
        <w:t xml:space="preserve"> Our ordinary shares are not subject to redemption provisions. We may issue shares on terms that such shares are subject to redemption, at our option or at the option of the holders of these shares, on such terms and in such manner as may be determined by our board of directors. We may also repurchase any of our shares on such terms and in such manner as have been approved by our board of directors or by an ordinary resolution of our shareholders. Under the Companies Act, the redemption or repurchase of any share may be paid out of our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(i) unless it is fully paid up, (ii) if such redemption or repurchase would result in there being no shares issued and outstanding or (iii) if the company has commenced liquidation. In addition, our company may accept the surrender of any fully paid share for no consideration.</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Variations of Rights of Shares.</w:t>
      </w:r>
      <w:r>
        <w:rPr>
          <w:rFonts w:ascii="Times New Roman;Times;serif" w:hAnsi="Times New Roman;Times;serif"/>
          <w:sz w:val="20"/>
          <w:highlight w:val="white"/>
        </w:rPr>
        <w:t xml:space="preserve"> 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two-thirds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Issuance of Additional Shares.</w:t>
      </w:r>
      <w:r>
        <w:rPr>
          <w:rFonts w:ascii="Times New Roman;Times;serif" w:hAnsi="Times New Roman;Times;serif"/>
          <w:sz w:val="20"/>
          <w:highlight w:val="white"/>
        </w:rPr>
        <w:t xml:space="preserve"> Our amended and restated memorandum of association authorizes our board of directors to issue additional ordinary shares from time to time as our board of directors shall determine, to the extent of available authorized but unissued shares.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Our amended and restated memorandum of association also authorizes our board of directors to establish from time to time one or more series of preferred shares and to determine, with respect to any series of preferred shares, the terms and rights of that series, including:</w:t>
      </w:r>
      <w:r>
        <w:rPr>
          <w:rFonts w:ascii="Times New Roman;Times;serif" w:hAnsi="Times New Roman;Times;serif"/>
          <w:spacing w:val="4"/>
          <w:sz w:val="20"/>
          <w:highlight w:val="white"/>
        </w:rPr>
        <w:t> </w:t>
      </w:r>
    </w:p>
    <w:tbl>
      <w:tblPr>
        <w:tblW w:w="2583" w:type="dxa"/>
        <w:jc w:val="left"/>
        <w:tblInd w:w="0" w:type="dxa"/>
        <w:tblCellMar>
          <w:top w:w="0" w:type="dxa"/>
          <w:left w:w="0" w:type="dxa"/>
          <w:bottom w:w="0" w:type="dxa"/>
          <w:right w:w="0" w:type="dxa"/>
        </w:tblCellMar>
      </w:tblPr>
      <w:tblGrid>
        <w:gridCol w:w="23"/>
        <w:gridCol w:w="170"/>
        <w:gridCol w:w="239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3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series; </w:t>
            </w:r>
          </w:p>
        </w:tc>
      </w:tr>
    </w:tbl>
    <w:tbl>
      <w:tblPr>
        <w:tblW w:w="2988" w:type="dxa"/>
        <w:jc w:val="left"/>
        <w:tblInd w:w="0" w:type="dxa"/>
        <w:tblCellMar>
          <w:top w:w="0" w:type="dxa"/>
          <w:left w:w="0" w:type="dxa"/>
          <w:bottom w:w="0" w:type="dxa"/>
          <w:right w:w="0" w:type="dxa"/>
        </w:tblCellMar>
      </w:tblPr>
      <w:tblGrid>
        <w:gridCol w:w="23"/>
        <w:gridCol w:w="170"/>
        <w:gridCol w:w="279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7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series; </w:t>
            </w:r>
          </w:p>
        </w:tc>
      </w:tr>
    </w:tbl>
    <w:tbl>
      <w:tblPr>
        <w:tblW w:w="5748" w:type="dxa"/>
        <w:jc w:val="left"/>
        <w:tblInd w:w="0" w:type="dxa"/>
        <w:tblCellMar>
          <w:top w:w="0" w:type="dxa"/>
          <w:left w:w="0" w:type="dxa"/>
          <w:bottom w:w="0" w:type="dxa"/>
          <w:right w:w="0" w:type="dxa"/>
        </w:tblCellMar>
      </w:tblPr>
      <w:tblGrid>
        <w:gridCol w:w="23"/>
        <w:gridCol w:w="170"/>
        <w:gridCol w:w="55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5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rights, dividend rates, conversion rights, voting rights; </w:t>
            </w:r>
          </w:p>
        </w:tc>
      </w:tr>
    </w:tbl>
    <w:tbl>
      <w:tblPr>
        <w:tblW w:w="5703" w:type="dxa"/>
        <w:jc w:val="left"/>
        <w:tblInd w:w="0" w:type="dxa"/>
        <w:tblCellMar>
          <w:top w:w="0" w:type="dxa"/>
          <w:left w:w="0" w:type="dxa"/>
          <w:bottom w:w="0" w:type="dxa"/>
          <w:right w:w="0" w:type="dxa"/>
        </w:tblCellMar>
      </w:tblPr>
      <w:tblGrid>
        <w:gridCol w:w="23"/>
        <w:gridCol w:w="170"/>
        <w:gridCol w:w="55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5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terms of redemption and liquidation preferences; and </w:t>
            </w:r>
          </w:p>
        </w:tc>
      </w:tr>
    </w:tbl>
    <w:tbl>
      <w:tblPr>
        <w:tblW w:w="7548" w:type="dxa"/>
        <w:jc w:val="left"/>
        <w:tblInd w:w="0" w:type="dxa"/>
        <w:tblCellMar>
          <w:top w:w="0" w:type="dxa"/>
          <w:left w:w="0" w:type="dxa"/>
          <w:bottom w:w="0" w:type="dxa"/>
          <w:right w:w="0" w:type="dxa"/>
        </w:tblCellMar>
      </w:tblPr>
      <w:tblGrid>
        <w:gridCol w:w="23"/>
        <w:gridCol w:w="170"/>
        <w:gridCol w:w="73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35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powers, preferences and relative, participating, optional and other special rights. </w:t>
            </w:r>
          </w:p>
        </w:tc>
      </w:tr>
    </w:tbl>
    <w:p>
      <w:pPr>
        <w:pStyle w:val="TextBody"/>
        <w:spacing w:before="0" w:after="0"/>
        <w:ind w:left="0" w:right="0" w:hanging="0"/>
        <w:jc w:val="center"/>
        <w:rPr>
          <w:rFonts w:ascii="Times New Roman;Times;serif" w:hAnsi="Times New Roman;Times;serif"/>
          <w:sz w:val="20"/>
        </w:rPr>
      </w:pPr>
      <w:bookmarkStart w:id="50" w:name="_mps304427940000000000000004054000000000"/>
      <w:bookmarkEnd w:id="50"/>
      <w:r>
        <w:rPr>
          <w:rFonts w:ascii="Times New Roman;Times;serif" w:hAnsi="Times New Roman;Times;serif"/>
          <w:sz w:val="20"/>
        </w:rPr>
        <w:t>3</w:t>
      </w:r>
    </w:p>
    <w:p>
      <w:pPr>
        <w:pStyle w:val="HorizontalLine"/>
        <w:rPr/>
      </w:pPr>
      <w:r>
        <w:rPr/>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Our board of directors may issue preferred shares without action by our shareholders to the extent authorized but unissued. Issuance of these shares may dilute the voting power of holders of ordinary shares.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Inspection of Books and Records.</w:t>
      </w:r>
      <w:r>
        <w:rPr>
          <w:rFonts w:ascii="Times New Roman;Times;serif" w:hAnsi="Times New Roman;Times;serif"/>
          <w:sz w:val="20"/>
          <w:highlight w:val="white"/>
        </w:rPr>
        <w:t xml:space="preserve"> Holders of our ordinary shares will have no general right under Cayman Islands law to inspect or obtain copies of our corporate records (except for the memorandum and articles of association of our company, any special resolutions passed by our company and the register of mortgages and charges of our company). However, we will provide our shareholders with annual audited consolidated financial statements. See Part I. Item 1. “Business – Available Information”</w:t>
      </w:r>
      <w:r>
        <w:rPr>
          <w:rFonts w:ascii="Times New Roman;Times;serif" w:hAnsi="Times New Roman;Times;serif"/>
          <w:spacing w:val="4"/>
          <w:sz w:val="20"/>
          <w:highlight w:val="white"/>
        </w:rPr>
        <w:t xml:space="preserve"> in our Annual Report on Form 10-K filed with the Securities and Exchange Commission.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Anti-Takeover Provisions.</w:t>
      </w:r>
      <w:r>
        <w:rPr>
          <w:rFonts w:ascii="Times New Roman;Times;serif" w:hAnsi="Times New Roman;Times;serif"/>
          <w:sz w:val="20"/>
          <w:highlight w:val="white"/>
        </w:rPr>
        <w:t xml:space="preserve"> Some provisions of our amended and restated memorandum and articles of association may discourage, delay or prevent a change of control of our company or management that shareholders may consider favorable, including provisions that:</w:t>
      </w:r>
      <w:r>
        <w:rPr>
          <w:rFonts w:ascii="Times New Roman;Times;serif" w:hAnsi="Times New Roman;Times;serif"/>
          <w:spacing w:val="4"/>
          <w:sz w:val="20"/>
          <w:highlight w:val="white"/>
        </w:rPr>
        <w:t> </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issue preferred shares in one or more series and to designate the price, rights, preferences, privileges and restrictions of such preferred shares without any further vote or action by our shareholders; and </w:t>
            </w:r>
          </w:p>
        </w:tc>
      </w:tr>
    </w:tbl>
    <w:tbl>
      <w:tblPr>
        <w:tblW w:w="7773" w:type="dxa"/>
        <w:jc w:val="left"/>
        <w:tblInd w:w="0" w:type="dxa"/>
        <w:tblCellMar>
          <w:top w:w="0" w:type="dxa"/>
          <w:left w:w="0" w:type="dxa"/>
          <w:bottom w:w="0" w:type="dxa"/>
          <w:right w:w="0" w:type="dxa"/>
        </w:tblCellMar>
      </w:tblPr>
      <w:tblGrid>
        <w:gridCol w:w="23"/>
        <w:gridCol w:w="170"/>
        <w:gridCol w:w="75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5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ability of shareholders to requisition and convene general meetings of shareholders. </w:t>
            </w:r>
          </w:p>
        </w:tc>
      </w:tr>
    </w:tbl>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However, under Cayman Islands law, our directors may only exercise the rights and powers granted to them under our amended and restated memorandum and articles of association for a proper purpose and for what they believe in good faith to be in the best interests of our company.</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Exempted Company.</w:t>
      </w:r>
      <w:r>
        <w:rPr>
          <w:rFonts w:ascii="Times New Roman;Times;serif" w:hAnsi="Times New Roman;Times;serif"/>
          <w:sz w:val="20"/>
          <w:highlight w:val="white"/>
        </w:rPr>
        <w:t xml:space="preserve">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r>
        <w:rPr>
          <w:rFonts w:ascii="Times New Roman;Times;serif" w:hAnsi="Times New Roman;Times;serif"/>
          <w:spacing w:val="4"/>
          <w:sz w:val="20"/>
          <w:highlight w:val="white"/>
        </w:rPr>
        <w:t> </w:t>
      </w:r>
    </w:p>
    <w:tbl>
      <w:tblPr>
        <w:tblW w:w="7503" w:type="dxa"/>
        <w:jc w:val="left"/>
        <w:tblInd w:w="0" w:type="dxa"/>
        <w:tblCellMar>
          <w:top w:w="0" w:type="dxa"/>
          <w:left w:w="0" w:type="dxa"/>
          <w:bottom w:w="0" w:type="dxa"/>
          <w:right w:w="0" w:type="dxa"/>
        </w:tblCellMar>
      </w:tblPr>
      <w:tblGrid>
        <w:gridCol w:w="23"/>
        <w:gridCol w:w="170"/>
        <w:gridCol w:w="731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3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 </w:t>
            </w:r>
          </w:p>
        </w:tc>
      </w:tr>
    </w:tbl>
    <w:tbl>
      <w:tblPr>
        <w:tblW w:w="5178" w:type="dxa"/>
        <w:jc w:val="left"/>
        <w:tblInd w:w="0" w:type="dxa"/>
        <w:tblCellMar>
          <w:top w:w="0" w:type="dxa"/>
          <w:left w:w="0" w:type="dxa"/>
          <w:bottom w:w="0" w:type="dxa"/>
          <w:right w:w="0" w:type="dxa"/>
        </w:tblCellMar>
      </w:tblPr>
      <w:tblGrid>
        <w:gridCol w:w="23"/>
        <w:gridCol w:w="170"/>
        <w:gridCol w:w="49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9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 </w:t>
            </w:r>
          </w:p>
        </w:tc>
      </w:tr>
    </w:tbl>
    <w:tbl>
      <w:tblPr>
        <w:tblW w:w="4263" w:type="dxa"/>
        <w:jc w:val="left"/>
        <w:tblInd w:w="0" w:type="dxa"/>
        <w:tblCellMar>
          <w:top w:w="0" w:type="dxa"/>
          <w:left w:w="0" w:type="dxa"/>
          <w:bottom w:w="0" w:type="dxa"/>
          <w:right w:w="0" w:type="dxa"/>
        </w:tblCellMar>
      </w:tblPr>
      <w:tblGrid>
        <w:gridCol w:w="23"/>
        <w:gridCol w:w="170"/>
        <w:gridCol w:w="407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0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usually given for 20 years in the first instance); </w:t>
            </w:r>
          </w:p>
        </w:tc>
      </w:tr>
    </w:tbl>
    <w:tbl>
      <w:tblPr>
        <w:tblW w:w="8568" w:type="dxa"/>
        <w:jc w:val="left"/>
        <w:tblInd w:w="0" w:type="dxa"/>
        <w:tblCellMar>
          <w:top w:w="0" w:type="dxa"/>
          <w:left w:w="0" w:type="dxa"/>
          <w:bottom w:w="0" w:type="dxa"/>
          <w:right w:w="0" w:type="dxa"/>
        </w:tblCellMar>
      </w:tblPr>
      <w:tblGrid>
        <w:gridCol w:w="23"/>
        <w:gridCol w:w="170"/>
        <w:gridCol w:w="837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37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 </w:t>
            </w:r>
          </w:p>
        </w:tc>
      </w:tr>
    </w:tbl>
    <w:tbl>
      <w:tblPr>
        <w:tblW w:w="4158" w:type="dxa"/>
        <w:jc w:val="left"/>
        <w:tblInd w:w="0" w:type="dxa"/>
        <w:tblCellMar>
          <w:top w:w="0" w:type="dxa"/>
          <w:left w:w="0" w:type="dxa"/>
          <w:bottom w:w="0" w:type="dxa"/>
          <w:right w:w="0" w:type="dxa"/>
        </w:tblCellMar>
      </w:tblPr>
      <w:tblGrid>
        <w:gridCol w:w="23"/>
        <w:gridCol w:w="170"/>
        <w:gridCol w:w="39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9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 </w:t>
            </w:r>
          </w:p>
        </w:tc>
      </w:tr>
    </w:tbl>
    <w:tbl>
      <w:tblPr>
        <w:tblW w:w="4113" w:type="dxa"/>
        <w:jc w:val="left"/>
        <w:tblInd w:w="0" w:type="dxa"/>
        <w:tblCellMar>
          <w:top w:w="0" w:type="dxa"/>
          <w:left w:w="0" w:type="dxa"/>
          <w:bottom w:w="0" w:type="dxa"/>
          <w:right w:w="0" w:type="dxa"/>
        </w:tblCellMar>
      </w:tblPr>
      <w:tblGrid>
        <w:gridCol w:w="23"/>
        <w:gridCol w:w="170"/>
        <w:gridCol w:w="39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9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 </w:t>
            </w:r>
          </w:p>
        </w:tc>
      </w:tr>
    </w:tbl>
    <w:p>
      <w:pPr>
        <w:pStyle w:val="TextBody"/>
        <w:spacing w:before="0" w:after="240"/>
        <w:ind w:left="0" w:right="0" w:hanging="0"/>
        <w:jc w:val="both"/>
        <w:rPr>
          <w:highlight w:val="white"/>
        </w:rPr>
      </w:pPr>
      <w:r>
        <w:rPr>
          <w:highlight w:val="white"/>
        </w:rPr>
        <w:t>“</w:t>
      </w:r>
      <w:r>
        <w:rPr>
          <w:rFonts w:ascii="Times New Roman;Times;serif" w:hAnsi="Times New Roman;Times;serif"/>
          <w:sz w:val="20"/>
          <w:highlight w:val="white"/>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b/>
          <w:sz w:val="20"/>
          <w:highlight w:val="white"/>
        </w:rPr>
      </w:pPr>
      <w:r>
        <w:rPr>
          <w:rFonts w:ascii="Times New Roman;Times;serif" w:hAnsi="Times New Roman;Times;serif"/>
          <w:b/>
          <w:sz w:val="20"/>
          <w:highlight w:val="white"/>
        </w:rPr>
        <w:t>Differences in Corporate Law</w:t>
      </w:r>
      <w:r>
        <w:rPr>
          <w:rFonts w:ascii="Times New Roman;Times;serif" w:hAnsi="Times New Roman;Times;serif"/>
          <w:b/>
          <w:spacing w:val="4"/>
          <w:sz w:val="20"/>
          <w:highlight w:val="white"/>
        </w:rPr>
        <w:t> </w:t>
      </w:r>
    </w:p>
    <w:p>
      <w:pPr>
        <w:pStyle w:val="TextBody"/>
        <w:spacing w:before="0" w:after="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w:t>
      </w:r>
    </w:p>
    <w:p>
      <w:pPr>
        <w:pStyle w:val="TextBody"/>
        <w:spacing w:before="0" w:after="0"/>
        <w:ind w:left="0" w:right="0" w:hanging="0"/>
        <w:jc w:val="center"/>
        <w:rPr>
          <w:rFonts w:ascii="Times New Roman;Times;serif" w:hAnsi="Times New Roman;Times;serif"/>
          <w:sz w:val="20"/>
        </w:rPr>
      </w:pPr>
      <w:bookmarkStart w:id="51" w:name="_mps304427940000000000000004054000000000"/>
      <w:bookmarkEnd w:id="51"/>
      <w:r>
        <w:rPr>
          <w:rFonts w:ascii="Times New Roman;Times;serif" w:hAnsi="Times New Roman;Times;serif"/>
          <w:sz w:val="20"/>
        </w:rPr>
        <w:t>4</w:t>
      </w:r>
    </w:p>
    <w:p>
      <w:pPr>
        <w:pStyle w:val="HorizontalLine"/>
        <w:rPr/>
      </w:pPr>
      <w:r>
        <w:rPr/>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and their shareholders. Set forth below is a summary of certain significant differences between the provisions of the Companies Act applicable to us and the laws applicable to companies incorporated in the United States and their shareholders.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Mergers and Similar Arrangements.</w:t>
      </w:r>
      <w:r>
        <w:rPr>
          <w:rFonts w:ascii="Times New Roman;Times;serif" w:hAnsi="Times New Roman;Times;serif"/>
          <w:sz w:val="20"/>
          <w:highlight w:val="white"/>
        </w:rPr>
        <w:t xml:space="preserve"> The Companies Act permits mergers and consolidations between 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(i) a special resolution of the shareholders of each constituent company, and (ii)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consent of each holder of a fixed or floating security interest over a constituent company is required unless this requirement is waived by a court in the Cayman Islands.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Save in certain limited circumstances, a shareholder of a Cayman Islands constituent company who dissents from the merger or consolidation is entitled to payment of the fair value of his, her or its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r>
        <w:rPr>
          <w:rFonts w:ascii="Times New Roman;Times;serif" w:hAnsi="Times New Roman;Times;serif"/>
          <w:spacing w:val="4"/>
          <w:sz w:val="20"/>
          <w:highlight w:val="white"/>
        </w:rPr>
        <w:t> </w:t>
      </w:r>
    </w:p>
    <w:tbl>
      <w:tblPr>
        <w:tblW w:w="6033" w:type="dxa"/>
        <w:jc w:val="left"/>
        <w:tblInd w:w="0" w:type="dxa"/>
        <w:tblCellMar>
          <w:top w:w="0" w:type="dxa"/>
          <w:left w:w="0" w:type="dxa"/>
          <w:bottom w:w="0" w:type="dxa"/>
          <w:right w:w="0" w:type="dxa"/>
        </w:tblCellMar>
      </w:tblPr>
      <w:tblGrid>
        <w:gridCol w:w="23"/>
        <w:gridCol w:w="170"/>
        <w:gridCol w:w="58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8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provisions as to the required majority vote have been met;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shareholders have been fairly represented at the meeting in question and the statutory majority are acting bona fide without coercion of the minority to promote interests adverse to those of the class;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 </w:t>
            </w:r>
          </w:p>
        </w:tc>
      </w:tr>
    </w:tbl>
    <w:p>
      <w:pPr>
        <w:pStyle w:val="TextBody"/>
        <w:spacing w:before="0" w:after="0"/>
        <w:ind w:left="0" w:right="0" w:hanging="0"/>
        <w:jc w:val="center"/>
        <w:rPr>
          <w:rFonts w:ascii="Times New Roman;Times;serif" w:hAnsi="Times New Roman;Times;serif"/>
          <w:sz w:val="20"/>
        </w:rPr>
      </w:pPr>
      <w:bookmarkStart w:id="52" w:name="_mps304427940000000000000004054000000000"/>
      <w:bookmarkEnd w:id="52"/>
      <w:r>
        <w:rPr>
          <w:rFonts w:ascii="Times New Roman;Times;serif" w:hAnsi="Times New Roman;Times;serif"/>
          <w:sz w:val="20"/>
        </w:rPr>
        <w:t>5</w:t>
      </w:r>
    </w:p>
    <w:p>
      <w:pPr>
        <w:pStyle w:val="HorizontalLine"/>
        <w:rPr/>
      </w:pPr>
      <w:r>
        <w:rPr/>
      </w:r>
    </w:p>
    <w:tbl>
      <w:tblPr>
        <w:tblW w:w="9798" w:type="dxa"/>
        <w:jc w:val="left"/>
        <w:tblInd w:w="0" w:type="dxa"/>
        <w:tblCellMar>
          <w:top w:w="0" w:type="dxa"/>
          <w:left w:w="0" w:type="dxa"/>
          <w:bottom w:w="0" w:type="dxa"/>
          <w:right w:w="0" w:type="dxa"/>
        </w:tblCellMar>
      </w:tblPr>
      <w:tblGrid>
        <w:gridCol w:w="23"/>
        <w:gridCol w:w="170"/>
        <w:gridCol w:w="960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605"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the arrangement is not one that would more properly be sanctioned under some other provision of the Companies Act.</w:t>
            </w:r>
            <w:r>
              <w:rPr>
                <w:caps w:val="false"/>
                <w:smallCaps w:val="false"/>
                <w:spacing w:val="4"/>
              </w:rPr>
              <w:t> </w:t>
            </w:r>
          </w:p>
        </w:tc>
      </w:tr>
    </w:tbl>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Companies Act also contains a statutory power of compulsory acquisition which may facilitate the “squeeze out” of a dissentient minority shareholder upon a tender offer. When a tender offer is made and accepted by holders of 90.0% of the shares affected within four-months,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Shareholders’ Suits.</w:t>
      </w:r>
      <w:r>
        <w:rPr>
          <w:rFonts w:ascii="Times New Roman;Times;serif" w:hAnsi="Times New Roman;Times;serif"/>
          <w:sz w:val="20"/>
          <w:highlight w:val="white"/>
        </w:rPr>
        <w:t xml:space="preserve"> 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Times;serif" w:hAnsi="Times New Roman;Times;serif"/>
          <w:i/>
          <w:sz w:val="20"/>
          <w:highlight w:val="white"/>
        </w:rPr>
        <w:t>Foss v. Harbottle</w:t>
      </w:r>
      <w:r>
        <w:rPr>
          <w:rFonts w:ascii="Times New Roman;Times;serif" w:hAnsi="Times New Roman;Times;serif"/>
          <w:sz w:val="20"/>
          <w:highlight w:val="white"/>
        </w:rPr>
        <w:t xml:space="preserve"> and the exceptions thereto) so that a non-controlling shareholder may be permitted to commence a class action against or derivative actions in the name of the company to challenge actions where:</w:t>
      </w:r>
      <w:r>
        <w:rPr>
          <w:rFonts w:ascii="Times New Roman;Times;serif" w:hAnsi="Times New Roman;Times;serif"/>
          <w:spacing w:val="4"/>
          <w:sz w:val="20"/>
          <w:highlight w:val="white"/>
        </w:rPr>
        <w:t> </w:t>
      </w:r>
    </w:p>
    <w:tbl>
      <w:tblPr>
        <w:tblW w:w="4833" w:type="dxa"/>
        <w:jc w:val="left"/>
        <w:tblInd w:w="0" w:type="dxa"/>
        <w:tblCellMar>
          <w:top w:w="0" w:type="dxa"/>
          <w:left w:w="0" w:type="dxa"/>
          <w:bottom w:w="0" w:type="dxa"/>
          <w:right w:w="0" w:type="dxa"/>
        </w:tblCellMar>
      </w:tblPr>
      <w:tblGrid>
        <w:gridCol w:w="23"/>
        <w:gridCol w:w="170"/>
        <w:gridCol w:w="46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6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acts or proposes to act illegally or ultra vires;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complained of, although not ultra vires, could only be effected duly if authorized by more than a simple majority vote that has not been obtained; and </w:t>
            </w:r>
          </w:p>
        </w:tc>
      </w:tr>
    </w:tbl>
    <w:tbl>
      <w:tblPr>
        <w:tblW w:w="6258" w:type="dxa"/>
        <w:jc w:val="left"/>
        <w:tblInd w:w="0" w:type="dxa"/>
        <w:tblCellMar>
          <w:top w:w="0" w:type="dxa"/>
          <w:left w:w="0" w:type="dxa"/>
          <w:bottom w:w="0" w:type="dxa"/>
          <w:right w:w="0" w:type="dxa"/>
        </w:tblCellMar>
      </w:tblPr>
      <w:tblGrid>
        <w:gridCol w:w="23"/>
        <w:gridCol w:w="170"/>
        <w:gridCol w:w="606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0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who control the company are perpetrating a “fraud on the minority.” </w:t>
            </w:r>
          </w:p>
        </w:tc>
      </w:tr>
    </w:tbl>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Indemnification of Directors and Executive Officers and Limitation of Liability.</w:t>
      </w:r>
      <w:r>
        <w:rPr>
          <w:rFonts w:ascii="Times New Roman;Times;serif" w:hAnsi="Times New Roman;Times;serif"/>
          <w:sz w:val="20"/>
          <w:highlight w:val="white"/>
        </w:rPr>
        <w:t xml:space="preserve">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amended and restated memorandum and articles of association provide that we shall indemnify our officers and directors against all actions, proceedings, costs, charges, expenses, losses, damages or liabilities incurred or sustained by such director or officer, other than by reason of such person’s dishonesty, willful default or fraud, in or about the conduct of our company’s business or affairs (including as a result of any mistake of judgment) or in the execution or discharge of his or her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In addition, we have entered into indemnification agreements with our directors and executive officers, that provide such persons with additional indemnification beyond that provided in our amended and restated memorandum and articles of association.</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Insofar as indemnification for liabilities arising under the Securities Act of 1933, as amended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r>
        <w:rPr>
          <w:rFonts w:ascii="Times New Roman;Times;serif" w:hAnsi="Times New Roman;Times;serif"/>
          <w:spacing w:val="4"/>
          <w:sz w:val="20"/>
          <w:highlight w:val="white"/>
        </w:rPr>
        <w:t> </w:t>
      </w:r>
    </w:p>
    <w:p>
      <w:pPr>
        <w:pStyle w:val="TextBody"/>
        <w:spacing w:before="0" w:after="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Directors’ Fiduciary Duties.</w:t>
      </w:r>
      <w:r>
        <w:rPr>
          <w:rFonts w:ascii="Times New Roman;Times;serif" w:hAnsi="Times New Roman;Times;serif"/>
          <w:sz w:val="20"/>
          <w:highlight w:val="white"/>
        </w:rPr>
        <w:t xml:space="preserve">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w:t>
      </w:r>
    </w:p>
    <w:p>
      <w:pPr>
        <w:pStyle w:val="TextBody"/>
        <w:spacing w:before="0" w:after="0"/>
        <w:ind w:left="0" w:right="0" w:hanging="0"/>
        <w:jc w:val="center"/>
        <w:rPr>
          <w:rFonts w:ascii="Times New Roman;Times;serif" w:hAnsi="Times New Roman;Times;serif"/>
          <w:sz w:val="20"/>
        </w:rPr>
      </w:pPr>
      <w:bookmarkStart w:id="53" w:name="_mps304427940000000000000004054000000000"/>
      <w:bookmarkEnd w:id="53"/>
      <w:r>
        <w:rPr>
          <w:rFonts w:ascii="Times New Roman;Times;serif" w:hAnsi="Times New Roman;Times;serif"/>
          <w:sz w:val="20"/>
        </w:rPr>
        <w:t>6</w:t>
      </w:r>
    </w:p>
    <w:p>
      <w:pPr>
        <w:pStyle w:val="HorizontalLine"/>
        <w:rPr/>
      </w:pPr>
      <w:r>
        <w:rPr/>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under similar circumstances. Under this duty, a director must inform himself or herself of, and disclose to shareholders, all material information reasonably available regarding a significant transaction. The duty of loyalty requires that a director acts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or her position as director (unless the company permits him or her to do so), a duty not to put himself or herself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Shareholder Action by Written Resolution.</w:t>
      </w:r>
      <w:r>
        <w:rPr>
          <w:rFonts w:ascii="Times New Roman;Times;serif" w:hAnsi="Times New Roman;Times;serif"/>
          <w:sz w:val="20"/>
          <w:highlight w:val="white"/>
        </w:rPr>
        <w:t xml:space="preserve"> Under the Delaware General Corporation Law, a corporation may eliminate the right of shareholders to act by written consent by amendment to its certificate of incorporation. Our amended and restated articles of association provide that no action shall be taken by the shareholders except at an annual or extraordinary general meeting called in accordance with our amended and restated articles of association and no action shall be taken by the shareholders by written consent or electronic transmission.</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Shareholder Proposals.</w:t>
      </w:r>
      <w:r>
        <w:rPr>
          <w:rFonts w:ascii="Times New Roman;Times;serif" w:hAnsi="Times New Roman;Times;serif"/>
          <w:sz w:val="20"/>
          <w:highlight w:val="white"/>
        </w:rPr>
        <w:t xml:space="preserve"> 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Companies Act provides shareholders with only limited rights to requisition a general meeting. However, these rights may be provided in a company’s articles of association. Our amended and restated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of directors is obliged to convene an extraordinary general meeting and to put the resolutions so requisitioned to a vote at such meeting. As an exempted Cayman Islands company, we may but are not obliged by law to call shareholders’ annual general meetings. See the section titled “Our Amended and Restated Memorandum and Articles of Association-​General Meetings of Shareholders” in our prospectus filed pursuant to Rule 424(b)(4) on February 6, 2023, for more information on the rights of our shareholders to put proposals before the annual general meeting.</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Cumulative Voting.</w:t>
      </w:r>
      <w:r>
        <w:rPr>
          <w:rFonts w:ascii="Times New Roman;Times;serif" w:hAnsi="Times New Roman;Times;serif"/>
          <w:sz w:val="20"/>
          <w:highlight w:val="white"/>
        </w:rPr>
        <w:t xml:space="preserve">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laws of the Cayman Islands but our amended and restated articles of association do not provide for cumulative voting. As a result, our shareholders are not afforded any less protections or rights on this issue than shareholders of a Delaware corporation.</w:t>
      </w:r>
      <w:r>
        <w:rPr>
          <w:rFonts w:ascii="Times New Roman;Times;serif" w:hAnsi="Times New Roman;Times;serif"/>
          <w:spacing w:val="4"/>
          <w:sz w:val="20"/>
          <w:highlight w:val="white"/>
        </w:rPr>
        <w:t> </w:t>
      </w:r>
    </w:p>
    <w:p>
      <w:pPr>
        <w:pStyle w:val="TextBody"/>
        <w:spacing w:before="0" w:after="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Removal of Directors.</w:t>
      </w:r>
      <w:r>
        <w:rPr>
          <w:rFonts w:ascii="Times New Roman;Times;serif" w:hAnsi="Times New Roman;Times;serif"/>
          <w:sz w:val="20"/>
          <w:highlight w:val="white"/>
        </w:rPr>
        <w:t xml:space="preserve"> Under the Delaware General Corporation Law, a director of a corporation with a classified board may be removed only for cause with the approval of a majority of the outstanding shares entitled to vote, unless the certificate of incorporation provides otherwise. Under our amended and restated articles of association, directors </w:t>
      </w:r>
    </w:p>
    <w:p>
      <w:pPr>
        <w:pStyle w:val="TextBody"/>
        <w:spacing w:before="0" w:after="0"/>
        <w:ind w:left="0" w:right="0" w:hanging="0"/>
        <w:jc w:val="center"/>
        <w:rPr>
          <w:rFonts w:ascii="Times New Roman;Times;serif" w:hAnsi="Times New Roman;Times;serif"/>
          <w:sz w:val="20"/>
        </w:rPr>
      </w:pPr>
      <w:bookmarkStart w:id="54" w:name="_mps304427940000000000000004054000000000"/>
      <w:bookmarkEnd w:id="54"/>
      <w:r>
        <w:rPr>
          <w:rFonts w:ascii="Times New Roman;Times;serif" w:hAnsi="Times New Roman;Times;serif"/>
          <w:sz w:val="20"/>
        </w:rPr>
        <w:t>7</w:t>
      </w:r>
    </w:p>
    <w:p>
      <w:pPr>
        <w:pStyle w:val="HorizontalLine"/>
        <w:rPr/>
      </w:pPr>
      <w:r>
        <w:rPr/>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may be removed only for cause by an ordinary resolution of our shareholders. In addition, a director’s office shall be vacated if the director (i) becomes bankrupt or makes any arrangement or composition with his creditors; (ii) is found to be or becomes of unsound mind or dies; (iii) resigns his or her office by notice in writing to the company; (iv) without special leave of absence from our board of directors, is absent from three consecutive meetings of the board and the board resolves that his or her office be vacated; or (v) is removed from office pursuant to any other provisions of our amended and restated memorandum and articles of association.</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Transactions with Interested Shareholders.</w:t>
      </w:r>
      <w:r>
        <w:rPr>
          <w:rFonts w:ascii="Times New Roman;Times;serif" w:hAnsi="Times New Roman;Times;serif"/>
          <w:sz w:val="20"/>
          <w:highlight w:val="white"/>
        </w:rPr>
        <w:t xml:space="preserve"> 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Dissolution; Winding Up.</w:t>
      </w:r>
      <w:r>
        <w:rPr>
          <w:rFonts w:ascii="Times New Roman;Times;serif" w:hAnsi="Times New Roman;Times;serif"/>
          <w:sz w:val="20"/>
          <w:highlight w:val="white"/>
        </w:rPr>
        <w:t xml:space="preserve">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amended and restated articles of association, our company may be dissolved, liquidated or wound up by a special resolution of our shareholders.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Variation of Rights of Shares.</w:t>
      </w:r>
      <w:r>
        <w:rPr>
          <w:rFonts w:ascii="Times New Roman;Times;serif" w:hAnsi="Times New Roman;Times;serif"/>
          <w:sz w:val="20"/>
          <w:highlight w:val="white"/>
        </w:rPr>
        <w:t xml:space="preserve"> Under the Delaware General Corporation Law, a corporation may vary the rights of a class of shares with the approval of a majority of the outstanding shares of such class, unless the certificate of incorporation provides otherwise. Under Cayman Islands law and our amended and restated articles of association, if our share capital is divided into more than one class of shares, we may vary the rights attached to any class with the written consent of the holders of two-thirds of the issued shares of that class or with the sanction of a special resolution passed at a general meeting of the holders of the shares of that class.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Amendment of Governing Documents.</w:t>
      </w:r>
      <w:r>
        <w:rPr>
          <w:rFonts w:ascii="Times New Roman;Times;serif" w:hAnsi="Times New Roman;Times;serif"/>
          <w:sz w:val="20"/>
          <w:highlight w:val="white"/>
        </w:rPr>
        <w:t xml:space="preserve"> Under the Delaware General Corporation Law, a corporation’s governing documents may be amended with the approval of a majority of the outstanding shares entitled to vote, unless the certificate of incorporation provides otherwise. Under the Companies Act and our amended and restated memorandum and articles of association, our memorandum and articles of association may only be amended by a special resolution of our shareholders.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i/>
          <w:sz w:val="20"/>
          <w:highlight w:val="white"/>
        </w:rPr>
        <w:t>Rights of Non-resident or Foreign Shareholders.</w:t>
      </w:r>
      <w:r>
        <w:rPr>
          <w:rFonts w:ascii="Times New Roman;Times;serif" w:hAnsi="Times New Roman;Times;serif"/>
          <w:sz w:val="20"/>
          <w:highlight w:val="white"/>
        </w:rPr>
        <w:t xml:space="preserve"> 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governing the ownership threshold above which shareholder ownership must be disclosed.</w:t>
      </w:r>
      <w:r>
        <w:rPr>
          <w:rFonts w:ascii="Times New Roman;Times;serif" w:hAnsi="Times New Roman;Times;serif"/>
          <w:spacing w:val="4"/>
          <w:sz w:val="20"/>
          <w:highlight w:val="white"/>
        </w:rPr>
        <w:t> </w:t>
      </w:r>
    </w:p>
    <w:p>
      <w:pPr>
        <w:pStyle w:val="TextBody"/>
        <w:spacing w:before="0" w:after="0"/>
        <w:ind w:left="0" w:right="0" w:hanging="0"/>
        <w:jc w:val="center"/>
        <w:rPr>
          <w:rFonts w:ascii="Times New Roman;Times;serif" w:hAnsi="Times New Roman;Times;serif"/>
          <w:sz w:val="20"/>
        </w:rPr>
      </w:pPr>
      <w:bookmarkStart w:id="55" w:name="_mps304427940000000000000004054000000000"/>
      <w:bookmarkEnd w:id="55"/>
      <w:r>
        <w:rPr>
          <w:rFonts w:ascii="Times New Roman;Times;serif" w:hAnsi="Times New Roman;Times;serif"/>
          <w:sz w:val="20"/>
        </w:rPr>
        <w:t>8</w:t>
      </w:r>
    </w:p>
    <w:p>
      <w:pPr>
        <w:pStyle w:val="HorizontalLine"/>
        <w:rPr/>
      </w:pPr>
      <w:r>
        <w:rPr/>
      </w:r>
    </w:p>
    <w:p>
      <w:pPr>
        <w:pStyle w:val="TextBody"/>
        <w:spacing w:before="0" w:after="0"/>
        <w:ind w:left="0" w:right="0" w:hanging="0"/>
        <w:rPr>
          <w:caps/>
          <w:highlight w:val="white"/>
        </w:rPr>
      </w:pPr>
      <w:r>
        <w:rPr>
          <w:caps/>
          <w:highlight w:val="white"/>
        </w:rPr>
        <w:t>​</w:t>
      </w:r>
    </w:p>
    <w:p>
      <w:pPr>
        <w:pStyle w:val="TextBody"/>
        <w:spacing w:before="0" w:after="0"/>
        <w:ind w:left="0" w:right="0" w:hanging="0"/>
        <w:jc w:val="center"/>
        <w:rPr>
          <w:rFonts w:ascii="Times New Roman;Times;serif" w:hAnsi="Times New Roman;Times;serif"/>
          <w:sz w:val="20"/>
        </w:rPr>
      </w:pPr>
      <w:bookmarkStart w:id="56" w:name="_mps304427940000000000000004054000000000"/>
      <w:bookmarkEnd w:id="56"/>
      <w:r>
        <w:rPr>
          <w:rFonts w:ascii="Times New Roman;Times;serif" w:hAnsi="Times New Roman;Times;serif"/>
          <w:sz w:val="20"/>
        </w:rPr>
        <w:t>9</w:t>
      </w:r>
    </w:p>
    <w:p>
      <w:pPr>
        <w:pStyle w:val="HorizontalLine"/>
        <w:rPr/>
      </w:pPr>
      <w:r>
        <w:rPr/>
      </w:r>
    </w:p>
    <w:p>
      <w:pPr>
        <w:pStyle w:val="TextBody"/>
        <w:spacing w:before="0" w:after="240"/>
        <w:ind w:left="0" w:right="0" w:hanging="0"/>
        <w:jc w:val="center"/>
        <w:rPr>
          <w:rFonts w:ascii="Times New Roman;Times;serif" w:hAnsi="Times New Roman;Times;serif"/>
          <w:b/>
          <w:caps/>
          <w:sz w:val="20"/>
          <w:highlight w:val="white"/>
        </w:rPr>
      </w:pPr>
      <w:r>
        <w:rPr>
          <w:rFonts w:ascii="Times New Roman;Times;serif" w:hAnsi="Times New Roman;Times;serif"/>
          <w:b/>
          <w:caps/>
          <w:sz w:val="20"/>
          <w:highlight w:val="white"/>
        </w:rPr>
        <w:t>DESCRIPTION OF AMERICAN DEPOSITARY SHARES</w:t>
      </w:r>
      <w:r>
        <w:rPr>
          <w:rFonts w:ascii="Times New Roman;Times;serif" w:hAnsi="Times New Roman;Times;serif"/>
          <w:b/>
          <w:caps/>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JPMorgan Chase Bank, N.A., serves as depositary for our ADS(s). Each ADS represents an ownership of three of our ordinary shares which we deposit with the custodian, as agent of the depositary, under the deposit agreement among ourselves, the depositary, the holders of ADR(s) that evidence the ADSs and all other ADR holders, and all beneficial owners of an interest in the ADSs evidenced by ADRs from time to time.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depositary’s office is located at 383 Madison Avenue, Floor 11, New York, NY 10179.</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ADS to share ratio is subject to amendment as provided in the form of ADR (which may give rise to fees contemplated by the form of ADR). In the future, each ADS will also represent any securities, cash or other property deposited with the depositary but which they have not distributed directly to you.</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A beneficial owner is any person or entity having a beneficial ownership interest in ADSs. A beneficial owner need not be the holder of the ADR evidencing such ADS. If a beneficial owner of ADSs is not an ADR holder, it must rely on the holder of the ADR(s) evidencing such ADSs in order to assert any rights or receive any benefits under the deposit agreement. A beneficial owner shall only be able to exercise any right or receive any benefit under the deposit agreement solely through the holder of the ADR(s) evidencing the ADSs owned by such beneficial owner. The arrangements between a beneficial owner of ADSs and the holder of the corresponding ADRs may affect the beneficial owner’s ability to exercise any rights it may have.</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Unless certificated ADRs are specifically requested,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As an ADR holder or beneficial owner, we will not treat you as a shareholder of ours and you will not have any shareholder rights. Cayman Islands law governs shareholder rights. Because the depositary or its nominee will be the shareholder of record for the shares represented by all outstanding ADSs, shareholder rights rest with such record holder. Your rights are those of an ADR holder or of a beneficial owner. Such rights derive from the terms of the deposit agreement to be entered into among us, the depositary and all holders and beneficial owners from time to time of ADRs issued under the deposit agreement and, in the case of a beneficial owner, from the arrangements between the beneficial owner and the holder of the corresponding ADRs. The obligations of the depositary and its agents are also set out in the deposit agreement. Because the depositary or its nominee will actually be the registered owner of the shares, you must rely on it to exercise the rights of a shareholder on your behalf.</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our registration statement on Form S-1/A filed with the SEC on January 30, 2023, available on the SEC’s website at www.sec.gov.</w:t>
      </w:r>
      <w:r>
        <w:rPr>
          <w:rFonts w:ascii="Times New Roman;Times;serif" w:hAnsi="Times New Roman;Times;serif"/>
          <w:spacing w:val="4"/>
          <w:sz w:val="20"/>
          <w:highlight w:val="white"/>
        </w:rPr>
        <w:t> </w:t>
      </w:r>
    </w:p>
    <w:p>
      <w:pPr>
        <w:pStyle w:val="TextBody"/>
        <w:spacing w:before="0" w:after="0"/>
        <w:ind w:left="0" w:right="0" w:hanging="0"/>
        <w:jc w:val="center"/>
        <w:rPr>
          <w:rFonts w:ascii="Times New Roman;Times;serif" w:hAnsi="Times New Roman;Times;serif"/>
          <w:sz w:val="20"/>
        </w:rPr>
      </w:pPr>
      <w:bookmarkStart w:id="57" w:name="_mps304427940000000000000004054000000000"/>
      <w:bookmarkEnd w:id="57"/>
      <w:r>
        <w:rPr>
          <w:rFonts w:ascii="Times New Roman;Times;serif" w:hAnsi="Times New Roman;Times;serif"/>
          <w:sz w:val="20"/>
        </w:rPr>
        <w:t>10</w:t>
      </w:r>
    </w:p>
    <w:p>
      <w:pPr>
        <w:pStyle w:val="HorizontalLine"/>
        <w:rPr/>
      </w:pPr>
      <w:r>
        <w:rPr/>
      </w:r>
    </w:p>
    <w:p>
      <w:pPr>
        <w:pStyle w:val="TextBody"/>
        <w:spacing w:before="0" w:after="240"/>
        <w:ind w:left="0" w:right="0" w:hanging="0"/>
        <w:jc w:val="both"/>
        <w:rPr>
          <w:rFonts w:ascii="Times New Roman;Times;serif" w:hAnsi="Times New Roman;Times;serif"/>
          <w:b/>
          <w:sz w:val="20"/>
          <w:highlight w:val="white"/>
        </w:rPr>
      </w:pPr>
      <w:r>
        <w:rPr>
          <w:rFonts w:ascii="Times New Roman;Times;serif" w:hAnsi="Times New Roman;Times;serif"/>
          <w:b/>
          <w:sz w:val="20"/>
          <w:highlight w:val="white"/>
        </w:rPr>
        <w:t>Share Dividends and Other Distributions</w:t>
      </w:r>
      <w:r>
        <w:rPr>
          <w:rFonts w:ascii="Times New Roman;Times;serif" w:hAnsi="Times New Roman;Times;serif"/>
          <w:b/>
          <w:spacing w:val="4"/>
          <w:sz w:val="20"/>
          <w:highlight w:val="white"/>
        </w:rPr>
        <w:t> </w:t>
      </w:r>
    </w:p>
    <w:p>
      <w:pPr>
        <w:pStyle w:val="TextBody"/>
        <w:spacing w:before="0" w:after="240"/>
        <w:ind w:left="0" w:right="0" w:hanging="0"/>
        <w:jc w:val="both"/>
        <w:rPr>
          <w:rFonts w:ascii="Times New Roman;Times;serif" w:hAnsi="Times New Roman;Times;serif"/>
          <w:b/>
          <w:i/>
          <w:sz w:val="20"/>
          <w:highlight w:val="white"/>
        </w:rPr>
      </w:pPr>
      <w:r>
        <w:rPr>
          <w:rFonts w:ascii="Times New Roman;Times;serif" w:hAnsi="Times New Roman;Times;serif"/>
          <w:b/>
          <w:i/>
          <w:sz w:val="20"/>
          <w:highlight w:val="white"/>
        </w:rPr>
        <w:t>How will I receive dividends and other distributions on the shares underlying my ADSs?</w:t>
      </w:r>
      <w:r>
        <w:rPr>
          <w:rFonts w:ascii="Times New Roman;Times;serif" w:hAnsi="Times New Roman;Times;serif"/>
          <w:b/>
          <w:i/>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Except as stated below, the depositary will deliver such distributions to ADR holders in proportion to their interests in the following manner:</w:t>
      </w:r>
      <w:r>
        <w:rPr>
          <w:rFonts w:ascii="Times New Roman;Times;serif" w:hAnsi="Times New Roman;Times;serif"/>
          <w:spacing w:val="4"/>
          <w:sz w:val="20"/>
          <w:highlight w:val="white"/>
        </w:rPr>
        <w:t> </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bookmarkStart w:id="58" w:name="_Hlk129301041"/>
            <w:bookmarkStart w:id="59" w:name="_Hlk129301012"/>
            <w:bookmarkEnd w:id="58"/>
            <w:bookmarkEnd w:id="59"/>
            <w:r>
              <w:rPr>
                <w:rFonts w:ascii="Times New Roman;Times;serif" w:hAnsi="Times New Roman;Times;serif"/>
                <w:b w:val="false"/>
                <w:i/>
                <w:sz w:val="20"/>
              </w:rPr>
              <w:t>Cash.</w:t>
            </w:r>
            <w:r>
              <w:rPr>
                <w:caps w:val="false"/>
                <w:smallCaps w:val="false"/>
              </w:rPr>
              <w:t xml:space="preserve"> </w:t>
            </w:r>
            <w:r>
              <w:rPr>
                <w:rFonts w:ascii="Times New Roman;Times;serif" w:hAnsi="Times New Roman;Times;serif"/>
                <w:b w:val="false"/>
                <w:i w:val="false"/>
                <w:caps w:val="false"/>
                <w:smallCaps w:val="false"/>
                <w:sz w:val="20"/>
              </w:rPr>
              <w:t xml:space="preserve">The depositary will distribute any U.S. dollars available to it resulting from a cash dividend or other cash distribution or the net proceeds of 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To the extent the depositary does not reasonably believe it will be permitted by applicable law, rule or regulation to convert foreign currency into U.S. dollars and distribute such U.S. dollars to some or all holders, the depositary may in its discretion distribute the foreign currency received by the depositary to, or hold such foreign currency uninvested and without liability for interest thereon for the respective accounts of, the holders entitled to receive the same. To the extent the depositary holds such foreign currency, any and all costs and expenses related to, or arising from, the holding of such foreign currency shall be paid from such foreign currency thereby reducing the amount so held. </w:t>
            </w:r>
            <w:r>
              <w:rPr>
                <w:rFonts w:ascii="Times New Roman;Times;serif" w:hAnsi="Times New Roman;Times;serif"/>
                <w:b w:val="false"/>
                <w:i/>
                <w:sz w:val="20"/>
              </w:rPr>
              <w:t>If exchange rates fluctuate during a time when the depositary cannot convert a foreign currency, you may lose some or all of the value of the distribution.</w:t>
            </w:r>
            <w:r>
              <w:rPr>
                <w:caps w:val="false"/>
                <w:smallCaps w:val="false"/>
                <w:spacing w:val="4"/>
              </w:rPr>
              <w: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sz w:val="20"/>
              </w:rPr>
              <w:t>Shares.</w:t>
            </w:r>
            <w:r>
              <w:rPr>
                <w:caps w:val="false"/>
                <w:smallCaps w:val="false"/>
              </w:rPr>
              <w:t xml:space="preserve"> </w:t>
            </w:r>
            <w:r>
              <w:rPr>
                <w:rFonts w:ascii="Times New Roman;Times;serif" w:hAnsi="Times New Roman;Times;serif"/>
                <w:b w:val="false"/>
                <w:i w:val="false"/>
                <w:caps w:val="false"/>
                <w:smallCaps w:val="false"/>
                <w:sz w:val="20"/>
              </w:rPr>
              <w:t>In the case of a distribution in shares, the depositary will issue additional ADRs to evidence the number of ADSs representing such shares. Only whole ADSs will be issued. Any shares which would result in fractional ADSs will be sold and the net proceeds will be distributed in the same manner as cash to the ADR holders entitled thereto.</w:t>
            </w:r>
            <w:r>
              <w:rPr>
                <w:caps w:val="false"/>
                <w:smallCaps w:val="false"/>
                <w:spacing w:val="4"/>
              </w:rPr>
              <w: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sz w:val="20"/>
              </w:rPr>
              <w:t>Rights to receive additional shares.</w:t>
            </w:r>
            <w:r>
              <w:rPr>
                <w:caps w:val="false"/>
                <w:smallCaps w:val="false"/>
              </w:rPr>
              <w:t xml:space="preserve"> </w:t>
            </w:r>
            <w:r>
              <w:rPr>
                <w:rFonts w:ascii="Times New Roman;Times;serif" w:hAnsi="Times New Roman;Times;serif"/>
                <w:b w:val="false"/>
                <w:i w:val="false"/>
                <w:caps w:val="false"/>
                <w:smallCaps w:val="false"/>
                <w:sz w:val="20"/>
              </w:rPr>
              <w:t>In the case of a distribution of rights to subscribe for additional shares or other rights, if we timely 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r>
              <w:rPr>
                <w:caps w:val="false"/>
                <w:smallCaps w:val="false"/>
                <w:spacing w:val="4"/>
              </w:rPr>
              <w:t> </w:t>
            </w:r>
          </w:p>
        </w:tc>
      </w:tr>
    </w:tbl>
    <w:p>
      <w:pPr>
        <w:pStyle w:val="TextBody"/>
        <w:spacing w:before="0" w:after="240"/>
        <w:ind w:left="0" w:right="0" w:hanging="0"/>
        <w:jc w:val="left"/>
        <w:rPr>
          <w:rFonts w:ascii="Times New Roman;Times;serif" w:hAnsi="Times New Roman;Times;serif"/>
          <w:sz w:val="20"/>
          <w:highlight w:val="white"/>
        </w:rPr>
      </w:pPr>
      <w:r>
        <w:rPr>
          <w:rFonts w:ascii="Times New Roman;Times;serif" w:hAnsi="Times New Roman;Times;serif"/>
          <w:b w:val="false"/>
          <w:i w:val="false"/>
          <w:caps w:val="false"/>
          <w:smallCaps w:val="false"/>
          <w:sz w:val="20"/>
          <w:highlight w:val="white"/>
        </w:rPr>
        <w:t>(i)</w:t>
      </w:r>
      <w:r>
        <w:rPr>
          <w:rFonts w:ascii="Times New Roman;Times;serif" w:hAnsi="Times New Roman;Times;serif"/>
          <w:sz w:val="20"/>
          <w:highlight w:val="white"/>
        </w:rPr>
        <w:t>sell such rights if practicable and distribute the net proceeds in the same manner as cash to the ADR holders entitled thereto; or</w:t>
      </w:r>
      <w:r>
        <w:rPr>
          <w:rFonts w:ascii="Times New Roman;Times;serif" w:hAnsi="Times New Roman;Times;serif"/>
          <w:spacing w:val="4"/>
          <w:sz w:val="20"/>
          <w:highlight w:val="white"/>
        </w:rPr>
        <w:t> </w:t>
      </w:r>
    </w:p>
    <w:p>
      <w:pPr>
        <w:pStyle w:val="TextBody"/>
        <w:spacing w:before="0" w:after="240"/>
        <w:ind w:left="0" w:right="0" w:hanging="0"/>
        <w:jc w:val="left"/>
        <w:rPr>
          <w:rFonts w:ascii="Times New Roman;Times;serif" w:hAnsi="Times New Roman;Times;serif"/>
          <w:sz w:val="20"/>
          <w:highlight w:val="white"/>
        </w:rPr>
      </w:pPr>
      <w:r>
        <w:rPr>
          <w:rFonts w:ascii="Times New Roman;Times;serif" w:hAnsi="Times New Roman;Times;serif"/>
          <w:b w:val="false"/>
          <w:i w:val="false"/>
          <w:caps w:val="false"/>
          <w:smallCaps w:val="false"/>
          <w:sz w:val="20"/>
          <w:highlight w:val="white"/>
        </w:rPr>
        <w:t>(ii)</w:t>
      </w:r>
      <w:r>
        <w:rPr>
          <w:rFonts w:ascii="Times New Roman;Times;serif" w:hAnsi="Times New Roman;Times;serif"/>
          <w:sz w:val="20"/>
          <w:highlight w:val="white"/>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r>
        <w:rPr>
          <w:rFonts w:ascii="Times New Roman;Times;serif" w:hAnsi="Times New Roman;Times;serif"/>
          <w:spacing w:val="4"/>
          <w:sz w:val="20"/>
          <w:highlight w:val="white"/>
        </w:rPr>
        <w:t> </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sz w:val="20"/>
              </w:rPr>
              <w:t>Other Distributions.</w:t>
            </w:r>
            <w:r>
              <w:rPr>
                <w:caps w:val="false"/>
                <w:smallCaps w:val="false"/>
              </w:rPr>
              <w:t xml:space="preserve"> </w:t>
            </w:r>
            <w:r>
              <w:rPr>
                <w:rFonts w:ascii="Times New Roman;Times;serif" w:hAnsi="Times New Roman;Times;serif"/>
                <w:b w:val="false"/>
                <w:i w:val="false"/>
                <w:caps w:val="false"/>
                <w:smallCaps w:val="false"/>
                <w:sz w:val="20"/>
              </w:rPr>
              <w:t xml:space="preserve">In the case of a distribution of securities or property other than those described above, the depositary may either (i) distribute such securities or property in any manner it deems equitable and </w:t>
            </w:r>
          </w:p>
        </w:tc>
      </w:tr>
    </w:tbl>
    <w:p>
      <w:pPr>
        <w:pStyle w:val="TextBody"/>
        <w:spacing w:before="0" w:after="0"/>
        <w:ind w:left="0" w:right="0" w:hanging="0"/>
        <w:jc w:val="center"/>
        <w:rPr>
          <w:rFonts w:ascii="Times New Roman;Times;serif" w:hAnsi="Times New Roman;Times;serif"/>
          <w:sz w:val="20"/>
        </w:rPr>
      </w:pPr>
      <w:bookmarkStart w:id="60" w:name="_mps304427940000000000000004054000000000"/>
      <w:bookmarkEnd w:id="60"/>
      <w:r>
        <w:rPr>
          <w:rFonts w:ascii="Times New Roman;Times;serif" w:hAnsi="Times New Roman;Times;serif"/>
          <w:sz w:val="20"/>
        </w:rPr>
        <w:t>11</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23"/>
        <w:gridCol w:w="10159"/>
      </w:tblGrid>
      <w:tr>
        <w:trPr/>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159"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practicable, or (ii) to the extent the depositary deems distribution of such securities or property not to be equitable and practicable, sell such securities or property and distribute any net proceeds in the same way it distributes cash.</w:t>
            </w:r>
            <w:r>
              <w:rPr>
                <w:caps w:val="false"/>
                <w:smallCaps w:val="false"/>
                <w:spacing w:val="4"/>
              </w:rPr>
              <w:t> </w:t>
            </w:r>
          </w:p>
        </w:tc>
      </w:tr>
    </w:tbl>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Any U.S. dollars will be distributed by checks drawn on a bank in the United States for whole dollars and cents. Fractional cents will be withheld without liability and dealt with by the depositary in accordance with its then current practices.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depositary is not responsible if it fails to determine that any distribution or action is lawful or reasonably practicable.</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on the “Disclosures” page (or successor page) of www.adr.com (as updated by the depositary from time to time, ADR.com).</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b/>
          <w:sz w:val="20"/>
          <w:highlight w:val="white"/>
        </w:rPr>
      </w:pPr>
      <w:r>
        <w:rPr>
          <w:rFonts w:ascii="Times New Roman;Times;serif" w:hAnsi="Times New Roman;Times;serif"/>
          <w:b/>
          <w:sz w:val="20"/>
          <w:highlight w:val="white"/>
        </w:rPr>
        <w:t>Deposit, Withdrawal and Cancellation</w:t>
      </w:r>
      <w:r>
        <w:rPr>
          <w:rFonts w:ascii="Times New Roman;Times;serif" w:hAnsi="Times New Roman;Times;serif"/>
          <w:b/>
          <w:spacing w:val="4"/>
          <w:sz w:val="20"/>
          <w:highlight w:val="white"/>
        </w:rPr>
        <w:t> </w:t>
      </w:r>
    </w:p>
    <w:p>
      <w:pPr>
        <w:pStyle w:val="TextBody"/>
        <w:spacing w:before="0" w:after="240"/>
        <w:ind w:left="0" w:right="0" w:hanging="0"/>
        <w:jc w:val="both"/>
        <w:rPr>
          <w:rFonts w:ascii="Times New Roman;Times;serif" w:hAnsi="Times New Roman;Times;serif"/>
          <w:b/>
          <w:i/>
          <w:sz w:val="20"/>
          <w:highlight w:val="white"/>
        </w:rPr>
      </w:pPr>
      <w:r>
        <w:rPr>
          <w:rFonts w:ascii="Times New Roman;Times;serif" w:hAnsi="Times New Roman;Times;serif"/>
          <w:b/>
          <w:i/>
          <w:sz w:val="20"/>
          <w:highlight w:val="white"/>
        </w:rPr>
        <w:t>How does the depositary issue ADSs?</w:t>
      </w:r>
      <w:r>
        <w:rPr>
          <w:rFonts w:ascii="Times New Roman;Times;serif" w:hAnsi="Times New Roman;Times;serif"/>
          <w:b/>
          <w:i/>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The depositary will issue ADSs if you or your broker deposit shares or evidence of rights to receive shares with the custodian and pay the fees and expenses owing to the depositary in connection with such issuance.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custodian will hold all deposited shares for the account and to the order of the depositary, in each case for the benefit of ADR holders. ADR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 such deposited securities. Notwithstanding anything else contained herein, in the deposit agreement,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w:t>
      </w:r>
      <w:r>
        <w:rPr>
          <w:rFonts w:ascii="Times New Roman;Times;serif" w:hAnsi="Times New Roman;Times;serif"/>
          <w:spacing w:val="4"/>
          <w:sz w:val="20"/>
          <w:highlight w:val="white"/>
        </w:rPr>
        <w:t> </w:t>
      </w:r>
    </w:p>
    <w:p>
      <w:pPr>
        <w:pStyle w:val="TextBody"/>
        <w:spacing w:before="0" w:after="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w:t>
      </w:r>
    </w:p>
    <w:p>
      <w:pPr>
        <w:pStyle w:val="TextBody"/>
        <w:spacing w:before="0" w:after="0"/>
        <w:ind w:left="0" w:right="0" w:hanging="0"/>
        <w:jc w:val="center"/>
        <w:rPr>
          <w:rFonts w:ascii="Times New Roman;Times;serif" w:hAnsi="Times New Roman;Times;serif"/>
          <w:sz w:val="20"/>
        </w:rPr>
      </w:pPr>
      <w:bookmarkStart w:id="61" w:name="_mps304427940000000000000004054000000000"/>
      <w:bookmarkEnd w:id="61"/>
      <w:r>
        <w:rPr>
          <w:rFonts w:ascii="Times New Roman;Times;serif" w:hAnsi="Times New Roman;Times;serif"/>
          <w:sz w:val="20"/>
        </w:rPr>
        <w:t>12</w:t>
      </w:r>
    </w:p>
    <w:p>
      <w:pPr>
        <w:pStyle w:val="HorizontalLine"/>
        <w:rPr/>
      </w:pPr>
      <w:r>
        <w:rPr/>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periodic statements from the depositary which will show the number of ADSs registered in such holder’s name. An ADR holder can request that the ADSs not be held through the depositary’s direct registration system and that a certificated ADR be issued.</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b/>
          <w:i/>
          <w:sz w:val="20"/>
          <w:highlight w:val="white"/>
        </w:rPr>
      </w:pPr>
      <w:r>
        <w:rPr>
          <w:rFonts w:ascii="Times New Roman;Times;serif" w:hAnsi="Times New Roman;Times;serif"/>
          <w:b/>
          <w:i/>
          <w:sz w:val="20"/>
          <w:highlight w:val="white"/>
        </w:rPr>
        <w:t>How do ADR holders cancel an ADS and obtain deposited securities?</w:t>
      </w:r>
      <w:r>
        <w:rPr>
          <w:rFonts w:ascii="Times New Roman;Times;serif" w:hAnsi="Times New Roman;Times;serif"/>
          <w:b/>
          <w:i/>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bookmarkStart w:id="62" w:name="_Hlk129301321"/>
      <w:bookmarkEnd w:id="62"/>
      <w:r>
        <w:rPr>
          <w:rFonts w:ascii="Times New Roman;Times;serif" w:hAnsi="Times New Roman;Times;serif"/>
          <w:sz w:val="20"/>
          <w:highlight w:val="white"/>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depositary may only restrict the withdrawal of deposited securities in connection with:</w:t>
      </w:r>
      <w:r>
        <w:rPr>
          <w:rFonts w:ascii="Times New Roman;Times;serif" w:hAnsi="Times New Roman;Times;serif"/>
          <w:spacing w:val="4"/>
          <w:sz w:val="20"/>
          <w:highlight w:val="white"/>
        </w:rPr>
        <w:t> </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temporary delays caused by closing our transfer books or those of the depositary or the deposit of shares in connection with voting at a shareholders’ meeting, or the payment of dividends;</w:t>
            </w:r>
            <w:r>
              <w:rPr>
                <w:caps w:val="false"/>
                <w:smallCaps w:val="false"/>
                <w:spacing w:val="4"/>
              </w:rPr>
              <w:t> </w:t>
            </w:r>
          </w:p>
        </w:tc>
      </w:tr>
    </w:tbl>
    <w:tbl>
      <w:tblPr>
        <w:tblW w:w="4233" w:type="dxa"/>
        <w:jc w:val="left"/>
        <w:tblInd w:w="0" w:type="dxa"/>
        <w:tblCellMar>
          <w:top w:w="0" w:type="dxa"/>
          <w:left w:w="0" w:type="dxa"/>
          <w:bottom w:w="0" w:type="dxa"/>
          <w:right w:w="0" w:type="dxa"/>
        </w:tblCellMar>
      </w:tblPr>
      <w:tblGrid>
        <w:gridCol w:w="23"/>
        <w:gridCol w:w="170"/>
        <w:gridCol w:w="404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040"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the payment of fees, taxes and similar charges; or</w:t>
            </w:r>
            <w:r>
              <w:rPr>
                <w:caps w:val="false"/>
                <w:smallCaps w:val="false"/>
                <w:spacing w:val="4"/>
              </w:rPr>
              <w: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compliance with any U.S. or foreign laws or governmental regulations relating to the ADRs or to the withdrawal of deposited securities.</w:t>
            </w:r>
            <w:r>
              <w:rPr>
                <w:caps w:val="false"/>
                <w:smallCaps w:val="false"/>
                <w:spacing w:val="4"/>
              </w:rPr>
              <w:t> </w:t>
            </w:r>
          </w:p>
        </w:tc>
      </w:tr>
    </w:tbl>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This right of withdrawal may not be limited by any other provision of the deposit agreement.</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b/>
          <w:sz w:val="20"/>
          <w:highlight w:val="white"/>
        </w:rPr>
      </w:pPr>
      <w:r>
        <w:rPr>
          <w:rFonts w:ascii="Times New Roman;Times;serif" w:hAnsi="Times New Roman;Times;serif"/>
          <w:b/>
          <w:sz w:val="20"/>
          <w:highlight w:val="white"/>
        </w:rPr>
        <w:t>Record Dates</w:t>
      </w:r>
      <w:r>
        <w:rPr>
          <w:rFonts w:ascii="Times New Roman;Times;serif" w:hAnsi="Times New Roman;Times;serif"/>
          <w:b/>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r>
        <w:rPr>
          <w:rFonts w:ascii="Times New Roman;Times;serif" w:hAnsi="Times New Roman;Times;serif"/>
          <w:spacing w:val="4"/>
          <w:sz w:val="20"/>
          <w:highlight w:val="white"/>
        </w:rPr>
        <w:t> </w:t>
      </w:r>
    </w:p>
    <w:tbl>
      <w:tblPr>
        <w:tblW w:w="5613" w:type="dxa"/>
        <w:jc w:val="left"/>
        <w:tblInd w:w="0" w:type="dxa"/>
        <w:tblCellMar>
          <w:top w:w="0" w:type="dxa"/>
          <w:left w:w="0" w:type="dxa"/>
          <w:bottom w:w="0" w:type="dxa"/>
          <w:right w:w="0" w:type="dxa"/>
        </w:tblCellMar>
      </w:tblPr>
      <w:tblGrid>
        <w:gridCol w:w="23"/>
        <w:gridCol w:w="170"/>
        <w:gridCol w:w="54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5420"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to receive any distribution on or in respect of deposited securities,</w:t>
            </w:r>
            <w:r>
              <w:rPr>
                <w:caps w:val="false"/>
                <w:smallCaps w:val="false"/>
                <w:spacing w:val="4"/>
              </w:rPr>
              <w:t> </w:t>
            </w:r>
          </w:p>
        </w:tc>
      </w:tr>
    </w:tbl>
    <w:tbl>
      <w:tblPr>
        <w:tblW w:w="7113" w:type="dxa"/>
        <w:jc w:val="left"/>
        <w:tblInd w:w="0" w:type="dxa"/>
        <w:tblCellMar>
          <w:top w:w="0" w:type="dxa"/>
          <w:left w:w="0" w:type="dxa"/>
          <w:bottom w:w="0" w:type="dxa"/>
          <w:right w:w="0" w:type="dxa"/>
        </w:tblCellMar>
      </w:tblPr>
      <w:tblGrid>
        <w:gridCol w:w="23"/>
        <w:gridCol w:w="170"/>
        <w:gridCol w:w="69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920"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to give instructions for the exercise of voting rights at a meeting of holders of shares,</w:t>
            </w:r>
            <w:r>
              <w:rPr>
                <w:caps w:val="false"/>
                <w:smallCaps w:val="false"/>
                <w:spacing w:val="4"/>
              </w:rPr>
              <w: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to pay the fee assessed by the depositary for administration of the ADR program and for any expenses as provided for in the ADR, or</w:t>
            </w:r>
            <w:r>
              <w:rPr>
                <w:caps w:val="false"/>
                <w:smallCaps w:val="false"/>
                <w:spacing w:val="4"/>
              </w:rPr>
              <w:t> </w:t>
            </w:r>
          </w:p>
        </w:tc>
      </w:tr>
    </w:tbl>
    <w:tbl>
      <w:tblPr>
        <w:tblW w:w="4848" w:type="dxa"/>
        <w:jc w:val="left"/>
        <w:tblInd w:w="0" w:type="dxa"/>
        <w:tblCellMar>
          <w:top w:w="0" w:type="dxa"/>
          <w:left w:w="0" w:type="dxa"/>
          <w:bottom w:w="0" w:type="dxa"/>
          <w:right w:w="0" w:type="dxa"/>
        </w:tblCellMar>
      </w:tblPr>
      <w:tblGrid>
        <w:gridCol w:w="23"/>
        <w:gridCol w:w="170"/>
        <w:gridCol w:w="465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655"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to receive any notice or to act in respect of other matters,</w:t>
            </w:r>
            <w:r>
              <w:rPr>
                <w:caps w:val="false"/>
                <w:smallCaps w:val="false"/>
                <w:spacing w:val="4"/>
              </w:rPr>
              <w:t> </w:t>
            </w:r>
          </w:p>
        </w:tc>
      </w:tr>
    </w:tbl>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all subject to the provisions of the deposit agreement.</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b/>
          <w:sz w:val="20"/>
          <w:highlight w:val="white"/>
        </w:rPr>
      </w:pPr>
      <w:r>
        <w:rPr>
          <w:rFonts w:ascii="Times New Roman;Times;serif" w:hAnsi="Times New Roman;Times;serif"/>
          <w:b/>
          <w:sz w:val="20"/>
          <w:highlight w:val="white"/>
        </w:rPr>
        <w:t>Voting Rights</w:t>
      </w:r>
      <w:r>
        <w:rPr>
          <w:rFonts w:ascii="Times New Roman;Times;serif" w:hAnsi="Times New Roman;Times;serif"/>
          <w:b/>
          <w:spacing w:val="4"/>
          <w:sz w:val="20"/>
          <w:highlight w:val="white"/>
        </w:rPr>
        <w:t> </w:t>
      </w:r>
    </w:p>
    <w:p>
      <w:pPr>
        <w:pStyle w:val="TextBody"/>
        <w:spacing w:before="0" w:after="240"/>
        <w:ind w:left="0" w:right="0" w:hanging="0"/>
        <w:jc w:val="both"/>
        <w:rPr>
          <w:rFonts w:ascii="Times New Roman;Times;serif" w:hAnsi="Times New Roman;Times;serif"/>
          <w:b/>
          <w:i/>
          <w:sz w:val="20"/>
          <w:highlight w:val="white"/>
        </w:rPr>
      </w:pPr>
      <w:r>
        <w:rPr>
          <w:rFonts w:ascii="Times New Roman;Times;serif" w:hAnsi="Times New Roman;Times;serif"/>
          <w:b/>
          <w:i/>
          <w:sz w:val="20"/>
          <w:highlight w:val="white"/>
        </w:rPr>
        <w:t>How do I vote?</w:t>
      </w:r>
      <w:r>
        <w:rPr>
          <w:rFonts w:ascii="Times New Roman;Times;serif" w:hAnsi="Times New Roman;Times;serif"/>
          <w:b/>
          <w:i/>
          <w:spacing w:val="4"/>
          <w:sz w:val="20"/>
          <w:highlight w:val="white"/>
        </w:rPr>
        <w:t> </w:t>
      </w:r>
    </w:p>
    <w:p>
      <w:pPr>
        <w:pStyle w:val="TextBody"/>
        <w:spacing w:before="0" w:after="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If you are an ADR holder and the depositary asks you to provide it with voting instructions, you may instruct the depositary how to exercise the voting rights for the shares which underlie your ADSs.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provided that if the depositary receives a written request from us in a timely manner and at least 30 days prior to the date of such vote or meeting, the depositary shall, at our expense, distribute to the registered ADR holders a “voting notice” stating (i) final information particular to such vote and meeting and any solicitation materials, (ii) that each ADR holder on the record date set by the depositary will, subject to any applicable provisions of Cayman Islands law, be entitled to instruct the depositary as to the exercise of the voting rights, if any, pertaining to the deposited securities represented by the ADSs evidenced by such ADR holder’s ADRs </w:t>
      </w:r>
    </w:p>
    <w:p>
      <w:pPr>
        <w:pStyle w:val="TextBody"/>
        <w:spacing w:before="0" w:after="0"/>
        <w:ind w:left="0" w:right="0" w:hanging="0"/>
        <w:jc w:val="center"/>
        <w:rPr>
          <w:rFonts w:ascii="Times New Roman;Times;serif" w:hAnsi="Times New Roman;Times;serif"/>
          <w:sz w:val="20"/>
        </w:rPr>
      </w:pPr>
      <w:bookmarkStart w:id="63" w:name="_mps304427940000000000000004054000000000"/>
      <w:bookmarkEnd w:id="63"/>
      <w:r>
        <w:rPr>
          <w:rFonts w:ascii="Times New Roman;Times;serif" w:hAnsi="Times New Roman;Times;serif"/>
          <w:sz w:val="20"/>
        </w:rPr>
        <w:t>13</w:t>
      </w:r>
    </w:p>
    <w:p>
      <w:pPr>
        <w:pStyle w:val="HorizontalLine"/>
        <w:rPr/>
      </w:pPr>
      <w:r>
        <w:rPr/>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and (iii) the manner in which such instructions may be given, or deemed to be given pursuant to the terms of the deposit agreement, including instructions for giving a discretionary proxy to a person designated by us. 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Following actual receipt by the ADR department responsible for proxies and voting of ADR holders’ instructions (including, without limitation, instructions of any entity or entities acting on behalf of the nominee for the Depository Trust Company (“DTC”)), the depositary shall, in the manner and on or before the time established by the depositary for such purpose, endeavor to vote or cause to be voted the deposited securities represented by the ADSs evidenced by such ADR holders’ ADRs in accordance with such instructions insofar as practicable and permitted under the provisions of or governing deposited securities.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To the extent that (i) we have provided the depositary with at least 35 days’ notice of the proposed meeting, (ii) the voting notice will be received by all ADR holders and beneficial owners no less than 10 days prior to the date of the meeting and/or the cut-off date for the solicitation of consents, and (iii) the depositary does not receive instructions on a particular agenda item from an ADR holder (including, without limitation, any entity or entities acting on behalf of the nominee for DTC) in a timely manner, such ADR holder shall be deemed, and in the deposit agreement the depositary is instructed to deem such ADR holder, to have instructed the depositary to give a discretionary proxy for such agenda item(s) to a person designated by us to vote the deposited securities represented by the ADSs for which actual instructions were not so given by all such ADR holders on such agenda item(s), provided that no such instruction shall be deemed given and no discretionary proxy shall be given unless (i) we inform the depositary in writing (and we agree to provide the depositary with such instruction promptly in writing) that (a) we wish such proxy to be given with respect to such agenda item(s), (b) there is no substantial opposition existing with respect to such agenda item(s) and (c) such agenda item(s), if approved, would not materially or adversely affect the rights of holders of shares, and (ii) the depositary has obtained an opinion of counsel, in form and substance satisfactory to the depositary, confirming that (a) the granting of such discretionary proxy does not subject the depositary to any reporting obligations in the Cayman Islands, (b) the granting of such proxy will not result in a violation of the laws, rules, regulations or permits of the Cayman Islands, (c) the voting arrangement and deemed instruction as contemplated herein will be given effect under the laws, rules and regulations of the Cayman Islands, and (d) the granting of such discretionary proxy will not under any circumstances result in the shares represented by the ADSs being treated as assets of the depositary under the laws, rules or regulations of the Cayman Islands.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depositary may from time to time access information available to it to consider whether any of the circumstances described above exist, or request additional information from us in respect thereto. By taking any such action, the depositary shall not in any way be deemed or inferred to have been required, or have had any duty or responsibility (contractual or otherwise), to monitor or inquire whether any of the circumstances described above existed. In addition to the limitations provided for in the deposit agreement, ADR holders and beneficial owners are advised and agree that (i) the depositary will rely fully and exclusively on us to inform it of any of the circumstances set forth above, and (ii) neither the depositary, the custodian nor any of their respective agents shall be obliged to inquire or investigate whether any of the circumstances described above exist and/or whether we complied with our obligation to timely inform the depositary of such circumstances. Neither the depositary, the custodian nor any of their respective agents shall incur any liability to ADR holders or beneficial owners (i) as a result of our failure to determine that any of the circumstances described above exist or our failure to timely notify the depositary of any such circumstances or (ii) if any agenda item which is approved at a meeting has, or is claimed to have, a material or adverse effect on the rights of holders of shares. Because there is no guarantee that ADR holders and beneficial owners will receive the notices described above with sufficient time to enable such ADR holders or beneficial owners to return any voting instructions to the depositary in a timely manner, ADR holders and beneficial owners may be deemed to have instructed the depositary to give a discretionary proxy to a person designated by us in such circumstances, and neither the depositary, the custodian nor any of their respective agents shall incur any liability to ADR holders or beneficial owners in such circumstances.</w:t>
      </w:r>
      <w:r>
        <w:rPr>
          <w:rFonts w:ascii="Times New Roman;Times;serif" w:hAnsi="Times New Roman;Times;serif"/>
          <w:spacing w:val="4"/>
          <w:sz w:val="20"/>
          <w:highlight w:val="white"/>
        </w:rPr>
        <w:t> </w:t>
      </w:r>
    </w:p>
    <w:p>
      <w:pPr>
        <w:pStyle w:val="TextBody"/>
        <w:spacing w:before="0" w:after="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w:t>
      </w:r>
    </w:p>
    <w:p>
      <w:pPr>
        <w:pStyle w:val="TextBody"/>
        <w:spacing w:before="0" w:after="0"/>
        <w:ind w:left="0" w:right="0" w:hanging="0"/>
        <w:jc w:val="center"/>
        <w:rPr>
          <w:rFonts w:ascii="Times New Roman;Times;serif" w:hAnsi="Times New Roman;Times;serif"/>
          <w:sz w:val="20"/>
        </w:rPr>
      </w:pPr>
      <w:bookmarkStart w:id="64" w:name="_mps304427940000000000000004054000000000"/>
      <w:bookmarkEnd w:id="64"/>
      <w:r>
        <w:rPr>
          <w:rFonts w:ascii="Times New Roman;Times;serif" w:hAnsi="Times New Roman;Times;serif"/>
          <w:sz w:val="20"/>
        </w:rPr>
        <w:t>14</w:t>
      </w:r>
    </w:p>
    <w:p>
      <w:pPr>
        <w:pStyle w:val="HorizontalLine"/>
        <w:rPr/>
      </w:pPr>
      <w:r>
        <w:rPr/>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or deemed to be given pursuant to the terms of the deposit agreement, including instructions to give a discretionary proxy to a person designated by us, for the manner in which any vote is cast, including, without limitation, any vote cast by a person to whom the depositary is instructed to grant a discretionary proxy (or deemed to have been instructed pursuant to the terms of the deposit agreement), or for the effect of any such vote. Notwithstanding anything contained in the deposit agreement or any ADR, the depositary may, to the extent not prohibited by any law, regulation, or requirement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ADR holders with or otherwise publicizes to such ADR holders instructions on how to retrieve such materials or receive such materials upon request (</w:t>
      </w:r>
      <w:r>
        <w:rPr>
          <w:rFonts w:ascii="Times New Roman;Times;serif" w:hAnsi="Times New Roman;Times;serif"/>
          <w:i/>
          <w:sz w:val="20"/>
          <w:highlight w:val="white"/>
        </w:rPr>
        <w:t>i.e.</w:t>
      </w:r>
      <w:r>
        <w:rPr>
          <w:rFonts w:ascii="Times New Roman;Times;serif" w:hAnsi="Times New Roman;Times;serif"/>
          <w:sz w:val="20"/>
          <w:highlight w:val="white"/>
        </w:rPr>
        <w:t>, by reference to a website containing the materials for retrieval or a contact for requesting copies of the materials).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We have advised the depositary that under Cayman Islands law and our governing documents, each as in effect as of the date of the deposit agreement, voting at any meeting of shareholders is by show of hands unless a poll is demanded (before or on the declaration of the results of the show of hands) by the chairman of the meeting or any shareholder holding at least ten percent of the votes attached to the shares present at such meeting. In the event that voting on any resolution or matter is conducted on a show of hands basis in accordance with our governing documents, the depositary will refrain from voting and providing any proxies (deemed or otherwise) and the voting instructions received and deemed received by the depositary from ADR holders shall lapse. The depositary will not demand a poll or join in demanding a poll, whether or not requested to do so by ADR holders or beneficial owners.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b/>
          <w:sz w:val="20"/>
          <w:highlight w:val="white"/>
        </w:rPr>
      </w:pPr>
      <w:r>
        <w:rPr>
          <w:rFonts w:ascii="Times New Roman;Times;serif" w:hAnsi="Times New Roman;Times;serif"/>
          <w:b/>
          <w:sz w:val="20"/>
          <w:highlight w:val="white"/>
        </w:rPr>
        <w:t>Reports and Other Communications</w:t>
      </w:r>
      <w:r>
        <w:rPr>
          <w:rFonts w:ascii="Times New Roman;Times;serif" w:hAnsi="Times New Roman;Times;serif"/>
          <w:b/>
          <w:spacing w:val="4"/>
          <w:sz w:val="20"/>
          <w:highlight w:val="white"/>
        </w:rPr>
        <w:t> </w:t>
      </w:r>
    </w:p>
    <w:p>
      <w:pPr>
        <w:pStyle w:val="TextBody"/>
        <w:spacing w:before="0" w:after="240"/>
        <w:ind w:left="0" w:right="0" w:hanging="0"/>
        <w:jc w:val="both"/>
        <w:rPr>
          <w:rFonts w:ascii="Times New Roman;Times;serif" w:hAnsi="Times New Roman;Times;serif"/>
          <w:b/>
          <w:i/>
          <w:sz w:val="20"/>
          <w:highlight w:val="white"/>
        </w:rPr>
      </w:pPr>
      <w:r>
        <w:rPr>
          <w:rFonts w:ascii="Times New Roman;Times;serif" w:hAnsi="Times New Roman;Times;serif"/>
          <w:b/>
          <w:i/>
          <w:sz w:val="20"/>
          <w:highlight w:val="white"/>
        </w:rPr>
        <w:t>Will ADR holders be able to view our reports?</w:t>
      </w:r>
      <w:r>
        <w:rPr>
          <w:rFonts w:ascii="Times New Roman;Times;serif" w:hAnsi="Times New Roman;Times;serif"/>
          <w:b/>
          <w:i/>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Additionally, if we make any written communications generally available to holders of our shares, and we furnish copies thereof  (or English translations or summaries) to the depositary, it will distribute the same to registered ADR holders.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b/>
          <w:sz w:val="20"/>
          <w:highlight w:val="white"/>
        </w:rPr>
      </w:pPr>
      <w:r>
        <w:rPr>
          <w:rFonts w:ascii="Times New Roman;Times;serif" w:hAnsi="Times New Roman;Times;serif"/>
          <w:b/>
          <w:sz w:val="20"/>
          <w:highlight w:val="white"/>
        </w:rPr>
        <w:t>Fees and Expenses</w:t>
      </w:r>
      <w:r>
        <w:rPr>
          <w:rFonts w:ascii="Times New Roman;Times;serif" w:hAnsi="Times New Roman;Times;serif"/>
          <w:b/>
          <w:spacing w:val="4"/>
          <w:sz w:val="20"/>
          <w:highlight w:val="white"/>
        </w:rPr>
        <w:t> </w:t>
      </w:r>
    </w:p>
    <w:p>
      <w:pPr>
        <w:pStyle w:val="TextBody"/>
        <w:spacing w:before="0" w:after="240"/>
        <w:ind w:left="0" w:right="0" w:hanging="0"/>
        <w:jc w:val="both"/>
        <w:rPr>
          <w:rFonts w:ascii="Times New Roman;Times;serif" w:hAnsi="Times New Roman;Times;serif"/>
          <w:b/>
          <w:i/>
          <w:sz w:val="20"/>
          <w:highlight w:val="white"/>
        </w:rPr>
      </w:pPr>
      <w:r>
        <w:rPr>
          <w:rFonts w:ascii="Times New Roman;Times;serif" w:hAnsi="Times New Roman;Times;serif"/>
          <w:b/>
          <w:i/>
          <w:sz w:val="20"/>
          <w:highlight w:val="white"/>
        </w:rPr>
        <w:t>What fees and expenses will I be responsible for paying?</w:t>
      </w:r>
      <w:r>
        <w:rPr>
          <w:rFonts w:ascii="Times New Roman;Times;serif" w:hAnsi="Times New Roman;Times;serif"/>
          <w:b/>
          <w:i/>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depositary may charge each person to whom ADSs are issued, including, without limitation, issuances against deposits of shares, issuances in respect of share distributions, rights and other distributions, issuances pursuant to a share dividend or share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w:t>
      </w:r>
      <w:r>
        <w:rPr>
          <w:rFonts w:ascii="Times New Roman;Times;serif" w:hAnsi="Times New Roman;Times;serif"/>
          <w:spacing w:val="4"/>
          <w:sz w:val="20"/>
          <w:highlight w:val="white"/>
        </w:rPr>
        <w:t> </w:t>
      </w:r>
    </w:p>
    <w:p>
      <w:pPr>
        <w:pStyle w:val="TextBody"/>
        <w:spacing w:before="0" w:after="0"/>
        <w:ind w:left="0" w:right="0" w:hanging="0"/>
        <w:jc w:val="center"/>
        <w:rPr>
          <w:rFonts w:ascii="Times New Roman;Times;serif" w:hAnsi="Times New Roman;Times;serif"/>
          <w:sz w:val="20"/>
        </w:rPr>
      </w:pPr>
      <w:bookmarkStart w:id="65" w:name="_mps304427940000000000000004054000000000"/>
      <w:bookmarkEnd w:id="65"/>
      <w:r>
        <w:rPr>
          <w:rFonts w:ascii="Times New Roman;Times;serif" w:hAnsi="Times New Roman;Times;serif"/>
          <w:sz w:val="20"/>
        </w:rPr>
        <w:t>15</w:t>
      </w:r>
    </w:p>
    <w:p>
      <w:pPr>
        <w:pStyle w:val="HorizontalLine"/>
        <w:rPr/>
      </w:pPr>
      <w:r>
        <w:rPr/>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following additional charges shall also be incurred by the ADR holders, the beneficial owners, by any party depositing or withdrawing shares or by any party surrendering ADSs and/or to whom ADSs are issued (including, without limitation, issuance pursuant to a share dividend or share split declared by us or an exchange of shares regarding the ADSs or the deposited securities or a distribution of ADSs), whichever is applicable:</w:t>
      </w:r>
      <w:r>
        <w:rPr>
          <w:rFonts w:ascii="Times New Roman;Times;serif" w:hAnsi="Times New Roman;Times;serif"/>
          <w:spacing w:val="4"/>
          <w:sz w:val="20"/>
          <w:highlight w:val="white"/>
        </w:rPr>
        <w:t> </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a fee of  $0.05 or less per ADS held for any cash distribution made, or for any elective cash/stock dividend offered, pursuant to the deposit agreement;</w:t>
            </w:r>
            <w:r>
              <w:rPr>
                <w:caps w:val="false"/>
                <w:smallCaps w:val="false"/>
                <w:spacing w:val="4"/>
              </w:rPr>
              <w: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a fee of  $0.05 or less per ADS held for the direct or indirect distribution of securities other than ADSs or rights to purchase additional ADSs (including, without limitation, distributions by the Company or any third-party) or the distribution of the net cash proceeds from the sale of any such securities;</w:t>
            </w:r>
            <w:r>
              <w:rPr>
                <w:caps w:val="false"/>
                <w:smallCaps w:val="false"/>
                <w:spacing w:val="4"/>
              </w:rPr>
              <w: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an aggregate fee of  $0.05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at the sole discretion of the depositary by billing such ADRs or by deducting such charge from one or more cash dividends or other cash distributions);</w:t>
            </w:r>
            <w:r>
              <w:rPr>
                <w:caps w:val="false"/>
                <w:smallCaps w:val="false"/>
                <w:spacing w:val="4"/>
              </w:rPr>
              <w: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w:t>
            </w:r>
            <w:r>
              <w:rPr>
                <w:caps w:val="false"/>
                <w:smallCaps w:val="false"/>
                <w:spacing w:val="4"/>
              </w:rPr>
              <w:t> </w:t>
            </w:r>
          </w:p>
        </w:tc>
      </w:tr>
    </w:tbl>
    <w:tbl>
      <w:tblPr>
        <w:tblW w:w="5178" w:type="dxa"/>
        <w:jc w:val="left"/>
        <w:tblInd w:w="0" w:type="dxa"/>
        <w:tblCellMar>
          <w:top w:w="0" w:type="dxa"/>
          <w:left w:w="0" w:type="dxa"/>
          <w:bottom w:w="0" w:type="dxa"/>
          <w:right w:w="0" w:type="dxa"/>
        </w:tblCellMar>
      </w:tblPr>
      <w:tblGrid>
        <w:gridCol w:w="23"/>
        <w:gridCol w:w="170"/>
        <w:gridCol w:w="498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4985"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share transfer or other taxes and other governmental charges;</w:t>
            </w:r>
            <w:r>
              <w:rPr>
                <w:caps w:val="false"/>
                <w:smallCaps w:val="false"/>
                <w:spacing w:val="4"/>
              </w:rPr>
              <w: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cable, telex and facsimile transmission and delivery charges incurred at your request in connection with the deposit or delivery of shares, ADRs or deposited securities;</w:t>
            </w:r>
            <w:r>
              <w:rPr>
                <w:caps w:val="false"/>
                <w:smallCaps w:val="false"/>
                <w:spacing w:val="4"/>
              </w:rPr>
              <w: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transfer or registration fees for the registration of transfer of deposited securities on any applicable register in connection with the deposit or withdrawal of deposited securities; and</w:t>
            </w:r>
            <w:r>
              <w:rPr>
                <w:caps w:val="false"/>
                <w:smallCaps w:val="false"/>
                <w:spacing w:val="4"/>
              </w:rPr>
              <w: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fees of any division, branch or affiliate of the depositary utilized by the depositary to direct, manage and/or execute any public and/or private sale of securities under the deposit agreement.</w:t>
            </w:r>
            <w:r>
              <w:rPr>
                <w:caps w:val="false"/>
                <w:smallCaps w:val="false"/>
                <w:spacing w:val="4"/>
              </w:rPr>
              <w:t> </w:t>
            </w:r>
          </w:p>
        </w:tc>
      </w:tr>
    </w:tbl>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To facilitate the administration of various depositary receipt transactions, including disbursement of dividends or other cash distributions and other corporate actions, the depositary may engage the foreign exchange desk within JPMorgan and/or its affiliates in order to enter into spot foreign exchange transactions to convert foreign currency into U.S. dollars. For certain currencies, foreign exchange transactions are entered into with JPMorgan or an affiliate, as the case may be, acting in a principal capacity. For other currencies, foreign exchange transactions are routed directly to and managed by an unaffiliated local custodian (or other third party local liquidity provider), and neither JPMorgan nor any of its affiliates is a party to such foreign exchange transactions.</w:t>
      </w:r>
      <w:r>
        <w:rPr>
          <w:rFonts w:ascii="Times New Roman;Times;serif" w:hAnsi="Times New Roman;Times;serif"/>
          <w:spacing w:val="4"/>
          <w:sz w:val="20"/>
          <w:highlight w:val="white"/>
        </w:rPr>
        <w:t> </w:t>
      </w:r>
    </w:p>
    <w:p>
      <w:pPr>
        <w:pStyle w:val="TextBody"/>
        <w:spacing w:before="0" w:after="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The foreign exchange rate applied to a foreign exchange transaction will be either (i) a published benchmark rate, or (ii) a rate determined by a third party local liquidity provider, in each case plus or minus a spread, as applicable. The depositary will disclose which foreign exchange rate and spread, if any, apply to such currency on the “Disclosure” page (or successor page) of ADR.com. Such applicable foreign exchange rate and spread may (and neither the depositary, JPMorgan nor any of their affiliates is under any obligation to ensure that such rate does not) differ from rates and spreads at which comparable transactions are entered into with other customers or the range of foreign exchange rates and spreads at which JPMorgan or any of its affiliates enters into foreign exchange transactions in the </w:t>
      </w:r>
    </w:p>
    <w:p>
      <w:pPr>
        <w:pStyle w:val="TextBody"/>
        <w:spacing w:before="0" w:after="0"/>
        <w:ind w:left="0" w:right="0" w:hanging="0"/>
        <w:jc w:val="center"/>
        <w:rPr>
          <w:rFonts w:ascii="Times New Roman;Times;serif" w:hAnsi="Times New Roman;Times;serif"/>
          <w:sz w:val="20"/>
        </w:rPr>
      </w:pPr>
      <w:bookmarkStart w:id="66" w:name="_mps304427940000000000000004054000000000"/>
      <w:bookmarkEnd w:id="66"/>
      <w:r>
        <w:rPr>
          <w:rFonts w:ascii="Times New Roman;Times;serif" w:hAnsi="Times New Roman;Times;serif"/>
          <w:sz w:val="20"/>
        </w:rPr>
        <w:t>16</w:t>
      </w:r>
    </w:p>
    <w:p>
      <w:pPr>
        <w:pStyle w:val="HorizontalLine"/>
        <w:rPr/>
      </w:pPr>
      <w:r>
        <w:rPr/>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relevant currency pair on the date of the foreign exchange transaction. Additionally, the timing of execution of a foreign exchange transaction varies according to local market dynamics, which may include regulatory requirements, market hours and liquidity in the foreign exchange market or other factors. Furthermore, JPMorgan and its affiliates may manage the associated risks of their position in the market in a manner they deem appropriate without regard to the impact of such activities on the depositary, us, holders or beneficial owners. </w:t>
      </w:r>
      <w:r>
        <w:rPr>
          <w:rFonts w:ascii="Times New Roman;Times;serif" w:hAnsi="Times New Roman;Times;serif"/>
          <w:i/>
          <w:sz w:val="20"/>
          <w:highlight w:val="white"/>
        </w:rPr>
        <w:t>The spread applied does not reflect any gains or losses that may be earned or incurred by JPMorgan</w:t>
      </w:r>
      <w:r>
        <w:rPr>
          <w:rFonts w:ascii="Times New Roman;Times;serif" w:hAnsi="Times New Roman;Times;serif"/>
          <w:sz w:val="20"/>
          <w:highlight w:val="white"/>
        </w:rPr>
        <w:t xml:space="preserve"> </w:t>
      </w:r>
      <w:r>
        <w:rPr>
          <w:rFonts w:ascii="Times New Roman;Times;serif" w:hAnsi="Times New Roman;Times;serif"/>
          <w:i/>
          <w:sz w:val="20"/>
          <w:highlight w:val="white"/>
        </w:rPr>
        <w:t>and its affiliates as a result of risk management or other hedging related activity.</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Notwithstanding the foregoing, to the extent we provide U.S. dollars to the depositary, neither JPMorgan nor any of its affiliates will execute a foreign exchange transaction as set forth in the deposit agreement and described herein. In such case, the depositary will distribute the U.S. dollars received from us.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We will pay all other charges and expenses of the depositary and any agent of the depositary (except the custodian) pursuant to agreements from time to time between us and the depositary.</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right of the depositary to receive payment of fees, charges and expenses survives the termination of the deposit agreement, and shall extend for those fees, charges and expenses incurred prior to the effectiveness of any resignation or removal of the depositary.</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fees and charges described above may be amended from time to time by agreement between us and the depositary.</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b/>
          <w:sz w:val="20"/>
          <w:highlight w:val="white"/>
        </w:rPr>
      </w:pPr>
      <w:r>
        <w:rPr>
          <w:rFonts w:ascii="Times New Roman;Times;serif" w:hAnsi="Times New Roman;Times;serif"/>
          <w:b/>
          <w:sz w:val="20"/>
          <w:highlight w:val="white"/>
        </w:rPr>
        <w:t>Payment of Taxes</w:t>
      </w:r>
      <w:r>
        <w:rPr>
          <w:rFonts w:ascii="Times New Roman;Times;serif" w:hAnsi="Times New Roman;Times;serif"/>
          <w:b/>
          <w:spacing w:val="4"/>
          <w:sz w:val="20"/>
          <w:highlight w:val="white"/>
        </w:rPr>
        <w:t> </w:t>
      </w:r>
    </w:p>
    <w:p>
      <w:pPr>
        <w:pStyle w:val="TextBody"/>
        <w:spacing w:before="0" w:after="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ADR holders 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owed if the Notice Regarding the Determination of Chinese-Controlled Offshore- Incorporated Enterprises as Chinese Tax Resident Enterprises on the Basis of De Facto Management Bodies (“SAT Circular 82”) issued by the SAT or any other circular, edict, order or ruling, as issued and as from time to time amended, is applied or otherwise,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the depositary and its agents in respect of such tax or other governmental charge. Notwithstanding the depositary’s right to seek payment from current and former beneficial owners, by holding or owning, or having held or owned, an ADR, the ADR holder thereof  (and prior ADR holder thereof) acknowledges and agrees that the depositary has no obligation to seek payment of amounts </w:t>
      </w:r>
    </w:p>
    <w:p>
      <w:pPr>
        <w:pStyle w:val="TextBody"/>
        <w:spacing w:before="0" w:after="0"/>
        <w:ind w:left="0" w:right="0" w:hanging="0"/>
        <w:jc w:val="center"/>
        <w:rPr>
          <w:rFonts w:ascii="Times New Roman;Times;serif" w:hAnsi="Times New Roman;Times;serif"/>
          <w:sz w:val="20"/>
        </w:rPr>
      </w:pPr>
      <w:bookmarkStart w:id="67" w:name="_mps304427940000000000000004054000000000"/>
      <w:bookmarkEnd w:id="67"/>
      <w:r>
        <w:rPr>
          <w:rFonts w:ascii="Times New Roman;Times;serif" w:hAnsi="Times New Roman;Times;serif"/>
          <w:sz w:val="20"/>
        </w:rPr>
        <w:t>17</w:t>
      </w:r>
    </w:p>
    <w:p>
      <w:pPr>
        <w:pStyle w:val="HorizontalLine"/>
        <w:rPr/>
      </w:pPr>
      <w:r>
        <w:rPr/>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owing from any current or former beneficial owner.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t>
      </w:r>
    </w:p>
    <w:p>
      <w:pPr>
        <w:pStyle w:val="TextBody"/>
        <w:spacing w:before="0" w:after="240"/>
        <w:ind w:left="0" w:right="0" w:hanging="0"/>
        <w:jc w:val="both"/>
        <w:rPr>
          <w:rFonts w:ascii="Times New Roman;Times;serif" w:hAnsi="Times New Roman;Times;serif"/>
          <w:b/>
          <w:sz w:val="20"/>
          <w:highlight w:val="white"/>
        </w:rPr>
      </w:pPr>
      <w:r>
        <w:rPr>
          <w:rFonts w:ascii="Times New Roman;Times;serif" w:hAnsi="Times New Roman;Times;serif"/>
          <w:b/>
          <w:sz w:val="20"/>
          <w:highlight w:val="white"/>
        </w:rPr>
        <w:t>Reclassifications, Recapitalizations and Mergers</w:t>
      </w:r>
      <w:r>
        <w:rPr>
          <w:rFonts w:ascii="Times New Roman;Times;serif" w:hAnsi="Times New Roman;Times;serif"/>
          <w:b/>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If we take certain actions that affect the deposited securities, including (i) any change in par value, split-up, consolidation, cancellation or other reclassification of deposited securities,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r>
        <w:rPr>
          <w:rFonts w:ascii="Times New Roman;Times;serif" w:hAnsi="Times New Roman;Times;serif"/>
          <w:spacing w:val="4"/>
          <w:sz w:val="20"/>
          <w:highlight w:val="white"/>
        </w:rPr>
        <w:t> </w:t>
      </w:r>
    </w:p>
    <w:tbl>
      <w:tblPr>
        <w:tblW w:w="2253" w:type="dxa"/>
        <w:jc w:val="left"/>
        <w:tblInd w:w="0" w:type="dxa"/>
        <w:tblCellMar>
          <w:top w:w="0" w:type="dxa"/>
          <w:left w:w="0" w:type="dxa"/>
          <w:bottom w:w="0" w:type="dxa"/>
          <w:right w:w="0" w:type="dxa"/>
        </w:tblCellMar>
      </w:tblPr>
      <w:tblGrid>
        <w:gridCol w:w="23"/>
        <w:gridCol w:w="170"/>
        <w:gridCol w:w="206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2060"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amend the form of ADR;</w:t>
            </w:r>
            <w:r>
              <w:rPr>
                <w:caps w:val="false"/>
                <w:smallCaps w:val="false"/>
                <w:spacing w:val="4"/>
              </w:rPr>
              <w:t> </w:t>
            </w:r>
          </w:p>
        </w:tc>
      </w:tr>
    </w:tbl>
    <w:tbl>
      <w:tblPr>
        <w:tblW w:w="3513" w:type="dxa"/>
        <w:jc w:val="left"/>
        <w:tblInd w:w="0" w:type="dxa"/>
        <w:tblCellMar>
          <w:top w:w="0" w:type="dxa"/>
          <w:left w:w="0" w:type="dxa"/>
          <w:bottom w:w="0" w:type="dxa"/>
          <w:right w:w="0" w:type="dxa"/>
        </w:tblCellMar>
      </w:tblPr>
      <w:tblGrid>
        <w:gridCol w:w="23"/>
        <w:gridCol w:w="170"/>
        <w:gridCol w:w="33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3320"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distribute additional or amended ADRs;</w:t>
            </w:r>
            <w:r>
              <w:rPr>
                <w:caps w:val="false"/>
                <w:smallCaps w:val="false"/>
                <w:spacing w:val="4"/>
              </w:rPr>
              <w:t> </w:t>
            </w:r>
          </w:p>
        </w:tc>
      </w:tr>
    </w:tbl>
    <w:tbl>
      <w:tblPr>
        <w:tblW w:w="7623" w:type="dxa"/>
        <w:jc w:val="left"/>
        <w:tblInd w:w="0" w:type="dxa"/>
        <w:tblCellMar>
          <w:top w:w="0" w:type="dxa"/>
          <w:left w:w="0" w:type="dxa"/>
          <w:bottom w:w="0" w:type="dxa"/>
          <w:right w:w="0" w:type="dxa"/>
        </w:tblCellMar>
      </w:tblPr>
      <w:tblGrid>
        <w:gridCol w:w="23"/>
        <w:gridCol w:w="170"/>
        <w:gridCol w:w="743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7430"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distribute cash, securities or other property it has received in connection with such actions;</w:t>
            </w:r>
            <w:r>
              <w:rPr>
                <w:caps w:val="false"/>
                <w:smallCaps w:val="false"/>
                <w:spacing w:val="4"/>
              </w:rPr>
              <w:t> </w:t>
            </w:r>
          </w:p>
        </w:tc>
      </w:tr>
    </w:tbl>
    <w:tbl>
      <w:tblPr>
        <w:tblW w:w="6513" w:type="dxa"/>
        <w:jc w:val="left"/>
        <w:tblInd w:w="0" w:type="dxa"/>
        <w:tblCellMar>
          <w:top w:w="0" w:type="dxa"/>
          <w:left w:w="0" w:type="dxa"/>
          <w:bottom w:w="0" w:type="dxa"/>
          <w:right w:w="0" w:type="dxa"/>
        </w:tblCellMar>
      </w:tblPr>
      <w:tblGrid>
        <w:gridCol w:w="23"/>
        <w:gridCol w:w="170"/>
        <w:gridCol w:w="632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6320"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sell any securities or property received and distribute the proceeds as cash; or</w:t>
            </w:r>
            <w:r>
              <w:rPr>
                <w:caps w:val="false"/>
                <w:smallCaps w:val="false"/>
                <w:spacing w:val="4"/>
              </w:rPr>
              <w:t> </w:t>
            </w:r>
          </w:p>
        </w:tc>
      </w:tr>
    </w:tbl>
    <w:tbl>
      <w:tblPr>
        <w:tblW w:w="1773" w:type="dxa"/>
        <w:jc w:val="left"/>
        <w:tblInd w:w="0" w:type="dxa"/>
        <w:tblCellMar>
          <w:top w:w="0" w:type="dxa"/>
          <w:left w:w="0" w:type="dxa"/>
          <w:bottom w:w="0" w:type="dxa"/>
          <w:right w:w="0" w:type="dxa"/>
        </w:tblCellMar>
      </w:tblPr>
      <w:tblGrid>
        <w:gridCol w:w="23"/>
        <w:gridCol w:w="170"/>
        <w:gridCol w:w="158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580"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none of the above.</w:t>
            </w:r>
            <w:r>
              <w:rPr>
                <w:caps w:val="false"/>
                <w:smallCaps w:val="false"/>
                <w:spacing w:val="4"/>
              </w:rPr>
              <w:t> </w:t>
            </w:r>
          </w:p>
        </w:tc>
      </w:tr>
    </w:tbl>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If the depositary does not choose any of the above options, any of the cash, securities or other property it receives will constitute part of the deposited securities and each ADS will then represent a proportionate interest in such property.</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b/>
          <w:sz w:val="20"/>
          <w:highlight w:val="white"/>
        </w:rPr>
      </w:pPr>
      <w:r>
        <w:rPr>
          <w:rFonts w:ascii="Times New Roman;Times;serif" w:hAnsi="Times New Roman;Times;serif"/>
          <w:b/>
          <w:sz w:val="20"/>
          <w:highlight w:val="white"/>
        </w:rPr>
        <w:t>Amendment and Termination</w:t>
      </w:r>
      <w:r>
        <w:rPr>
          <w:rFonts w:ascii="Times New Roman;Times;serif" w:hAnsi="Times New Roman;Times;serif"/>
          <w:b/>
          <w:spacing w:val="4"/>
          <w:sz w:val="20"/>
          <w:highlight w:val="white"/>
        </w:rPr>
        <w:t> </w:t>
      </w:r>
    </w:p>
    <w:p>
      <w:pPr>
        <w:pStyle w:val="TextBody"/>
        <w:spacing w:before="0" w:after="240"/>
        <w:ind w:left="0" w:right="0" w:hanging="0"/>
        <w:jc w:val="both"/>
        <w:rPr>
          <w:rFonts w:ascii="Times New Roman;Times;serif" w:hAnsi="Times New Roman;Times;serif"/>
          <w:b/>
          <w:i/>
          <w:sz w:val="20"/>
          <w:highlight w:val="white"/>
        </w:rPr>
      </w:pPr>
      <w:r>
        <w:rPr>
          <w:rFonts w:ascii="Times New Roman;Times;serif" w:hAnsi="Times New Roman;Times;serif"/>
          <w:b/>
          <w:i/>
          <w:sz w:val="20"/>
          <w:highlight w:val="white"/>
        </w:rPr>
        <w:t>How may the deposit agreement be amended?</w:t>
      </w:r>
      <w:r>
        <w:rPr>
          <w:rFonts w:ascii="Times New Roman;Times;serif" w:hAnsi="Times New Roman;Times;serif"/>
          <w:b/>
          <w:i/>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We may agree with the depositary to amend the deposit agreement and the ADSs without your consent for any reason. ADR holders must be given at least 30 days’ notice of any amendment that imposes or increases any fees or charges (other than share transfer or other taxes and other governmental charges, transfer or registration fees, SWIFT, cable, telex or facsimile transmission costs, delivery costs or other such expenses), or otherwise prejudices any substantial existing right of ADR holders or beneficial owners. If an ADR holder continues to hold an ADR or ADRs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w:t>
      </w:r>
      <w:r>
        <w:rPr>
          <w:rFonts w:ascii="Times New Roman;Times;serif" w:hAnsi="Times New Roman;Times;serif"/>
          <w:spacing w:val="4"/>
          <w:sz w:val="20"/>
          <w:highlight w:val="white"/>
        </w:rPr>
        <w:t> </w:t>
      </w:r>
    </w:p>
    <w:p>
      <w:pPr>
        <w:pStyle w:val="TextBody"/>
        <w:spacing w:before="0" w:after="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Any amendments or supplements which (i) are reasonably necessary (as agreed by us and the depositary) in order for (a) the ADSs to be registered on Form F-6 under the Securities Act or (b) the ADSs or shares to be traded solely in electronic book-entry form and (ii) do not in either such case impose or increase any fees or charges to be borne by ADR holders, shall be deemed not to prejudice any substantial rights of ADR holders or beneficial owners. Notwithstanding the foregoing, if any governmental body or regulatory body should adopt new laws, rules or </w:t>
      </w:r>
    </w:p>
    <w:p>
      <w:pPr>
        <w:pStyle w:val="TextBody"/>
        <w:spacing w:before="0" w:after="0"/>
        <w:ind w:left="0" w:right="0" w:hanging="0"/>
        <w:jc w:val="center"/>
        <w:rPr>
          <w:rFonts w:ascii="Times New Roman;Times;serif" w:hAnsi="Times New Roman;Times;serif"/>
          <w:sz w:val="20"/>
        </w:rPr>
      </w:pPr>
      <w:bookmarkStart w:id="68" w:name="_mps304427940000000000000004054000000000"/>
      <w:bookmarkEnd w:id="68"/>
      <w:r>
        <w:rPr>
          <w:rFonts w:ascii="Times New Roman;Times;serif" w:hAnsi="Times New Roman;Times;serif"/>
          <w:sz w:val="20"/>
        </w:rPr>
        <w:t>18</w:t>
      </w:r>
    </w:p>
    <w:p>
      <w:pPr>
        <w:pStyle w:val="HorizontalLine"/>
        <w:rPr/>
      </w:pPr>
      <w:r>
        <w:rPr/>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ADR holders or within any other period of time as required for compliance.</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ADR holders identifies a means for ADR holders and beneficial owners to retrieve or receive the text of such amendment (</w:t>
      </w:r>
      <w:r>
        <w:rPr>
          <w:rFonts w:ascii="Times New Roman;Times;serif" w:hAnsi="Times New Roman;Times;serif"/>
          <w:i/>
          <w:sz w:val="20"/>
          <w:highlight w:val="white"/>
        </w:rPr>
        <w:t>i.e.</w:t>
      </w:r>
      <w:r>
        <w:rPr>
          <w:rFonts w:ascii="Times New Roman;Times;serif" w:hAnsi="Times New Roman;Times;serif"/>
          <w:sz w:val="20"/>
          <w:highlight w:val="white"/>
        </w:rPr>
        <w:t>, upon retrieval from the SEC’s, the depositary’s or our website or upon request from the depositary).</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b/>
          <w:i/>
          <w:sz w:val="20"/>
          <w:highlight w:val="white"/>
        </w:rPr>
      </w:pPr>
      <w:r>
        <w:rPr>
          <w:rFonts w:ascii="Times New Roman;Times;serif" w:hAnsi="Times New Roman;Times;serif"/>
          <w:b/>
          <w:i/>
          <w:sz w:val="20"/>
          <w:highlight w:val="white"/>
        </w:rPr>
        <w:t>How may the deposit agreement be terminated?</w:t>
      </w:r>
      <w:r>
        <w:rPr>
          <w:rFonts w:ascii="Times New Roman;Times;serif" w:hAnsi="Times New Roman;Times;serif"/>
          <w:b/>
          <w:i/>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depositary shall at any time at our written direction, terminate the deposit agreement and the ADRs by mailing notice of such termination to the registered holders of ADRs at least 30 days prior to the termination date, as determined in accordance with the deposit agreement. The depositary may also terminate the deposit agreement by mailing notice of such termination to the registered holders of ADRs at least 30 days prior to the termination date if  (i) 45 days have passed since the depositary provided notice of its resignation, (ii) 60 days shall have expired after the removal notice date, as defined in the deposit agreement, (iii) we are bankrupt or insolvent, (iv) our ADSs cease to be listed on an internationally recognized stock exchange, (v) we effect (or will effect) a redemption of all or substantially all of the deposited securities or a cash or share distribution representing a return of all or substantially all of the value of the deposited securities, or (vi) we undergo a merger, consolidation, sale of assets or other transaction as a result of which securities or other property are delivered in exchange for or in lieu of the deposited securities. In addition, the depositary may immediately terminate the deposit agreement, without prior notice to the holders or beneficial owners of ADRs or us, if required by any law, rule or regulation relating to sanctions by any governmental authority or body, or if the depositary would be subject to liability under or pursuant to any law, rule or regulation, or if otherwise required by any governmental authority or body, in each case as determined by the depositary in its reasonable discretion.</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If the ADSs are listed or quoted for trading on a stock exchange or in a securities market as of the termination date and the depositary believes that it is able and practicable to promptly sell the deposited securities without undue effort, then, after the termination date, the depositary and its agents will perform no further acts under the deposit agreement or the ADRs, except to receive and hold (or sell) distributions on deposited securities and deliver deposited securities being withdrawn. As soon as practicable after the termination date, the depositary shall use its reasonable efforts to sell the deposited securities and shall thereafter (as long as it may lawfully do so) hold in an account (which may be a segregated or unsegregated account) the net proceeds of such sales, together with any other cash then held by it under the deposit agreement, without liability for interest, in trust for the pro rata benefit of the holders of ADRs not theretofore surrendered. After making such sale, the depositary shall be discharged from all obligations in respect of the deposit agreement and this ADR, except to account for such net proceeds and other cash. After the date so fixed for termination, we shall be discharged from all obligations under the deposit agreement except for our obligations to the depositary and its agents.</w:t>
      </w:r>
    </w:p>
    <w:p>
      <w:pPr>
        <w:pStyle w:val="TextBody"/>
        <w:spacing w:before="0" w:after="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If, however, the ADSs are not listed or quoted for trading on a stock exchange or securities market as of the termination date or if, for any reason, the depositary believes it is not able or practicable to promptly sell the deposited securities without undue effort, then, after the termination date, (i) all direct registration ADRs shall cease to be eligible for the direct registration system and shall be considered ADRs issued on the ADR register maintained by the depositary and (ii)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(i) instruct its custodian to deliver all shares to us along with a general share power that refers to the names set forth on the ADR register maintained by the depositary and (ii) provide us with a copy of the ADR register maintained by the depositary. Upon receipt of such shares and the ADR register maintained by the depositary, we have agreed to use our best efforts to issue to each registered ADR holder a share certificate representing the shares represented by the ADSs reflected on the ADR register maintained by the depositary in such registered ADR holder’s name and to deliver such share certificate to the registered ADR holder at the address set forth on the ADR register maintained by the depositary. </w:t>
      </w:r>
    </w:p>
    <w:p>
      <w:pPr>
        <w:pStyle w:val="TextBody"/>
        <w:spacing w:before="0" w:after="0"/>
        <w:ind w:left="0" w:right="0" w:hanging="0"/>
        <w:jc w:val="center"/>
        <w:rPr>
          <w:rFonts w:ascii="Times New Roman;Times;serif" w:hAnsi="Times New Roman;Times;serif"/>
          <w:sz w:val="20"/>
        </w:rPr>
      </w:pPr>
      <w:bookmarkStart w:id="69" w:name="_mps304427940000000000000004054000000000"/>
      <w:bookmarkEnd w:id="69"/>
      <w:r>
        <w:rPr>
          <w:rFonts w:ascii="Times New Roman;Times;serif" w:hAnsi="Times New Roman;Times;serif"/>
          <w:sz w:val="20"/>
        </w:rPr>
        <w:t>19</w:t>
      </w:r>
    </w:p>
    <w:p>
      <w:pPr>
        <w:pStyle w:val="HorizontalLine"/>
        <w:rPr/>
      </w:pPr>
      <w:r>
        <w:rPr/>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Notwithstanding anything to the contrary, in connection with any such termination, the depositary may, in its sole discretion and without notice to us, establish an unsponsored American depositary share program (on such terms as the depositary may determine) for our shares and make available to ADR holders a means to withdraw the shares represented by the ADSs issued under the deposit agreement and to direct the deposit of such shares into such unsponsored American depositary share program, subject, in each case, to receipt by the depositary, at its discretion, of the fees, charges and expenses provided for under the deposit agreement and the fees, charges and expenses applicable to the unsponsored American depositary share program.</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b/>
          <w:sz w:val="20"/>
          <w:highlight w:val="white"/>
        </w:rPr>
      </w:pPr>
      <w:r>
        <w:rPr>
          <w:rFonts w:ascii="Times New Roman;Times;serif" w:hAnsi="Times New Roman;Times;serif"/>
          <w:b/>
          <w:sz w:val="20"/>
          <w:highlight w:val="white"/>
        </w:rPr>
        <w:t>Limitations on Obligations and Liability to ADR holders</w:t>
      </w:r>
      <w:r>
        <w:rPr>
          <w:rFonts w:ascii="Times New Roman;Times;serif" w:hAnsi="Times New Roman;Times;serif"/>
          <w:b/>
          <w:spacing w:val="4"/>
          <w:sz w:val="20"/>
          <w:highlight w:val="white"/>
        </w:rPr>
        <w:t> </w:t>
      </w:r>
    </w:p>
    <w:p>
      <w:pPr>
        <w:pStyle w:val="TextBody"/>
        <w:spacing w:before="0" w:after="240"/>
        <w:ind w:left="0" w:right="0" w:hanging="0"/>
        <w:jc w:val="both"/>
        <w:rPr>
          <w:rFonts w:ascii="Times New Roman;Times;serif" w:hAnsi="Times New Roman;Times;serif"/>
          <w:b/>
          <w:i/>
          <w:sz w:val="20"/>
          <w:highlight w:val="white"/>
        </w:rPr>
      </w:pPr>
      <w:r>
        <w:rPr>
          <w:rFonts w:ascii="Times New Roman;Times;serif" w:hAnsi="Times New Roman;Times;serif"/>
          <w:b/>
          <w:i/>
          <w:sz w:val="20"/>
          <w:highlight w:val="white"/>
        </w:rPr>
        <w:t>Limits on our obligations and the obligations of the depositary; limits on liability to ADR holders and holders of ADSs</w:t>
      </w:r>
      <w:r>
        <w:rPr>
          <w:rFonts w:ascii="Times New Roman;Times;serif" w:hAnsi="Times New Roman;Times;serif"/>
          <w:b/>
          <w:i/>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r>
        <w:rPr>
          <w:rFonts w:ascii="Times New Roman;Times;serif" w:hAnsi="Times New Roman;Times;serif"/>
          <w:spacing w:val="4"/>
          <w:sz w:val="20"/>
          <w:highlight w:val="white"/>
        </w:rPr>
        <w:t> </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payment with respect thereto of  (i) any share transfer or other tax or other governmental charge, (ii) any share transfer or registration fees in effect for the registration of transfers of shares or other deposited securities upon any applicable register, and (iii) any applicable fees and expenses described in the deposit agreement;</w:t>
            </w:r>
            <w:r>
              <w:rPr>
                <w:caps w:val="false"/>
                <w:smallCaps w:val="false"/>
                <w:spacing w:val="4"/>
              </w:rPr>
              <w: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w:t>
            </w:r>
            <w:r>
              <w:rPr>
                <w:caps w:val="false"/>
                <w:smallCaps w:val="false"/>
                <w:spacing w:val="4"/>
              </w:rPr>
              <w:t> </w:t>
            </w:r>
          </w:p>
        </w:tc>
      </w:tr>
    </w:tbl>
    <w:tbl>
      <w:tblPr>
        <w:tblW w:w="8718" w:type="dxa"/>
        <w:jc w:val="left"/>
        <w:tblInd w:w="0" w:type="dxa"/>
        <w:tblCellMar>
          <w:top w:w="0" w:type="dxa"/>
          <w:left w:w="0" w:type="dxa"/>
          <w:bottom w:w="0" w:type="dxa"/>
          <w:right w:w="0" w:type="dxa"/>
        </w:tblCellMar>
      </w:tblPr>
      <w:tblGrid>
        <w:gridCol w:w="23"/>
        <w:gridCol w:w="170"/>
        <w:gridCol w:w="8525"/>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525"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compliance with such regulations as the depositary may establish consistent with the deposit agreement.</w:t>
            </w:r>
            <w:r>
              <w:rPr>
                <w:caps w:val="false"/>
                <w:smallCaps w:val="false"/>
                <w:spacing w:val="4"/>
              </w:rPr>
              <w:t> </w:t>
            </w:r>
          </w:p>
        </w:tc>
      </w:tr>
    </w:tbl>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deposit agreement expressly limits the obligations and liability of the depositary, ourselves and our respective agents, provided, however, that no disclaimer of liability under the Securities Act is intended by any of the limitations of liabilities provisions of the deposit agreement. The deposit agreement provides that each of us, the depositary and each of their and our respective directors, officers, employees, agents and affiliates will:</w:t>
      </w:r>
      <w:r>
        <w:rPr>
          <w:rFonts w:ascii="Times New Roman;Times;serif" w:hAnsi="Times New Roman;Times;serif"/>
          <w:spacing w:val="4"/>
          <w:sz w:val="20"/>
          <w:highlight w:val="white"/>
        </w:rPr>
        <w:t> </w:t>
      </w:r>
    </w:p>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incur or assume no liability (including, without limitation, to holders or beneficial owners) if any present or future law, rule, regulation, fiat, order or decree of the Cayman Islands, Hong Kong Special Administrative Region, the People’s Republic of China, the United States or any other country or jurisdiction, or of any governmental or regulatory authority or securities exchange or market or automated quotation system, the provisions of or governing any deposited securities, any present or future provision of our governing documents, any act of God, war, terrorism, nationalization, expropriation, currency restrictions, work stoppage, strike, civil unrest, revolutions, rebellions, explosions, computer failure or circumstance beyond </w:t>
            </w:r>
          </w:p>
        </w:tc>
      </w:tr>
    </w:tbl>
    <w:p>
      <w:pPr>
        <w:pStyle w:val="TextBody"/>
        <w:spacing w:before="0" w:after="0"/>
        <w:ind w:left="0" w:right="0" w:hanging="0"/>
        <w:jc w:val="center"/>
        <w:rPr>
          <w:rFonts w:ascii="Times New Roman;Times;serif" w:hAnsi="Times New Roman;Times;serif"/>
          <w:sz w:val="20"/>
        </w:rPr>
      </w:pPr>
      <w:bookmarkStart w:id="70" w:name="_mps304427940000000000000004054000000000"/>
      <w:bookmarkEnd w:id="70"/>
      <w:r>
        <w:rPr>
          <w:rFonts w:ascii="Times New Roman;Times;serif" w:hAnsi="Times New Roman;Times;serif"/>
          <w:sz w:val="20"/>
        </w:rPr>
        <w:t>20</w:t>
      </w:r>
    </w:p>
    <w:p>
      <w:pPr>
        <w:pStyle w:val="HorizontalLine"/>
        <w:rPr/>
      </w:pPr>
      <w:r>
        <w:rPr/>
      </w:r>
    </w:p>
    <w:tbl>
      <w:tblPr>
        <w:tblW w:w="10205" w:type="dxa"/>
        <w:jc w:val="left"/>
        <w:tblInd w:w="0" w:type="dxa"/>
        <w:tblCellMar>
          <w:top w:w="0" w:type="dxa"/>
          <w:left w:w="0" w:type="dxa"/>
          <w:bottom w:w="0" w:type="dxa"/>
          <w:right w:w="0" w:type="dxa"/>
        </w:tblCellMar>
      </w:tblPr>
      <w:tblGrid>
        <w:gridCol w:w="23"/>
        <w:gridCol w:w="23"/>
        <w:gridCol w:w="10159"/>
      </w:tblGrid>
      <w:tr>
        <w:trPr/>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0159"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r>
              <w:rPr>
                <w:caps w:val="false"/>
                <w:smallCaps w:val="false"/>
                <w:spacing w:val="4"/>
              </w:rPr>
              <w: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incur or assume no liability (including, without limitation, to holders or beneficial owners) by reason of any non-performance or delay, caused as aforesaid, in the performance of any act or things which by the terms of the deposit agreement it is provided shall or may be done or performed or any exercise or failure to exercise discretion under the deposit agreement or the ADRs including, without limitation, any failure to determine that any distribution or action may be lawful or reasonably practicable;</w:t>
            </w:r>
            <w:r>
              <w:rPr>
                <w:caps w:val="false"/>
                <w:smallCaps w:val="false"/>
                <w:spacing w:val="4"/>
              </w:rPr>
              <w: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incur or assume no liability (including, without limitation, to holders or beneficial owners) if it performs its obligations under the deposit agreement and ADRs without gross negligence or willful misconduct;</w:t>
            </w:r>
            <w:r>
              <w:rPr>
                <w:caps w:val="false"/>
                <w:smallCaps w:val="false"/>
                <w:spacing w:val="4"/>
              </w:rPr>
              <w: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in the case of the depositary and its agents, be under no obligation to appear in, prosecute or defend any action, suit or other proceeding in respect of any deposited securities the ADSs or the ADRs;</w:t>
            </w:r>
            <w:r>
              <w:rPr>
                <w:caps w:val="false"/>
                <w:smallCaps w:val="false"/>
                <w:spacing w:val="4"/>
              </w:rPr>
              <w: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in the case of us and our agents, be under no obligation to appear in, prosecute or defend any action, suit or other proceeding in respect of any deposited securities the ADSs or the ADRs, which in our or our agents’ opinion, as the case may be, may involve it in expense or liability, unless indemnity satisfactory to us or our agent, as the case may be against all expense (including fees and disbursements of counsel) and liability be furnished as often as may be required;</w:t>
            </w:r>
            <w:r>
              <w:rPr>
                <w:caps w:val="false"/>
                <w:smallCaps w:val="false"/>
                <w:spacing w:val="4"/>
              </w:rPr>
              <w: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not be liable (including, without limitation, to holders or beneficial owners) for any action or inaction by it in reliance upon the advice of or information from any legal counsel, any accountant, any person presenting shares for deposit, any registered holder of ADRs, or any other person believed by it to be competent to give such advice or information and/or, in the case of the depositary, us; or</w:t>
            </w:r>
            <w:r>
              <w:rPr>
                <w:caps w:val="false"/>
                <w:smallCaps w:val="false"/>
                <w:spacing w:val="4"/>
              </w:rPr>
              <w: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may rely and shall be protected in acting upon any written notice, request, direction, instruction or document believed by it to be genuine and to have been signed, presented or given by the proper party or parties.</w:t>
            </w:r>
            <w:r>
              <w:rPr>
                <w:caps w:val="false"/>
                <w:smallCaps w:val="false"/>
                <w:spacing w:val="4"/>
              </w:rPr>
              <w:t> </w:t>
            </w:r>
          </w:p>
        </w:tc>
      </w:tr>
    </w:tbl>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Chase Bank, N.A. Notwithstanding anything to the contrary contained in the deposit agreement or any ADRs, the depositary shall not be responsible for, and shall incur no liability in connection with or arising from, any act or omission to act on the part of the custodian except to the extent that any registered ADR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but not limited to, pricing, proxy voting, corporate actions, class action litigation and other services in connection with the ADRs and the deposit agreement, and use local agents to provide services such as, but not limited to, attendance at any meetings of security holders of issuers.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 </w:t>
      </w:r>
    </w:p>
    <w:p>
      <w:pPr>
        <w:pStyle w:val="TextBody"/>
        <w:spacing w:before="0" w:after="0"/>
        <w:ind w:left="0" w:right="0" w:hanging="0"/>
        <w:jc w:val="center"/>
        <w:rPr>
          <w:rFonts w:ascii="Times New Roman;Times;serif" w:hAnsi="Times New Roman;Times;serif"/>
          <w:sz w:val="20"/>
        </w:rPr>
      </w:pPr>
      <w:bookmarkStart w:id="71" w:name="_mps304427940000000000000004054000000000"/>
      <w:bookmarkEnd w:id="71"/>
      <w:r>
        <w:rPr>
          <w:rFonts w:ascii="Times New Roman;Times;serif" w:hAnsi="Times New Roman;Times;serif"/>
          <w:sz w:val="20"/>
        </w:rPr>
        <w:t>21</w:t>
      </w:r>
    </w:p>
    <w:p>
      <w:pPr>
        <w:pStyle w:val="HorizontalLine"/>
        <w:rPr/>
      </w:pPr>
      <w:r>
        <w:rPr/>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The depositary has no obligation to inform ADR holders or beneficial owners about the requirements of the laws, rules or regulations or any changes therein or thereto of the Cayman Islands, Hong Kong Special Administrative Region, the People’s Republic of China, the United States or any other country or jurisdiction or of any governmental or regulatory authority or any securities exchange or market or automated quotation system.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Additionally, none of us, the depositary or the custodian shall be liable for the failure by any registered holder of ADRs or beneficial owner therein to obtain the benefits of credits or refunds of non-U.S. tax paid against such ADR holder’s or beneficial owner’s income tax liability. The depositary is under no obligation to provide the ADR holders and beneficial owners, or any of them, with any information about our tax status. Neither we nor the depositary shall incur any liability for any tax or tax consequences that may be incurred by registered ADR holders or beneficial owners on account of their ownership or disposition of ADRs or ADSs.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Neither the depositary nor its agents will be responsible for any failure to carry out any instructions to vote any of the deposited securities, for the manner in which any voting instructions are given, or deemed to be given pursuant to the terms of the deposit agreement, including instructions to give a discretionary proxy to a person designated by us, for the manner in which any vote is cast, including, without limitation, any vote cast by a person to whom the depositary is instructed to grant a discretionary proxy (or deemed to have been instructed pursuant to the terms of the deposit agreement),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for any indirect, special, punitive or consequential damages (including, without limitation, legal fees and expenses) or lost profits, in each case of any form incurred by any person or entity (including, without limitation holders or beneficial owners of ADRs and ADSs), whether or not foreseeable and regardless of the type of action in which such a claim may be brought.</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In the deposit agreement each party thereto (including, for avoidance of doubt, each ADR holder and beneficial owner)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No provision of the deposit agreement or the ADRs is intended to constitute a waiver or limitation of any rights which an ADR holder or any beneficial owner may have under the Exchange Act, to the extent applicable.</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depositary and its agents may own and deal in any class of securities of our company and our affiliates and in ADRs.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b/>
          <w:sz w:val="20"/>
          <w:highlight w:val="white"/>
        </w:rPr>
      </w:pPr>
      <w:r>
        <w:rPr>
          <w:rFonts w:ascii="Times New Roman;Times;serif" w:hAnsi="Times New Roman;Times;serif"/>
          <w:b/>
          <w:sz w:val="20"/>
          <w:highlight w:val="white"/>
        </w:rPr>
        <w:t>Disclosure of Interest in ADSs</w:t>
      </w:r>
      <w:r>
        <w:rPr>
          <w:rFonts w:ascii="Times New Roman;Times;serif" w:hAnsi="Times New Roman;Times;serif"/>
          <w:b/>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b/>
          <w:sz w:val="20"/>
          <w:highlight w:val="white"/>
        </w:rPr>
      </w:pPr>
      <w:r>
        <w:rPr>
          <w:rFonts w:ascii="Times New Roman;Times;serif" w:hAnsi="Times New Roman;Times;serif"/>
          <w:b/>
          <w:sz w:val="20"/>
          <w:highlight w:val="white"/>
        </w:rPr>
        <w:t>Books of Depositary</w:t>
      </w:r>
      <w:r>
        <w:rPr>
          <w:rFonts w:ascii="Times New Roman;Times;serif" w:hAnsi="Times New Roman;Times;serif"/>
          <w:b/>
          <w:spacing w:val="4"/>
          <w:sz w:val="20"/>
          <w:highlight w:val="white"/>
        </w:rPr>
        <w:t> </w:t>
      </w:r>
    </w:p>
    <w:p>
      <w:pPr>
        <w:pStyle w:val="TextBody"/>
        <w:spacing w:before="0" w:after="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The depositary or its agent will maintain a register for the registration, registration of transfer, combination and split-up of ADRs, which register shall include the depositary’s direct registration system. Registered holders of ADRs may </w:t>
      </w:r>
    </w:p>
    <w:p>
      <w:pPr>
        <w:pStyle w:val="TextBody"/>
        <w:spacing w:before="0" w:after="0"/>
        <w:ind w:left="0" w:right="0" w:hanging="0"/>
        <w:jc w:val="center"/>
        <w:rPr>
          <w:rFonts w:ascii="Times New Roman;Times;serif" w:hAnsi="Times New Roman;Times;serif"/>
          <w:sz w:val="20"/>
        </w:rPr>
      </w:pPr>
      <w:bookmarkStart w:id="72" w:name="_mps304427940000000000000004054000000000"/>
      <w:bookmarkEnd w:id="72"/>
      <w:r>
        <w:rPr>
          <w:rFonts w:ascii="Times New Roman;Times;serif" w:hAnsi="Times New Roman;Times;serif"/>
          <w:sz w:val="20"/>
        </w:rPr>
        <w:t>22</w:t>
      </w:r>
    </w:p>
    <w:p>
      <w:pPr>
        <w:pStyle w:val="HorizontalLine"/>
        <w:rPr/>
      </w:pPr>
      <w:r>
        <w:rPr/>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inspect such records at the depositary’s office at all reasonable times, but solely for the purpose of communicating with other ADR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us solely in order to enable us to comply with applicable law.</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depositary will maintain facilities for the delivery and receipt of ADRs.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b/>
          <w:sz w:val="20"/>
          <w:highlight w:val="white"/>
        </w:rPr>
      </w:pPr>
      <w:r>
        <w:rPr>
          <w:rFonts w:ascii="Times New Roman;Times;serif" w:hAnsi="Times New Roman;Times;serif"/>
          <w:b/>
          <w:sz w:val="20"/>
          <w:highlight w:val="white"/>
        </w:rPr>
        <w:t>Appointment</w:t>
      </w:r>
      <w:r>
        <w:rPr>
          <w:rFonts w:ascii="Times New Roman;Times;serif" w:hAnsi="Times New Roman;Times;serif"/>
          <w:b/>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In the deposit agreement, each registered holder of ADRs and each beneficial owner, upon acceptance of any ADSs or ADRs (or any interest in any of them) issued in accordance with the terms and conditions of the deposit agreement will be deemed for all purposes to:</w:t>
      </w:r>
      <w:r>
        <w:rPr>
          <w:rFonts w:ascii="Times New Roman;Times;serif" w:hAnsi="Times New Roman;Times;serif"/>
          <w:spacing w:val="4"/>
          <w:sz w:val="20"/>
          <w:highlight w:val="white"/>
        </w:rPr>
        <w:t> </w:t>
      </w:r>
    </w:p>
    <w:tbl>
      <w:tblPr>
        <w:tblW w:w="8283" w:type="dxa"/>
        <w:jc w:val="left"/>
        <w:tblInd w:w="0" w:type="dxa"/>
        <w:tblCellMar>
          <w:top w:w="0" w:type="dxa"/>
          <w:left w:w="0" w:type="dxa"/>
          <w:bottom w:w="0" w:type="dxa"/>
          <w:right w:w="0" w:type="dxa"/>
        </w:tblCellMar>
      </w:tblPr>
      <w:tblGrid>
        <w:gridCol w:w="23"/>
        <w:gridCol w:w="170"/>
        <w:gridCol w:w="8090"/>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8090"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be a party to and be bound by the terms of the deposit agreement and the applicable ADR or ADRs,</w:t>
            </w:r>
            <w:r>
              <w:rPr>
                <w:caps w:val="false"/>
                <w:smallCaps w:val="false"/>
                <w:spacing w:val="4"/>
              </w:rPr>
              <w: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or ADRs, the taking of such actions to be the conclusive determinant of the necessity and appropriateness thereof; and</w:t>
            </w:r>
            <w:r>
              <w:rPr>
                <w:caps w:val="false"/>
                <w:smallCaps w:val="false"/>
                <w:spacing w:val="4"/>
              </w:rPr>
              <w:t> </w:t>
            </w:r>
          </w:p>
        </w:tc>
      </w:tr>
    </w:tbl>
    <w:tbl>
      <w:tblPr>
        <w:tblW w:w="10205" w:type="dxa"/>
        <w:jc w:val="left"/>
        <w:tblInd w:w="0" w:type="dxa"/>
        <w:tblCellMar>
          <w:top w:w="0" w:type="dxa"/>
          <w:left w:w="0" w:type="dxa"/>
          <w:bottom w:w="0" w:type="dxa"/>
          <w:right w:w="0" w:type="dxa"/>
        </w:tblCellMar>
      </w:tblPr>
      <w:tblGrid>
        <w:gridCol w:w="23"/>
        <w:gridCol w:w="170"/>
        <w:gridCol w:w="10012"/>
      </w:tblGrid>
      <w:tr>
        <w:trPr/>
        <w:tc>
          <w:tcPr>
            <w:tcW w:w="2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10012" w:type="dxa"/>
            <w:tcBorders/>
            <w:shd w:fill="auto" w:val="clear"/>
            <w:vAlign w:val="center"/>
          </w:tcPr>
          <w:p>
            <w:pPr>
              <w:pStyle w:val="TableContents"/>
              <w:spacing w:before="0" w:after="283"/>
              <w:rPr/>
            </w:pPr>
            <w:r>
              <w:rPr>
                <w:rFonts w:ascii="Times New Roman;Times;serif" w:hAnsi="Times New Roman;Times;serif"/>
                <w:b w:val="false"/>
                <w:i w:val="false"/>
                <w:caps w:val="false"/>
                <w:smallCaps w:val="false"/>
                <w:sz w:val="20"/>
              </w:rPr>
              <w:t>acknowledge and agree that (i) nothing contained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holders, beneficial owners and/or their respective affiliates, (iii) the depositary and its divisions, branches and affiliates may at any time have multiple banking relationships with us, holders, beneficial owners and/or the affiliates of any of them, (iv) the depositary and its divisions, branches and affiliates may, from time to time, be engaged in transactions in which parties adverse to us or the holders or beneficial owners and/or their respective affiliates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 holder shall be deemed, for all purposes of the deposit agreement and the ADR(s), to constitute notice to any and all beneficial owners of the ADSs evidenced by such holder’s ADRs. For all purposes under the deposit agreement and the ADR(s), the holder hereof shall be deemed to have all requisite authority to act on behalf of any and all beneficial owners of the ADSs evidenced by the ADR(s).</w:t>
            </w:r>
            <w:r>
              <w:rPr>
                <w:caps w:val="false"/>
                <w:smallCaps w:val="false"/>
                <w:spacing w:val="4"/>
              </w:rPr>
              <w:t> </w:t>
            </w:r>
          </w:p>
        </w:tc>
      </w:tr>
    </w:tbl>
    <w:p>
      <w:pPr>
        <w:pStyle w:val="TextBody"/>
        <w:spacing w:before="0" w:after="240"/>
        <w:ind w:left="0" w:right="0" w:hanging="0"/>
        <w:jc w:val="both"/>
        <w:rPr>
          <w:rFonts w:ascii="Times New Roman;Times;serif" w:hAnsi="Times New Roman;Times;serif"/>
          <w:b/>
          <w:sz w:val="20"/>
          <w:highlight w:val="white"/>
        </w:rPr>
      </w:pPr>
      <w:r>
        <w:rPr>
          <w:rFonts w:ascii="Times New Roman;Times;serif" w:hAnsi="Times New Roman;Times;serif"/>
          <w:b/>
          <w:sz w:val="20"/>
          <w:highlight w:val="white"/>
        </w:rPr>
        <w:t>Governing Law</w:t>
      </w:r>
      <w:r>
        <w:rPr>
          <w:rFonts w:ascii="Times New Roman;Times;serif" w:hAnsi="Times New Roman;Times;serif"/>
          <w:b/>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The deposit agreement, the ADSs and the ADRs are governed by and construed in accordance with the internal laws of the State of New York. In the deposit agreement, we have submitted to the non-exclusive jurisdiction of the courts of the State of New York and appointed an agent for service of process on our behalf. Any action based on the deposit agreement, the ADSs, the ADRs or the transactions contemplated therein or thereby may also be instituted by the depositary against us in any competent court in the Cayman Islands, Hong Kong Special Administrative Region, the United States and/or any other court of competent jurisdiction.</w:t>
      </w:r>
      <w:r>
        <w:rPr>
          <w:rFonts w:ascii="Times New Roman;Times;serif" w:hAnsi="Times New Roman;Times;serif"/>
          <w:spacing w:val="4"/>
          <w:sz w:val="20"/>
          <w:highlight w:val="white"/>
        </w:rPr>
        <w:t> </w:t>
      </w:r>
    </w:p>
    <w:p>
      <w:pPr>
        <w:pStyle w:val="TextBody"/>
        <w:spacing w:before="0" w:after="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 xml:space="preserve">Under the deposit agreement, by holding or owning an ADR or ADS or an interest therein, ADR holders and beneficial owners each irrevocably agree that any legal suit, action or proceeding against or involving ADR holders or beneficial owners brought by us or the depositary, arising out of or based on the deposit agreement, the ADSs, the ADRs or the transactions contemplated thereby, may be instituted in a state or federal court in New York, New York, irrevocably </w:t>
      </w:r>
    </w:p>
    <w:p>
      <w:pPr>
        <w:pStyle w:val="TextBody"/>
        <w:spacing w:before="0" w:after="0"/>
        <w:ind w:left="0" w:right="0" w:hanging="0"/>
        <w:jc w:val="center"/>
        <w:rPr>
          <w:rFonts w:ascii="Times New Roman;Times;serif" w:hAnsi="Times New Roman;Times;serif"/>
          <w:sz w:val="20"/>
        </w:rPr>
      </w:pPr>
      <w:bookmarkStart w:id="73" w:name="_mps304427940000000000000004054000000000"/>
      <w:bookmarkEnd w:id="73"/>
      <w:r>
        <w:rPr>
          <w:rFonts w:ascii="Times New Roman;Times;serif" w:hAnsi="Times New Roman;Times;serif"/>
          <w:sz w:val="20"/>
        </w:rPr>
        <w:t>23</w:t>
      </w:r>
    </w:p>
    <w:p>
      <w:pPr>
        <w:pStyle w:val="HorizontalLine"/>
        <w:rPr/>
      </w:pPr>
      <w:r>
        <w:rPr/>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waive any objection which they may have to the laying of venue of any such proceeding, and irrevocably submit to the non-exclusive jurisdiction of such courts in any such suit, action or proceeding. By holding or owning an ADR or ADS or an interest therein, ADR holders and beneficial owners each also irrevocably agree that any legal suit, action or proceeding against or involving us and/or the depositary brought by ADR holders or beneficial owners, arising out of or based on the deposit agreement, the ADSs, the ADRs or the transactions contemplated thereby, may only be instituted in the United States District Court for the Southern District of New York (or in the state courts of New York County in New York if either (i) the United States District Court for the Southern District of New York lacks subject matter jurisdiction over a particular dispute or (ii) the designation of the United States District Court for the Southern District of New York as the exclusive forum for any particular dispute is, or becomes, invalid, illegal or unenforceable).</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Notwithstanding the foregoing, (i) the depositary may, in its sole discretion, elect to institute and/or refer any dispute, suit, action, controversy, claim or proceeding directly or indirectly based on, arising out of or relating to the deposit agreement, the ADSs, the ADRs or the transactions contemplated therein or thereby, including without limitation any question regarding its or their existence, validity, interpretation, performance or termination, against any other party or parties to the deposit agreement (including, without limitation, against ADR holders and beneficial owners of interests in ADSs), by having the matter referred to and finally resolved by an arbitration as set forth in the deposit agreement, and (ii) the depositary may in its sole discretion require, by written notice to the relevant party or parties, that any dispute, suit, action, controversy, claim or proceeding against the depositary by any party or parties to the deposit agreement (including, without limitation, by ADR holders and beneficial owners of interests in ADSs) shall be referred to and finally settled by an arbitration conducted as set forth in the deposit agreement.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b/>
          <w:sz w:val="20"/>
          <w:highlight w:val="white"/>
        </w:rPr>
      </w:pPr>
      <w:r>
        <w:rPr>
          <w:rFonts w:ascii="Times New Roman;Times;serif" w:hAnsi="Times New Roman;Times;serif"/>
          <w:b/>
          <w:sz w:val="20"/>
          <w:highlight w:val="white"/>
        </w:rPr>
        <w:t>Jury Trial Waiver</w:t>
      </w:r>
      <w:r>
        <w:rPr>
          <w:rFonts w:ascii="Times New Roman;Times;serif" w:hAnsi="Times New Roman;Times;serif"/>
          <w:b/>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claim or proceeding against the depositary and/or us directly or indirectly arising out of, based on or relating in any way to the shares or other deposited securities, the ADSs or the ADRs, the deposit agreement or any transaction contemplated therein, or the breach thereof  (whether based on contract, tort, common law or any other theory), including any claim under the U.S. federal securities laws.</w:t>
      </w:r>
      <w:r>
        <w:rPr>
          <w:rFonts w:ascii="Times New Roman;Times;serif" w:hAnsi="Times New Roman;Times;serif"/>
          <w:spacing w:val="4"/>
          <w:sz w:val="20"/>
          <w:highlight w:val="white"/>
        </w:rPr>
        <w:t> </w:t>
      </w:r>
    </w:p>
    <w:p>
      <w:pPr>
        <w:pStyle w:val="TextBody"/>
        <w:spacing w:before="0" w:after="240"/>
        <w:ind w:left="0" w:right="0" w:hanging="0"/>
        <w:jc w:val="both"/>
        <w:rPr>
          <w:rFonts w:ascii="Times New Roman;Times;serif" w:hAnsi="Times New Roman;Times;serif"/>
          <w:sz w:val="20"/>
          <w:highlight w:val="white"/>
        </w:rPr>
      </w:pPr>
      <w:r>
        <w:rPr>
          <w:rFonts w:ascii="Times New Roman;Times;serif" w:hAnsi="Times New Roman;Times;serif"/>
          <w:sz w:val="20"/>
          <w:highlight w:val="white"/>
        </w:rPr>
        <w:t>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jury trial. The waiver to right to a jury trial in the deposit agreement is not intended to be deemed a waiver by any holder or beneficial owner of ADSs of our or the depositary’s compliance with the U.S. federal securities laws and the rules and regulations promulgated thereunder.</w:t>
      </w:r>
    </w:p>
    <w:p>
      <w:pPr>
        <w:pStyle w:val="TextBody"/>
        <w:spacing w:before="0" w:after="0"/>
        <w:ind w:left="0" w:right="0" w:hanging="0"/>
        <w:jc w:val="center"/>
        <w:rPr>
          <w:rFonts w:ascii="Times New Roman;Times;serif" w:hAnsi="Times New Roman;Times;serif"/>
          <w:sz w:val="20"/>
        </w:rPr>
      </w:pPr>
      <w:bookmarkStart w:id="74" w:name="_mps304427940000000000000004054000000000"/>
      <w:bookmarkEnd w:id="74"/>
      <w:r>
        <w:rPr>
          <w:rFonts w:ascii="Times New Roman;Times;serif" w:hAnsi="Times New Roman;Times;serif"/>
          <w:sz w:val="20"/>
        </w:rPr>
        <w:t>24</w:t>
      </w:r>
    </w:p>
    <w:p>
      <w:pPr>
        <w:pStyle w:val="HorizontalLine"/>
        <w:rPr/>
      </w:pPr>
      <w:r>
        <w:rPr/>
      </w:r>
      <w:r>
        <w:br w:type="page"/>
      </w:r>
    </w:p>
    <w:p>
      <w:pPr>
        <w:pStyle w:val="TextBody"/>
        <w:spacing w:before="0" w:after="0"/>
        <w:ind w:left="0" w:right="0" w:hanging="0"/>
        <w:jc w:val="both"/>
        <w:rPr/>
      </w:pPr>
      <w:bookmarkStart w:id="75" w:name="gpcr-20221231xex10d3.htm"/>
      <w:bookmarkStart w:id="76" w:name="ksgpcr20221231xex10d3"/>
      <w:bookmarkEnd w:id="75"/>
      <w:bookmarkEnd w:id="76"/>
      <w:r>
        <w:rPr/>
        <w:t>​</w:t>
      </w:r>
    </w:p>
    <w:p>
      <w:pPr>
        <w:pStyle w:val="TextBody"/>
        <w:spacing w:before="0" w:after="0"/>
        <w:ind w:left="0" w:right="0" w:hanging="0"/>
        <w:jc w:val="center"/>
        <w:rPr>
          <w:rFonts w:ascii="Times New Roman;Times;serif" w:hAnsi="Times New Roman;Times;serif"/>
          <w:b/>
          <w:smallCaps/>
          <w:sz w:val="28"/>
        </w:rPr>
      </w:pPr>
      <w:r>
        <w:rPr>
          <w:rFonts w:ascii="Times New Roman;Times;serif" w:hAnsi="Times New Roman;Times;serif"/>
          <w:b/>
          <w:smallCaps/>
          <w:sz w:val="28"/>
        </w:rPr>
        <w:t>Structure Therapeutics Inc.</w:t>
      </w:r>
    </w:p>
    <w:p>
      <w:pPr>
        <w:pStyle w:val="TextBody"/>
        <w:spacing w:before="0" w:after="240"/>
        <w:ind w:left="0" w:right="0" w:hanging="0"/>
        <w:jc w:val="center"/>
        <w:rPr>
          <w:rFonts w:ascii="Times New Roman;Times;serif" w:hAnsi="Times New Roman;Times;serif"/>
          <w:b/>
          <w:smallCaps/>
          <w:sz w:val="28"/>
        </w:rPr>
      </w:pPr>
      <w:r>
        <w:rPr>
          <w:rFonts w:ascii="Times New Roman;Times;serif" w:hAnsi="Times New Roman;Times;serif"/>
          <w:b/>
          <w:smallCaps/>
          <w:sz w:val="28"/>
        </w:rPr>
        <w:t>2023 Equity Incentive Plan</w:t>
      </w:r>
    </w:p>
    <w:p>
      <w:pPr>
        <w:pStyle w:val="TextBody"/>
        <w:spacing w:before="0" w:after="0"/>
        <w:ind w:left="0" w:right="0" w:hanging="0"/>
        <w:jc w:val="center"/>
        <w:rPr>
          <w:rFonts w:ascii="Times New Roman;Times;serif" w:hAnsi="Times New Roman;Times;serif"/>
          <w:b/>
          <w:smallCaps/>
          <w:sz w:val="22"/>
        </w:rPr>
      </w:pPr>
      <w:r>
        <w:rPr>
          <w:rFonts w:ascii="Times New Roman;Times;serif" w:hAnsi="Times New Roman;Times;serif"/>
          <w:b/>
          <w:smallCaps/>
          <w:sz w:val="22"/>
        </w:rPr>
        <w:t>Adopted by the Board of Directors: January 11, 2023</w:t>
        <w:br/>
        <w:t>Approved by the Shareholders: January 19, 2023</w:t>
      </w:r>
    </w:p>
    <w:p>
      <w:pPr>
        <w:pStyle w:val="TextBody"/>
        <w:spacing w:before="0" w:after="240"/>
        <w:ind w:left="0" w:right="0" w:hanging="0"/>
        <w:jc w:val="center"/>
        <w:rPr>
          <w:rFonts w:ascii="Times New Roman;Times;serif" w:hAnsi="Times New Roman;Times;serif"/>
          <w:b/>
          <w:smallCaps/>
          <w:sz w:val="22"/>
        </w:rPr>
      </w:pPr>
      <w:r>
        <w:rPr>
          <w:rFonts w:ascii="Times New Roman;Times;serif" w:hAnsi="Times New Roman;Times;serif"/>
          <w:b/>
          <w:smallCaps/>
          <w:sz w:val="22"/>
        </w:rPr>
        <w:t xml:space="preserve">IPO Date: February 2, 2023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1.</w:t>
      </w:r>
      <w:bookmarkStart w:id="77" w:name="_Toc49349640"/>
      <w:bookmarkStart w:id="78" w:name="_Ref92447064"/>
      <w:bookmarkEnd w:id="77"/>
      <w:bookmarkEnd w:id="78"/>
      <w:r>
        <w:rPr>
          <w:rFonts w:ascii="Times New Roman;Times;serif" w:hAnsi="Times New Roman;Times;serif"/>
          <w:b/>
          <w:smallCaps/>
          <w:sz w:val="24"/>
        </w:rPr>
        <w:t>General.</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(a)</w:t>
      </w:r>
      <w:bookmarkStart w:id="79" w:name="_Ref92447068"/>
      <w:bookmarkEnd w:id="79"/>
      <w:r>
        <w:rPr>
          <w:rFonts w:ascii="Times New Roman;Times;serif" w:hAnsi="Times New Roman;Times;serif"/>
          <w:b/>
          <w:sz w:val="24"/>
        </w:rPr>
        <w:t>Successor to and Continuation of Prior Plan.</w:t>
      </w:r>
      <w:r>
        <w:rPr>
          <w:rFonts w:ascii="Times New Roman;Times;serif" w:hAnsi="Times New Roman;Times;serif"/>
          <w:sz w:val="24"/>
        </w:rPr>
        <w:t xml:space="preserve">  The Plan is the successor to and continuation of the Prior Plan.  As of the Effective Date, (i) no additional awards may be granted under the Prior Plan, (ii) the Prior Plan’s Available Reserve plus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(b)</w:t>
      </w:r>
      <w:bookmarkStart w:id="80" w:name="_Ref218923130"/>
      <w:bookmarkEnd w:id="80"/>
      <w:r>
        <w:rPr>
          <w:rFonts w:ascii="Times New Roman;Times;serif" w:hAnsi="Times New Roman;Times;serif"/>
          <w:b/>
          <w:sz w:val="24"/>
        </w:rPr>
        <w:t>Plan Purpose.</w:t>
      </w:r>
      <w:r>
        <w:rPr>
          <w:rFonts w:ascii="Times New Roman;Times;serif" w:hAnsi="Times New Roman;Times;serif"/>
          <w:sz w:val="24"/>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Shares through the granting of Awards.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(c)</w:t>
      </w:r>
      <w:bookmarkStart w:id="81" w:name="_DV_M7"/>
      <w:bookmarkEnd w:id="81"/>
      <w:r>
        <w:rPr>
          <w:rFonts w:ascii="Times New Roman;Times;serif" w:hAnsi="Times New Roman;Times;serif"/>
          <w:b/>
          <w:sz w:val="24"/>
        </w:rPr>
        <w:t>Available Awards.</w:t>
      </w:r>
      <w:r>
        <w:rPr>
          <w:rFonts w:ascii="Times New Roman;Times;serif" w:hAnsi="Times New Roman;Times;serif"/>
          <w:sz w:val="24"/>
        </w:rPr>
        <w:t xml:space="preserve">  The Plan provides for the grant of the following Awards: (i) Incentive Share Options; (ii) Nonstatutory Share Options; (iii) SARs; (iv) Restricted Share Awards; (v) RSU Awards; (vi) Performance Awards; and (vii) Other Awards.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 xml:space="preserve">(d)Adoption Date; Effective Date. </w:t>
      </w:r>
      <w:r>
        <w:rPr>
          <w:rFonts w:ascii="Times New Roman;Times;serif" w:hAnsi="Times New Roman;Times;serif"/>
          <w:sz w:val="24"/>
        </w:rPr>
        <w:t>The Plan will come into existence on the Adoption Date, but no Award may be granted prior to the Effective Date.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2.</w:t>
      </w:r>
      <w:bookmarkStart w:id="82" w:name="_Toc49349641"/>
      <w:bookmarkStart w:id="83" w:name="_Ref218923280"/>
      <w:bookmarkStart w:id="84" w:name="_DV_M8"/>
      <w:bookmarkEnd w:id="82"/>
      <w:bookmarkEnd w:id="83"/>
      <w:bookmarkEnd w:id="84"/>
      <w:r>
        <w:rPr>
          <w:rFonts w:ascii="Times New Roman;Times;serif" w:hAnsi="Times New Roman;Times;serif"/>
          <w:b/>
          <w:smallCaps/>
          <w:sz w:val="24"/>
        </w:rPr>
        <w:t>Shares Subject to the Plan.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(a)</w:t>
      </w:r>
      <w:bookmarkStart w:id="85" w:name="_Ref38179407"/>
      <w:bookmarkStart w:id="86" w:name="OLE_LINK8"/>
      <w:bookmarkStart w:id="87" w:name="OLE_LINK7"/>
      <w:bookmarkStart w:id="88" w:name="_Ref126996582"/>
      <w:bookmarkEnd w:id="85"/>
      <w:bookmarkEnd w:id="86"/>
      <w:bookmarkEnd w:id="87"/>
      <w:bookmarkEnd w:id="88"/>
      <w:r>
        <w:rPr>
          <w:rFonts w:ascii="Times New Roman;Times;serif" w:hAnsi="Times New Roman;Times;serif"/>
          <w:b/>
          <w:sz w:val="24"/>
        </w:rPr>
        <w:t>Share Reserve.  </w:t>
      </w:r>
      <w:r>
        <w:rPr>
          <w:rFonts w:ascii="Times New Roman;Times;serif" w:hAnsi="Times New Roman;Times;serif"/>
          <w:sz w:val="24"/>
        </w:rPr>
        <w:t>Subject to adjustment in accordance with Section 2(c) and any adjustments as necessary to implement any Capitalization Adjustments, the aggregate number of  Shares that may be issued pursuant to Awards will not exceed 20,589,597 Shares, which is the sum of: (i) 12,000,000 new Shares; plus (ii) the Prior Plan’s Available Reserve; plus (iii) the number of Returning Shares, if any, as such shares become available from time to time.  In addition, subject to any adjustments as necessary to implement any Capitalization Adjustments, such aggregate number of Shares will automatically increase on January 1 of each year for a period of ten years commencing on January 1, 2024 and ending on (and including) January 1, 2033, in an amount equal to four percent (4%) of the total number of Shares outstanding on December 31 of the preceding year</w:t>
      </w:r>
      <w:bookmarkStart w:id="89" w:name="OLE_LINK12"/>
      <w:bookmarkStart w:id="90" w:name="OLE_LINK11"/>
      <w:bookmarkEnd w:id="89"/>
      <w:bookmarkEnd w:id="90"/>
      <w:r>
        <w:rPr>
          <w:rFonts w:ascii="Times New Roman;Times;serif" w:hAnsi="Times New Roman;Times;serif"/>
          <w:sz w:val="24"/>
        </w:rPr>
        <w:t>; provided, however, that the Board may act prior to January 1 of a given year to provide that the increase for such year will be a lesser number of Shares.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(b)Aggregate Incentive Share Option Limit.</w:t>
      </w:r>
      <w:r>
        <w:rPr>
          <w:rFonts w:ascii="Times New Roman;Times;serif" w:hAnsi="Times New Roman;Times;serif"/>
          <w:sz w:val="24"/>
        </w:rPr>
        <w:t xml:space="preserve">  Notwithstanding anything to the contrary in Section 2(a) and subject to any adjustments as necessary to implement any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09">
            <wp:simplePos x="0" y="0"/>
            <wp:positionH relativeFrom="page">
              <wp:posOffset>0</wp:posOffset>
            </wp:positionH>
            <wp:positionV relativeFrom="line">
              <wp:posOffset>635</wp:posOffset>
            </wp:positionV>
            <wp:extent cx="6480175" cy="390525"/>
            <wp:effectExtent l="0" t="0" r="0" b="0"/>
            <wp:wrapNone/>
            <wp:docPr id="130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 name="Image43" descr=""/>
                    <pic:cNvPicPr>
                      <a:picLocks noChangeAspect="1" noChangeArrowheads="1"/>
                    </pic:cNvPicPr>
                  </pic:nvPicPr>
                  <pic:blipFill>
                    <a:blip r:embed="rId73"/>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Capitalization Adjustments, the aggregate maximum number of Shares that may be issued pursuant to the exercise of Incentive Share Options is 62,000,000 Shares.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(c)</w:t>
      </w:r>
      <w:bookmarkStart w:id="91" w:name="_DV_C14"/>
      <w:bookmarkEnd w:id="91"/>
      <w:r>
        <w:rPr>
          <w:rFonts w:ascii="Times New Roman;Times;serif" w:hAnsi="Times New Roman;Times;serif"/>
          <w:b/>
          <w:sz w:val="24"/>
        </w:rPr>
        <w:t>Share Reserve Operation.</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(i)Limit Applies to Shares Issued Pursuant to Awards.  </w:t>
      </w:r>
      <w:r>
        <w:rPr>
          <w:rFonts w:ascii="Times New Roman;Times;serif" w:hAnsi="Times New Roman;Times;serif"/>
          <w:sz w:val="24"/>
        </w:rPr>
        <w:t>For clarity, the Share Reserve is a limit on the number of Shares that may be issued pursuant to Awards and does not limit the granting of Awards, except that the Company will keep available at all times the number of Shares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  </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(ii)Actions that Do Not Constitute Issuance of Shares and Do Not Reduce Share Reserve.</w:t>
      </w:r>
      <w:r>
        <w:rPr>
          <w:rFonts w:ascii="Times New Roman;Times;serif" w:hAnsi="Times New Roman;Times;serif"/>
          <w:sz w:val="24"/>
        </w:rPr>
        <w:t xml:space="p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Times;serif" w:hAnsi="Times New Roman;Times;serif"/>
          <w:i/>
          <w:sz w:val="24"/>
        </w:rPr>
        <w:t>i.e.</w:t>
      </w:r>
      <w:r>
        <w:rPr>
          <w:rFonts w:ascii="Times New Roman;Times;serif" w:hAnsi="Times New Roman;Times;serif"/>
          <w:sz w:val="24"/>
        </w:rPr>
        <w:t>, the Participant receives cash rather than Shares);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(iii)</w:t>
      </w:r>
      <w:bookmarkStart w:id="92" w:name="_Ref126997548"/>
      <w:bookmarkEnd w:id="92"/>
      <w:r>
        <w:rPr>
          <w:rFonts w:ascii="Times New Roman;Times;serif" w:hAnsi="Times New Roman;Times;serif"/>
          <w:b/>
          <w:sz w:val="24"/>
        </w:rPr>
        <w:t>Reversion of Previously Issued Shares to Share Reserve.</w:t>
      </w:r>
      <w:r>
        <w:rPr>
          <w:rFonts w:ascii="Times New Roman;Times;serif" w:hAnsi="Times New Roman;Times;serif"/>
          <w:sz w:val="24"/>
        </w:rPr>
        <w:t xml:space="preserve">  The following Shares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3.</w:t>
      </w:r>
      <w:bookmarkStart w:id="93" w:name="_Toc49349642"/>
      <w:bookmarkEnd w:id="93"/>
      <w:r>
        <w:rPr>
          <w:rFonts w:ascii="Times New Roman;Times;serif" w:hAnsi="Times New Roman;Times;serif"/>
          <w:b/>
          <w:smallCaps/>
          <w:sz w:val="24"/>
        </w:rPr>
        <w:t>Eligibility and Limitations.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(a)Eligible Award Recipients.</w:t>
      </w:r>
      <w:r>
        <w:rPr>
          <w:rFonts w:ascii="Times New Roman;Times;serif" w:hAnsi="Times New Roman;Times;serif"/>
          <w:sz w:val="24"/>
        </w:rPr>
        <w:t xml:space="preserve">  Subject to the terms of the Plan, Employees, Directors and Consultants are eligible to receive Awards.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(b)Specific Award Limitations.</w:t>
      </w:r>
      <w:r>
        <w:rPr>
          <w:rFonts w:ascii="Times New Roman;Times;serif" w:hAnsi="Times New Roman;Times;serif"/>
          <w:sz w:val="24"/>
        </w:rPr>
        <w:t xml:space="preserve">  </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(i)Limitations on Incentive Share Option Recipients.</w:t>
      </w:r>
      <w:r>
        <w:rPr>
          <w:rFonts w:ascii="Times New Roman;Times;serif" w:hAnsi="Times New Roman;Times;serif"/>
          <w:sz w:val="24"/>
        </w:rPr>
        <w:t xml:space="preserve">  Incentive Share Options may be granted only to Employees of the Company or a “parent corporation” or “subsidiary corporation” thereof (as such terms are defined in Sections 424(e) and (f) of the Code).</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(ii)Incentive Share Option $100,000 Limitation.</w:t>
      </w:r>
      <w:r>
        <w:rPr>
          <w:rFonts w:ascii="Times New Roman;Times;serif" w:hAnsi="Times New Roman;Times;serif"/>
          <w:sz w:val="24"/>
        </w:rPr>
        <w:t xml:space="preserve">  To the extent that the aggregate Fair Market Value (determined at the time of grant) of Shares with respect to which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10">
            <wp:simplePos x="0" y="0"/>
            <wp:positionH relativeFrom="page">
              <wp:posOffset>0</wp:posOffset>
            </wp:positionH>
            <wp:positionV relativeFrom="line">
              <wp:posOffset>635</wp:posOffset>
            </wp:positionV>
            <wp:extent cx="6480175" cy="390525"/>
            <wp:effectExtent l="0" t="0" r="0" b="0"/>
            <wp:wrapNone/>
            <wp:docPr id="130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 name="Image44" descr=""/>
                    <pic:cNvPicPr>
                      <a:picLocks noChangeAspect="1" noChangeArrowheads="1"/>
                    </pic:cNvPicPr>
                  </pic:nvPicPr>
                  <pic:blipFill>
                    <a:blip r:embed="rId74"/>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sz w:val="24"/>
        </w:rPr>
        <w:t>Incentive Share Options are exercisable for the first time by any Optionholder during any calendar year (under all plans of the Company and any Affiliates) exceeds $100,000 (or such other limit established in the Code) or otherwise does not comply with the rules governing Incentive Share Options, the Options or portions thereof that exceed such limit (according to the order in which they were granted) or otherwise do not comply with such rules will be treated as Nonstatutory Share Options, notwithstanding any contrary provision of the applicable Option Agreement(s).</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(iii)Limitations on Incentive Share Options Granted to Ten Percent Shareholders.</w:t>
      </w:r>
      <w:r>
        <w:rPr>
          <w:rFonts w:ascii="Times New Roman;Times;serif" w:hAnsi="Times New Roman;Times;serif"/>
          <w:sz w:val="24"/>
        </w:rPr>
        <w:t xml:space="preserve">  A Ten Percent Shareholder may not be granted an Incentive Share Option unless (i) the exercise price of such Option is at least 110% of the Fair Market Value on the date of grant of such Option and (ii) the Option is not exercisable after the expiration of five years from the date of grant of such Option.</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(iv)Limitations on Nonstatutory Share Options and SARs.</w:t>
      </w:r>
      <w:r>
        <w:rPr>
          <w:rFonts w:ascii="Times New Roman;Times;serif" w:hAnsi="Times New Roman;Times;serif"/>
          <w:sz w:val="24"/>
        </w:rPr>
        <w:t xml:space="preserve">  Nonstatutory Share Options and SARs may not be granted to Employees, Directors and Consultants who are providing Continuous Service only to any “parent” of the Company (as such term is defined in Rule 405) unless the Shares underlying such Awards are treated as “service recipient stock” under Section 409A because the Awards are granted pursuant to a corporate transaction (such as a spin off transaction) or unless such Awards otherwise comply with the distribution requirements of Section 409A.</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(c)Aggregate Incentive Share Option Limit.</w:t>
      </w:r>
      <w:r>
        <w:rPr>
          <w:rFonts w:ascii="Times New Roman;Times;serif" w:hAnsi="Times New Roman;Times;serif"/>
          <w:sz w:val="24"/>
        </w:rPr>
        <w:t xml:space="preserve">  The aggregate maximum number of Shares that may be issued pursuant to the exercise of Incentive Share Options is the number of Shares specified in Section 2(b).</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 xml:space="preserve">(d)Non-Employee Director Compensation Limit. </w:t>
      </w:r>
      <w:r>
        <w:rPr>
          <w:rFonts w:ascii="Times New Roman;Times;serif" w:hAnsi="Times New Roman;Times;serif"/>
          <w:sz w:val="24"/>
        </w:rPr>
        <w:t>The aggregate value of all compensation granted or paid, as applicable, to any individual for service as a Non-Employee Director with respect to any calendar year, including Awards granted and cash fees paid by the Company to such Non-Employee Director, will not exceed $1,000,000 in total value, calculating the value of any equity awards based on the grant date fair value of such equity awards for financial reporting purposes.  The limitation in this Section 3(d) shall apply commencing with the first calendar year that begins following the Effective Date.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4.</w:t>
      </w:r>
      <w:bookmarkStart w:id="94" w:name="_Toc49349643"/>
      <w:bookmarkStart w:id="95" w:name="_Ref92447500"/>
      <w:bookmarkStart w:id="96" w:name="_DV_M89"/>
      <w:bookmarkEnd w:id="94"/>
      <w:bookmarkEnd w:id="95"/>
      <w:bookmarkEnd w:id="96"/>
      <w:r>
        <w:rPr>
          <w:rFonts w:ascii="Times New Roman;Times;serif" w:hAnsi="Times New Roman;Times;serif"/>
          <w:b/>
          <w:smallCaps/>
          <w:sz w:val="24"/>
        </w:rPr>
        <w:t>Options and Share Appreciation Rights.</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Each Option and SAR will have such terms and conditions as determined by the Board.  Each Option will be designated in writing as an Incentive Share Option or Nonstatutory Share Option at the time of grant; provided, however, that if an Option is not so designated, then such Option will be a Nonstatutory Share Option, and the Shares purchased upon exercise of each type of Option will be separately accounted for.  Each SAR will be denominated in Share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11">
            <wp:simplePos x="0" y="0"/>
            <wp:positionH relativeFrom="page">
              <wp:posOffset>0</wp:posOffset>
            </wp:positionH>
            <wp:positionV relativeFrom="line">
              <wp:posOffset>635</wp:posOffset>
            </wp:positionV>
            <wp:extent cx="6480175" cy="390525"/>
            <wp:effectExtent l="0" t="0" r="0" b="0"/>
            <wp:wrapNone/>
            <wp:docPr id="131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 name="Image45" descr=""/>
                    <pic:cNvPicPr>
                      <a:picLocks noChangeAspect="1" noChangeArrowheads="1"/>
                    </pic:cNvPicPr>
                  </pic:nvPicPr>
                  <pic:blipFill>
                    <a:blip r:embed="rId75"/>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(a)Term.</w:t>
      </w:r>
      <w:r>
        <w:rPr>
          <w:rFonts w:ascii="Times New Roman;Times;serif" w:hAnsi="Times New Roman;Times;serif"/>
          <w:sz w:val="24"/>
        </w:rPr>
        <w:t xml:space="preserve">  Subject to Section 3(b) regarding Ten Percent Shareholders, no Option or SAR will be exercisable after the expiration of ten years from the date of grant of such Award or such shorter period specified in the Award Agreement.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(b)Exercise or Strike Price.</w:t>
      </w:r>
      <w:r>
        <w:rPr>
          <w:rFonts w:ascii="Times New Roman;Times;serif" w:hAnsi="Times New Roman;Times;serif"/>
          <w:sz w:val="24"/>
        </w:rPr>
        <w:t xml:space="preserve">  Subject to Section 3(b) regarding Ten Percent Shareholders,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share appreciation right pursuant to a Corporate Transaction and in a manner consistent with the provisions of Sections 409A and, if applicable, 424(a) of the Code.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(c)</w:t>
      </w:r>
      <w:bookmarkStart w:id="97" w:name="_Ref92447428"/>
      <w:bookmarkEnd w:id="97"/>
      <w:r>
        <w:rPr>
          <w:rFonts w:ascii="Times New Roman;Times;serif" w:hAnsi="Times New Roman;Times;serif"/>
          <w:b/>
          <w:sz w:val="24"/>
        </w:rPr>
        <w:t>Exercise Procedure and Payment of Exercise Price for Options.</w:t>
      </w:r>
      <w:r>
        <w:rPr>
          <w:rFonts w:ascii="Times New Roman;Times;serif" w:hAnsi="Times New Roman;Times;serif"/>
          <w:sz w:val="24"/>
        </w:rPr>
        <w:t xml:space="preserve">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w:t>
      </w:r>
      <w:r>
        <w:rPr>
          <w:rFonts w:ascii="Times New Roman;Times;serif" w:hAnsi="Times New Roman;Times;serif"/>
          <w:sz w:val="24"/>
        </w:rPr>
        <w:t>by cash or check, bank draft or money order payable to the Company;</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w:t>
      </w:r>
      <w:r>
        <w:rPr>
          <w:rFonts w:ascii="Times New Roman;Times;serif" w:hAnsi="Times New Roman;Times;serif"/>
          <w:sz w:val="24"/>
        </w:rPr>
        <w:t>pursuant to a “cashless exercise” program developed under Regulation T as promulgated by the Federal Reserve Board that, prior to the issuance of the Shares subject to the Option, results in either the receipt of cash (or check) by the Company or the receipt of irrevocable instructions to pay the exercise price to the Company from the sales proceeds;</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(iii)</w:t>
      </w:r>
      <w:r>
        <w:rPr>
          <w:rFonts w:ascii="Times New Roman;Times;serif" w:hAnsi="Times New Roman;Times;serif"/>
          <w:sz w:val="24"/>
        </w:rPr>
        <w:t xml:space="preserve">by a repurchase by the Company of Shares that are already owned by the Participant free and clear of any liens, claims, encumbrances or security interests, with a Fair Market Value on the date of exercise that does not exceed the exercise price, and the utilization of the repurchase price as the payment of the exercise price; provided that (1) at the time of exercise the Shares are publicly traded, (2) any remaining balance of the exercise price not satisfied by such utilization is paid by the Participant in cash or other permitted form of payment, (3) such delivery would not violate any Applicable Law or agreement restricting the redemption of the Shares, (4) any certificated Shares are endorsed or accompanied by an executed assignment separate from certificate, and (5) such Shares have been held by the Participant for any minimum period necessary to avoid adverse accounting treatment as a result of such delivery; </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(iv)</w:t>
      </w:r>
      <w:r>
        <w:rPr>
          <w:rFonts w:ascii="Times New Roman;Times;serif" w:hAnsi="Times New Roman;Times;serif"/>
          <w:sz w:val="24"/>
        </w:rPr>
        <w:t xml:space="preserve">if the Option is a Nonstatutory Share Option, by a “net exercise” arrangement pursuant to which the Company will reduce the number of Shares issuable upon exercise by the largest whole number of Shares with a Fair Market Value on the date of exercise that does not exceed the exercise price, provided that (1) such Shares used to pay the exercise price will not be exercisable thereafter, (2) the par value of the Shares is paid by the Participant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12">
            <wp:simplePos x="0" y="0"/>
            <wp:positionH relativeFrom="page">
              <wp:posOffset>0</wp:posOffset>
            </wp:positionH>
            <wp:positionV relativeFrom="line">
              <wp:posOffset>635</wp:posOffset>
            </wp:positionV>
            <wp:extent cx="6480175" cy="390525"/>
            <wp:effectExtent l="0" t="0" r="0" b="0"/>
            <wp:wrapNone/>
            <wp:docPr id="131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 name="Image46" descr=""/>
                    <pic:cNvPicPr>
                      <a:picLocks noChangeAspect="1" noChangeArrowheads="1"/>
                    </pic:cNvPicPr>
                  </pic:nvPicPr>
                  <pic:blipFill>
                    <a:blip r:embed="rId76"/>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sz w:val="24"/>
        </w:rPr>
        <w:t xml:space="preserve">in cash, and (3) any remaining balance of the exercise price not satisfied by such net exercise is paid by the Participant in cash or other permitted form of payment; or </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(v)</w:t>
      </w:r>
      <w:r>
        <w:rPr>
          <w:rFonts w:ascii="Times New Roman;Times;serif" w:hAnsi="Times New Roman;Times;serif"/>
          <w:sz w:val="24"/>
        </w:rPr>
        <w:t>in any other form of consideration that may be acceptable to the Board and permissible under Applicable Law.</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(d)Exercise Procedure and Payment of Appreciation Distribution for SARs.</w:t>
      </w:r>
      <w:r>
        <w:rPr>
          <w:rFonts w:ascii="Times New Roman;Times;serif" w:hAnsi="Times New Roman;Times;serif"/>
          <w:sz w:val="24"/>
        </w:rPr>
        <w:t xml:space="preserve">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equal to the number of Share equivalents that are vested and being exercised under such SAR, over (ii) the strike price of such SAR.  </w:t>
      </w:r>
      <w:bookmarkStart w:id="98" w:name="_DV_M126"/>
      <w:bookmarkStart w:id="99" w:name="_DV_M125"/>
      <w:bookmarkStart w:id="100" w:name="_DV_M124"/>
      <w:bookmarkEnd w:id="98"/>
      <w:bookmarkEnd w:id="99"/>
      <w:bookmarkEnd w:id="100"/>
      <w:r>
        <w:rPr>
          <w:rFonts w:ascii="Times New Roman;Times;serif" w:hAnsi="Times New Roman;Times;serif"/>
          <w:sz w:val="24"/>
        </w:rPr>
        <w:t>Such appreciation distribution may be paid to the Participant in the form of Shares or cash (or any combination of Shares and cash) or in any other form of payment, as determined by the Board and specified in the SAR Agreement.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(e)Transferability.</w:t>
      </w:r>
      <w:r>
        <w:rPr>
          <w:rFonts w:ascii="Times New Roman;Times;serif" w:hAnsi="Times New Roman;Times;serif"/>
          <w:sz w:val="24"/>
        </w:rPr>
        <w:t xml:space="preserve">  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Times;serif" w:hAnsi="Times New Roman;Times;serif"/>
          <w:i/>
          <w:sz w:val="24"/>
        </w:rPr>
        <w:t>provided, further</w:t>
      </w:r>
      <w:r>
        <w:rPr>
          <w:rFonts w:ascii="Times New Roman;Times;serif" w:hAnsi="Times New Roman;Times;serif"/>
          <w:sz w:val="24"/>
        </w:rPr>
        <w:t>, that if an Option is an Incentive Share Option, such Option may be deemed to be a Nonstatutory Share Option as a result of such transfer:</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(i)Restrictions on Transfer.</w:t>
      </w:r>
      <w:r>
        <w:rPr>
          <w:rFonts w:ascii="Times New Roman;Times;serif" w:hAnsi="Times New Roman;Times;serif"/>
          <w:sz w:val="24"/>
        </w:rPr>
        <w:t xml:space="preserve">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(ii)Domestic Relations Orders.</w:t>
      </w:r>
      <w:r>
        <w:rPr>
          <w:rFonts w:ascii="Times New Roman;Times;serif" w:hAnsi="Times New Roman;Times;serif"/>
          <w:sz w:val="24"/>
        </w:rPr>
        <w:t xml:space="preserve">  Notwithstanding the foregoing, subject to the execution of transfer documentation in a format acceptable to the Company and subject to the approval of the Board or a duly authorized Officer, an Option or SAR may be transferred pursuant to a domestic relations order.</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(f)</w:t>
      </w:r>
      <w:bookmarkStart w:id="101" w:name="_Ref92447444"/>
      <w:bookmarkEnd w:id="101"/>
      <w:r>
        <w:rPr>
          <w:rFonts w:ascii="Times New Roman;Times;serif" w:hAnsi="Times New Roman;Times;serif"/>
          <w:b/>
          <w:sz w:val="24"/>
        </w:rPr>
        <w:t>Vesting.</w:t>
      </w:r>
      <w:r>
        <w:rPr>
          <w:rFonts w:ascii="Times New Roman;Times;serif" w:hAnsi="Times New Roman;Times;serif"/>
          <w:sz w:val="24"/>
        </w:rPr>
        <w:t xml:space="preserve">  The Board may impose such restrictions on or conditions to the vesting 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(g)Termination of Continuous Service for Cause.</w:t>
      </w:r>
      <w:r>
        <w:rPr>
          <w:rFonts w:ascii="Times New Roman;Times;serif" w:hAnsi="Times New Roman;Times;serif"/>
          <w:sz w:val="24"/>
        </w:rPr>
        <w:t xml:space="preserve">  Except as explicitly otherwise provided in the Award Agreement or other written agreement between a Participant and the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13">
            <wp:simplePos x="0" y="0"/>
            <wp:positionH relativeFrom="page">
              <wp:posOffset>0</wp:posOffset>
            </wp:positionH>
            <wp:positionV relativeFrom="line">
              <wp:posOffset>635</wp:posOffset>
            </wp:positionV>
            <wp:extent cx="6480175" cy="390525"/>
            <wp:effectExtent l="0" t="0" r="0" b="0"/>
            <wp:wrapNone/>
            <wp:docPr id="131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 name="Image47" descr=""/>
                    <pic:cNvPicPr>
                      <a:picLocks noChangeAspect="1" noChangeArrowheads="1"/>
                    </pic:cNvPicPr>
                  </pic:nvPicPr>
                  <pic:blipFill>
                    <a:blip r:embed="rId77"/>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subject to the forfeited Award, or any consideration in respect of the forfeited Award.</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(h)Post-Termination Exercise Period Following Termination of Continuous Service for Reasons Other than Cause.</w:t>
      </w:r>
      <w:r>
        <w:rPr>
          <w:rFonts w:ascii="Times New Roman;Times;serif" w:hAnsi="Times New Roman;Times;serif"/>
          <w:sz w:val="24"/>
        </w:rPr>
        <w:t xml:space="preserve">  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w:t>
      </w:r>
      <w:r>
        <w:rPr>
          <w:rFonts w:ascii="Times New Roman;Times;serif" w:hAnsi="Times New Roman;Times;serif"/>
          <w:sz w:val="24"/>
        </w:rPr>
        <w:t>three months following the date of such termination if such termination is a termination without Cause (other than any termination due to the Participant’s Disability or death);</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w:t>
      </w:r>
      <w:r>
        <w:rPr>
          <w:rFonts w:ascii="Times New Roman;Times;serif" w:hAnsi="Times New Roman;Times;serif"/>
          <w:sz w:val="24"/>
        </w:rPr>
        <w:t>12 months following the date of such termination if such termination is due to the Participant’s Disability;</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(iii)</w:t>
      </w:r>
      <w:r>
        <w:rPr>
          <w:rFonts w:ascii="Times New Roman;Times;serif" w:hAnsi="Times New Roman;Times;serif"/>
          <w:sz w:val="24"/>
        </w:rPr>
        <w:t>18 months following the date of such termination if such termination is due to the Participant’s death; or</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(iv)</w:t>
      </w:r>
      <w:r>
        <w:rPr>
          <w:rFonts w:ascii="Times New Roman;Times;serif" w:hAnsi="Times New Roman;Times;serif"/>
          <w:sz w:val="24"/>
        </w:rPr>
        <w:t>18 months following the date of the Participant’s death if such death occurs following the date of such termination but during the period such Award is otherwise exercisable (as provided in (i) or (ii) above).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subject to the terminated Award, or any consideration in respect of the terminated Award.</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(i)Restrictions on Exercise; Extension of Exercisability.  </w:t>
      </w:r>
      <w:r>
        <w:rPr>
          <w:rFonts w:ascii="Times New Roman;Times;serif" w:hAnsi="Times New Roman;Times;serif"/>
          <w:sz w:val="24"/>
        </w:rPr>
        <w:t xml:space="preserve">A Participant may not exercise an Option or SAR at any time that the issuance of Shares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upon such exercise would violate Applicable Law; or (ii) the immediate sale of any Shares issued upon such exercise would violate the Company’s Trading Policy, then the applicable Post-Termination Exercise Period will be extended to the last day of the calendar month that commences following the date the Award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14">
            <wp:simplePos x="0" y="0"/>
            <wp:positionH relativeFrom="page">
              <wp:posOffset>0</wp:posOffset>
            </wp:positionH>
            <wp:positionV relativeFrom="line">
              <wp:posOffset>635</wp:posOffset>
            </wp:positionV>
            <wp:extent cx="6480175" cy="390525"/>
            <wp:effectExtent l="0" t="0" r="0" b="0"/>
            <wp:wrapNone/>
            <wp:docPr id="131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 name="Image48" descr=""/>
                    <pic:cNvPicPr>
                      <a:picLocks noChangeAspect="1" noChangeArrowheads="1"/>
                    </pic:cNvPicPr>
                  </pic:nvPicPr>
                  <pic:blipFill>
                    <a:blip r:embed="rId78"/>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(j)</w:t>
      </w:r>
      <w:bookmarkStart w:id="102" w:name="_DV_M107"/>
      <w:bookmarkStart w:id="103" w:name="_DV_M106"/>
      <w:bookmarkStart w:id="104" w:name="_DV_M103"/>
      <w:bookmarkEnd w:id="102"/>
      <w:bookmarkEnd w:id="103"/>
      <w:bookmarkEnd w:id="104"/>
      <w:r>
        <w:rPr>
          <w:rFonts w:ascii="Times New Roman;Times;serif" w:hAnsi="Times New Roman;Times;serif"/>
          <w:b/>
          <w:sz w:val="24"/>
        </w:rPr>
        <w:t>Non-Exempt Employees.</w:t>
      </w:r>
      <w:r>
        <w:rPr>
          <w:rFonts w:ascii="Times New Roman;Times;serif" w:hAnsi="Times New Roman;Times;serif"/>
          <w:sz w:val="24"/>
        </w:rPr>
        <w:t xml:space="preserve">  No Option or SAR, whether or not vested, granted to an Employee who is a non-exempt employee for purposes of the Fair Labor Standards Act of 1938, as amended, will be first exercisable for any Shares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(k)Whole Shares.</w:t>
      </w:r>
      <w:r>
        <w:rPr>
          <w:rFonts w:ascii="Times New Roman;Times;serif" w:hAnsi="Times New Roman;Times;serif"/>
          <w:sz w:val="24"/>
        </w:rPr>
        <w:t xml:space="preserve">  Options and SARs may be exercised only with respect to whole Shares or their equivalents.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5.</w:t>
      </w:r>
      <w:bookmarkStart w:id="105" w:name="_Toc49349644"/>
      <w:bookmarkStart w:id="106" w:name="_Ref92447517"/>
      <w:bookmarkStart w:id="107" w:name="_DV_M127"/>
      <w:bookmarkEnd w:id="105"/>
      <w:bookmarkEnd w:id="106"/>
      <w:bookmarkEnd w:id="107"/>
      <w:r>
        <w:rPr>
          <w:rFonts w:ascii="Times New Roman;Times;serif" w:hAnsi="Times New Roman;Times;serif"/>
          <w:b/>
          <w:smallCaps/>
          <w:sz w:val="24"/>
        </w:rPr>
        <w:t>Awards Other Than Options and Share Appreciation Rights.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(a)</w:t>
      </w:r>
      <w:bookmarkStart w:id="108" w:name="_Ref92447180"/>
      <w:bookmarkStart w:id="109" w:name="_DV_M115"/>
      <w:bookmarkEnd w:id="108"/>
      <w:bookmarkEnd w:id="109"/>
      <w:r>
        <w:rPr>
          <w:rFonts w:ascii="Times New Roman;Times;serif" w:hAnsi="Times New Roman;Times;serif"/>
          <w:b/>
          <w:sz w:val="24"/>
        </w:rPr>
        <w:t>Restricted Share Awards and RSU Awards.</w:t>
      </w:r>
      <w:r>
        <w:rPr>
          <w:rFonts w:ascii="Times New Roman;Times;serif" w:hAnsi="Times New Roman;Times;serif"/>
          <w:sz w:val="24"/>
        </w:rPr>
        <w:t xml:space="preserve">  Each Restricted Share Award and RSU Award will have such terms and conditions as determined by the Board; provided, however, that each Restricted Share Award Agreement and RSU Award Agreement will conform (through incorporation of the provisions hereof by reference in the Award Agreement or otherwise) to the substance of each of the following provisions: </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(i)Form of Award.</w:t>
      </w:r>
      <w:r>
        <w:rPr>
          <w:rFonts w:ascii="Times New Roman;Times;serif" w:hAnsi="Times New Roman;Times;serif"/>
          <w:sz w:val="24"/>
        </w:rPr>
        <w:t xml:space="preserve">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(1)</w:t>
      </w:r>
      <w:r>
        <w:rPr>
          <w:rFonts w:ascii="Times New Roman;Times;serif" w:hAnsi="Times New Roman;Times;serif"/>
          <w:sz w:val="24"/>
        </w:rPr>
        <w:t>RSAs: To the extent consistent with the Company’s memorandum and articles of association and the laws of the Cayman Islands, at the Board’s election, Shares subject to a Restricted Share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shareholder of the Company with respect to any Shares subject to a Restricted Share Award.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(2)</w:t>
      </w:r>
      <w:r>
        <w:rPr>
          <w:rFonts w:ascii="Times New Roman;Times;serif" w:hAnsi="Times New Roman;Times;serif"/>
          <w:sz w:val="24"/>
        </w:rPr>
        <w:t xml:space="preserve">RSUs: A RSU Award represents a Participant’s right to be issued on a future date the number of Shares that is equal to the number of restricted share units subject to the RSU Award.  As a holder of a RSU Award, a Participant is an unsecured creditor of the Company with respect to the Company's unfunded obligation, if any, to issue Shares in settlement of such Award and nothing contained in the Plan or any RSU Agreement, and no action taken pursuant to its provisions, will create or be construed to create a trust of any kind or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7.</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15">
            <wp:simplePos x="0" y="0"/>
            <wp:positionH relativeFrom="page">
              <wp:posOffset>0</wp:posOffset>
            </wp:positionH>
            <wp:positionV relativeFrom="line">
              <wp:posOffset>635</wp:posOffset>
            </wp:positionV>
            <wp:extent cx="6480175" cy="390525"/>
            <wp:effectExtent l="0" t="0" r="0" b="0"/>
            <wp:wrapNone/>
            <wp:docPr id="131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 name="Image49" descr=""/>
                    <pic:cNvPicPr>
                      <a:picLocks noChangeAspect="1" noChangeArrowheads="1"/>
                    </pic:cNvPicPr>
                  </pic:nvPicPr>
                  <pic:blipFill>
                    <a:blip r:embed="rId79"/>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a fiduciary relationship between a Participant and the Company or an Affiliate or any other person.  A Participant will not have voting or any other rights as a shareholder of the Company with respect to any RSU Award (unless and until Shares are actually issued in settlement of a vested RSU Award and the Participant has been entered into the register of members of the Company as the registered holder of such Shares).  </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(ii)Consideration.</w:t>
      </w:r>
      <w:r>
        <w:rPr>
          <w:rFonts w:ascii="Times New Roman;Times;serif" w:hAnsi="Times New Roman;Times;serif"/>
          <w:sz w:val="24"/>
        </w:rPr>
        <w:t xml:space="preserve">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(1)</w:t>
      </w:r>
      <w:r>
        <w:rPr>
          <w:rFonts w:ascii="Times New Roman;Times;serif" w:hAnsi="Times New Roman;Times;serif"/>
          <w:sz w:val="24"/>
        </w:rPr>
        <w:t>RSAs: A Restricted Share Award may be granted in consideration for (A) cash or check, bank draft or money order payable to the Company, (B) services to the Company or an Affiliate, or (C) any other form of consideration (including future services) as the Board may determine and permissible under Applicable Law.</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(2)</w:t>
      </w:r>
      <w:r>
        <w:rPr>
          <w:rFonts w:ascii="Times New Roman;Times;serif" w:hAnsi="Times New Roman;Times;serif"/>
          <w:sz w:val="24"/>
        </w:rPr>
        <w:t>RSUs: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pursuant to the RSU Award.  If, at the time of grant, the Board determines that any consideration must be paid by the Participant (in a form other than the Participant’s services to the Company or an Affiliate) upon the issuance of any Shares in settlement of the RSU Award, such consideration may be paid in any form of consideration as the Board may determine and permissible under Applicable Law.</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(iii)Vesting.  </w:t>
      </w:r>
      <w:r>
        <w:rPr>
          <w:rFonts w:ascii="Times New Roman;Times;serif" w:hAnsi="Times New Roman;Times;serif"/>
          <w:sz w:val="24"/>
        </w:rPr>
        <w:t xml:space="preserve">The Board may impose such restrictions on or conditions to the vesting of a Restricted Share Award or RSU Award as determined by the Board.  Except as otherwise provided in the Award Agreement or other written agreement between a Participant and the Company or an Affiliate, vesting of Restricted Share Awards and RSU Awards will cease upon termination of the Participant’s Continuous Service. </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(iv)Termination of Continuous Service.</w:t>
      </w:r>
      <w:r>
        <w:rPr>
          <w:rFonts w:ascii="Times New Roman;Times;serif" w:hAnsi="Times New Roman;Times;serif"/>
          <w:sz w:val="24"/>
        </w:rPr>
        <w:t xml:space="preserve">  Except as otherwise provided in the Award Agreement or other written agreement between a Participant and the Company or an Affiliate, if a Participant’s Continuous Service terminates for any reason, (i) the Company may receive through a forfeiture condition or a repurchase right any or all of the Shares held by the Participant under his or her Restricted Share Award that have not vested as of the date of such termination as set forth in the Restricted Share Award Agreement, and (ii) any portion of his or her RSU Award that has not vested will be forfeited upon such termination and the Participant will have no further right, title or interest in the RSU Award, the Shares issuable pursuant to the RSU Award, or any consideration in respect of the RSU Award.</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(v)Dividends and Dividend Equivalents.  </w:t>
      </w:r>
      <w:r>
        <w:rPr>
          <w:rFonts w:ascii="Times New Roman;Times;serif" w:hAnsi="Times New Roman;Times;serif"/>
          <w:sz w:val="24"/>
        </w:rPr>
        <w:t xml:space="preserve">Dividends or dividend equivalents may be paid or credited, as applicable, with respect to any Shares subject to a Restricted Share Award or RSU Award, as determined by the Board and specified in the Award Agreement). </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(vi)</w:t>
      </w:r>
      <w:bookmarkStart w:id="110" w:name="_DV_M118"/>
      <w:bookmarkStart w:id="111" w:name="_DV_M116"/>
      <w:bookmarkEnd w:id="110"/>
      <w:bookmarkEnd w:id="111"/>
      <w:r>
        <w:rPr>
          <w:rFonts w:ascii="Times New Roman;Times;serif" w:hAnsi="Times New Roman;Times;serif"/>
          <w:b/>
          <w:sz w:val="24"/>
        </w:rPr>
        <w:t>Settlement of RSU Awards.</w:t>
      </w:r>
      <w:r>
        <w:rPr>
          <w:rFonts w:ascii="Times New Roman;Times;serif" w:hAnsi="Times New Roman;Times;serif"/>
          <w:sz w:val="24"/>
        </w:rPr>
        <w:t xml:space="preserve">  A RSU Award may be settled by the issuance of Shares or cash (or any combination thereof) or in any other form of payment, as determined by the Board and specified in the RSU Award Agreement.  </w:t>
      </w:r>
      <w:bookmarkStart w:id="112" w:name="_DV_M119"/>
      <w:bookmarkEnd w:id="112"/>
      <w:r>
        <w:rPr>
          <w:rFonts w:ascii="Times New Roman;Times;serif" w:hAnsi="Times New Roman;Times;serif"/>
          <w:sz w:val="24"/>
        </w:rPr>
        <w:t xml:space="preserve">At the time of grant, the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8.</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16">
            <wp:simplePos x="0" y="0"/>
            <wp:positionH relativeFrom="page">
              <wp:posOffset>0</wp:posOffset>
            </wp:positionH>
            <wp:positionV relativeFrom="line">
              <wp:posOffset>635</wp:posOffset>
            </wp:positionV>
            <wp:extent cx="6480175" cy="390525"/>
            <wp:effectExtent l="0" t="0" r="0" b="0"/>
            <wp:wrapNone/>
            <wp:docPr id="131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 name="Image50" descr=""/>
                    <pic:cNvPicPr>
                      <a:picLocks noChangeAspect="1" noChangeArrowheads="1"/>
                    </pic:cNvPicPr>
                  </pic:nvPicPr>
                  <pic:blipFill>
                    <a:blip r:embed="rId80"/>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sz w:val="24"/>
        </w:rPr>
        <w:t>Board may determine to impose such restrictions or conditions that delay such delivery to a date following the vesting of the RSU Award.</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(b)</w:t>
      </w:r>
      <w:bookmarkStart w:id="113" w:name="_Ref92447151"/>
      <w:bookmarkStart w:id="114" w:name="_Ref93290191"/>
      <w:bookmarkStart w:id="115" w:name="_DV_M128"/>
      <w:bookmarkStart w:id="116" w:name="_DV_M121"/>
      <w:bookmarkStart w:id="117" w:name="_DV_M120"/>
      <w:bookmarkEnd w:id="113"/>
      <w:bookmarkEnd w:id="114"/>
      <w:bookmarkEnd w:id="115"/>
      <w:bookmarkEnd w:id="116"/>
      <w:bookmarkEnd w:id="117"/>
      <w:r>
        <w:rPr>
          <w:rFonts w:ascii="Times New Roman;Times;serif" w:hAnsi="Times New Roman;Times;serif"/>
          <w:b/>
          <w:sz w:val="24"/>
        </w:rPr>
        <w:t>Performance Awards.</w:t>
      </w:r>
      <w:r>
        <w:rPr>
          <w:rFonts w:ascii="Times New Roman;Times;serif" w:hAnsi="Times New Roman;Times;serif"/>
          <w:sz w:val="24"/>
        </w:rPr>
        <w:t xml:space="preserve">  </w:t>
      </w:r>
      <w:bookmarkStart w:id="118" w:name="_Ref218923319"/>
      <w:bookmarkStart w:id="119" w:name="_Ref98847765"/>
      <w:bookmarkEnd w:id="118"/>
      <w:bookmarkEnd w:id="119"/>
      <w:r>
        <w:rPr>
          <w:rFonts w:ascii="Times New Roman;Times;serif" w:hAnsi="Times New Roman;Times;serif"/>
          <w:sz w:val="24"/>
        </w:rPr>
        <w:t>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w:t>
      </w:r>
      <w:bookmarkStart w:id="120" w:name="OLE_LINK2"/>
      <w:bookmarkStart w:id="121" w:name="OLE_LINK1"/>
      <w:bookmarkEnd w:id="120"/>
      <w:bookmarkEnd w:id="121"/>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(c)</w:t>
      </w:r>
      <w:bookmarkStart w:id="122" w:name="_Ref218923439"/>
      <w:bookmarkEnd w:id="122"/>
      <w:r>
        <w:rPr>
          <w:rFonts w:ascii="Times New Roman;Times;serif" w:hAnsi="Times New Roman;Times;serif"/>
          <w:b/>
          <w:sz w:val="24"/>
        </w:rPr>
        <w:t>Other Awards.</w:t>
      </w:r>
      <w:r>
        <w:rPr>
          <w:rFonts w:ascii="Times New Roman;Times;serif" w:hAnsi="Times New Roman;Times;serif"/>
          <w:sz w:val="24"/>
        </w:rPr>
        <w:t xml:space="preserve">  Other forms of Awards valued in whole or in part by reference to, or otherwise based on, Shares, including the appreciation in value thereof (e.g., options or share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(or the cash equivalent thereof) to be granted pursuant to such Other Awards and all other terms and conditions of such Other Awards.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6.</w:t>
      </w:r>
      <w:bookmarkStart w:id="123" w:name="_Toc49349645"/>
      <w:bookmarkEnd w:id="123"/>
      <w:r>
        <w:rPr>
          <w:rFonts w:ascii="Times New Roman;Times;serif" w:hAnsi="Times New Roman;Times;serif"/>
          <w:b/>
          <w:smallCaps/>
          <w:sz w:val="24"/>
        </w:rPr>
        <w:t>Adjustments upon Changes in Shares; Other Corporate Events.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(a)</w:t>
      </w:r>
      <w:bookmarkStart w:id="124" w:name="_Ref218923177"/>
      <w:bookmarkStart w:id="125" w:name="_Ref92447089"/>
      <w:bookmarkEnd w:id="124"/>
      <w:bookmarkEnd w:id="125"/>
      <w:r>
        <w:rPr>
          <w:rFonts w:ascii="Times New Roman;Times;serif" w:hAnsi="Times New Roman;Times;serif"/>
          <w:b/>
          <w:sz w:val="24"/>
        </w:rPr>
        <w:t>Capitalization Adjustments.</w:t>
      </w:r>
      <w:r>
        <w:rPr>
          <w:rFonts w:ascii="Times New Roman;Times;serif" w:hAnsi="Times New Roman;Times;serif"/>
          <w:sz w:val="24"/>
        </w:rPr>
        <w:t xml:space="preserve">  In the event of a Capitalization Adjustment, the Board shall appropriately and proportionately adjust: (i) the class(es) and maximum number of Shares subject to the Plan and the maximum number of Shares by which the Share Reserve may annually increase pursuant to Section 2(a); (ii) the class(es) and maximum number of Shares that may be issued pursuant to the exercise of Incentive Share Options pursuant to Section 2(a); and (iii) the class(es) and number of securities and exercise price, strike price or purchase price of Shares subject to outstanding Awards.  The Board shall make such adjustments, and its determination shall be final, binding and conclusive.  Notwithstanding the foregoing, no fractional Shares or rights for fractional Shares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(b)Dissolution or Liquidation.</w:t>
      </w:r>
      <w:r>
        <w:rPr>
          <w:rFonts w:ascii="Times New Roman;Times;serif" w:hAnsi="Times New Roman;Times;serif"/>
          <w:sz w:val="24"/>
        </w:rPr>
        <w:t xml:space="preserve">  Except as otherwise provided in the Award Agreement, in the event of a dissolution or liquidation of the Company, all outstanding Awards (other than Awards consisting of vested and outstanding Shares not subject to a forfeiture condition or the Company’s right of repurchase) will terminate immediately prior to the completion of such dissolution or liquidation, and the Shares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(c)Corporate Transaction.  </w:t>
      </w:r>
      <w:r>
        <w:rPr>
          <w:rFonts w:ascii="Times New Roman;Times;serif" w:hAnsi="Times New Roman;Times;serif"/>
          <w:sz w:val="24"/>
        </w:rPr>
        <w:t xml:space="preserve">The following provisions will apply to Awards in the event of a Corporate Transaction unless otherwise provided in the instrument evidencing the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9.</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17">
            <wp:simplePos x="0" y="0"/>
            <wp:positionH relativeFrom="page">
              <wp:posOffset>0</wp:posOffset>
            </wp:positionH>
            <wp:positionV relativeFrom="line">
              <wp:posOffset>635</wp:posOffset>
            </wp:positionV>
            <wp:extent cx="6480175" cy="390525"/>
            <wp:effectExtent l="0" t="0" r="0" b="0"/>
            <wp:wrapNone/>
            <wp:docPr id="131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 name="Image51" descr=""/>
                    <pic:cNvPicPr>
                      <a:picLocks noChangeAspect="1" noChangeArrowheads="1"/>
                    </pic:cNvPicPr>
                  </pic:nvPicPr>
                  <pic:blipFill>
                    <a:blip r:embed="rId81"/>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Award or any other written agreement between the Company or any Affiliate and the Participant or unless otherwise expressly provided by the Board at the time of grant of an Award.</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(i)Awards May Be Assumed.</w:t>
      </w:r>
      <w:r>
        <w:rPr>
          <w:rFonts w:ascii="Times New Roman;Times;serif" w:hAnsi="Times New Roman;Times;serif"/>
          <w:sz w:val="24"/>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shareholders of the Company pursuant to the Corporate Transaction), and any reacquisition or repurchase rights held by the Company in respect of Shares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(ii)Awards Held by Current Participants.</w:t>
      </w:r>
      <w:r>
        <w:rPr>
          <w:rFonts w:ascii="Times New Roman;Times;serif" w:hAnsi="Times New Roman;Times;serif"/>
          <w:sz w:val="24"/>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Times;serif" w:hAnsi="Times New Roman;Times;serif"/>
          <w:b/>
          <w:i/>
          <w:sz w:val="24"/>
        </w:rPr>
        <w:t>Current Participants</w:t>
      </w:r>
      <w:r>
        <w:rPr>
          <w:rFonts w:ascii="Times New Roman;Times;serif" w:hAnsi="Times New Roman;Times;serif"/>
          <w:sz w:val="24"/>
        </w:rPr>
        <w:t xml:space="preserve">”), the vesting of such Awards (and, with respect to Options and Share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(5)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or unless otherwise provided by the Board,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(iii)Awards Held by Persons other than Current Participants.</w:t>
      </w:r>
      <w:r>
        <w:rPr>
          <w:rFonts w:ascii="Times New Roman;Times;serif" w:hAnsi="Times New Roman;Times;serif"/>
          <w:sz w:val="24"/>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10.</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18">
            <wp:simplePos x="0" y="0"/>
            <wp:positionH relativeFrom="page">
              <wp:posOffset>0</wp:posOffset>
            </wp:positionH>
            <wp:positionV relativeFrom="line">
              <wp:posOffset>635</wp:posOffset>
            </wp:positionV>
            <wp:extent cx="6480175" cy="390525"/>
            <wp:effectExtent l="0" t="0" r="0" b="0"/>
            <wp:wrapNone/>
            <wp:docPr id="131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 name="Image52" descr=""/>
                    <pic:cNvPicPr>
                      <a:picLocks noChangeAspect="1" noChangeArrowheads="1"/>
                    </pic:cNvPicPr>
                  </pic:nvPicPr>
                  <pic:blipFill>
                    <a:blip r:embed="rId82"/>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sz w:val="24"/>
        </w:rPr>
        <w:t>the Company with respect to such Awards will not terminate and may continue to be exercised notwithstanding the Corporate Transaction.</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(iv)Payment for Awards in Lieu of Exercise.</w:t>
      </w:r>
      <w:r>
        <w:rPr>
          <w:rFonts w:ascii="Times New Roman;Times;serif" w:hAnsi="Times New Roman;Times;serif"/>
          <w:sz w:val="24"/>
        </w:rPr>
        <w:t xml:space="preserve">  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(d)Appointment of Shareholder Representative.</w:t>
      </w:r>
      <w:r>
        <w:rPr>
          <w:rFonts w:ascii="Times New Roman;Times;serif" w:hAnsi="Times New Roman;Times;serif"/>
          <w:sz w:val="24"/>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shareholder representative that is authorized to act on the Participant’s behalf with respect to any escrow, indemnities and any contingent consideration.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(e)No Restriction on Right to Undertake Transactions.</w:t>
      </w:r>
      <w:r>
        <w:rPr>
          <w:rFonts w:ascii="Times New Roman;Times;serif" w:hAnsi="Times New Roman;Times;serif"/>
          <w:sz w:val="24"/>
        </w:rPr>
        <w:t xml:space="preserve">  The grant of any Award under the Plan and the issuance of Shares pursuant to any Award does not affect or restrict in any way the right or power of the Company or the shareholders of the Company to make or authorize any adjustment, recapitalization, reorganization or other change in the Company’s capital structure or its business, any merger or consolidation of the Company, any issue of Shares or of options, rights or options to purchase Shares or of bonds, debentures, preferred or prior preference shares whose rights are superior to or affect the Shares or the rights thereof or which are convertible into or exchangeable for Shares, or the dissolution or liquidation of the Company, or any sale or transfer of all or any part of its assets or business, or any other corporate act or proceeding, whether of a similar character or otherwise.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7.</w:t>
      </w:r>
      <w:bookmarkStart w:id="126" w:name="_Toc49349646"/>
      <w:bookmarkStart w:id="127" w:name="_Ref92447603"/>
      <w:bookmarkEnd w:id="126"/>
      <w:bookmarkEnd w:id="127"/>
      <w:r>
        <w:rPr>
          <w:rFonts w:ascii="Times New Roman;Times;serif" w:hAnsi="Times New Roman;Times;serif"/>
          <w:b/>
          <w:smallCaps/>
          <w:sz w:val="24"/>
        </w:rPr>
        <w:t>Administration.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(a)Administration by Board.</w:t>
      </w:r>
      <w:r>
        <w:rPr>
          <w:rFonts w:ascii="Times New Roman;Times;serif" w:hAnsi="Times New Roman;Times;serif"/>
          <w:sz w:val="24"/>
        </w:rPr>
        <w:t xml:space="preserve">  The Board will administer the Plan unless and until the Board delegates administration of the Plan to a Committee or Committees, as provided in subsection (c) below.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(b)Powers of Board.</w:t>
      </w:r>
      <w:r>
        <w:rPr>
          <w:rFonts w:ascii="Times New Roman;Times;serif" w:hAnsi="Times New Roman;Times;serif"/>
          <w:sz w:val="24"/>
        </w:rPr>
        <w:t xml:space="preserve">  The Board will have the power, subject to, and within the limitations of, the express provisions of the Plan:</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w:t>
      </w:r>
      <w:r>
        <w:rPr>
          <w:rFonts w:ascii="Times New Roman;Times;serif" w:hAnsi="Times New Roman;Times;serif"/>
          <w:sz w:val="24"/>
        </w:rPr>
        <w:t xml:space="preserve">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Shares or other payment pursuant to an Award; (5) whether such Awards will cover Ordinary Shares or ADSs; (6) the number of Shares or cash equivalent with respect to which an Award will be granted to each such person; (7) the Fair Market Value applicable to an Award; and (8) the terms of any Performance Award that is not valued in whole or in part by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11.</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19">
            <wp:simplePos x="0" y="0"/>
            <wp:positionH relativeFrom="page">
              <wp:posOffset>0</wp:posOffset>
            </wp:positionH>
            <wp:positionV relativeFrom="line">
              <wp:posOffset>635</wp:posOffset>
            </wp:positionV>
            <wp:extent cx="6480175" cy="390525"/>
            <wp:effectExtent l="0" t="0" r="0" b="0"/>
            <wp:wrapNone/>
            <wp:docPr id="131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 name="Image53" descr=""/>
                    <pic:cNvPicPr>
                      <a:picLocks noChangeAspect="1" noChangeArrowheads="1"/>
                    </pic:cNvPicPr>
                  </pic:nvPicPr>
                  <pic:blipFill>
                    <a:blip r:embed="rId83"/>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sz w:val="24"/>
        </w:rPr>
        <w:t>reference to, or otherwise based on, the Shares, including the amount of cash payment or other property that may be earned and the timing of payment.</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w:t>
      </w:r>
      <w:r>
        <w:rPr>
          <w:rFonts w:ascii="Times New Roman;Times;serif" w:hAnsi="Times New Roman;Times;serif"/>
          <w:sz w:val="24"/>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(iii)</w:t>
      </w:r>
      <w:r>
        <w:rPr>
          <w:rFonts w:ascii="Times New Roman;Times;serif" w:hAnsi="Times New Roman;Times;serif"/>
          <w:sz w:val="24"/>
        </w:rPr>
        <w:t>To settle all controversies regarding the Plan and Awards granted under it.</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(iv)</w:t>
      </w:r>
      <w:r>
        <w:rPr>
          <w:rFonts w:ascii="Times New Roman;Times;serif" w:hAnsi="Times New Roman;Times;serif"/>
          <w:sz w:val="24"/>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(v)</w:t>
      </w:r>
      <w:bookmarkStart w:id="128" w:name="_Ref197144730"/>
      <w:bookmarkEnd w:id="128"/>
      <w:r>
        <w:rPr>
          <w:rFonts w:ascii="Times New Roman;Times;serif" w:hAnsi="Times New Roman;Times;serif"/>
          <w:sz w:val="24"/>
        </w:rPr>
        <w:t>To prohibit the exercise of any Option, SAR or other exercisable Award during a period of up to 30 days prior to the consummation of any pending share dividend, share sub-division, share split, combination or exchange of shares, merger, consolidation or other distribution (other than normal cash dividends) of Company assets to shareholders, or any other change affecting the Shares or the share price of the Shares including any Corporate Transaction, for reasons of administrative convenience.</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(vi)</w:t>
      </w:r>
      <w:r>
        <w:rPr>
          <w:rFonts w:ascii="Times New Roman;Times;serif" w:hAnsi="Times New Roman;Times;serif"/>
          <w:sz w:val="24"/>
        </w:rPr>
        <w:t>To suspend or terminate the Plan at any time.  Suspension or termination of the Plan will not Materially Impair rights and obligations under any Award granted while the Plan is in effect except with the written consent of the affected Participant.</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(vii)</w:t>
      </w:r>
      <w:r>
        <w:rPr>
          <w:rFonts w:ascii="Times New Roman;Times;serif" w:hAnsi="Times New Roman;Times;serif"/>
          <w:sz w:val="24"/>
        </w:rPr>
        <w:t>To amend the Plan in any respect the Board deems necessary or advisable; provided, however</w:t>
      </w:r>
      <w:r>
        <w:rPr>
          <w:rFonts w:ascii="Times New Roman;Times;serif" w:hAnsi="Times New Roman;Times;serif"/>
          <w:i/>
          <w:sz w:val="24"/>
        </w:rPr>
        <w:t>,</w:t>
      </w:r>
      <w:r>
        <w:rPr>
          <w:rFonts w:ascii="Times New Roman;Times;serif" w:hAnsi="Times New Roman;Times;serif"/>
          <w:sz w:val="24"/>
        </w:rPr>
        <w:t xml:space="preserve"> that shareholder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(viii)</w:t>
      </w:r>
      <w:r>
        <w:rPr>
          <w:rFonts w:ascii="Times New Roman;Times;serif" w:hAnsi="Times New Roman;Times;serif"/>
          <w:sz w:val="24"/>
        </w:rPr>
        <w:t>To submit any amendment to the Plan for shareholder approval.</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(ix)</w:t>
      </w:r>
      <w:r>
        <w:rPr>
          <w:rFonts w:ascii="Times New Roman;Times;serif" w:hAnsi="Times New Roman;Times;serif"/>
          <w:sz w:val="24"/>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Times;serif" w:hAnsi="Times New Roman;Times;serif"/>
          <w:i/>
          <w:sz w:val="24"/>
        </w:rPr>
        <w:t>provided however</w:t>
      </w:r>
      <w:r>
        <w:rPr>
          <w:rFonts w:ascii="Times New Roman;Times;serif" w:hAnsi="Times New Roman;Times;serif"/>
          <w:sz w:val="24"/>
        </w:rPr>
        <w:t>, that, a Participant’s rights under any Award will not be Materially Impaired by any such amendment unless (1) the Company requests the consent of the affected Participant, and (2) such Participant consents in writing.</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(x)</w:t>
      </w:r>
      <w:r>
        <w:rPr>
          <w:rFonts w:ascii="Times New Roman;Times;serif" w:hAnsi="Times New Roman;Times;serif"/>
          <w:sz w:val="24"/>
        </w:rPr>
        <w:t>Generally, to exercise such powers and to perform such acts as the Board deems necessary or expedient to promote the best interests of the Company and that are not in conflict with the provisions of the Plan or Awards.</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12.</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20">
            <wp:simplePos x="0" y="0"/>
            <wp:positionH relativeFrom="page">
              <wp:posOffset>0</wp:posOffset>
            </wp:positionH>
            <wp:positionV relativeFrom="line">
              <wp:posOffset>635</wp:posOffset>
            </wp:positionV>
            <wp:extent cx="6480175" cy="390525"/>
            <wp:effectExtent l="0" t="0" r="0" b="0"/>
            <wp:wrapNone/>
            <wp:docPr id="131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 name="Image54" descr=""/>
                    <pic:cNvPicPr>
                      <a:picLocks noChangeAspect="1" noChangeArrowheads="1"/>
                    </pic:cNvPicPr>
                  </pic:nvPicPr>
                  <pic:blipFill>
                    <a:blip r:embed="rId84"/>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(xi)</w:t>
      </w:r>
      <w:r>
        <w:rPr>
          <w:rFonts w:ascii="Times New Roman;Times;serif" w:hAnsi="Times New Roman;Times;serif"/>
          <w:sz w:val="24"/>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(xii)</w:t>
      </w:r>
      <w:r>
        <w:rPr>
          <w:rFonts w:ascii="Times New Roman;Times;serif" w:hAnsi="Times New Roman;Times;serif"/>
          <w:sz w:val="24"/>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Share Award, RSU Award or Other Award, under the Plan or another equity plan of the Company, covering the same or a different number of Shares, (B) cash, and/or (C) other valuable consideration (as determined by the Board); or (3) any other action that is treated as a repricing under generally accepted accounting principles.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(c)</w:t>
      </w:r>
      <w:bookmarkStart w:id="129" w:name="_Ref92447106"/>
      <w:bookmarkEnd w:id="129"/>
      <w:r>
        <w:rPr>
          <w:rFonts w:ascii="Times New Roman;Times;serif" w:hAnsi="Times New Roman;Times;serif"/>
          <w:b/>
          <w:sz w:val="24"/>
        </w:rPr>
        <w:t>Delegation to Committee.</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w:t>
      </w:r>
      <w:bookmarkStart w:id="130" w:name="_DV_M77"/>
      <w:bookmarkEnd w:id="130"/>
      <w:r>
        <w:rPr>
          <w:rFonts w:ascii="Times New Roman;Times;serif" w:hAnsi="Times New Roman;Times;serif"/>
          <w:b/>
          <w:sz w:val="24"/>
        </w:rPr>
        <w:t>General.</w:t>
      </w:r>
      <w:r>
        <w:rPr>
          <w:rFonts w:ascii="Times New Roman;Times;serif" w:hAnsi="Times New Roman;Times;serif"/>
          <w:sz w:val="24"/>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w:t>
      </w:r>
      <w:bookmarkStart w:id="131" w:name="_DV_M78"/>
      <w:bookmarkEnd w:id="131"/>
      <w:r>
        <w:rPr>
          <w:rFonts w:ascii="Times New Roman;Times;serif" w:hAnsi="Times New Roman;Times;serif"/>
          <w:b/>
          <w:sz w:val="24"/>
        </w:rPr>
        <w:t>Rule 16b-3 Compliance.</w:t>
      </w:r>
      <w:r>
        <w:rPr>
          <w:rFonts w:ascii="Times New Roman;Times;serif" w:hAnsi="Times New Roman;Times;serif"/>
          <w:sz w:val="24"/>
        </w:rPr>
        <w:t xml:space="preserv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(d)</w:t>
      </w:r>
      <w:bookmarkStart w:id="132" w:name="_DV_M80"/>
      <w:bookmarkEnd w:id="132"/>
      <w:r>
        <w:rPr>
          <w:rFonts w:ascii="Times New Roman;Times;serif" w:hAnsi="Times New Roman;Times;serif"/>
          <w:b/>
          <w:sz w:val="24"/>
        </w:rPr>
        <w:t>Effect of Board’s Decision.</w:t>
      </w:r>
      <w:r>
        <w:rPr>
          <w:rFonts w:ascii="Times New Roman;Times;serif" w:hAnsi="Times New Roman;Times;serif"/>
          <w:sz w:val="24"/>
        </w:rPr>
        <w:t xml:space="preserve">  All determinations, interpretations and constructions made by the Board or any Committee in good faith will not be subject to review by any person and will be final, binding and conclusive on all persons.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(e)Delegation to Other Person or Body.</w:t>
      </w:r>
      <w:r>
        <w:rPr>
          <w:rFonts w:ascii="Times New Roman;Times;serif" w:hAnsi="Times New Roman;Times;serif"/>
          <w:sz w:val="24"/>
        </w:rPr>
        <w:t xml:space="preserve">  The Board or any Committee may delegate to one or more persons or bodies the authority to do one or more of the following to the extent permitted by Applicable Law: (i) designate recipients, other than Officers, of Options and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13.</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21">
            <wp:simplePos x="0" y="0"/>
            <wp:positionH relativeFrom="page">
              <wp:posOffset>0</wp:posOffset>
            </wp:positionH>
            <wp:positionV relativeFrom="line">
              <wp:posOffset>635</wp:posOffset>
            </wp:positionV>
            <wp:extent cx="6480175" cy="390525"/>
            <wp:effectExtent l="0" t="0" r="0" b="0"/>
            <wp:wrapNone/>
            <wp:docPr id="132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 name="Image55" descr=""/>
                    <pic:cNvPicPr>
                      <a:picLocks noChangeAspect="1" noChangeArrowheads="1"/>
                    </pic:cNvPicPr>
                  </pic:nvPicPr>
                  <pic:blipFill>
                    <a:blip r:embed="rId85"/>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SARs (and, to the extent permitted by Applicable Law, other Awards), provided that no person or body may be delegated authority to grant an Award to themself; (ii) determine the number of Shares subject to such Awards; and (iii) determine the terms of such Awards; </w:t>
      </w:r>
      <w:r>
        <w:rPr>
          <w:rFonts w:ascii="Times New Roman;Times;serif" w:hAnsi="Times New Roman;Times;serif"/>
          <w:i/>
          <w:sz w:val="24"/>
        </w:rPr>
        <w:t>provided, however</w:t>
      </w:r>
      <w:r>
        <w:rPr>
          <w:rFonts w:ascii="Times New Roman;Times;serif" w:hAnsi="Times New Roman;Times;serif"/>
          <w:sz w:val="24"/>
        </w:rPr>
        <w:t>, that the Board or Committee action regarding such delegation will fix the terms of such delegation in accordance with Applicable Law, including without limitation Sections 152 and 157 of the Delaware General Corporation Law.  Unless provided otherwise in the Board or Committee action regarding such delegation, each Award granted pursuant to this section will be granted on the applicable form of Award Agreement most recently approved for use by the Board or the Committee, with any modifications necessary to incorporate or reflect the terms of such Award.  Notwithstanding anything to the contrary herein, neither the Board nor any Committee may delegate to any person or body (who is not a Director or that is not comprised solely of Directors, respectively) the authority to determine the Fair Market Value.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8.</w:t>
      </w:r>
      <w:bookmarkStart w:id="133" w:name="_Toc49349647"/>
      <w:bookmarkEnd w:id="133"/>
      <w:r>
        <w:rPr>
          <w:rFonts w:ascii="Times New Roman;Times;serif" w:hAnsi="Times New Roman;Times;serif"/>
          <w:b/>
          <w:smallCaps/>
          <w:sz w:val="24"/>
        </w:rPr>
        <w:t>Tax Withholding.</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(a)Withholding Authorization.</w:t>
      </w:r>
      <w:r>
        <w:rPr>
          <w:rFonts w:ascii="Times New Roman;Times;serif" w:hAnsi="Times New Roman;Times;serif"/>
          <w:sz w:val="24"/>
        </w:rPr>
        <w:t xml:space="preserve">  As a condition to acceptance of any Award under the Plan, a Participant authorizes withholding from payroll and any other amounts payable to such Participant, and otherwise agree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subject to an Award, unless and until such obligations are satisfied.</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(b)Satisfaction of Withholding Obligation.</w:t>
      </w:r>
      <w:r>
        <w:rPr>
          <w:rFonts w:ascii="Times New Roman;Times;serif" w:hAnsi="Times New Roman;Times;serif"/>
          <w:sz w:val="24"/>
        </w:rPr>
        <w:t xml:space="preserve">  To the extent permitted by the terms of an Award Agreement, the 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from the Shares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(c)No Obligation to Notify or Minimize Taxes; No Liability to Claims.  </w:t>
      </w:r>
      <w:r>
        <w:rPr>
          <w:rFonts w:ascii="Times New Roman;Times;serif" w:hAnsi="Times New Roman;Times;serif"/>
          <w:sz w:val="24"/>
        </w:rPr>
        <w:t xml:space="preserve">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14.</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22">
            <wp:simplePos x="0" y="0"/>
            <wp:positionH relativeFrom="page">
              <wp:posOffset>0</wp:posOffset>
            </wp:positionH>
            <wp:positionV relativeFrom="line">
              <wp:posOffset>635</wp:posOffset>
            </wp:positionV>
            <wp:extent cx="6480175" cy="390525"/>
            <wp:effectExtent l="0" t="0" r="0" b="0"/>
            <wp:wrapNone/>
            <wp:docPr id="132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 name="Image56" descr=""/>
                    <pic:cNvPicPr>
                      <a:picLocks noChangeAspect="1" noChangeArrowheads="1"/>
                    </pic:cNvPicPr>
                  </pic:nvPicPr>
                  <pic:blipFill>
                    <a:blip r:embed="rId86"/>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Shares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Shares on the date of grant as subsequently determined by the Internal Revenue Service.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 xml:space="preserve">(d)Withholding Indemnification. </w:t>
      </w:r>
      <w:r>
        <w:rPr>
          <w:rFonts w:ascii="Times New Roman;Times;serif" w:hAnsi="Times New Roman;Times;serif"/>
          <w:sz w:val="24"/>
        </w:rPr>
        <w:t>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9.</w:t>
      </w:r>
      <w:bookmarkStart w:id="134" w:name="_Toc49349648"/>
      <w:bookmarkEnd w:id="134"/>
      <w:r>
        <w:rPr>
          <w:rFonts w:ascii="Times New Roman;Times;serif" w:hAnsi="Times New Roman;Times;serif"/>
          <w:b/>
          <w:smallCaps/>
          <w:sz w:val="24"/>
        </w:rPr>
        <w:t>Miscellaneous.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(a)Source of Shares.</w:t>
      </w:r>
      <w:r>
        <w:rPr>
          <w:rFonts w:ascii="Times New Roman;Times;serif" w:hAnsi="Times New Roman;Times;serif"/>
          <w:sz w:val="24"/>
        </w:rPr>
        <w:t xml:space="preserve">  The shares issuable under the Plan will be authorized but unissued or reacquired Shares, including shares repurchased by the Company on the open market or otherwise (including Shares designated and held by the Company as treasury shares).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(b)Use of Proceeds from Sales of Shares.  </w:t>
      </w:r>
      <w:r>
        <w:rPr>
          <w:rFonts w:ascii="Times New Roman;Times;serif" w:hAnsi="Times New Roman;Times;serif"/>
          <w:sz w:val="24"/>
        </w:rPr>
        <w:t>Proceeds from the sale of Shares pursuant to Awards will constitute general funds of the Company.</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(c)Corporate Action Constituting Grant of Awards.</w:t>
      </w:r>
      <w:r>
        <w:rPr>
          <w:rFonts w:ascii="Times New Roman;Times;serif" w:hAnsi="Times New Roman;Times;serif"/>
          <w:sz w:val="24"/>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(d)Shareholder Rights.</w:t>
      </w:r>
      <w:r>
        <w:rPr>
          <w:rFonts w:ascii="Times New Roman;Times;serif" w:hAnsi="Times New Roman;Times;serif"/>
          <w:sz w:val="24"/>
        </w:rPr>
        <w:t xml:space="preserve">  No Participant will be deemed to be the holder of, or to have any of the rights of a holder with respect to, any Shares subject to such Award unless and until (i) such Participant has satisfied all requirements for exercise of the Award pursuant to its terms, if applicable, and (ii) the issuance of the Shares subject to such Award is recorded in the register of members of the Company.</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15.</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23">
            <wp:simplePos x="0" y="0"/>
            <wp:positionH relativeFrom="page">
              <wp:posOffset>0</wp:posOffset>
            </wp:positionH>
            <wp:positionV relativeFrom="line">
              <wp:posOffset>635</wp:posOffset>
            </wp:positionV>
            <wp:extent cx="6480175" cy="390525"/>
            <wp:effectExtent l="0" t="0" r="0" b="0"/>
            <wp:wrapNone/>
            <wp:docPr id="132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 name="Image57" descr=""/>
                    <pic:cNvPicPr>
                      <a:picLocks noChangeAspect="1" noChangeArrowheads="1"/>
                    </pic:cNvPicPr>
                  </pic:nvPicPr>
                  <pic:blipFill>
                    <a:blip r:embed="rId87"/>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(e)No Employment or Other Service Rights.</w:t>
      </w:r>
      <w:r>
        <w:rPr>
          <w:rFonts w:ascii="Times New Roman;Times;serif" w:hAnsi="Times New Roman;Times;serif"/>
          <w:sz w:val="24"/>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memorandum and articles of association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(f)Change in Time Commitment.</w:t>
      </w:r>
      <w:r>
        <w:rPr>
          <w:rFonts w:ascii="Times New Roman;Times;serif" w:hAnsi="Times New Roman;Times;serif"/>
          <w:sz w:val="24"/>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(g)Execution of Additional Documents.</w:t>
      </w:r>
      <w:r>
        <w:rPr>
          <w:rFonts w:ascii="Times New Roman;Times;serif" w:hAnsi="Times New Roman;Times;serif"/>
          <w:sz w:val="24"/>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(h)Electronic Delivery and Participation.</w:t>
      </w:r>
      <w:r>
        <w:rPr>
          <w:rFonts w:ascii="Times New Roman;Times;serif" w:hAnsi="Times New Roman;Times;serif"/>
          <w:sz w:val="24"/>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Shares (e.g., a share certificate or electronic entry evidencing such Shares) shall be determined by the Company. Sections 8 and 19(3) of the Electronic Transactions Act (as amended) shall not apply to the Plan.</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16.</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24">
            <wp:simplePos x="0" y="0"/>
            <wp:positionH relativeFrom="page">
              <wp:posOffset>0</wp:posOffset>
            </wp:positionH>
            <wp:positionV relativeFrom="line">
              <wp:posOffset>635</wp:posOffset>
            </wp:positionV>
            <wp:extent cx="6480175" cy="390525"/>
            <wp:effectExtent l="0" t="0" r="0" b="0"/>
            <wp:wrapNone/>
            <wp:docPr id="132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 name="Image58" descr=""/>
                    <pic:cNvPicPr>
                      <a:picLocks noChangeAspect="1" noChangeArrowheads="1"/>
                    </pic:cNvPicPr>
                  </pic:nvPicPr>
                  <pic:blipFill>
                    <a:blip r:embed="rId88"/>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(i)Clawback/Recovery.</w:t>
      </w:r>
      <w:r>
        <w:rPr>
          <w:rFonts w:ascii="Times New Roman;Times;serif" w:hAnsi="Times New Roman;Times;serif"/>
          <w:sz w:val="24"/>
        </w:rPr>
        <w:t xml:space="preserve">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(j)Securities Law Compliance.  </w:t>
      </w:r>
      <w:r>
        <w:rPr>
          <w:rFonts w:ascii="Times New Roman;Times;serif" w:hAnsi="Times New Roman;Times;serif"/>
          <w:sz w:val="24"/>
        </w:rPr>
        <w:t>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(k)Transfer or Assignment of Awards; Issued Shares.</w:t>
      </w:r>
      <w:r>
        <w:rPr>
          <w:rFonts w:ascii="Times New Roman;Times;serif" w:hAnsi="Times New Roman;Times;serif"/>
          <w:sz w:val="24"/>
        </w:rPr>
        <w:t xml:space="preserve">  Except as expressly provided in the Plan or the form of Award Agreement, Awards granted under the Plan may not be transferred or assigned by the Participant.  After the vested Shares subject to an Award have been issued, or in the case of Restricted Share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 xml:space="preserve">(l)Effect on Other Employee Benefit Plans. </w:t>
      </w:r>
      <w:r>
        <w:rPr>
          <w:rFonts w:ascii="Times New Roman;Times;serif" w:hAnsi="Times New Roman;Times;serif"/>
          <w:sz w:val="24"/>
        </w:rPr>
        <w:t>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(m)Deferrals.</w:t>
      </w:r>
      <w:r>
        <w:rPr>
          <w:rFonts w:ascii="Times New Roman;Times;serif" w:hAnsi="Times New Roman;Times;serif"/>
          <w:sz w:val="24"/>
        </w:rPr>
        <w:t xml:space="preserve">  To the extent permitted by Applicable Law, the Board, in its sole discretion, may determine that the delivery of Shares 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(n)Section 409A.  </w:t>
      </w:r>
      <w:r>
        <w:rPr>
          <w:rFonts w:ascii="Times New Roman;Times;serif" w:hAnsi="Times New Roman;Times;serif"/>
          <w:sz w:val="24"/>
        </w:rPr>
        <w:t xml:space="preserve">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17.</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25">
            <wp:simplePos x="0" y="0"/>
            <wp:positionH relativeFrom="page">
              <wp:posOffset>0</wp:posOffset>
            </wp:positionH>
            <wp:positionV relativeFrom="line">
              <wp:posOffset>635</wp:posOffset>
            </wp:positionV>
            <wp:extent cx="6480175" cy="390525"/>
            <wp:effectExtent l="0" t="0" r="0" b="0"/>
            <wp:wrapNone/>
            <wp:docPr id="132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 name="Image59" descr=""/>
                    <pic:cNvPicPr>
                      <a:picLocks noChangeAspect="1" noChangeArrowheads="1"/>
                    </pic:cNvPicPr>
                  </pic:nvPicPr>
                  <pic:blipFill>
                    <a:blip r:embed="rId89"/>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(o)</w:t>
      </w:r>
      <w:r>
        <w:rPr>
          <w:rFonts w:ascii="Times New Roman Bold" w:hAnsi="Times New Roman Bold"/>
          <w:b/>
          <w:sz w:val="24"/>
        </w:rPr>
        <w:t>Choice of Law</w:t>
      </w:r>
      <w:r>
        <w:rPr>
          <w:rFonts w:ascii="Times New Roman;Times;serif" w:hAnsi="Times New Roman;Times;serif"/>
          <w:b/>
          <w:smallCaps/>
          <w:sz w:val="24"/>
        </w:rPr>
        <w:t>.  </w:t>
      </w:r>
      <w:r>
        <w:rPr>
          <w:rFonts w:ascii="Times New Roman;Times;serif" w:hAnsi="Times New Roman;Times;serif"/>
          <w:sz w:val="24"/>
        </w:rPr>
        <w:t>This Plan and any controversy arising out of or relating to this Plan shall be governed by, and construed in accordance with, the internal laws of the Cayman Islands, without regard to conflict of law principles that would result in any application of any law other than the law of the Cayman Islands.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10.</w:t>
      </w:r>
      <w:bookmarkStart w:id="135" w:name="_Toc49349649"/>
      <w:bookmarkEnd w:id="135"/>
      <w:r>
        <w:rPr>
          <w:rFonts w:ascii="Times New Roman;Times;serif" w:hAnsi="Times New Roman;Times;serif"/>
          <w:b/>
          <w:smallCaps/>
          <w:sz w:val="24"/>
        </w:rPr>
        <w:t>Covenants of the Company.</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(a)</w:t>
      </w:r>
      <w:bookmarkStart w:id="136" w:name="_Ref92447246"/>
      <w:bookmarkEnd w:id="136"/>
      <w:r>
        <w:rPr>
          <w:rFonts w:ascii="Times New Roman;Times;serif" w:hAnsi="Times New Roman;Times;serif"/>
          <w:b/>
          <w:sz w:val="24"/>
        </w:rPr>
        <w:t>Compliance with Law.</w:t>
      </w:r>
      <w:r>
        <w:rPr>
          <w:rFonts w:ascii="Times New Roman;Times;serif" w:hAnsi="Times New Roman;Times;serif"/>
          <w:sz w:val="24"/>
        </w:rPr>
        <w:t xml:space="preserve">  The Company will seek to obtain from each regulatory commission or agency, as may be deemed to be necessary, having jurisdiction over the Plan such authority as may be required to grant Awards and to issue and sell Shares upon exercise or vesting of the Awards; provided, however, that this undertaking will not require the Company to register under the Securities Act the Plan, any Award or any Shares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Shares under the Plan, the Company will be relieved from any liability for failure to issue and sell Shares upon exercise or vesting of such Awards unless and until such authority is obtained.  A Participant is not eligible for the grant of an Award or the subsequent issuance of Shares pursuant to the Award if such grant or issuance would be in violation of any Applicable Law.</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11.</w:t>
      </w:r>
      <w:bookmarkStart w:id="137" w:name="_Toc49349650"/>
      <w:bookmarkEnd w:id="137"/>
      <w:r>
        <w:rPr>
          <w:rFonts w:ascii="Times New Roman;Times;serif" w:hAnsi="Times New Roman;Times;serif"/>
          <w:b/>
          <w:smallCaps/>
          <w:sz w:val="24"/>
        </w:rPr>
        <w:t>Additional Rules for Awards Subject to Section 409A.</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 xml:space="preserve">(a)Application. </w:t>
      </w:r>
      <w:r>
        <w:rPr>
          <w:rFonts w:ascii="Times New Roman;Times;serif" w:hAnsi="Times New Roman;Times;serif"/>
          <w:sz w:val="24"/>
        </w:rPr>
        <w:t xml:space="preserve">Unless the provisions of this Section of the Plan are expressly superseded by the provisions in the form of Award Agreement, the provisions of this Section shall apply and shall supersede anything to the contrary set forth in the Award Agreement for a Non-Exempt Award.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(b)Non-Exempt Awards Subject to Non-Exempt Severance Arrangements.</w:t>
      </w:r>
      <w:r>
        <w:rPr>
          <w:rFonts w:ascii="Times New Roman;Times;serif" w:hAnsi="Times New Roman;Times;serif"/>
          <w:sz w:val="24"/>
        </w:rPr>
        <w:t xml:space="preserve">  To the extent a Non-Exempt Award is subject to Section 409A due to application of a Non-Exempt Severance Arrangement, the following provisions of this subsection (b) apply.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18.</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26">
            <wp:simplePos x="0" y="0"/>
            <wp:positionH relativeFrom="page">
              <wp:posOffset>0</wp:posOffset>
            </wp:positionH>
            <wp:positionV relativeFrom="line">
              <wp:posOffset>635</wp:posOffset>
            </wp:positionV>
            <wp:extent cx="6480175" cy="390525"/>
            <wp:effectExtent l="0" t="0" r="0" b="0"/>
            <wp:wrapNone/>
            <wp:docPr id="132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 name="Image60" descr=""/>
                    <pic:cNvPicPr>
                      <a:picLocks noChangeAspect="1" noChangeArrowheads="1"/>
                    </pic:cNvPicPr>
                  </pic:nvPicPr>
                  <pic:blipFill>
                    <a:blip r:embed="rId90"/>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w:t>
      </w:r>
      <w:r>
        <w:rPr>
          <w:rFonts w:ascii="Times New Roman;Times;serif" w:hAnsi="Times New Roman;Times;serif"/>
          <w:sz w:val="24"/>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Times;serif" w:hAnsi="Times New Roman;Times;serif"/>
          <w:sz w:val="18"/>
        </w:rPr>
        <w:t>st</w:t>
      </w:r>
      <w:r>
        <w:rPr>
          <w:rFonts w:ascii="Times New Roman;Times;serif" w:hAnsi="Times New Roman;Times;serif"/>
          <w:sz w:val="24"/>
        </w:rPr>
        <w:t xml:space="preserve"> of the calendar year that includes the applicable vesting date; or (ii) the 60</w:t>
      </w:r>
      <w:r>
        <w:rPr>
          <w:rFonts w:ascii="Times New Roman;Times;serif" w:hAnsi="Times New Roman;Times;serif"/>
          <w:sz w:val="18"/>
        </w:rPr>
        <w:t>th</w:t>
      </w:r>
      <w:r>
        <w:rPr>
          <w:rFonts w:ascii="Times New Roman;Times;serif" w:hAnsi="Times New Roman;Times;serif"/>
          <w:sz w:val="24"/>
        </w:rPr>
        <w:t xml:space="preserve"> day that follows the applicable vesting date. </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w:t>
      </w:r>
      <w:r>
        <w:rPr>
          <w:rFonts w:ascii="Times New Roman;Times;serif" w:hAnsi="Times New Roman;Times;serif"/>
          <w:sz w:val="24"/>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Times;serif" w:hAnsi="Times New Roman;Times;serif"/>
          <w:sz w:val="18"/>
        </w:rPr>
        <w:t>th</w:t>
      </w:r>
      <w:r>
        <w:rPr>
          <w:rFonts w:ascii="Times New Roman;Times;serif" w:hAnsi="Times New Roman;Times;serif"/>
          <w:sz w:val="24"/>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six-month period.</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(iii)</w:t>
      </w:r>
      <w:r>
        <w:rPr>
          <w:rFonts w:ascii="Times New Roman;Times;serif" w:hAnsi="Times New Roman;Times;serif"/>
          <w:sz w:val="24"/>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(c)Treatment of Non-Exempt Awards Upon a Corporate Transaction for Employees and Consultants.</w:t>
      </w:r>
      <w:r>
        <w:rPr>
          <w:rFonts w:ascii="Times New Roman;Times;serif" w:hAnsi="Times New Roman;Times;serif"/>
          <w:color w:val="0070C0"/>
          <w:sz w:val="24"/>
        </w:rPr>
        <w:t xml:space="preserve"> </w:t>
      </w:r>
      <w:r>
        <w:rPr>
          <w:rFonts w:ascii="Times New Roman;Times;serif" w:hAnsi="Times New Roman;Times;serif"/>
          <w:sz w:val="24"/>
        </w:rPr>
        <w:t>The 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(i)Vested Non-Exempt Awards.</w:t>
      </w:r>
      <w:r>
        <w:rPr>
          <w:rFonts w:ascii="Times New Roman;Times;serif" w:hAnsi="Times New Roman;Times;serif"/>
          <w:sz w:val="24"/>
        </w:rPr>
        <w:t xml:space="preserve">  The following provisions shall apply to any Vested Non-Exempt Award in connection with a Corporate Transaction: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(1)</w:t>
      </w:r>
      <w:r>
        <w:rPr>
          <w:rFonts w:ascii="Times New Roman;Times;serif" w:hAnsi="Times New Roman;Times;serif"/>
          <w:sz w:val="24"/>
        </w:rPr>
        <w:t xml:space="preserve">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19.</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27">
            <wp:simplePos x="0" y="0"/>
            <wp:positionH relativeFrom="page">
              <wp:posOffset>0</wp:posOffset>
            </wp:positionH>
            <wp:positionV relativeFrom="line">
              <wp:posOffset>635</wp:posOffset>
            </wp:positionV>
            <wp:extent cx="6480175" cy="390525"/>
            <wp:effectExtent l="0" t="0" r="0" b="0"/>
            <wp:wrapNone/>
            <wp:docPr id="132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 name="Image61" descr=""/>
                    <pic:cNvPicPr>
                      <a:picLocks noChangeAspect="1" noChangeArrowheads="1"/>
                    </pic:cNvPicPr>
                  </pic:nvPicPr>
                  <pic:blipFill>
                    <a:blip r:embed="rId91"/>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the Participant will receive a cash settlement equal to the Fair Market Value of the Shares that would otherwise be issued to the Participant upon the Section 409A Change in Control.</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(2)</w:t>
      </w:r>
      <w:r>
        <w:rPr>
          <w:rFonts w:ascii="Times New Roman;Times;serif" w:hAnsi="Times New Roman;Times;serif"/>
          <w:sz w:val="24"/>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(ii)Unvested Non-Exempt Awards.</w:t>
      </w:r>
      <w:r>
        <w:rPr>
          <w:rFonts w:ascii="Times New Roman;Times;serif" w:hAnsi="Times New Roman;Times;serif"/>
          <w:sz w:val="24"/>
        </w:rPr>
        <w:t xml:space="preserve">  The following provisions shall apply to any Unvested Non-Exempt Award unless otherwise determined by the Board pursuant to subsection (e) of this Section.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(1)</w:t>
      </w:r>
      <w:r>
        <w:rPr>
          <w:rFonts w:ascii="Times New Roman;Times;serif" w:hAnsi="Times New Roman;Times;serif"/>
          <w:sz w:val="24"/>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(2)</w:t>
      </w:r>
      <w:r>
        <w:rPr>
          <w:rFonts w:ascii="Times New Roman;Times;serif" w:hAnsi="Times New Roman;Times;serif"/>
          <w:sz w:val="24"/>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(3)</w:t>
      </w:r>
      <w:r>
        <w:rPr>
          <w:rFonts w:ascii="Times New Roman;Times;serif" w:hAnsi="Times New Roman;Times;serif"/>
          <w:sz w:val="24"/>
        </w:rPr>
        <w:t>The foregoing treatment shall apply with respect to all Unvested Non-Exempt Awards upon any Corporate Transaction, and regardless of whether or not such Corporate Transaction is also a Section 409A Change in Control.</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20.</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28">
            <wp:simplePos x="0" y="0"/>
            <wp:positionH relativeFrom="page">
              <wp:posOffset>0</wp:posOffset>
            </wp:positionH>
            <wp:positionV relativeFrom="line">
              <wp:posOffset>635</wp:posOffset>
            </wp:positionV>
            <wp:extent cx="6480175" cy="390525"/>
            <wp:effectExtent l="0" t="0" r="0" b="0"/>
            <wp:wrapNone/>
            <wp:docPr id="132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 name="Image62" descr=""/>
                    <pic:cNvPicPr>
                      <a:picLocks noChangeAspect="1" noChangeArrowheads="1"/>
                    </pic:cNvPicPr>
                  </pic:nvPicPr>
                  <pic:blipFill>
                    <a:blip r:embed="rId92"/>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(d)Treatment of Non-Exempt Awards Upon a Corporate Transaction for Non-Employee Directors.</w:t>
      </w:r>
      <w:r>
        <w:rPr>
          <w:rFonts w:ascii="Times New Roman;Times;serif" w:hAnsi="Times New Roman;Times;serif"/>
          <w:sz w:val="24"/>
        </w:rPr>
        <w:t xml:space="preserve">  The following provisions of this subsection (d) shall apply and shall supersede anything to the contrary that may be set forth in the Plan with respect to the permitted treatment of a Non-Exempt Director Award in connection with a Corporate Transaction. </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w:t>
      </w:r>
      <w:r>
        <w:rPr>
          <w:rFonts w:ascii="Times New Roman;Times;serif" w:hAnsi="Times New Roman;Times;serif"/>
          <w:sz w:val="24"/>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w:t>
      </w:r>
      <w:r>
        <w:rPr>
          <w:rFonts w:ascii="Times New Roman;Times;serif" w:hAnsi="Times New Roman;Times;serif"/>
          <w:sz w:val="24"/>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(e)</w:t>
      </w:r>
      <w:r>
        <w:rPr>
          <w:rFonts w:ascii="Times New Roman;Times;serif" w:hAnsi="Times New Roman;Times;serif"/>
          <w:sz w:val="24"/>
        </w:rPr>
        <w:t>If the RSU Award is a Non-Exempt Award, then the provisions in this Section 11(e) shall apply and supersede anything to the contrary that may be set forth in the Plan or the Award Agreement with respect to the permitted treatment of such Non-Exempt Award:</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w:t>
      </w:r>
      <w:r>
        <w:rPr>
          <w:rFonts w:ascii="Times New Roman;Times;serif" w:hAnsi="Times New Roman;Times;serif"/>
          <w:sz w:val="24"/>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w:t>
      </w:r>
      <w:r>
        <w:rPr>
          <w:rFonts w:ascii="Times New Roman;Times;serif" w:hAnsi="Times New Roman;Times;serif"/>
          <w:sz w:val="24"/>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(iii)</w:t>
      </w:r>
      <w:r>
        <w:rPr>
          <w:rFonts w:ascii="Times New Roman;Times;serif" w:hAnsi="Times New Roman;Times;serif"/>
          <w:sz w:val="24"/>
        </w:rPr>
        <w:t xml:space="preserve">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21.</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29">
            <wp:simplePos x="0" y="0"/>
            <wp:positionH relativeFrom="page">
              <wp:posOffset>0</wp:posOffset>
            </wp:positionH>
            <wp:positionV relativeFrom="line">
              <wp:posOffset>635</wp:posOffset>
            </wp:positionV>
            <wp:extent cx="6480175" cy="390525"/>
            <wp:effectExtent l="0" t="0" r="0" b="0"/>
            <wp:wrapNone/>
            <wp:docPr id="132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 name="Image63" descr=""/>
                    <pic:cNvPicPr>
                      <a:picLocks noChangeAspect="1" noChangeArrowheads="1"/>
                    </pic:cNvPicPr>
                  </pic:nvPicPr>
                  <pic:blipFill>
                    <a:blip r:embed="rId93"/>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sz w:val="24"/>
        </w:rPr>
        <w:t>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(iv)</w:t>
      </w:r>
      <w:r>
        <w:rPr>
          <w:rFonts w:ascii="Times New Roman;Times;serif" w:hAnsi="Times New Roman;Times;serif"/>
          <w:sz w:val="24"/>
        </w:rPr>
        <w:t>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12.</w:t>
      </w:r>
      <w:bookmarkStart w:id="138" w:name="_Toc49349651"/>
      <w:bookmarkEnd w:id="138"/>
      <w:r>
        <w:rPr>
          <w:rFonts w:ascii="Times New Roman;Times;serif" w:hAnsi="Times New Roman;Times;serif"/>
          <w:b/>
          <w:smallCaps/>
          <w:sz w:val="24"/>
        </w:rPr>
        <w:t>Severability.</w:t>
      </w:r>
      <w:r>
        <w:rPr>
          <w:rFonts w:ascii="Times New Roman;Times;serif" w:hAnsi="Times New Roman;Times;serif"/>
          <w:smallCaps/>
          <w:sz w:val="24"/>
        </w:rPr>
        <w:t xml:space="preserve"> </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13.</w:t>
      </w:r>
      <w:bookmarkStart w:id="139" w:name="_Toc49349652"/>
      <w:bookmarkEnd w:id="139"/>
      <w:r>
        <w:rPr>
          <w:rFonts w:ascii="Times New Roman;Times;serif" w:hAnsi="Times New Roman;Times;serif"/>
          <w:b/>
          <w:smallCaps/>
          <w:sz w:val="24"/>
        </w:rPr>
        <w:t>Termination of the Plan.</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The Board may suspend or terminate the Plan at any time.  No Incentive Share Options may be granted after the tenth anniversary of the earlier of: (i) the Adoption Date; or (ii) the date the Plan is approved by the Company’s shareholders.  No Awards may be granted under the Plan while the Plan is suspended or after it is terminated.</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22.</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30">
            <wp:simplePos x="0" y="0"/>
            <wp:positionH relativeFrom="page">
              <wp:posOffset>0</wp:posOffset>
            </wp:positionH>
            <wp:positionV relativeFrom="line">
              <wp:posOffset>635</wp:posOffset>
            </wp:positionV>
            <wp:extent cx="6480175" cy="390525"/>
            <wp:effectExtent l="0" t="0" r="0" b="0"/>
            <wp:wrapNone/>
            <wp:docPr id="132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 name="Image64" descr=""/>
                    <pic:cNvPicPr>
                      <a:picLocks noChangeAspect="1" noChangeArrowheads="1"/>
                    </pic:cNvPicPr>
                  </pic:nvPicPr>
                  <pic:blipFill>
                    <a:blip r:embed="rId94"/>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14.</w:t>
      </w:r>
      <w:bookmarkStart w:id="140" w:name="_Toc49349653"/>
      <w:bookmarkEnd w:id="140"/>
      <w:r>
        <w:rPr>
          <w:rFonts w:ascii="Times New Roman;Times;serif" w:hAnsi="Times New Roman;Times;serif"/>
          <w:b/>
          <w:smallCaps/>
          <w:sz w:val="24"/>
        </w:rPr>
        <w:t>Definitions.</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As used in the Plan, the following definitions apply to the capitalized terms indicated below:</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(a)</w:t>
      </w:r>
      <w:r>
        <w:rPr>
          <w:rFonts w:ascii="Times New Roman;Times;serif" w:hAnsi="Times New Roman;Times;serif"/>
          <w:sz w:val="24"/>
        </w:rPr>
        <w:t>“</w:t>
      </w:r>
      <w:r>
        <w:rPr>
          <w:rFonts w:ascii="Times New Roman;Times;serif" w:hAnsi="Times New Roman;Times;serif"/>
          <w:b/>
          <w:i/>
          <w:sz w:val="24"/>
        </w:rPr>
        <w:t>Acquiring Entity</w:t>
      </w:r>
      <w:r>
        <w:rPr>
          <w:rFonts w:ascii="Times New Roman;Times;serif" w:hAnsi="Times New Roman;Times;serif"/>
          <w:sz w:val="24"/>
        </w:rPr>
        <w:t>” means the surviving or acquiring corporation (or its parent company) in connection with a Corporate Transaction.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(b)</w:t>
      </w:r>
      <w:r>
        <w:rPr>
          <w:rFonts w:ascii="Times New Roman;Times;serif" w:hAnsi="Times New Roman;Times;serif"/>
          <w:sz w:val="24"/>
        </w:rPr>
        <w:t>“</w:t>
      </w:r>
      <w:r>
        <w:rPr>
          <w:rFonts w:ascii="Times New Roman;Times;serif" w:hAnsi="Times New Roman;Times;serif"/>
          <w:b/>
          <w:i/>
          <w:sz w:val="24"/>
        </w:rPr>
        <w:t>Adoption Date</w:t>
      </w:r>
      <w:r>
        <w:rPr>
          <w:rFonts w:ascii="Times New Roman;Times;serif" w:hAnsi="Times New Roman;Times;serif"/>
          <w:sz w:val="24"/>
        </w:rPr>
        <w:t>” means the date the Plan is first approved by the Board or Compensation Committee.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(c)</w:t>
      </w:r>
      <w:bookmarkStart w:id="141" w:name="_Hlk99979477"/>
      <w:bookmarkEnd w:id="141"/>
      <w:r>
        <w:rPr>
          <w:rFonts w:ascii="Times New Roman;Times;serif" w:hAnsi="Times New Roman;Times;serif"/>
          <w:sz w:val="24"/>
        </w:rPr>
        <w:t>“</w:t>
      </w:r>
      <w:r>
        <w:rPr>
          <w:rFonts w:ascii="Times New Roman;Times;serif" w:hAnsi="Times New Roman;Times;serif"/>
          <w:b/>
          <w:i/>
          <w:sz w:val="24"/>
        </w:rPr>
        <w:t>ADSs</w:t>
      </w:r>
      <w:r>
        <w:rPr>
          <w:rFonts w:ascii="Times New Roman;Times;serif" w:hAnsi="Times New Roman;Times;serif"/>
          <w:sz w:val="24"/>
        </w:rPr>
        <w:t xml:space="preserve">” means American Depository Shares, representing Ordinary Shares on deposit with a U.S. banking institution selected by the Company and which are registered pursuant to a Form S-8.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(d)</w:t>
      </w:r>
      <w:r>
        <w:rPr>
          <w:rFonts w:ascii="Times New Roman;Times;serif" w:hAnsi="Times New Roman;Times;serif"/>
          <w:sz w:val="24"/>
        </w:rPr>
        <w:t>“</w:t>
      </w:r>
      <w:r>
        <w:rPr>
          <w:rFonts w:ascii="Times New Roman;Times;serif" w:hAnsi="Times New Roman;Times;serif"/>
          <w:b/>
          <w:i/>
          <w:sz w:val="24"/>
        </w:rPr>
        <w:t>Affiliate</w:t>
      </w:r>
      <w:r>
        <w:rPr>
          <w:rFonts w:ascii="Times New Roman;Times;serif" w:hAnsi="Times New Roman;Times;serif"/>
          <w:sz w:val="24"/>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(e)</w:t>
      </w:r>
      <w:r>
        <w:rPr>
          <w:rFonts w:ascii="Times New Roman;Times;serif" w:hAnsi="Times New Roman;Times;serif"/>
          <w:sz w:val="24"/>
        </w:rPr>
        <w:t>“</w:t>
      </w:r>
      <w:r>
        <w:rPr>
          <w:rFonts w:ascii="Times New Roman;Times;serif" w:hAnsi="Times New Roman;Times;serif"/>
          <w:b/>
          <w:i/>
          <w:sz w:val="24"/>
        </w:rPr>
        <w:t>Applicable Law</w:t>
      </w:r>
      <w:r>
        <w:rPr>
          <w:rFonts w:ascii="Times New Roman;Times;serif" w:hAnsi="Times New Roman;Times;serif"/>
          <w:sz w:val="24"/>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(f)</w:t>
      </w:r>
      <w:r>
        <w:rPr>
          <w:rFonts w:ascii="Times New Roman;Times;serif" w:hAnsi="Times New Roman;Times;serif"/>
          <w:sz w:val="24"/>
        </w:rPr>
        <w:t>“</w:t>
      </w:r>
      <w:r>
        <w:rPr>
          <w:rFonts w:ascii="Times New Roman;Times;serif" w:hAnsi="Times New Roman;Times;serif"/>
          <w:b/>
          <w:i/>
          <w:sz w:val="24"/>
        </w:rPr>
        <w:t>Award</w:t>
      </w:r>
      <w:r>
        <w:rPr>
          <w:rFonts w:ascii="Times New Roman;Times;serif" w:hAnsi="Times New Roman;Times;serif"/>
          <w:sz w:val="24"/>
        </w:rPr>
        <w:t>” means any right to receive Shares, cash or other property granted under the Plan (including an Incentive Share Option, a Nonstatutory Share Option, a Restricted Share Award, a RSU Award, a SAR, a Performance Award or any Other Award).</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(g)</w:t>
      </w:r>
      <w:r>
        <w:rPr>
          <w:rFonts w:ascii="Times New Roman;Times;serif" w:hAnsi="Times New Roman;Times;serif"/>
          <w:sz w:val="24"/>
        </w:rPr>
        <w:t>“</w:t>
      </w:r>
      <w:r>
        <w:rPr>
          <w:rFonts w:ascii="Times New Roman;Times;serif" w:hAnsi="Times New Roman;Times;serif"/>
          <w:b/>
          <w:i/>
          <w:sz w:val="24"/>
        </w:rPr>
        <w:t>Award Agreement</w:t>
      </w:r>
      <w:r>
        <w:rPr>
          <w:rFonts w:ascii="Times New Roman;Times;serif" w:hAnsi="Times New Roman;Times;serif"/>
          <w:sz w:val="24"/>
        </w:rPr>
        <w:t xml:space="preserve">”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(h)</w:t>
      </w:r>
      <w:r>
        <w:rPr>
          <w:rFonts w:ascii="Times New Roman;Times;serif" w:hAnsi="Times New Roman;Times;serif"/>
          <w:sz w:val="24"/>
        </w:rPr>
        <w:t>“</w:t>
      </w:r>
      <w:r>
        <w:rPr>
          <w:rFonts w:ascii="Times New Roman;Times;serif" w:hAnsi="Times New Roman;Times;serif"/>
          <w:b/>
          <w:i/>
          <w:sz w:val="24"/>
        </w:rPr>
        <w:t>Board</w:t>
      </w:r>
      <w:r>
        <w:rPr>
          <w:rFonts w:ascii="Times New Roman;Times;serif" w:hAnsi="Times New Roman;Times;serif"/>
          <w:sz w:val="24"/>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(i)</w:t>
      </w:r>
      <w:r>
        <w:rPr>
          <w:rFonts w:ascii="Times New Roman;Times;serif" w:hAnsi="Times New Roman;Times;serif"/>
          <w:sz w:val="24"/>
        </w:rPr>
        <w:t>“</w:t>
      </w:r>
      <w:r>
        <w:rPr>
          <w:rFonts w:ascii="Times New Roman;Times;serif" w:hAnsi="Times New Roman;Times;serif"/>
          <w:b/>
          <w:i/>
          <w:sz w:val="24"/>
        </w:rPr>
        <w:t>Capitalization Adjustment</w:t>
      </w:r>
      <w:r>
        <w:rPr>
          <w:rFonts w:ascii="Times New Roman;Times;serif" w:hAnsi="Times New Roman;Times;serif"/>
          <w:sz w:val="24"/>
        </w:rPr>
        <w:t xml:space="preserve">” means any change that is made in, or other events that occur with respect to, the Shares subject to the Plan or subject to any Award after the Effective Date without the receipt of consideration by the Company through merger, consolidation, reorganization, recapitalization, reincorporation, share dividend, dividend in property other than cash, large nonrecurring cash dividend, share split, share sub-division, share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23.</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31">
            <wp:simplePos x="0" y="0"/>
            <wp:positionH relativeFrom="page">
              <wp:posOffset>0</wp:posOffset>
            </wp:positionH>
            <wp:positionV relativeFrom="line">
              <wp:posOffset>635</wp:posOffset>
            </wp:positionV>
            <wp:extent cx="6480175" cy="390525"/>
            <wp:effectExtent l="0" t="0" r="0" b="0"/>
            <wp:wrapNone/>
            <wp:docPr id="133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 name="Image65" descr=""/>
                    <pic:cNvPicPr>
                      <a:picLocks noChangeAspect="1" noChangeArrowheads="1"/>
                    </pic:cNvPicPr>
                  </pic:nvPicPr>
                  <pic:blipFill>
                    <a:blip r:embed="rId95"/>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consolidation, reverse share split, liquidating dividend, combination of shares, exchange of shares, change in corporate structure or any similar equity restructuring transaction, as that term is used in Statement of Financial Accounting Standards </w:t>
      </w:r>
      <w:bookmarkStart w:id="142" w:name="_DV_C421"/>
      <w:bookmarkEnd w:id="142"/>
      <w:r>
        <w:rPr>
          <w:rFonts w:ascii="Times New Roman;Times;serif" w:hAnsi="Times New Roman;Times;serif"/>
          <w:sz w:val="24"/>
        </w:rPr>
        <w:t>Board Accounting Standards Codification Topic 718 (or any successor thereto).  Notwithstanding the foregoing, the conversion of any convertible securities of the Company will not be treated as a Capitalization Adjustment.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(j)</w:t>
      </w:r>
      <w:r>
        <w:rPr>
          <w:rFonts w:ascii="Times New Roman;Times;serif" w:hAnsi="Times New Roman;Times;serif"/>
          <w:sz w:val="24"/>
        </w:rPr>
        <w:t>“</w:t>
      </w:r>
      <w:r>
        <w:rPr>
          <w:rFonts w:ascii="Times New Roman;Times;serif" w:hAnsi="Times New Roman;Times;serif"/>
          <w:b/>
          <w:i/>
          <w:sz w:val="24"/>
        </w:rPr>
        <w:t>Cause</w:t>
      </w:r>
      <w:r>
        <w:rPr>
          <w:rFonts w:ascii="Times New Roman;Times;serif" w:hAnsi="Times New Roman;Times;serif"/>
          <w:sz w:val="24"/>
        </w:rPr>
        <w:t>” has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any applicable jurisdiction; (ii) such Participant’s attempted commission of, or participation in, a fraud or act of dishonesty against the Company or any Affiliate; (iii) such Participant’s material violation of any contract or agreement between the Participant and the Company or any Affiliate or of any statutory duty owed to the Company or any Affiliate, or of any material policy of the Company or any Affiliate; (iv) such Participant’s unauthorized use or disclosure of the Company’s or any Affiliate’s confidential information or trade secrets; or (v) such Participant’s gross misconduct.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(k)</w:t>
      </w:r>
      <w:r>
        <w:rPr>
          <w:rFonts w:ascii="Times New Roman;Times;serif" w:hAnsi="Times New Roman;Times;serif"/>
          <w:sz w:val="24"/>
        </w:rPr>
        <w:t>“</w:t>
      </w:r>
      <w:r>
        <w:rPr>
          <w:rFonts w:ascii="Times New Roman;Times;serif" w:hAnsi="Times New Roman;Times;serif"/>
          <w:b/>
          <w:i/>
          <w:sz w:val="24"/>
        </w:rPr>
        <w:t>Change in Control</w:t>
      </w:r>
      <w:r>
        <w:rPr>
          <w:rFonts w:ascii="Times New Roman;Times;serif" w:hAnsi="Times New Roman;Times;serif"/>
          <w:sz w:val="24"/>
        </w:rPr>
        <w:t>” or “</w:t>
      </w:r>
      <w:r>
        <w:rPr>
          <w:rFonts w:ascii="Times New Roman;Times;serif" w:hAnsi="Times New Roman;Times;serif"/>
          <w:b/>
          <w:i/>
          <w:sz w:val="24"/>
        </w:rPr>
        <w:t>Change of Control</w:t>
      </w:r>
      <w:r>
        <w:rPr>
          <w:rFonts w:ascii="Times New Roman;Times;serif" w:hAnsi="Times New Roman;Times;serif"/>
          <w:sz w:val="24"/>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w:t>
      </w:r>
      <w:r>
        <w:rPr>
          <w:rFonts w:ascii="Times New Roman;Times;serif" w:hAnsi="Times New Roman;Times;serif"/>
          <w:sz w:val="24"/>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Times;serif" w:hAnsi="Times New Roman;Times;serif"/>
          <w:i/>
          <w:sz w:val="24"/>
        </w:rPr>
        <w:t>Subject Person</w:t>
      </w:r>
      <w:r>
        <w:rPr>
          <w:rFonts w:ascii="Times New Roman;Times;serif" w:hAnsi="Times New Roman;Times;serif"/>
          <w:sz w:val="24"/>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24.</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32">
            <wp:simplePos x="0" y="0"/>
            <wp:positionH relativeFrom="page">
              <wp:posOffset>0</wp:posOffset>
            </wp:positionH>
            <wp:positionV relativeFrom="line">
              <wp:posOffset>635</wp:posOffset>
            </wp:positionV>
            <wp:extent cx="6480175" cy="390525"/>
            <wp:effectExtent l="0" t="0" r="0" b="0"/>
            <wp:wrapNone/>
            <wp:docPr id="133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 name="Image66" descr=""/>
                    <pic:cNvPicPr>
                      <a:picLocks noChangeAspect="1" noChangeArrowheads="1"/>
                    </pic:cNvPicPr>
                  </pic:nvPicPr>
                  <pic:blipFill>
                    <a:blip r:embed="rId96"/>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sz w:val="24"/>
        </w:rPr>
        <w:t>outstanding voting securities Owned by the Subject Person over the designated percentage threshold, then a Change in Control shall be deemed to occur;</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w:t>
      </w:r>
      <w:r>
        <w:rPr>
          <w:rFonts w:ascii="Times New Roman;Times;serif" w:hAnsi="Times New Roman;Times;serif"/>
          <w:sz w:val="24"/>
        </w:rPr>
        <w:t>there is consummated a merger, consolidation or similar transaction involving (directly or indirectly) the Company and, immediately after the consummation of such merger, consolidation or similar transaction, the shareholders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(iii)</w:t>
      </w:r>
      <w:r>
        <w:rPr>
          <w:rFonts w:ascii="Times New Roman;Times;serif" w:hAnsi="Times New Roman;Times;serif"/>
          <w:sz w:val="24"/>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shareholders of the Company in substantially the same proportions as their Ownership of the outstanding voting securities of the Company immediately prior to such sale, lease, license or other disposition; or</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(iv)</w:t>
      </w:r>
      <w:r>
        <w:rPr>
          <w:rFonts w:ascii="Times New Roman;Times;serif" w:hAnsi="Times New Roman;Times;serif"/>
          <w:sz w:val="24"/>
        </w:rPr>
        <w:t>individuals who, on the date the Plan is adopted by the Board or Compensation Committee, are members of the Board (the “</w:t>
      </w:r>
      <w:r>
        <w:rPr>
          <w:rFonts w:ascii="Times New Roman;Times;serif" w:hAnsi="Times New Roman;Times;serif"/>
          <w:b/>
          <w:i/>
          <w:sz w:val="24"/>
        </w:rPr>
        <w:t>Incumbent Board</w:t>
      </w:r>
      <w:r>
        <w:rPr>
          <w:rFonts w:ascii="Times New Roman;Times;serif" w:hAnsi="Times New Roman;Times;serif"/>
          <w:sz w:val="24"/>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pStyle w:val="TextBody"/>
        <w:spacing w:before="0" w:after="240"/>
        <w:ind w:left="0" w:right="0" w:firstLine="720"/>
        <w:jc w:val="both"/>
        <w:rPr>
          <w:rFonts w:ascii="Times New Roman;Times;serif" w:hAnsi="Times New Roman;Times;serif"/>
          <w:sz w:val="24"/>
        </w:rPr>
      </w:pPr>
      <w:r>
        <w:rPr>
          <w:rFonts w:ascii="Times New Roman;Times;serif" w:hAnsi="Times New Roman;Times;serif"/>
          <w:sz w:val="24"/>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(l)</w:t>
      </w:r>
      <w:r>
        <w:rPr>
          <w:rFonts w:ascii="Times New Roman;Times;serif" w:hAnsi="Times New Roman;Times;serif"/>
          <w:sz w:val="24"/>
        </w:rPr>
        <w:t>“</w:t>
      </w:r>
      <w:r>
        <w:rPr>
          <w:rFonts w:ascii="Times New Roman;Times;serif" w:hAnsi="Times New Roman;Times;serif"/>
          <w:b/>
          <w:i/>
          <w:sz w:val="24"/>
        </w:rPr>
        <w:t>Code</w:t>
      </w:r>
      <w:r>
        <w:rPr>
          <w:rFonts w:ascii="Times New Roman;Times;serif" w:hAnsi="Times New Roman;Times;serif"/>
          <w:sz w:val="24"/>
        </w:rPr>
        <w:t>” means the Internal Revenue Code of 1986, as amended, including any applicable regulations and guidance thereunder.</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(m)</w:t>
      </w:r>
      <w:r>
        <w:rPr>
          <w:rFonts w:ascii="Times New Roman;Times;serif" w:hAnsi="Times New Roman;Times;serif"/>
          <w:sz w:val="24"/>
        </w:rPr>
        <w:t>“</w:t>
      </w:r>
      <w:r>
        <w:rPr>
          <w:rFonts w:ascii="Times New Roman;Times;serif" w:hAnsi="Times New Roman;Times;serif"/>
          <w:b/>
          <w:i/>
          <w:sz w:val="24"/>
        </w:rPr>
        <w:t>Committee</w:t>
      </w:r>
      <w:r>
        <w:rPr>
          <w:rFonts w:ascii="Times New Roman;Times;serif" w:hAnsi="Times New Roman;Times;serif"/>
          <w:sz w:val="24"/>
        </w:rPr>
        <w:t>” means the Compensation Committee and any other committee of Directors to whom authority has been delegated by the Board or Compensation Committee in accordance with the Plan.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(n)</w:t>
      </w:r>
      <w:r>
        <w:rPr>
          <w:rFonts w:ascii="Times New Roman;Times;serif" w:hAnsi="Times New Roman;Times;serif"/>
          <w:sz w:val="24"/>
        </w:rPr>
        <w:t>“</w:t>
      </w:r>
      <w:r>
        <w:rPr>
          <w:rFonts w:ascii="Times New Roman;Times;serif" w:hAnsi="Times New Roman;Times;serif"/>
          <w:b/>
          <w:i/>
          <w:sz w:val="24"/>
        </w:rPr>
        <w:t>Company</w:t>
      </w:r>
      <w:r>
        <w:rPr>
          <w:rFonts w:ascii="Times New Roman;Times;serif" w:hAnsi="Times New Roman;Times;serif"/>
          <w:sz w:val="24"/>
        </w:rPr>
        <w:t>” means Structure Therapeutics Inc., a Cayman Islands exempted company.</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25.</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33">
            <wp:simplePos x="0" y="0"/>
            <wp:positionH relativeFrom="page">
              <wp:posOffset>0</wp:posOffset>
            </wp:positionH>
            <wp:positionV relativeFrom="line">
              <wp:posOffset>635</wp:posOffset>
            </wp:positionV>
            <wp:extent cx="6480175" cy="390525"/>
            <wp:effectExtent l="0" t="0" r="0" b="0"/>
            <wp:wrapNone/>
            <wp:docPr id="133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 name="Image67" descr=""/>
                    <pic:cNvPicPr>
                      <a:picLocks noChangeAspect="1" noChangeArrowheads="1"/>
                    </pic:cNvPicPr>
                  </pic:nvPicPr>
                  <pic:blipFill>
                    <a:blip r:embed="rId97"/>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(o)</w:t>
      </w:r>
      <w:r>
        <w:rPr>
          <w:rFonts w:ascii="Times New Roman;Times;serif" w:hAnsi="Times New Roman;Times;serif"/>
          <w:sz w:val="24"/>
        </w:rPr>
        <w:t>“</w:t>
      </w:r>
      <w:r>
        <w:rPr>
          <w:rFonts w:ascii="Times New Roman;Times;serif" w:hAnsi="Times New Roman;Times;serif"/>
          <w:b/>
          <w:i/>
          <w:sz w:val="24"/>
        </w:rPr>
        <w:t>Compensation Committee</w:t>
      </w:r>
      <w:r>
        <w:rPr>
          <w:rFonts w:ascii="Times New Roman;Times;serif" w:hAnsi="Times New Roman;Times;serif"/>
          <w:sz w:val="24"/>
        </w:rPr>
        <w:t>” means the Compensation Committee of the Board.</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(p)</w:t>
      </w:r>
      <w:r>
        <w:rPr>
          <w:rFonts w:ascii="Times New Roman;Times;serif" w:hAnsi="Times New Roman;Times;serif"/>
          <w:sz w:val="24"/>
        </w:rPr>
        <w:t>“</w:t>
      </w:r>
      <w:r>
        <w:rPr>
          <w:rFonts w:ascii="Times New Roman;Times;serif" w:hAnsi="Times New Roman;Times;serif"/>
          <w:b/>
          <w:i/>
          <w:sz w:val="24"/>
        </w:rPr>
        <w:t>Consultant</w:t>
      </w:r>
      <w:r>
        <w:rPr>
          <w:rFonts w:ascii="Times New Roman;Times;serif" w:hAnsi="Times New Roman;Times;serif"/>
          <w:sz w:val="24"/>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(q)</w:t>
      </w:r>
      <w:r>
        <w:rPr>
          <w:rFonts w:ascii="Times New Roman;Times;serif" w:hAnsi="Times New Roman;Times;serif"/>
          <w:sz w:val="24"/>
        </w:rPr>
        <w:t>“</w:t>
      </w:r>
      <w:r>
        <w:rPr>
          <w:rFonts w:ascii="Times New Roman;Times;serif" w:hAnsi="Times New Roman;Times;serif"/>
          <w:b/>
          <w:i/>
          <w:sz w:val="24"/>
        </w:rPr>
        <w:t>Continuous Service</w:t>
      </w:r>
      <w:r>
        <w:rPr>
          <w:rFonts w:ascii="Times New Roman;Times;serif" w:hAnsi="Times New Roman;Times;serif"/>
          <w:sz w:val="24"/>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Times;serif" w:hAnsi="Times New Roman;Times;serif"/>
          <w:i/>
          <w:sz w:val="24"/>
        </w:rPr>
        <w:t>,</w:t>
      </w:r>
      <w:r>
        <w:rPr>
          <w:rFonts w:ascii="Times New Roman;Times;serif" w:hAnsi="Times New Roman;Times;serif"/>
          <w:sz w:val="24"/>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Regulations Section 1.409A-1(h) (without regard to any alternative definition thereunder).</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(r)</w:t>
      </w:r>
      <w:r>
        <w:rPr>
          <w:rFonts w:ascii="Times New Roman;Times;serif" w:hAnsi="Times New Roman;Times;serif"/>
          <w:sz w:val="24"/>
        </w:rPr>
        <w:t>“</w:t>
      </w:r>
      <w:r>
        <w:rPr>
          <w:rFonts w:ascii="Times New Roman;Times;serif" w:hAnsi="Times New Roman;Times;serif"/>
          <w:b/>
          <w:i/>
          <w:sz w:val="24"/>
        </w:rPr>
        <w:t>Corporate Transaction</w:t>
      </w:r>
      <w:r>
        <w:rPr>
          <w:rFonts w:ascii="Times New Roman;Times;serif" w:hAnsi="Times New Roman;Times;serif"/>
          <w:sz w:val="24"/>
        </w:rPr>
        <w:t>” means the consummation, in a single transaction or in a series of related transactions, of any one or more of the following events:</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w:t>
      </w:r>
      <w:r>
        <w:rPr>
          <w:rFonts w:ascii="Times New Roman;Times;serif" w:hAnsi="Times New Roman;Times;serif"/>
          <w:sz w:val="24"/>
        </w:rPr>
        <w:t>a sale or other disposition of all or substantially all, as determined by the Board, of the consolidated assets of the Company and its Subsidiaries;</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w:t>
      </w:r>
      <w:r>
        <w:rPr>
          <w:rFonts w:ascii="Times New Roman;Times;serif" w:hAnsi="Times New Roman;Times;serif"/>
          <w:sz w:val="24"/>
        </w:rPr>
        <w:t>a sale or other disposition of at least 50% of the outstanding securities of the Company;</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(iii)</w:t>
      </w:r>
      <w:r>
        <w:rPr>
          <w:rFonts w:ascii="Times New Roman;Times;serif" w:hAnsi="Times New Roman;Times;serif"/>
          <w:sz w:val="24"/>
        </w:rPr>
        <w:t>a merger, consolidation or similar transaction following which the Company is not the surviving corporation; or</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26.</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34">
            <wp:simplePos x="0" y="0"/>
            <wp:positionH relativeFrom="page">
              <wp:posOffset>0</wp:posOffset>
            </wp:positionH>
            <wp:positionV relativeFrom="line">
              <wp:posOffset>635</wp:posOffset>
            </wp:positionV>
            <wp:extent cx="6480175" cy="390525"/>
            <wp:effectExtent l="0" t="0" r="0" b="0"/>
            <wp:wrapNone/>
            <wp:docPr id="133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 name="Image68" descr=""/>
                    <pic:cNvPicPr>
                      <a:picLocks noChangeAspect="1" noChangeArrowheads="1"/>
                    </pic:cNvPicPr>
                  </pic:nvPicPr>
                  <pic:blipFill>
                    <a:blip r:embed="rId98"/>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(iv)</w:t>
      </w:r>
      <w:r>
        <w:rPr>
          <w:rFonts w:ascii="Times New Roman;Times;serif" w:hAnsi="Times New Roman;Times;serif"/>
          <w:sz w:val="24"/>
        </w:rPr>
        <w:t>a merger, consolidation or similar transaction following which the Company is the surviving corporation but the Shares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(s)</w:t>
      </w:r>
      <w:r>
        <w:rPr>
          <w:rFonts w:ascii="Times New Roman;Times;serif" w:hAnsi="Times New Roman;Times;serif"/>
          <w:sz w:val="24"/>
        </w:rPr>
        <w:t>“</w:t>
      </w:r>
      <w:r>
        <w:rPr>
          <w:rFonts w:ascii="Times New Roman;Times;serif" w:hAnsi="Times New Roman;Times;serif"/>
          <w:b/>
          <w:i/>
          <w:sz w:val="24"/>
        </w:rPr>
        <w:t>Director</w:t>
      </w:r>
      <w:r>
        <w:rPr>
          <w:rFonts w:ascii="Times New Roman;Times;serif" w:hAnsi="Times New Roman;Times;serif"/>
          <w:sz w:val="24"/>
        </w:rPr>
        <w:t>” means a member of the Board.</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(t)</w:t>
      </w:r>
      <w:r>
        <w:rPr>
          <w:rFonts w:ascii="Times New Roman;Times;serif" w:hAnsi="Times New Roman;Times;serif"/>
          <w:sz w:val="24"/>
        </w:rPr>
        <w:t>“</w:t>
      </w:r>
      <w:r>
        <w:rPr>
          <w:rFonts w:ascii="Times New Roman;Times;serif" w:hAnsi="Times New Roman;Times;serif"/>
          <w:b/>
          <w:i/>
          <w:sz w:val="24"/>
        </w:rPr>
        <w:t>determine</w:t>
      </w:r>
      <w:r>
        <w:rPr>
          <w:rFonts w:ascii="Times New Roman;Times;serif" w:hAnsi="Times New Roman;Times;serif"/>
          <w:sz w:val="24"/>
        </w:rPr>
        <w:t xml:space="preserve">” </w:t>
      </w:r>
      <w:r>
        <w:rPr>
          <w:rFonts w:ascii="Times New Roman;Times;serif" w:hAnsi="Times New Roman;Times;serif"/>
          <w:b/>
          <w:i/>
          <w:sz w:val="24"/>
        </w:rPr>
        <w:t xml:space="preserve">or </w:t>
      </w:r>
      <w:r>
        <w:rPr>
          <w:rFonts w:ascii="Times New Roman;Times;serif" w:hAnsi="Times New Roman;Times;serif"/>
          <w:sz w:val="24"/>
        </w:rPr>
        <w:t>“</w:t>
      </w:r>
      <w:r>
        <w:rPr>
          <w:rFonts w:ascii="Times New Roman;Times;serif" w:hAnsi="Times New Roman;Times;serif"/>
          <w:b/>
          <w:i/>
          <w:sz w:val="24"/>
        </w:rPr>
        <w:t>determined</w:t>
      </w:r>
      <w:r>
        <w:rPr>
          <w:rFonts w:ascii="Times New Roman;Times;serif" w:hAnsi="Times New Roman;Times;serif"/>
          <w:sz w:val="24"/>
        </w:rPr>
        <w:t>” means as determined by the Board or the Committee (or its designee) in its sole discretion.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(u)</w:t>
      </w:r>
      <w:r>
        <w:rPr>
          <w:rFonts w:ascii="Times New Roman;Times;serif" w:hAnsi="Times New Roman;Times;serif"/>
          <w:sz w:val="24"/>
        </w:rPr>
        <w:t>“</w:t>
      </w:r>
      <w:r>
        <w:rPr>
          <w:rFonts w:ascii="Times New Roman;Times;serif" w:hAnsi="Times New Roman;Times;serif"/>
          <w:b/>
          <w:i/>
          <w:sz w:val="24"/>
        </w:rPr>
        <w:t>Disability</w:t>
      </w:r>
      <w:r>
        <w:rPr>
          <w:rFonts w:ascii="Times New Roman;Times;serif" w:hAnsi="Times New Roman;Times;serif"/>
          <w:sz w:val="24"/>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(v)</w:t>
      </w:r>
      <w:r>
        <w:rPr>
          <w:rFonts w:ascii="Times New Roman;Times;serif" w:hAnsi="Times New Roman;Times;serif"/>
          <w:sz w:val="24"/>
        </w:rPr>
        <w:t>“</w:t>
      </w:r>
      <w:r>
        <w:rPr>
          <w:rFonts w:ascii="Times New Roman;Times;serif" w:hAnsi="Times New Roman;Times;serif"/>
          <w:b/>
          <w:i/>
          <w:sz w:val="24"/>
        </w:rPr>
        <w:t>Effective Date</w:t>
      </w:r>
      <w:r>
        <w:rPr>
          <w:rFonts w:ascii="Times New Roman;Times;serif" w:hAnsi="Times New Roman;Times;serif"/>
          <w:sz w:val="24"/>
        </w:rPr>
        <w:t>” means immediately prior to the IPO Date, provided this Plan is approved by the Company’s shareholders prior to the IPO Date.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(w)</w:t>
      </w:r>
      <w:r>
        <w:rPr>
          <w:rFonts w:ascii="Times New Roman;Times;serif" w:hAnsi="Times New Roman;Times;serif"/>
          <w:sz w:val="24"/>
        </w:rPr>
        <w:t>“</w:t>
      </w:r>
      <w:r>
        <w:rPr>
          <w:rFonts w:ascii="Times New Roman;Times;serif" w:hAnsi="Times New Roman;Times;serif"/>
          <w:b/>
          <w:i/>
          <w:sz w:val="24"/>
        </w:rPr>
        <w:t>Employee</w:t>
      </w:r>
      <w:r>
        <w:rPr>
          <w:rFonts w:ascii="Times New Roman;Times;serif" w:hAnsi="Times New Roman;Times;serif"/>
          <w:sz w:val="24"/>
        </w:rPr>
        <w:t>” means any person employed by the Company or an Affiliate.  However, service solely as a Director, or payment of a fee for such services, will not cause a Director to be considered an “Employee” for purposes of the Plan.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(x)</w:t>
      </w:r>
      <w:r>
        <w:rPr>
          <w:rFonts w:ascii="Times New Roman;Times;serif" w:hAnsi="Times New Roman;Times;serif"/>
          <w:sz w:val="24"/>
        </w:rPr>
        <w:t>“</w:t>
      </w:r>
      <w:r>
        <w:rPr>
          <w:rFonts w:ascii="Times New Roman;Times;serif" w:hAnsi="Times New Roman;Times;serif"/>
          <w:b/>
          <w:i/>
          <w:sz w:val="24"/>
        </w:rPr>
        <w:t>Employer</w:t>
      </w:r>
      <w:r>
        <w:rPr>
          <w:rFonts w:ascii="Times New Roman;Times;serif" w:hAnsi="Times New Roman;Times;serif"/>
          <w:sz w:val="24"/>
        </w:rPr>
        <w:t>” means the Company or the Affiliate of the Company that employs the Participant.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(y)</w:t>
      </w:r>
      <w:r>
        <w:rPr>
          <w:rFonts w:ascii="Times New Roman;Times;serif" w:hAnsi="Times New Roman;Times;serif"/>
          <w:sz w:val="24"/>
        </w:rPr>
        <w:t>“</w:t>
      </w:r>
      <w:r>
        <w:rPr>
          <w:rFonts w:ascii="Times New Roman;Times;serif" w:hAnsi="Times New Roman;Times;serif"/>
          <w:b/>
          <w:i/>
          <w:sz w:val="24"/>
        </w:rPr>
        <w:t>Entity</w:t>
      </w:r>
      <w:r>
        <w:rPr>
          <w:rFonts w:ascii="Times New Roman;Times;serif" w:hAnsi="Times New Roman;Times;serif"/>
          <w:sz w:val="24"/>
        </w:rPr>
        <w:t>” means a corporation, partnership, limited liability company or other entity.</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(z)</w:t>
      </w:r>
      <w:r>
        <w:rPr>
          <w:rFonts w:ascii="Times New Roman;Times;serif" w:hAnsi="Times New Roman;Times;serif"/>
          <w:sz w:val="24"/>
        </w:rPr>
        <w:t>“</w:t>
      </w:r>
      <w:r>
        <w:rPr>
          <w:rFonts w:ascii="Times New Roman;Times;serif" w:hAnsi="Times New Roman;Times;serif"/>
          <w:b/>
          <w:i/>
          <w:sz w:val="24"/>
        </w:rPr>
        <w:t>Exchange Act</w:t>
      </w:r>
      <w:r>
        <w:rPr>
          <w:rFonts w:ascii="Times New Roman;Times;serif" w:hAnsi="Times New Roman;Times;serif"/>
          <w:sz w:val="24"/>
        </w:rPr>
        <w:t>” means the Securities Exchange Act of 1934, as amended, and the rules and regulations promulgated thereunder.</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(aa)</w:t>
      </w:r>
      <w:r>
        <w:rPr>
          <w:rFonts w:ascii="Times New Roman;Times;serif" w:hAnsi="Times New Roman;Times;serif"/>
          <w:sz w:val="24"/>
        </w:rPr>
        <w:t>“</w:t>
      </w:r>
      <w:r>
        <w:rPr>
          <w:rFonts w:ascii="Times New Roman;Times;serif" w:hAnsi="Times New Roman;Times;serif"/>
          <w:b/>
          <w:i/>
          <w:sz w:val="24"/>
        </w:rPr>
        <w:t>Exchange Act Person</w:t>
      </w:r>
      <w:r>
        <w:rPr>
          <w:rFonts w:ascii="Times New Roman;Times;serif" w:hAnsi="Times New Roman;Times;serif"/>
          <w:sz w:val="24"/>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shareholders of the Company in substantially the same proportions as their Ownership of shares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27.</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35">
            <wp:simplePos x="0" y="0"/>
            <wp:positionH relativeFrom="page">
              <wp:posOffset>0</wp:posOffset>
            </wp:positionH>
            <wp:positionV relativeFrom="line">
              <wp:posOffset>635</wp:posOffset>
            </wp:positionV>
            <wp:extent cx="6480175" cy="390525"/>
            <wp:effectExtent l="0" t="0" r="0" b="0"/>
            <wp:wrapNone/>
            <wp:docPr id="133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 name="Image69" descr=""/>
                    <pic:cNvPicPr>
                      <a:picLocks noChangeAspect="1" noChangeArrowheads="1"/>
                    </pic:cNvPicPr>
                  </pic:nvPicPr>
                  <pic:blipFill>
                    <a:blip r:embed="rId99"/>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(bb)</w:t>
      </w:r>
      <w:r>
        <w:rPr>
          <w:rFonts w:ascii="Times New Roman;Times;serif" w:hAnsi="Times New Roman;Times;serif"/>
          <w:sz w:val="24"/>
        </w:rPr>
        <w:t>“</w:t>
      </w:r>
      <w:r>
        <w:rPr>
          <w:rFonts w:ascii="Times New Roman;Times;serif" w:hAnsi="Times New Roman;Times;serif"/>
          <w:b/>
          <w:i/>
          <w:sz w:val="24"/>
        </w:rPr>
        <w:t>Fair Market Value</w:t>
      </w:r>
      <w:r>
        <w:rPr>
          <w:rFonts w:ascii="Times New Roman;Times;serif" w:hAnsi="Times New Roman;Times;serif"/>
          <w:sz w:val="24"/>
        </w:rPr>
        <w:t>” means, as of any date, unless otherwise determined by the Board, the value of the Shares (as determined on a per share or aggregate basis, as applicable) determined as follows:</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w:t>
      </w:r>
      <w:r>
        <w:rPr>
          <w:rFonts w:ascii="Times New Roman;Times;serif" w:hAnsi="Times New Roman;Times;serif"/>
          <w:sz w:val="24"/>
        </w:rPr>
        <w:t>If the Shares are listed on any established stock exchange or traded on any established market, the Fair Market Value will be the closing sales price for such Shares as quoted on such exchange or market (or the exchange or market with the greatest volume of trading in the Shares) on the date of determination, as reported in a source the Board deems reliable.</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w:t>
      </w:r>
      <w:r>
        <w:rPr>
          <w:rFonts w:ascii="Times New Roman;Times;serif" w:hAnsi="Times New Roman;Times;serif"/>
          <w:sz w:val="24"/>
        </w:rPr>
        <w:t>If there is no closing sales price for the Shares on the date of determination, then the Fair Market Value will be the closing selling price on the last preceding date for which such quotation exists.</w:t>
      </w:r>
    </w:p>
    <w:p>
      <w:pPr>
        <w:pStyle w:val="TextBody"/>
        <w:spacing w:before="0" w:after="240"/>
        <w:ind w:left="90" w:right="0" w:hanging="0"/>
        <w:jc w:val="both"/>
        <w:rPr>
          <w:rFonts w:ascii="Times New Roman;Times;serif" w:hAnsi="Times New Roman;Times;serif"/>
          <w:sz w:val="24"/>
        </w:rPr>
      </w:pPr>
      <w:r>
        <w:rPr>
          <w:rFonts w:ascii="Times New Roman;Times;serif" w:hAnsi="Times New Roman;Times;serif"/>
          <w:b/>
          <w:sz w:val="24"/>
        </w:rPr>
        <w:t>(iii)</w:t>
      </w:r>
      <w:bookmarkStart w:id="143" w:name="_Ref92447285"/>
      <w:bookmarkEnd w:id="143"/>
      <w:r>
        <w:rPr>
          <w:rFonts w:ascii="Times New Roman;Times;serif" w:hAnsi="Times New Roman;Times;serif"/>
          <w:sz w:val="24"/>
        </w:rPr>
        <w:t>In the absence of such markets for the Shares, or if otherwise determined by the Board, the Fair Market Value will be determined by the Board in good faith and in a manner that complies with Sections 409A and 422 of the Code.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(cc)</w:t>
      </w:r>
      <w:r>
        <w:rPr>
          <w:rFonts w:ascii="Times New Roman;Times;serif" w:hAnsi="Times New Roman;Times;serif"/>
          <w:sz w:val="24"/>
        </w:rPr>
        <w:t>“</w:t>
      </w:r>
      <w:r>
        <w:rPr>
          <w:rFonts w:ascii="Times New Roman;Times;serif" w:hAnsi="Times New Roman;Times;serif"/>
          <w:b/>
          <w:i/>
          <w:sz w:val="24"/>
        </w:rPr>
        <w:t>Governmental</w:t>
      </w:r>
      <w:r>
        <w:rPr>
          <w:rFonts w:ascii="Times New Roman;Times;serif" w:hAnsi="Times New Roman;Times;serif"/>
          <w:sz w:val="24"/>
        </w:rPr>
        <w:t xml:space="preserve"> </w:t>
      </w:r>
      <w:r>
        <w:rPr>
          <w:rFonts w:ascii="Times New Roman;Times;serif" w:hAnsi="Times New Roman;Times;serif"/>
          <w:b/>
          <w:i/>
          <w:sz w:val="24"/>
        </w:rPr>
        <w:t>Body</w:t>
      </w:r>
      <w:r>
        <w:rPr>
          <w:rFonts w:ascii="Times New Roman;Times;serif" w:hAnsi="Times New Roman;Times;serif"/>
          <w:sz w:val="24"/>
        </w:rPr>
        <w:t xml:space="preserve">” means any: (a) nation, state, commonwealth, province, territory, county, municipality, district or other jurisdiction of any nature; (b) federal, state, local, municipal, foreign or other government; (c) governmental or </w:t>
      </w:r>
      <w:bookmarkStart w:id="144" w:name="_cp_text_1_3250"/>
      <w:bookmarkEnd w:id="144"/>
      <w:r>
        <w:rPr>
          <w:rFonts w:ascii="Times New Roman;Times;serif" w:hAnsi="Times New Roman;Times;serif"/>
          <w:sz w:val="24"/>
        </w:rPr>
        <w:t xml:space="preserve">regulatory body, or quasi-governmental body of any nature (including any governmental division, department, </w:t>
      </w:r>
      <w:bookmarkStart w:id="145" w:name="_cp_text_1_3251"/>
      <w:bookmarkEnd w:id="145"/>
      <w:r>
        <w:rPr>
          <w:rFonts w:ascii="Times New Roman;Times;serif" w:hAnsi="Times New Roman;Times;serif"/>
          <w:sz w:val="24"/>
        </w:rPr>
        <w:t>administrative agency</w:t>
      </w:r>
      <w:bookmarkStart w:id="146" w:name="_cp_text_1_3252"/>
      <w:bookmarkEnd w:id="146"/>
      <w:r>
        <w:rPr>
          <w:rFonts w:ascii="Times New Roman;Times;serif" w:hAnsi="Times New Roman;Times;serif"/>
          <w:sz w:val="24"/>
        </w:rPr>
        <w:t xml:space="preserve"> or bureau, commission</w:t>
      </w:r>
      <w:bookmarkStart w:id="147" w:name="_cp_text_1_3253"/>
      <w:bookmarkEnd w:id="147"/>
      <w:r>
        <w:rPr>
          <w:rFonts w:ascii="Times New Roman;Times;serif" w:hAnsi="Times New Roman;Times;serif"/>
          <w:sz w:val="24"/>
        </w:rPr>
        <w:t>, authority, instrumentality, official, ministry, fund, foundation, center, organization, unit, body or Entity and any court or other tribunal, and for the avoidance of doubt, any Tax authority)</w:t>
      </w:r>
      <w:bookmarkStart w:id="148" w:name="_cp_text_1_3254"/>
      <w:bookmarkEnd w:id="148"/>
      <w:r>
        <w:rPr>
          <w:rFonts w:ascii="Times New Roman;Times;serif" w:hAnsi="Times New Roman;Times;serif"/>
          <w:sz w:val="24"/>
        </w:rPr>
        <w:t xml:space="preserve"> or other body exercising similar powers or authority; or (d) self-regulatory organization (including the Nasdaq Stock Market, New York Stock Exchange, and the Financial Industry Regulatory Authority).</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(dd)</w:t>
      </w:r>
      <w:r>
        <w:rPr>
          <w:rFonts w:ascii="Times New Roman;Times;serif" w:hAnsi="Times New Roman;Times;serif"/>
          <w:sz w:val="24"/>
        </w:rPr>
        <w:t>“</w:t>
      </w:r>
      <w:r>
        <w:rPr>
          <w:rFonts w:ascii="Times New Roman;Times;serif" w:hAnsi="Times New Roman;Times;serif"/>
          <w:b/>
          <w:i/>
          <w:sz w:val="24"/>
        </w:rPr>
        <w:t>Grant Notice</w:t>
      </w:r>
      <w:r>
        <w:rPr>
          <w:rFonts w:ascii="Times New Roman;Times;serif" w:hAnsi="Times New Roman;Times;serif"/>
          <w:sz w:val="24"/>
        </w:rPr>
        <w:t xml:space="preserve">” means the notice provided to a Participant that he or she has been granted an Award under the Plan and which includes the name of the Participant, the type of Award, the date of grant of the Award, number of Shares subject to the Award or potential cash payment right, (if any), the vesting schedule for the Award (if any) and other key terms applicable to the Award.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(ee)</w:t>
      </w:r>
      <w:r>
        <w:rPr>
          <w:rFonts w:ascii="Times New Roman;Times;serif" w:hAnsi="Times New Roman;Times;serif"/>
          <w:sz w:val="24"/>
        </w:rPr>
        <w:t>“</w:t>
      </w:r>
      <w:r>
        <w:rPr>
          <w:rFonts w:ascii="Times New Roman;Times;serif" w:hAnsi="Times New Roman;Times;serif"/>
          <w:b/>
          <w:i/>
          <w:sz w:val="24"/>
        </w:rPr>
        <w:t>Incentive Share Option</w:t>
      </w:r>
      <w:r>
        <w:rPr>
          <w:rFonts w:ascii="Times New Roman;Times;serif" w:hAnsi="Times New Roman;Times;serif"/>
          <w:sz w:val="24"/>
        </w:rPr>
        <w:t>” means an option granted pursuant to Section 4 of the Plan that is intended to be, and qualifies as, an “incentive stock option” within the meaning of Section 422 of the Code.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(ff)</w:t>
      </w:r>
      <w:r>
        <w:rPr>
          <w:rFonts w:ascii="Times New Roman;Times;serif" w:hAnsi="Times New Roman;Times;serif"/>
          <w:sz w:val="24"/>
        </w:rPr>
        <w:t>“</w:t>
      </w:r>
      <w:r>
        <w:rPr>
          <w:rFonts w:ascii="Times New Roman;Times;serif" w:hAnsi="Times New Roman;Times;serif"/>
          <w:b/>
          <w:i/>
          <w:sz w:val="24"/>
        </w:rPr>
        <w:t>IPO Date</w:t>
      </w:r>
      <w:r>
        <w:rPr>
          <w:rFonts w:ascii="Times New Roman;Times;serif" w:hAnsi="Times New Roman;Times;serif"/>
          <w:sz w:val="24"/>
        </w:rPr>
        <w:t>” means the date of the underwriting agreement between the Company and the underwriter(s) managing the initial public offering of the Shares, pursuant to which the Shares are priced for the initial public offering.</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(gg)</w:t>
      </w:r>
      <w:r>
        <w:rPr>
          <w:rFonts w:ascii="Times New Roman;Times;serif" w:hAnsi="Times New Roman;Times;serif"/>
          <w:sz w:val="24"/>
        </w:rPr>
        <w:t>“</w:t>
      </w:r>
      <w:r>
        <w:rPr>
          <w:rFonts w:ascii="Times New Roman;Times;serif" w:hAnsi="Times New Roman;Times;serif"/>
          <w:b/>
          <w:i/>
          <w:sz w:val="24"/>
        </w:rPr>
        <w:t>Materially Impair</w:t>
      </w:r>
      <w:r>
        <w:rPr>
          <w:rFonts w:ascii="Times New Roman;Times;serif" w:hAnsi="Times New Roman;Times;serif"/>
          <w:sz w:val="24"/>
        </w:rPr>
        <w:t xml:space="preserve">”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28.</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36">
            <wp:simplePos x="0" y="0"/>
            <wp:positionH relativeFrom="page">
              <wp:posOffset>0</wp:posOffset>
            </wp:positionH>
            <wp:positionV relativeFrom="line">
              <wp:posOffset>635</wp:posOffset>
            </wp:positionV>
            <wp:extent cx="6480175" cy="390525"/>
            <wp:effectExtent l="0" t="0" r="0" b="0"/>
            <wp:wrapNone/>
            <wp:docPr id="133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 name="Image70" descr=""/>
                    <pic:cNvPicPr>
                      <a:picLocks noChangeAspect="1" noChangeArrowheads="1"/>
                    </pic:cNvPicPr>
                  </pic:nvPicPr>
                  <pic:blipFill>
                    <a:blip r:embed="rId100"/>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(i) imposition of reasonable restrictions on the minimum number of Shares subject to an Option that may be exercised; (ii) to maintain the qualified status of the Award as an Incentive Share Option under Section 422 of the Code; (iii) to change the terms of an Incentive Share Option in a manner that disqualifies, impairs or otherwise affects the qualified status of the Award as an Incentive Share Option under Section 422 of the Code; (iv) to clarify the manner of exemption from, or to bring the Award into compliance with or qualify it for an exemption from, Section 409A; or (v) to comply with other Applicable Laws.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(hh)</w:t>
      </w:r>
      <w:r>
        <w:rPr>
          <w:rFonts w:ascii="Times New Roman;Times;serif" w:hAnsi="Times New Roman;Times;serif"/>
          <w:sz w:val="24"/>
        </w:rPr>
        <w:t>“</w:t>
      </w:r>
      <w:r>
        <w:rPr>
          <w:rFonts w:ascii="Times New Roman;Times;serif" w:hAnsi="Times New Roman;Times;serif"/>
          <w:b/>
          <w:i/>
          <w:sz w:val="24"/>
        </w:rPr>
        <w:t>Non-Employee Director</w:t>
      </w:r>
      <w:r>
        <w:rPr>
          <w:rFonts w:ascii="Times New Roman;Times;serif" w:hAnsi="Times New Roman;Times;serif"/>
          <w:sz w:val="24"/>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Times;serif" w:hAnsi="Times New Roman;Times;serif"/>
          <w:b/>
          <w:i/>
          <w:sz w:val="24"/>
        </w:rPr>
        <w:t>Regulation S-K</w:t>
      </w:r>
      <w:r>
        <w:rPr>
          <w:rFonts w:ascii="Times New Roman;Times;serif" w:hAnsi="Times New Roman;Times;serif"/>
          <w:sz w:val="24"/>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(ii)</w:t>
      </w:r>
      <w:r>
        <w:rPr>
          <w:rFonts w:ascii="Times New Roman;Times;serif" w:hAnsi="Times New Roman;Times;serif"/>
          <w:sz w:val="24"/>
        </w:rPr>
        <w:t>“</w:t>
      </w:r>
      <w:r>
        <w:rPr>
          <w:rFonts w:ascii="Times New Roman;Times;serif" w:hAnsi="Times New Roman;Times;serif"/>
          <w:b/>
          <w:i/>
          <w:sz w:val="24"/>
        </w:rPr>
        <w:t>Non-Exempt Award</w:t>
      </w:r>
      <w:r>
        <w:rPr>
          <w:rFonts w:ascii="Times New Roman;Times;serif" w:hAnsi="Times New Roman;Times;serif"/>
          <w:sz w:val="24"/>
        </w:rPr>
        <w:t>” means any Award that is subject to, and not exempt from, Section 409A, including as the result of (i) a deferral of the issuance of the Shares subject to the Award which is elected by the Participant or imposed by the Company, (ii) the terms of any Non-Exempt Severance Agreement.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(jj)</w:t>
      </w:r>
      <w:r>
        <w:rPr>
          <w:rFonts w:ascii="Times New Roman;Times;serif" w:hAnsi="Times New Roman;Times;serif"/>
          <w:sz w:val="24"/>
        </w:rPr>
        <w:t>“</w:t>
      </w:r>
      <w:r>
        <w:rPr>
          <w:rFonts w:ascii="Times New Roman;Times;serif" w:hAnsi="Times New Roman;Times;serif"/>
          <w:b/>
          <w:i/>
          <w:sz w:val="24"/>
        </w:rPr>
        <w:t>Non-Exempt Director Award</w:t>
      </w:r>
      <w:r>
        <w:rPr>
          <w:rFonts w:ascii="Times New Roman;Times;serif" w:hAnsi="Times New Roman;Times;serif"/>
          <w:sz w:val="24"/>
        </w:rPr>
        <w:t xml:space="preserve">” means a Non-Exempt Award granted to a Participant who was a Director but not an Employee on the applicable grant date.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(kk)</w:t>
      </w:r>
      <w:r>
        <w:rPr>
          <w:rFonts w:ascii="Times New Roman;Times;serif" w:hAnsi="Times New Roman;Times;serif"/>
          <w:sz w:val="24"/>
        </w:rPr>
        <w:t>“</w:t>
      </w:r>
      <w:r>
        <w:rPr>
          <w:rFonts w:ascii="Times New Roman;Times;serif" w:hAnsi="Times New Roman;Times;serif"/>
          <w:b/>
          <w:i/>
          <w:sz w:val="24"/>
        </w:rPr>
        <w:t>Non-Exempt Severance Arrangement</w:t>
      </w:r>
      <w:r>
        <w:rPr>
          <w:rFonts w:ascii="Times New Roman;Times;serif" w:hAnsi="Times New Roman;Times;serif"/>
          <w:sz w:val="24"/>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Times;serif" w:hAnsi="Times New Roman;Times;serif"/>
          <w:b/>
          <w:i/>
          <w:sz w:val="24"/>
        </w:rPr>
        <w:t>Separation from Service</w:t>
      </w:r>
      <w:r>
        <w:rPr>
          <w:rFonts w:ascii="Times New Roman;Times;serif" w:hAnsi="Times New Roman;Times;serif"/>
          <w:sz w:val="24"/>
        </w:rPr>
        <w:t>”) and such severance benefit does not satisfy the requirements for an exemption from application of Section 409A provided under Treasury Regulations Section 1.409A-1(b)(4), 1.409A-1(b)(9) or otherwise.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(ll)</w:t>
      </w:r>
      <w:r>
        <w:rPr>
          <w:rFonts w:ascii="Times New Roman;Times;serif" w:hAnsi="Times New Roman;Times;serif"/>
          <w:sz w:val="24"/>
        </w:rPr>
        <w:t>“</w:t>
      </w:r>
      <w:r>
        <w:rPr>
          <w:rFonts w:ascii="Times New Roman;Times;serif" w:hAnsi="Times New Roman;Times;serif"/>
          <w:b/>
          <w:i/>
          <w:sz w:val="24"/>
        </w:rPr>
        <w:t>Nonstatutory Share Option</w:t>
      </w:r>
      <w:r>
        <w:rPr>
          <w:rFonts w:ascii="Times New Roman;Times;serif" w:hAnsi="Times New Roman;Times;serif"/>
          <w:sz w:val="24"/>
        </w:rPr>
        <w:t>” means any option granted pursuant to Section 4 of the Plan that does not qualify as an Incentive Share Option.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(mm)</w:t>
      </w:r>
      <w:r>
        <w:rPr>
          <w:rFonts w:ascii="Times New Roman;Times;serif" w:hAnsi="Times New Roman;Times;serif"/>
          <w:sz w:val="24"/>
        </w:rPr>
        <w:t>“</w:t>
      </w:r>
      <w:r>
        <w:rPr>
          <w:rFonts w:ascii="Times New Roman;Times;serif" w:hAnsi="Times New Roman;Times;serif"/>
          <w:b/>
          <w:i/>
          <w:sz w:val="24"/>
        </w:rPr>
        <w:t>Officer</w:t>
      </w:r>
      <w:r>
        <w:rPr>
          <w:rFonts w:ascii="Times New Roman;Times;serif" w:hAnsi="Times New Roman;Times;serif"/>
          <w:sz w:val="24"/>
        </w:rPr>
        <w:t>” means a person who is an officer of the Company within the meaning of Section 16 of the Exchange Act.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(nn)</w:t>
      </w:r>
      <w:r>
        <w:rPr>
          <w:rFonts w:ascii="Times New Roman;Times;serif" w:hAnsi="Times New Roman;Times;serif"/>
          <w:sz w:val="24"/>
        </w:rPr>
        <w:t>“</w:t>
      </w:r>
      <w:r>
        <w:rPr>
          <w:rFonts w:ascii="Times New Roman;Times;serif" w:hAnsi="Times New Roman;Times;serif"/>
          <w:b/>
          <w:i/>
          <w:sz w:val="24"/>
        </w:rPr>
        <w:t>Option</w:t>
      </w:r>
      <w:r>
        <w:rPr>
          <w:rFonts w:ascii="Times New Roman;Times;serif" w:hAnsi="Times New Roman;Times;serif"/>
          <w:sz w:val="24"/>
        </w:rPr>
        <w:t>” means an Incentive Share Option or a Nonstatutory Share Option to purchase Shares granted pursuant to the Plan.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(oo)</w:t>
      </w:r>
      <w:r>
        <w:rPr>
          <w:rFonts w:ascii="Times New Roman;Times;serif" w:hAnsi="Times New Roman;Times;serif"/>
          <w:sz w:val="24"/>
        </w:rPr>
        <w:t>“</w:t>
      </w:r>
      <w:r>
        <w:rPr>
          <w:rFonts w:ascii="Times New Roman;Times;serif" w:hAnsi="Times New Roman;Times;serif"/>
          <w:b/>
          <w:i/>
          <w:sz w:val="24"/>
        </w:rPr>
        <w:t>Option Agreement</w:t>
      </w:r>
      <w:r>
        <w:rPr>
          <w:rFonts w:ascii="Times New Roman;Times;serif" w:hAnsi="Times New Roman;Times;serif"/>
          <w:sz w:val="24"/>
        </w:rPr>
        <w:t xml:space="preserve">”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29.</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37">
            <wp:simplePos x="0" y="0"/>
            <wp:positionH relativeFrom="page">
              <wp:posOffset>0</wp:posOffset>
            </wp:positionH>
            <wp:positionV relativeFrom="line">
              <wp:posOffset>635</wp:posOffset>
            </wp:positionV>
            <wp:extent cx="6480175" cy="390525"/>
            <wp:effectExtent l="0" t="0" r="0" b="0"/>
            <wp:wrapNone/>
            <wp:docPr id="1336"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 name="Image71" descr=""/>
                    <pic:cNvPicPr>
                      <a:picLocks noChangeAspect="1" noChangeArrowheads="1"/>
                    </pic:cNvPicPr>
                  </pic:nvPicPr>
                  <pic:blipFill>
                    <a:blip r:embed="rId101"/>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along with the Grant Notice.  Each Option Agreement will be subject to the terms and conditions of the Plan.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(pp)</w:t>
      </w:r>
      <w:r>
        <w:rPr>
          <w:rFonts w:ascii="Times New Roman;Times;serif" w:hAnsi="Times New Roman;Times;serif"/>
          <w:sz w:val="24"/>
        </w:rPr>
        <w:t>“</w:t>
      </w:r>
      <w:r>
        <w:rPr>
          <w:rFonts w:ascii="Times New Roman;Times;serif" w:hAnsi="Times New Roman;Times;serif"/>
          <w:b/>
          <w:i/>
          <w:sz w:val="24"/>
        </w:rPr>
        <w:t>Optionholder</w:t>
      </w:r>
      <w:r>
        <w:rPr>
          <w:rFonts w:ascii="Times New Roman;Times;serif" w:hAnsi="Times New Roman;Times;serif"/>
          <w:sz w:val="24"/>
        </w:rPr>
        <w:t>” means a person to whom an Option is granted pursuant to the Plan or, if applicable, such other person who holds an outstanding Option.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(qq)</w:t>
      </w:r>
      <w:r>
        <w:rPr>
          <w:rFonts w:ascii="Times New Roman;Times;serif" w:hAnsi="Times New Roman;Times;serif"/>
          <w:sz w:val="24"/>
        </w:rPr>
        <w:t>“</w:t>
      </w:r>
      <w:bookmarkStart w:id="149" w:name="_Hlk99979304"/>
      <w:bookmarkEnd w:id="149"/>
      <w:r>
        <w:rPr>
          <w:rFonts w:ascii="Times New Roman;Times;serif" w:hAnsi="Times New Roman;Times;serif"/>
          <w:b/>
          <w:i/>
          <w:sz w:val="24"/>
        </w:rPr>
        <w:t>Ordinary Shares</w:t>
      </w:r>
      <w:r>
        <w:rPr>
          <w:rFonts w:ascii="Times New Roman;Times;serif" w:hAnsi="Times New Roman;Times;serif"/>
          <w:sz w:val="24"/>
        </w:rPr>
        <w:t>” means the ordinary shares of the Company.</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(rr)</w:t>
      </w:r>
      <w:r>
        <w:rPr>
          <w:rFonts w:ascii="Times New Roman;Times;serif" w:hAnsi="Times New Roman;Times;serif"/>
          <w:sz w:val="24"/>
        </w:rPr>
        <w:t>“</w:t>
      </w:r>
      <w:r>
        <w:rPr>
          <w:rFonts w:ascii="Times New Roman;Times;serif" w:hAnsi="Times New Roman;Times;serif"/>
          <w:b/>
          <w:i/>
          <w:sz w:val="24"/>
        </w:rPr>
        <w:t>Other Award</w:t>
      </w:r>
      <w:r>
        <w:rPr>
          <w:rFonts w:ascii="Times New Roman;Times;serif" w:hAnsi="Times New Roman;Times;serif"/>
          <w:sz w:val="24"/>
        </w:rPr>
        <w:t>” means an award based in whole or in part by reference to the Shares which is granted pursuant to the terms and conditions of Section 5(c).</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(ss)</w:t>
      </w:r>
      <w:bookmarkStart w:id="150" w:name="_DV_M50"/>
      <w:bookmarkEnd w:id="150"/>
      <w:r>
        <w:rPr>
          <w:rFonts w:ascii="Times New Roman;Times;serif" w:hAnsi="Times New Roman;Times;serif"/>
          <w:sz w:val="24"/>
        </w:rPr>
        <w:t>“</w:t>
      </w:r>
      <w:r>
        <w:rPr>
          <w:rFonts w:ascii="Times New Roman;Times;serif" w:hAnsi="Times New Roman;Times;serif"/>
          <w:b/>
          <w:i/>
          <w:sz w:val="24"/>
        </w:rPr>
        <w:t>Other Award Agreement</w:t>
      </w:r>
      <w:r>
        <w:rPr>
          <w:rFonts w:ascii="Times New Roman;Times;serif" w:hAnsi="Times New Roman;Times;serif"/>
          <w:sz w:val="24"/>
        </w:rPr>
        <w:t>” means a written agreement between the Company and a holder of an Other Award evidencing the terms and conditions of an Other Award grant.  Each Other Award Agreement will be subject to the terms and conditions of the Plan.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(tt)</w:t>
      </w:r>
      <w:r>
        <w:rPr>
          <w:rFonts w:ascii="Times New Roman;Times;serif" w:hAnsi="Times New Roman;Times;serif"/>
          <w:sz w:val="24"/>
        </w:rPr>
        <w:t>“</w:t>
      </w:r>
      <w:r>
        <w:rPr>
          <w:rFonts w:ascii="Times New Roman;Times;serif" w:hAnsi="Times New Roman;Times;serif"/>
          <w:b/>
          <w:i/>
          <w:sz w:val="24"/>
        </w:rPr>
        <w:t>Own,</w:t>
      </w:r>
      <w:r>
        <w:rPr>
          <w:rFonts w:ascii="Times New Roman;Times;serif" w:hAnsi="Times New Roman;Times;serif"/>
          <w:sz w:val="24"/>
        </w:rPr>
        <w:t>” “</w:t>
      </w:r>
      <w:r>
        <w:rPr>
          <w:rFonts w:ascii="Times New Roman;Times;serif" w:hAnsi="Times New Roman;Times;serif"/>
          <w:b/>
          <w:i/>
          <w:sz w:val="24"/>
        </w:rPr>
        <w:t>Owned,</w:t>
      </w:r>
      <w:r>
        <w:rPr>
          <w:rFonts w:ascii="Times New Roman;Times;serif" w:hAnsi="Times New Roman;Times;serif"/>
          <w:sz w:val="24"/>
        </w:rPr>
        <w:t>” “</w:t>
      </w:r>
      <w:r>
        <w:rPr>
          <w:rFonts w:ascii="Times New Roman;Times;serif" w:hAnsi="Times New Roman;Times;serif"/>
          <w:b/>
          <w:i/>
          <w:sz w:val="24"/>
        </w:rPr>
        <w:t>Owner,</w:t>
      </w:r>
      <w:r>
        <w:rPr>
          <w:rFonts w:ascii="Times New Roman;Times;serif" w:hAnsi="Times New Roman;Times;serif"/>
          <w:sz w:val="24"/>
        </w:rPr>
        <w:t>” “</w:t>
      </w:r>
      <w:r>
        <w:rPr>
          <w:rFonts w:ascii="Times New Roman;Times;serif" w:hAnsi="Times New Roman;Times;serif"/>
          <w:b/>
          <w:i/>
          <w:sz w:val="24"/>
        </w:rPr>
        <w:t>Ownership</w:t>
      </w:r>
      <w:r>
        <w:rPr>
          <w:rFonts w:ascii="Times New Roman;Times;serif" w:hAnsi="Times New Roman;Times;serif"/>
          <w:sz w:val="24"/>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(uu)</w:t>
      </w:r>
      <w:r>
        <w:rPr>
          <w:rFonts w:ascii="Times New Roman;Times;serif" w:hAnsi="Times New Roman;Times;serif"/>
          <w:sz w:val="24"/>
        </w:rPr>
        <w:t>“</w:t>
      </w:r>
      <w:r>
        <w:rPr>
          <w:rFonts w:ascii="Times New Roman;Times;serif" w:hAnsi="Times New Roman;Times;serif"/>
          <w:b/>
          <w:i/>
          <w:sz w:val="24"/>
        </w:rPr>
        <w:t>Participant</w:t>
      </w:r>
      <w:r>
        <w:rPr>
          <w:rFonts w:ascii="Times New Roman;Times;serif" w:hAnsi="Times New Roman;Times;serif"/>
          <w:sz w:val="24"/>
        </w:rPr>
        <w:t>” means an Employee, Director or Consultant to whom an Award is granted pursuant to the Plan or, if applicable, such other person who holds an outstanding Award.</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(vv)</w:t>
      </w:r>
      <w:r>
        <w:rPr>
          <w:rFonts w:ascii="Times New Roman;Times;serif" w:hAnsi="Times New Roman;Times;serif"/>
          <w:sz w:val="24"/>
        </w:rPr>
        <w:t>“</w:t>
      </w:r>
      <w:r>
        <w:rPr>
          <w:rFonts w:ascii="Times New Roman;Times;serif" w:hAnsi="Times New Roman;Times;serif"/>
          <w:b/>
          <w:i/>
          <w:sz w:val="24"/>
        </w:rPr>
        <w:t>Performance Award</w:t>
      </w:r>
      <w:r>
        <w:rPr>
          <w:rFonts w:ascii="Times New Roman;Times;serif" w:hAnsi="Times New Roman;Times;serif"/>
          <w:sz w:val="24"/>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Shares.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(ww)</w:t>
      </w:r>
      <w:r>
        <w:rPr>
          <w:rFonts w:ascii="Times New Roman;Times;serif" w:hAnsi="Times New Roman;Times;serif"/>
          <w:sz w:val="24"/>
        </w:rPr>
        <w:t>“</w:t>
      </w:r>
      <w:r>
        <w:rPr>
          <w:rFonts w:ascii="Times New Roman;Times;serif" w:hAnsi="Times New Roman;Times;serif"/>
          <w:b/>
          <w:i/>
          <w:sz w:val="24"/>
        </w:rPr>
        <w:t>Performance Criteria</w:t>
      </w:r>
      <w:r>
        <w:rPr>
          <w:rFonts w:ascii="Times New Roman;Times;serif" w:hAnsi="Times New Roman;Times;serif"/>
          <w:sz w:val="24"/>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or Committee: earnings (including earnings per share and net earnings); earnings before interest, taxes and depreciation; earnings before interest, taxes, depreciation and amortization; total shareholder return; return on equity or average shareholder’s equity; return on assets, investment, or capital employed; share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shareholders’ equity; capital expenditures; debt levels; operating profit or net operating profit; workforce diversity; growth of net income or operating income; billings; pre-</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30.</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38">
            <wp:simplePos x="0" y="0"/>
            <wp:positionH relativeFrom="page">
              <wp:posOffset>0</wp:posOffset>
            </wp:positionH>
            <wp:positionV relativeFrom="line">
              <wp:posOffset>635</wp:posOffset>
            </wp:positionV>
            <wp:extent cx="6480175" cy="390525"/>
            <wp:effectExtent l="0" t="0" r="0" b="0"/>
            <wp:wrapNone/>
            <wp:docPr id="1337"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 name="Image72" descr=""/>
                    <pic:cNvPicPr>
                      <a:picLocks noChangeAspect="1" noChangeArrowheads="1"/>
                    </pic:cNvPicPr>
                  </pic:nvPicPr>
                  <pic:blipFill>
                    <a:blip r:embed="rId102"/>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clinical development related compound goals; financing; regulatory milestones, including approval of a compound; shareholder liquidity; corporate governance and compliance; product commercialization; intellectual property; personnel matters; progress of internal research or clinical programs; progress of partnered programs; partner satisfaction; budget management; clinical achievements; completing phases of a clinical study (including the treatment phase); announcing or presenting preliminary or final data from clinical studies, in each case, whether on particular timelines or generally; timely completion of clinical trials; submission of INDs and NDAs and other regulatory achievements; partner or collaborator achievements; internal controls, including those related to the Sarbanes-Oxley Act of 2002; research progress, including the development of programs; investor relations, analysts and communication; manufacturing achievements (including obtaining particular yields from manufacturing runs and other measurable objectives related to process development activities); strategic partnerships or transactions (including in-licensing and out-licensing of intellectual property); establishing relationships with commercial entities with respect to the marketing, distribution and sale of the Company’s products (including with group purchasing organizations, distributors and other vendors); supply chain achievements (including establishing relationships with manufacturers or suppliers of active pharmaceutical ingredients and other component materials and manufacturers of the Company’s products); co-development, co-marketing, profit sharing, joint venture or other similar arrangements; individual performance goals; corporate development and planning goals; and other measures of performance selected by the Board or Committee.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(xx)</w:t>
      </w:r>
      <w:bookmarkStart w:id="151" w:name="_Ref315695832"/>
      <w:bookmarkEnd w:id="151"/>
      <w:r>
        <w:rPr>
          <w:rFonts w:ascii="Times New Roman;Times;serif" w:hAnsi="Times New Roman;Times;serif"/>
          <w:sz w:val="24"/>
        </w:rPr>
        <w:t>“</w:t>
      </w:r>
      <w:r>
        <w:rPr>
          <w:rFonts w:ascii="Times New Roman;Times;serif" w:hAnsi="Times New Roman;Times;serif"/>
          <w:b/>
          <w:i/>
          <w:sz w:val="24"/>
        </w:rPr>
        <w:t>Performance Goals</w:t>
      </w:r>
      <w:r>
        <w:rPr>
          <w:rFonts w:ascii="Times New Roman;Times;serif" w:hAnsi="Times New Roman;Times;serif"/>
          <w:sz w:val="24"/>
        </w:rPr>
        <w:t xml:space="preserve">”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the Company by reason of any share dividend or split, share repurchase, reorganization, recapitalization, merger, consolidation, spin-off, combination or exchange of shares or other similar corporate change, or any distributions to ordinary shareholders other than regular cash dividends; (9) to exclude the effects of share based compensation and the award of bonuses under the Company’s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31.</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39">
            <wp:simplePos x="0" y="0"/>
            <wp:positionH relativeFrom="page">
              <wp:posOffset>0</wp:posOffset>
            </wp:positionH>
            <wp:positionV relativeFrom="line">
              <wp:posOffset>635</wp:posOffset>
            </wp:positionV>
            <wp:extent cx="6480175" cy="390525"/>
            <wp:effectExtent l="0" t="0" r="0" b="0"/>
            <wp:wrapNone/>
            <wp:docPr id="133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 name="Image73" descr=""/>
                    <pic:cNvPicPr>
                      <a:picLocks noChangeAspect="1" noChangeArrowheads="1"/>
                    </pic:cNvPicPr>
                  </pic:nvPicPr>
                  <pic:blipFill>
                    <a:blip r:embed="rId103"/>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 xml:space="preserve">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(yy)</w:t>
      </w:r>
      <w:r>
        <w:rPr>
          <w:rFonts w:ascii="Times New Roman;Times;serif" w:hAnsi="Times New Roman;Times;serif"/>
          <w:sz w:val="24"/>
        </w:rPr>
        <w:t>“</w:t>
      </w:r>
      <w:r>
        <w:rPr>
          <w:rFonts w:ascii="Times New Roman;Times;serif" w:hAnsi="Times New Roman;Times;serif"/>
          <w:b/>
          <w:i/>
          <w:sz w:val="24"/>
        </w:rPr>
        <w:t>Performance Period</w:t>
      </w:r>
      <w:r>
        <w:rPr>
          <w:rFonts w:ascii="Times New Roman;Times;serif" w:hAnsi="Times New Roman;Times;serif"/>
          <w:sz w:val="24"/>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(zz)</w:t>
      </w:r>
      <w:r>
        <w:rPr>
          <w:rFonts w:ascii="Times New Roman;Times;serif" w:hAnsi="Times New Roman;Times;serif"/>
          <w:sz w:val="24"/>
        </w:rPr>
        <w:t>“</w:t>
      </w:r>
      <w:r>
        <w:rPr>
          <w:rFonts w:ascii="Times New Roman;Times;serif" w:hAnsi="Times New Roman;Times;serif"/>
          <w:b/>
          <w:i/>
          <w:sz w:val="24"/>
        </w:rPr>
        <w:t>Plan</w:t>
      </w:r>
      <w:r>
        <w:rPr>
          <w:rFonts w:ascii="Times New Roman;Times;serif" w:hAnsi="Times New Roman;Times;serif"/>
          <w:sz w:val="24"/>
        </w:rPr>
        <w:t>” means this Structure Therapeutics Inc. 2023 Equity Incentive Plan, as amended from time to time.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(aaa)</w:t>
      </w:r>
      <w:r>
        <w:rPr>
          <w:rFonts w:ascii="Times New Roman;Times;serif" w:hAnsi="Times New Roman;Times;serif"/>
          <w:sz w:val="24"/>
        </w:rPr>
        <w:t>“</w:t>
      </w:r>
      <w:r>
        <w:rPr>
          <w:rFonts w:ascii="Times New Roman;Times;serif" w:hAnsi="Times New Roman;Times;serif"/>
          <w:b/>
          <w:i/>
          <w:sz w:val="24"/>
        </w:rPr>
        <w:t>Plan Administrator</w:t>
      </w:r>
      <w:r>
        <w:rPr>
          <w:rFonts w:ascii="Times New Roman;Times;serif" w:hAnsi="Times New Roman;Times;serif"/>
          <w:sz w:val="24"/>
        </w:rPr>
        <w:t>” means the person, persons, and/or third-party administrator designated by the Company to administer the day-to-day operations of the Plan and the Company’s other equity incentive programs.</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(bbb)</w:t>
      </w:r>
      <w:r>
        <w:rPr>
          <w:rFonts w:ascii="Times New Roman;Times;serif" w:hAnsi="Times New Roman;Times;serif"/>
          <w:sz w:val="24"/>
        </w:rPr>
        <w:t>“</w:t>
      </w:r>
      <w:r>
        <w:rPr>
          <w:rFonts w:ascii="Times New Roman;Times;serif" w:hAnsi="Times New Roman;Times;serif"/>
          <w:b/>
          <w:i/>
          <w:sz w:val="24"/>
        </w:rPr>
        <w:t>Post-Termination Exercise Period</w:t>
      </w:r>
      <w:r>
        <w:rPr>
          <w:rFonts w:ascii="Times New Roman;Times;serif" w:hAnsi="Times New Roman;Times;serif"/>
          <w:sz w:val="24"/>
        </w:rPr>
        <w:t>” means the period following termination of a Participant’s Continuous Service within which an Option or SAR is exercisable, as specified in Section 4(h).</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(ccc)</w:t>
      </w:r>
      <w:r>
        <w:rPr>
          <w:rFonts w:ascii="Times New Roman;Times;serif" w:hAnsi="Times New Roman;Times;serif"/>
          <w:sz w:val="24"/>
        </w:rPr>
        <w:t>“</w:t>
      </w:r>
      <w:r>
        <w:rPr>
          <w:rFonts w:ascii="Times New Roman;Times;serif" w:hAnsi="Times New Roman;Times;serif"/>
          <w:b/>
          <w:i/>
          <w:sz w:val="24"/>
        </w:rPr>
        <w:t>Prior Plan’s Available Reserve</w:t>
      </w:r>
      <w:r>
        <w:rPr>
          <w:rFonts w:ascii="Times New Roman;Times;serif" w:hAnsi="Times New Roman;Times;serif"/>
          <w:sz w:val="24"/>
        </w:rPr>
        <w:t>” means the number of Shares available for the grant of new awards under the Prior Plan as of the Effective Date.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(ddd)</w:t>
      </w:r>
      <w:r>
        <w:rPr>
          <w:rFonts w:ascii="Times New Roman;Times;serif" w:hAnsi="Times New Roman;Times;serif"/>
          <w:sz w:val="24"/>
        </w:rPr>
        <w:t>“</w:t>
      </w:r>
      <w:r>
        <w:rPr>
          <w:rFonts w:ascii="Times New Roman;Times;serif" w:hAnsi="Times New Roman;Times;serif"/>
          <w:b/>
          <w:i/>
          <w:sz w:val="24"/>
        </w:rPr>
        <w:t>Prior Plan</w:t>
      </w:r>
      <w:r>
        <w:rPr>
          <w:rFonts w:ascii="Times New Roman;Times;serif" w:hAnsi="Times New Roman;Times;serif"/>
          <w:sz w:val="24"/>
        </w:rPr>
        <w:t>” means the Structure Therapeutics Inc. (fka ShouTi Inc.) 2019 Equity Incentive Plan, as amended.</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(eee)</w:t>
      </w:r>
      <w:r>
        <w:rPr>
          <w:rFonts w:ascii="Times New Roman;Times;serif" w:hAnsi="Times New Roman;Times;serif"/>
          <w:sz w:val="24"/>
        </w:rPr>
        <w:t>“</w:t>
      </w:r>
      <w:r>
        <w:rPr>
          <w:rFonts w:ascii="Times New Roman;Times;serif" w:hAnsi="Times New Roman;Times;serif"/>
          <w:b/>
          <w:i/>
          <w:sz w:val="24"/>
        </w:rPr>
        <w:t>Prospectus</w:t>
      </w:r>
      <w:r>
        <w:rPr>
          <w:rFonts w:ascii="Times New Roman;Times;serif" w:hAnsi="Times New Roman;Times;serif"/>
          <w:sz w:val="24"/>
        </w:rPr>
        <w:t>” means the document containing the Plan information specified in Section 10(a) of the Securities Act.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(fff)</w:t>
      </w:r>
      <w:r>
        <w:rPr>
          <w:rFonts w:ascii="Times New Roman;Times;serif" w:hAnsi="Times New Roman;Times;serif"/>
          <w:sz w:val="24"/>
        </w:rPr>
        <w:t>“</w:t>
      </w:r>
      <w:r>
        <w:rPr>
          <w:rFonts w:ascii="Times New Roman;Times;serif" w:hAnsi="Times New Roman;Times;serif"/>
          <w:b/>
          <w:i/>
          <w:sz w:val="24"/>
        </w:rPr>
        <w:t>Restricted Share Award</w:t>
      </w:r>
      <w:r>
        <w:rPr>
          <w:rFonts w:ascii="Times New Roman;Times;serif" w:hAnsi="Times New Roman;Times;serif"/>
          <w:sz w:val="24"/>
        </w:rPr>
        <w:t>” or “</w:t>
      </w:r>
      <w:r>
        <w:rPr>
          <w:rFonts w:ascii="Times New Roman;Times;serif" w:hAnsi="Times New Roman;Times;serif"/>
          <w:b/>
          <w:i/>
          <w:sz w:val="24"/>
        </w:rPr>
        <w:t>RSA</w:t>
      </w:r>
      <w:r>
        <w:rPr>
          <w:rFonts w:ascii="Times New Roman;Times;serif" w:hAnsi="Times New Roman;Times;serif"/>
          <w:sz w:val="24"/>
        </w:rPr>
        <w:t>” means an Award of Shares which is granted pursuant to the terms and conditions of Section 5(a).</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(ggg)</w:t>
      </w:r>
      <w:r>
        <w:rPr>
          <w:rFonts w:ascii="Times New Roman;Times;serif" w:hAnsi="Times New Roman;Times;serif"/>
          <w:sz w:val="24"/>
        </w:rPr>
        <w:t>“</w:t>
      </w:r>
      <w:r>
        <w:rPr>
          <w:rFonts w:ascii="Times New Roman;Times;serif" w:hAnsi="Times New Roman;Times;serif"/>
          <w:b/>
          <w:i/>
          <w:sz w:val="24"/>
        </w:rPr>
        <w:t>Restricted Share Award Agreement</w:t>
      </w:r>
      <w:r>
        <w:rPr>
          <w:rFonts w:ascii="Times New Roman;Times;serif" w:hAnsi="Times New Roman;Times;serif"/>
          <w:sz w:val="24"/>
        </w:rPr>
        <w:t>” means a written agreement between the Company and a holder of a Restricted Share Award evidencing the terms and conditions of a Restricted Share Award grant.  The Restricted Share Award Agreement includes the Grant Notice for the Restricted Share Award and the agreement containing the written summary of the general terms and conditions applicable to the Restricted Share Award and which is provided to a Participant along with the Grant Notice.  Each Restricted Share Award Agreement will be subject to the terms and conditions of the Plan.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(hhh)</w:t>
      </w:r>
      <w:r>
        <w:rPr>
          <w:rFonts w:ascii="Times New Roman;Times;serif" w:hAnsi="Times New Roman;Times;serif"/>
          <w:sz w:val="24"/>
        </w:rPr>
        <w:t>“</w:t>
      </w:r>
      <w:r>
        <w:rPr>
          <w:rFonts w:ascii="Times New Roman;Times;serif" w:hAnsi="Times New Roman;Times;serif"/>
          <w:b/>
          <w:i/>
          <w:sz w:val="24"/>
        </w:rPr>
        <w:t>Returning Shares</w:t>
      </w:r>
      <w:r>
        <w:rPr>
          <w:rFonts w:ascii="Times New Roman;Times;serif" w:hAnsi="Times New Roman;Times;serif"/>
          <w:sz w:val="24"/>
        </w:rPr>
        <w:t xml:space="preserve">” means Shares subject to </w:t>
      </w:r>
      <w:bookmarkStart w:id="152" w:name="OLE_LINK10"/>
      <w:bookmarkStart w:id="153" w:name="OLE_LINK9"/>
      <w:bookmarkEnd w:id="152"/>
      <w:bookmarkEnd w:id="153"/>
      <w:r>
        <w:rPr>
          <w:rFonts w:ascii="Times New Roman;Times;serif" w:hAnsi="Times New Roman;Times;serif"/>
          <w:sz w:val="24"/>
        </w:rPr>
        <w:t xml:space="preserve">outstanding share awards granted under the Prior Plan and that following the Effective Date: (A) are not issued because such share award or any portion thereof expires or otherwise terminates without all of the Shares covered by such share award having been issued; (B) are not issued because such share award or any portion thereof is settled in cash; (C) are forfeited back to or repurchased by the Company because of the failure to meet a contingency or condition required for the vesting of such Shares; (D) are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32.</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40">
            <wp:simplePos x="0" y="0"/>
            <wp:positionH relativeFrom="page">
              <wp:posOffset>0</wp:posOffset>
            </wp:positionH>
            <wp:positionV relativeFrom="line">
              <wp:posOffset>635</wp:posOffset>
            </wp:positionV>
            <wp:extent cx="6480175" cy="390525"/>
            <wp:effectExtent l="0" t="0" r="0" b="0"/>
            <wp:wrapNone/>
            <wp:docPr id="133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 name="Image74" descr=""/>
                    <pic:cNvPicPr>
                      <a:picLocks noChangeAspect="1" noChangeArrowheads="1"/>
                    </pic:cNvPicPr>
                  </pic:nvPicPr>
                  <pic:blipFill>
                    <a:blip r:embed="rId104"/>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withheld or reacquired to satisfy the exercise, strike or purchase price; or (E) are withheld or reacquired to satisfy a tax withholding obligation.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(iii)</w:t>
      </w:r>
      <w:r>
        <w:rPr>
          <w:rFonts w:ascii="Times New Roman;Times;serif" w:hAnsi="Times New Roman;Times;serif"/>
          <w:sz w:val="24"/>
        </w:rPr>
        <w:t>“</w:t>
      </w:r>
      <w:r>
        <w:rPr>
          <w:rFonts w:ascii="Times New Roman;Times;serif" w:hAnsi="Times New Roman;Times;serif"/>
          <w:b/>
          <w:i/>
          <w:sz w:val="24"/>
        </w:rPr>
        <w:t>RSU Award</w:t>
      </w:r>
      <w:r>
        <w:rPr>
          <w:rFonts w:ascii="Times New Roman;Times;serif" w:hAnsi="Times New Roman;Times;serif"/>
          <w:sz w:val="24"/>
        </w:rPr>
        <w:t>” or “</w:t>
      </w:r>
      <w:r>
        <w:rPr>
          <w:rFonts w:ascii="Times New Roman;Times;serif" w:hAnsi="Times New Roman;Times;serif"/>
          <w:b/>
          <w:i/>
          <w:sz w:val="24"/>
        </w:rPr>
        <w:t>RSU</w:t>
      </w:r>
      <w:r>
        <w:rPr>
          <w:rFonts w:ascii="Times New Roman;Times;serif" w:hAnsi="Times New Roman;Times;serif"/>
          <w:sz w:val="24"/>
        </w:rPr>
        <w:t>” means an Award of restricted share units representing the right to receive an issuance of Shares which is granted pursuant to the terms and conditions of Section 5(a).</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(jjj)</w:t>
      </w:r>
      <w:bookmarkStart w:id="154" w:name="_DV_M55"/>
      <w:bookmarkEnd w:id="154"/>
      <w:r>
        <w:rPr>
          <w:rFonts w:ascii="Times New Roman;Times;serif" w:hAnsi="Times New Roman;Times;serif"/>
          <w:sz w:val="24"/>
        </w:rPr>
        <w:t>“</w:t>
      </w:r>
      <w:r>
        <w:rPr>
          <w:rFonts w:ascii="Times New Roman;Times;serif" w:hAnsi="Times New Roman;Times;serif"/>
          <w:b/>
          <w:i/>
          <w:sz w:val="24"/>
        </w:rPr>
        <w:t>RSU Award Agreement</w:t>
      </w:r>
      <w:r>
        <w:rPr>
          <w:rFonts w:ascii="Times New Roman;Times;serif" w:hAnsi="Times New Roman;Times;serif"/>
          <w:sz w:val="24"/>
        </w:rPr>
        <w:t>” means a written agreement between the Company and a holder of a RSU Award evidencing the terms and conditions of a RSU Award grant.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(kkk)</w:t>
      </w:r>
      <w:r>
        <w:rPr>
          <w:rFonts w:ascii="Times New Roman;Times;serif" w:hAnsi="Times New Roman;Times;serif"/>
          <w:sz w:val="24"/>
        </w:rPr>
        <w:t>“</w:t>
      </w:r>
      <w:r>
        <w:rPr>
          <w:rFonts w:ascii="Times New Roman;Times;serif" w:hAnsi="Times New Roman;Times;serif"/>
          <w:b/>
          <w:i/>
          <w:sz w:val="24"/>
        </w:rPr>
        <w:t>Rule 16b-3</w:t>
      </w:r>
      <w:r>
        <w:rPr>
          <w:rFonts w:ascii="Times New Roman;Times;serif" w:hAnsi="Times New Roman;Times;serif"/>
          <w:sz w:val="24"/>
        </w:rPr>
        <w:t>” means Rule 16b-3 promulgated under the Exchange Act or any successor to Rule 16b-3, as in effect from time to time.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(lll)</w:t>
      </w:r>
      <w:r>
        <w:rPr>
          <w:rFonts w:ascii="Times New Roman;Times;serif" w:hAnsi="Times New Roman;Times;serif"/>
          <w:sz w:val="24"/>
        </w:rPr>
        <w:t>“</w:t>
      </w:r>
      <w:r>
        <w:rPr>
          <w:rFonts w:ascii="Times New Roman;Times;serif" w:hAnsi="Times New Roman;Times;serif"/>
          <w:b/>
          <w:i/>
          <w:sz w:val="24"/>
        </w:rPr>
        <w:t>Rule 405</w:t>
      </w:r>
      <w:r>
        <w:rPr>
          <w:rFonts w:ascii="Times New Roman;Times;serif" w:hAnsi="Times New Roman;Times;serif"/>
          <w:sz w:val="24"/>
        </w:rPr>
        <w:t>” means Rule 405 promulgated under the Securities Act.  </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(mmm)</w:t>
      </w:r>
      <w:r>
        <w:rPr>
          <w:rFonts w:ascii="Times New Roman;Times;serif" w:hAnsi="Times New Roman;Times;serif"/>
          <w:sz w:val="24"/>
        </w:rPr>
        <w:t>“</w:t>
      </w:r>
      <w:r>
        <w:rPr>
          <w:rFonts w:ascii="Times New Roman;Times;serif" w:hAnsi="Times New Roman;Times;serif"/>
          <w:b/>
          <w:i/>
          <w:sz w:val="24"/>
        </w:rPr>
        <w:t>Section 409A</w:t>
      </w:r>
      <w:r>
        <w:rPr>
          <w:rFonts w:ascii="Times New Roman;Times;serif" w:hAnsi="Times New Roman;Times;serif"/>
          <w:sz w:val="24"/>
        </w:rPr>
        <w:t>” means Section 409A of the Code and the regulations and other guidance thereunder.</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(nnn)</w:t>
      </w:r>
      <w:r>
        <w:rPr>
          <w:rFonts w:ascii="Times New Roman;Times;serif" w:hAnsi="Times New Roman;Times;serif"/>
          <w:sz w:val="24"/>
        </w:rPr>
        <w:t>“</w:t>
      </w:r>
      <w:r>
        <w:rPr>
          <w:rFonts w:ascii="Times New Roman;Times;serif" w:hAnsi="Times New Roman;Times;serif"/>
          <w:b/>
          <w:i/>
          <w:sz w:val="24"/>
        </w:rPr>
        <w:t>Section 409A Change in Control</w:t>
      </w:r>
      <w:r>
        <w:rPr>
          <w:rFonts w:ascii="Times New Roman;Times;serif" w:hAnsi="Times New Roman;Times;serif"/>
          <w:sz w:val="24"/>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(ooo)</w:t>
      </w:r>
      <w:r>
        <w:rPr>
          <w:rFonts w:ascii="Times New Roman;Times;serif" w:hAnsi="Times New Roman;Times;serif"/>
          <w:sz w:val="24"/>
        </w:rPr>
        <w:t>“</w:t>
      </w:r>
      <w:r>
        <w:rPr>
          <w:rFonts w:ascii="Times New Roman;Times;serif" w:hAnsi="Times New Roman;Times;serif"/>
          <w:b/>
          <w:i/>
          <w:sz w:val="24"/>
        </w:rPr>
        <w:t>Securities Act</w:t>
      </w:r>
      <w:r>
        <w:rPr>
          <w:rFonts w:ascii="Times New Roman;Times;serif" w:hAnsi="Times New Roman;Times;serif"/>
          <w:sz w:val="24"/>
        </w:rPr>
        <w:t>” means the Securities Act of 1933, as amended.</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(ppp)</w:t>
      </w:r>
      <w:r>
        <w:rPr>
          <w:rFonts w:ascii="Times New Roman;Times;serif" w:hAnsi="Times New Roman;Times;serif"/>
          <w:sz w:val="24"/>
        </w:rPr>
        <w:t>“</w:t>
      </w:r>
      <w:bookmarkStart w:id="155" w:name="_Hlk99979416"/>
      <w:bookmarkEnd w:id="155"/>
      <w:r>
        <w:rPr>
          <w:rFonts w:ascii="Times New Roman;Times;serif" w:hAnsi="Times New Roman;Times;serif"/>
          <w:b/>
          <w:i/>
          <w:sz w:val="24"/>
        </w:rPr>
        <w:t>Share</w:t>
      </w:r>
      <w:r>
        <w:rPr>
          <w:rFonts w:ascii="Times New Roman;Times;serif" w:hAnsi="Times New Roman;Times;serif"/>
          <w:sz w:val="24"/>
        </w:rPr>
        <w:t>” means an Ordinary Share or the number of ADSs equal to an Ordinary Share, as applicable and based on the ratio of the ADSs to Ordinary Shares, as reasonably determined by the Board.</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(qqq)</w:t>
      </w:r>
      <w:r>
        <w:rPr>
          <w:rFonts w:ascii="Times New Roman;Times;serif" w:hAnsi="Times New Roman;Times;serif"/>
          <w:sz w:val="24"/>
        </w:rPr>
        <w:t>“</w:t>
      </w:r>
      <w:r>
        <w:rPr>
          <w:rFonts w:ascii="Times New Roman;Times;serif" w:hAnsi="Times New Roman;Times;serif"/>
          <w:b/>
          <w:i/>
          <w:sz w:val="24"/>
        </w:rPr>
        <w:t>Share Reserve</w:t>
      </w:r>
      <w:r>
        <w:rPr>
          <w:rFonts w:ascii="Times New Roman;Times;serif" w:hAnsi="Times New Roman;Times;serif"/>
          <w:sz w:val="24"/>
        </w:rPr>
        <w:t>” means the number of Shares available for issuance under the Plan as set forth in Section 2(a).</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(rrr)</w:t>
      </w:r>
      <w:r>
        <w:rPr>
          <w:rFonts w:ascii="Times New Roman;Times;serif" w:hAnsi="Times New Roman;Times;serif"/>
          <w:sz w:val="24"/>
        </w:rPr>
        <w:t>“</w:t>
      </w:r>
      <w:r>
        <w:rPr>
          <w:rFonts w:ascii="Times New Roman;Times;serif" w:hAnsi="Times New Roman;Times;serif"/>
          <w:b/>
          <w:i/>
          <w:sz w:val="24"/>
        </w:rPr>
        <w:t>Share Appreciation Right</w:t>
      </w:r>
      <w:r>
        <w:rPr>
          <w:rFonts w:ascii="Times New Roman;Times;serif" w:hAnsi="Times New Roman;Times;serif"/>
          <w:sz w:val="24"/>
        </w:rPr>
        <w:t>” or “</w:t>
      </w:r>
      <w:r>
        <w:rPr>
          <w:rFonts w:ascii="Times New Roman;Times;serif" w:hAnsi="Times New Roman;Times;serif"/>
          <w:b/>
          <w:i/>
          <w:sz w:val="24"/>
        </w:rPr>
        <w:t>SAR</w:t>
      </w:r>
      <w:r>
        <w:rPr>
          <w:rFonts w:ascii="Times New Roman;Times;serif" w:hAnsi="Times New Roman;Times;serif"/>
          <w:sz w:val="24"/>
        </w:rPr>
        <w:t>” means a right to receive the appreciation on Shares that is granted pursuant to the terms and conditions of Section 4.</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(sss)</w:t>
      </w:r>
      <w:r>
        <w:rPr>
          <w:rFonts w:ascii="Times New Roman;Times;serif" w:hAnsi="Times New Roman;Times;serif"/>
          <w:sz w:val="24"/>
        </w:rPr>
        <w:t>“</w:t>
      </w:r>
      <w:r>
        <w:rPr>
          <w:rFonts w:ascii="Times New Roman;Times;serif" w:hAnsi="Times New Roman;Times;serif"/>
          <w:b/>
          <w:i/>
          <w:sz w:val="24"/>
        </w:rPr>
        <w:t>SAR Agreement</w:t>
      </w:r>
      <w:r>
        <w:rPr>
          <w:rFonts w:ascii="Times New Roman;Times;serif" w:hAnsi="Times New Roman;Times;serif"/>
          <w:sz w:val="24"/>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(ttt)</w:t>
      </w:r>
      <w:r>
        <w:rPr>
          <w:rFonts w:ascii="Times New Roman;Times;serif" w:hAnsi="Times New Roman;Times;serif"/>
          <w:sz w:val="24"/>
        </w:rPr>
        <w:t>“</w:t>
      </w:r>
      <w:r>
        <w:rPr>
          <w:rFonts w:ascii="Times New Roman;Times;serif" w:hAnsi="Times New Roman;Times;serif"/>
          <w:b/>
          <w:i/>
          <w:sz w:val="24"/>
        </w:rPr>
        <w:t>Subsidiary</w:t>
      </w:r>
      <w:r>
        <w:rPr>
          <w:rFonts w:ascii="Times New Roman;Times;serif" w:hAnsi="Times New Roman;Times;serif"/>
          <w:sz w:val="24"/>
        </w:rPr>
        <w:t xml:space="preserve">” means, with respect to the Company, (i) any corporation of which more than 50% of the outstanding share capital having ordinary voting power to elect a majority of the board of directors of such corporation (irrespective of whether, at the time, shares of any </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33.</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41">
            <wp:simplePos x="0" y="0"/>
            <wp:positionH relativeFrom="page">
              <wp:posOffset>0</wp:posOffset>
            </wp:positionH>
            <wp:positionV relativeFrom="line">
              <wp:posOffset>635</wp:posOffset>
            </wp:positionV>
            <wp:extent cx="6480175" cy="390525"/>
            <wp:effectExtent l="0" t="0" r="0" b="0"/>
            <wp:wrapNone/>
            <wp:docPr id="1340"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 name="Image75" descr=""/>
                    <pic:cNvPicPr>
                      <a:picLocks noChangeAspect="1" noChangeArrowheads="1"/>
                    </pic:cNvPicPr>
                  </pic:nvPicPr>
                  <pic:blipFill>
                    <a:blip r:embed="rId105"/>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p>
    <w:p>
      <w:pPr>
        <w:pStyle w:val="TextBody"/>
        <w:spacing w:before="0" w:after="0"/>
        <w:ind w:left="0" w:right="0" w:hanging="0"/>
        <w:jc w:val="both"/>
        <w:rPr/>
      </w:pPr>
      <w:r>
        <w:rPr/>
        <w:t>​</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sz w:val="24"/>
        </w:rPr>
        <w:t>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(uuu)</w:t>
      </w:r>
      <w:r>
        <w:rPr>
          <w:rFonts w:ascii="Times New Roman;Times;serif" w:hAnsi="Times New Roman;Times;serif"/>
          <w:sz w:val="24"/>
        </w:rPr>
        <w:t>“</w:t>
      </w:r>
      <w:r>
        <w:rPr>
          <w:rFonts w:ascii="Times New Roman;Times;serif" w:hAnsi="Times New Roman;Times;serif"/>
          <w:b/>
          <w:i/>
          <w:sz w:val="24"/>
        </w:rPr>
        <w:t>Ten Percent Shareholder</w:t>
      </w:r>
      <w:r>
        <w:rPr>
          <w:rFonts w:ascii="Times New Roman;Times;serif" w:hAnsi="Times New Roman;Times;serif"/>
          <w:sz w:val="24"/>
        </w:rPr>
        <w:t>” means a person who Owns (or is deemed to Own pursuant to Section 424(d) of the Code) shares possessing more than 10% of the total combined voting power of all classes of shares of the Company or any Affiliate.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(vvv)</w:t>
      </w:r>
      <w:r>
        <w:rPr>
          <w:rFonts w:ascii="Times New Roman;Times;serif" w:hAnsi="Times New Roman;Times;serif"/>
          <w:sz w:val="24"/>
        </w:rPr>
        <w:t>“</w:t>
      </w:r>
      <w:r>
        <w:rPr>
          <w:rFonts w:ascii="Times New Roman;Times;serif" w:hAnsi="Times New Roman;Times;serif"/>
          <w:b/>
          <w:i/>
          <w:sz w:val="24"/>
        </w:rPr>
        <w:t>Trading Policy</w:t>
      </w:r>
      <w:r>
        <w:rPr>
          <w:rFonts w:ascii="Times New Roman;Times;serif" w:hAnsi="Times New Roman;Times;serif"/>
          <w:sz w:val="24"/>
        </w:rPr>
        <w:t>” means the Company’s policy permitting certain individuals to sell Company shares only during certain "window" periods and/or otherwise restricts the ability of certain individuals to transfer or encumber Company shares, as in effect from time to time.</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(www)</w:t>
      </w:r>
      <w:r>
        <w:rPr>
          <w:rFonts w:ascii="Times New Roman;Times;serif" w:hAnsi="Times New Roman;Times;serif"/>
          <w:sz w:val="24"/>
        </w:rPr>
        <w:t>“</w:t>
      </w:r>
      <w:r>
        <w:rPr>
          <w:rFonts w:ascii="Times New Roman;Times;serif" w:hAnsi="Times New Roman;Times;serif"/>
          <w:b/>
          <w:i/>
          <w:sz w:val="24"/>
        </w:rPr>
        <w:t>Unvested Non-Exempt Award</w:t>
      </w:r>
      <w:r>
        <w:rPr>
          <w:rFonts w:ascii="Times New Roman;Times;serif" w:hAnsi="Times New Roman;Times;serif"/>
          <w:sz w:val="24"/>
        </w:rPr>
        <w:t>” means the portion of any Non-Exempt Award that had not vested in accordance with its terms upon or prior to the date of any Corporate Transaction.</w:t>
      </w:r>
    </w:p>
    <w:p>
      <w:pPr>
        <w:pStyle w:val="TextBody"/>
        <w:spacing w:before="0" w:after="240"/>
        <w:ind w:left="0" w:right="0" w:hanging="0"/>
        <w:jc w:val="both"/>
        <w:rPr>
          <w:rFonts w:ascii="Times New Roman;Times;serif" w:hAnsi="Times New Roman;Times;serif"/>
          <w:sz w:val="24"/>
        </w:rPr>
      </w:pPr>
      <w:r>
        <w:rPr>
          <w:rFonts w:ascii="Times New Roman;Times;serif" w:hAnsi="Times New Roman;Times;serif"/>
          <w:b/>
          <w:sz w:val="24"/>
        </w:rPr>
        <w:t>(xxx)</w:t>
      </w:r>
      <w:r>
        <w:rPr>
          <w:rFonts w:ascii="Times New Roman;Times;serif" w:hAnsi="Times New Roman;Times;serif"/>
          <w:sz w:val="24"/>
        </w:rPr>
        <w:t>“</w:t>
      </w:r>
      <w:r>
        <w:rPr>
          <w:rFonts w:ascii="Times New Roman;Times;serif" w:hAnsi="Times New Roman;Times;serif"/>
          <w:b/>
          <w:i/>
          <w:sz w:val="24"/>
        </w:rPr>
        <w:t>Vested Non-Exempt Award</w:t>
      </w:r>
      <w:r>
        <w:rPr>
          <w:rFonts w:ascii="Times New Roman;Times;serif" w:hAnsi="Times New Roman;Times;serif"/>
          <w:sz w:val="24"/>
        </w:rPr>
        <w:t>” means the portion of any Non-Exempt Award that had vested in accordance with its terms upon or prior to the date of a Corporate Transaction.</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sz w:val="24"/>
        </w:rPr>
        <w:t>34.</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42">
            <wp:simplePos x="0" y="0"/>
            <wp:positionH relativeFrom="page">
              <wp:posOffset>0</wp:posOffset>
            </wp:positionH>
            <wp:positionV relativeFrom="line">
              <wp:posOffset>635</wp:posOffset>
            </wp:positionV>
            <wp:extent cx="6480175" cy="390525"/>
            <wp:effectExtent l="0" t="0" r="0" b="0"/>
            <wp:wrapNone/>
            <wp:docPr id="1341"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 name="Image76" descr=""/>
                    <pic:cNvPicPr>
                      <a:picLocks noChangeAspect="1" noChangeArrowheads="1"/>
                    </pic:cNvPicPr>
                  </pic:nvPicPr>
                  <pic:blipFill>
                    <a:blip r:embed="rId106"/>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65754528 v9</w:t>
      </w:r>
    </w:p>
    <w:p>
      <w:pPr>
        <w:pStyle w:val="TextBody"/>
        <w:spacing w:lineRule="atLeast" w:line="200" w:before="0" w:after="0"/>
        <w:ind w:left="0" w:right="0" w:hanging="0"/>
        <w:rPr/>
      </w:pPr>
      <w:r>
        <w:rPr/>
        <w:t>​</w:t>
      </w:r>
    </w:p>
    <w:p>
      <w:pPr>
        <w:pStyle w:val="TextBody"/>
        <w:spacing w:before="0" w:after="0"/>
        <w:ind w:left="0" w:right="0" w:hanging="0"/>
        <w:jc w:val="both"/>
        <w:rPr/>
      </w:pPr>
      <w:r>
        <w:rPr/>
        <w:t>​</w:t>
      </w:r>
    </w:p>
    <w:p>
      <w:pPr>
        <w:pStyle w:val="HorizontalLine"/>
        <w:rPr/>
      </w:pPr>
      <w:r>
        <w:rPr/>
      </w:r>
      <w:r>
        <w:br w:type="page"/>
      </w:r>
    </w:p>
    <w:p>
      <w:pPr>
        <w:pStyle w:val="TextBody"/>
        <w:spacing w:lineRule="auto" w:line="285" w:before="0" w:after="240"/>
        <w:ind w:left="0" w:right="0" w:hanging="0"/>
        <w:jc w:val="center"/>
        <w:rPr>
          <w:rFonts w:ascii="Times New Roman;Times;serif" w:hAnsi="Times New Roman;Times;serif"/>
          <w:b/>
          <w:smallCaps/>
          <w:sz w:val="22"/>
        </w:rPr>
      </w:pPr>
      <w:bookmarkStart w:id="156" w:name="_Hlk46773225"/>
      <w:bookmarkStart w:id="157" w:name="gpcr-20221231xex10d9.htm"/>
      <w:bookmarkStart w:id="158" w:name="ksgpcr20221231xex10d9"/>
      <w:bookmarkEnd w:id="156"/>
      <w:bookmarkEnd w:id="157"/>
      <w:bookmarkEnd w:id="158"/>
      <w:r>
        <w:rPr>
          <w:rFonts w:ascii="Times New Roman;Times;serif" w:hAnsi="Times New Roman;Times;serif"/>
          <w:b/>
          <w:smallCaps/>
          <w:sz w:val="22"/>
        </w:rPr>
        <w:t xml:space="preserve">Structure Therapeutics Inc. </w:t>
        <w:br/>
        <w:br/>
        <w:t>2023 Employee Share Purchase Plan</w:t>
      </w:r>
    </w:p>
    <w:p>
      <w:pPr>
        <w:pStyle w:val="TextBody"/>
        <w:spacing w:lineRule="auto" w:line="285" w:before="0" w:after="0"/>
        <w:ind w:left="0" w:right="0" w:hanging="0"/>
        <w:jc w:val="center"/>
        <w:rPr>
          <w:rFonts w:ascii="Times New Roman;Times;serif" w:hAnsi="Times New Roman;Times;serif"/>
          <w:b/>
          <w:smallCaps/>
          <w:sz w:val="22"/>
        </w:rPr>
      </w:pPr>
      <w:r>
        <w:rPr>
          <w:rFonts w:ascii="Times New Roman;Times;serif" w:hAnsi="Times New Roman;Times;serif"/>
          <w:b/>
          <w:smallCaps/>
          <w:sz w:val="22"/>
        </w:rPr>
        <w:t>Adopted by the Board of Directors: January 11, 2023</w:t>
        <w:br/>
        <w:t>Approved by the Shareholders: January 19, 2023</w:t>
      </w:r>
    </w:p>
    <w:p>
      <w:pPr>
        <w:pStyle w:val="TextBody"/>
        <w:spacing w:lineRule="auto" w:line="285" w:before="0" w:after="0"/>
        <w:ind w:left="0" w:right="0" w:hanging="0"/>
        <w:jc w:val="center"/>
        <w:rPr>
          <w:rFonts w:ascii="Times New Roman;Times;serif" w:hAnsi="Times New Roman;Times;serif"/>
          <w:b/>
          <w:smallCaps/>
          <w:sz w:val="22"/>
        </w:rPr>
      </w:pPr>
      <w:r>
        <w:rPr>
          <w:rFonts w:ascii="Times New Roman;Times;serif" w:hAnsi="Times New Roman;Times;serif"/>
          <w:b/>
          <w:smallCaps/>
          <w:sz w:val="22"/>
        </w:rPr>
        <w:t xml:space="preserve">IPO Date: February 2, 2023 </w:t>
      </w:r>
    </w:p>
    <w:p>
      <w:pPr>
        <w:pStyle w:val="TextBody"/>
        <w:spacing w:lineRule="auto" w:line="285" w:before="0" w:after="0"/>
        <w:ind w:left="0" w:right="0" w:hanging="0"/>
        <w:jc w:val="center"/>
        <w:rPr>
          <w:smallCaps/>
        </w:rPr>
      </w:pPr>
      <w:r>
        <w:rPr>
          <w:smallCaps/>
        </w:rPr>
        <w: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w:t>
      </w:r>
      <w:r>
        <w:rPr>
          <w:rFonts w:ascii="Times New Roman;Times;serif" w:hAnsi="Times New Roman;Times;serif"/>
          <w:b/>
          <w:smallCaps/>
          <w:sz w:val="22"/>
        </w:rPr>
        <w:t>General; Purpose</w:t>
      </w:r>
      <w:r>
        <w:rPr>
          <w:rFonts w:ascii="Times New Roman;Times;serif" w:hAnsi="Times New Roman;Times;serif"/>
          <w:b/>
          <w:sz w:val="22"/>
        </w:rPr>
        <w: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(a)</w:t>
      </w:r>
      <w:r>
        <w:rPr>
          <w:rFonts w:ascii="Times New Roman;Times;serif" w:hAnsi="Times New Roman;Times;serif"/>
          <w:sz w:val="22"/>
        </w:rPr>
        <w:t>The Plan provides a means by which Eligible Employees of the Company and certain designated Related Corporations may be given an opportunity to purchase Shares.  The Plan permits the Company to grant a series of Purchase Rights to Eligible Employees under an Employee Share Purchase Plan. In addition, the Plan permits the Company to grant a series of Purchase Rights to Eligible Employees that do not meet the requirements of an Employee Share Purchase Plan.</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(b)</w:t>
      </w:r>
      <w:bookmarkStart w:id="159" w:name="_cp_blt_1_6"/>
      <w:bookmarkEnd w:id="159"/>
      <w:r>
        <w:rPr>
          <w:rFonts w:ascii="Times New Roman;Times;serif" w:hAnsi="Times New Roman;Times;serif"/>
          <w:sz w:val="22"/>
        </w:rPr>
        <w:t>The Plan includes two components: a 423 Component and a Non-423 Component.  The Company intends (but makes no undertaking or representation to maintain) the 423 Component to qualify as an Employee Share Purchase Plan.  The provisions of the 423 Component, accordingly, will be construed in a manner that is consistent with the requirements of Section 423 of the Code.  Except as otherwise provided in the Plan or determined by the Board, the Non-423 Component will operate and be administered in the same manner as the 423 Component.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(c)</w:t>
      </w:r>
      <w:r>
        <w:rPr>
          <w:rFonts w:ascii="Times New Roman;Times;serif" w:hAnsi="Times New Roman;Times;serif"/>
          <w:sz w:val="22"/>
        </w:rPr>
        <w:t>The Company, by means of the Plan, seeks to retain the services of such Employees, to secure and retain the services of new Employees and to provide incentives for such persons to exert maximum efforts for the success of the Company and its Related Corporations.</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2.</w:t>
      </w:r>
      <w:r>
        <w:rPr>
          <w:rFonts w:ascii="Times New Roman;Times;serif" w:hAnsi="Times New Roman;Times;serif"/>
          <w:b/>
          <w:smallCaps/>
          <w:sz w:val="22"/>
        </w:rPr>
        <w:t>Administration.</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(a)</w:t>
      </w:r>
      <w:r>
        <w:rPr>
          <w:rFonts w:ascii="Times New Roman;Times;serif" w:hAnsi="Times New Roman;Times;serif"/>
          <w:sz w:val="22"/>
        </w:rPr>
        <w:t xml:space="preserve">The Board or the Committee will administer the Plan.  References herein to the Board shall be deemed to refer to the Committee </w:t>
      </w:r>
      <w:bookmarkStart w:id="160" w:name="_cp_text_1_14"/>
      <w:bookmarkEnd w:id="160"/>
      <w:r>
        <w:rPr>
          <w:rFonts w:ascii="Times New Roman;Times;serif" w:hAnsi="Times New Roman;Times;serif"/>
          <w:sz w:val="22"/>
        </w:rPr>
        <w:t>except where context dictates otherwise.</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(b)</w:t>
      </w:r>
      <w:bookmarkStart w:id="161" w:name="_Ref92702739"/>
      <w:bookmarkEnd w:id="161"/>
      <w:r>
        <w:rPr>
          <w:rFonts w:ascii="Times New Roman;Times;serif" w:hAnsi="Times New Roman;Times;serif"/>
          <w:sz w:val="22"/>
        </w:rPr>
        <w:t>The Board will have the power, subject to, and within the limitations of, the express provisions of the Plan:</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(i)</w:t>
      </w:r>
      <w:r>
        <w:rPr>
          <w:rFonts w:ascii="Times New Roman;Times;serif" w:hAnsi="Times New Roman;Times;serif"/>
          <w:sz w:val="22"/>
        </w:rPr>
        <w:t>To determine how and when Purchase Rights will be granted and the provisions of each Offering (which need not be identical).</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(ii)</w:t>
      </w:r>
      <w:r>
        <w:rPr>
          <w:rFonts w:ascii="Times New Roman;Times;serif" w:hAnsi="Times New Roman;Times;serif"/>
          <w:sz w:val="22"/>
        </w:rPr>
        <w:t>To designate from time to time (A) which Related Corporations of the Company will be eligible to participate in the Plan, (B) whether such Related Corporations will participate in the 423 Component or the Non-423 Component, and (C) to the extent that the Company makes separate Offerings under the 423 Component, in which Offering the Related Corporations in the 423 Component will participate.</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(iii)</w:t>
      </w:r>
      <w:r>
        <w:rPr>
          <w:rFonts w:ascii="Times New Roman;Times;serif" w:hAnsi="Times New Roman;Times;serif"/>
          <w:sz w:val="22"/>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pStyle w:val="TextBody"/>
        <w:spacing w:lineRule="atLeast" w:line="200" w:before="0" w:after="0"/>
        <w:ind w:left="0" w:right="0" w:hanging="0"/>
        <w:rPr>
          <w:rFonts w:ascii="Times New Roman;Times;serif" w:hAnsi="Times New Roman;Times;serif"/>
          <w:sz w:val="24"/>
        </w:rPr>
      </w:pPr>
      <w:r>
        <w:rPr>
          <w:rFonts w:ascii="Times New Roman;Times;serif" w:hAnsi="Times New Roman;Times;serif"/>
          <w:sz w:val="24"/>
        </w:rPr>
        <w:t>1</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43">
            <wp:simplePos x="0" y="0"/>
            <wp:positionH relativeFrom="page">
              <wp:posOffset>0</wp:posOffset>
            </wp:positionH>
            <wp:positionV relativeFrom="line">
              <wp:posOffset>635</wp:posOffset>
            </wp:positionV>
            <wp:extent cx="6480175" cy="390525"/>
            <wp:effectExtent l="0" t="0" r="0" b="0"/>
            <wp:wrapNone/>
            <wp:docPr id="134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 name="Image77" descr=""/>
                    <pic:cNvPicPr>
                      <a:picLocks noChangeAspect="1" noChangeArrowheads="1"/>
                    </pic:cNvPicPr>
                  </pic:nvPicPr>
                  <pic:blipFill>
                    <a:blip r:embed="rId107"/>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76386237 v5</w:t>
      </w:r>
    </w:p>
    <w:p>
      <w:pPr>
        <w:pStyle w:val="TextBody"/>
        <w:spacing w:lineRule="atLeast" w:line="200" w:before="0" w:after="0"/>
        <w:ind w:left="0" w:right="0" w:hanging="0"/>
        <w:rPr/>
      </w:pPr>
      <w:r>
        <w:rPr/>
        <w:t>​</w:t>
      </w:r>
    </w:p>
    <w:p>
      <w:pPr>
        <w:pStyle w:val="TextBody"/>
        <w:spacing w:lineRule="auto" w:line="285" w:before="0" w:after="0"/>
        <w:ind w:left="0" w:right="0" w:hanging="0"/>
        <w:jc w:val="both"/>
        <w:rPr/>
      </w:pPr>
      <w:r>
        <w:rPr/>
        <w:t>​</w:t>
      </w:r>
    </w:p>
    <w:p>
      <w:pPr>
        <w:pStyle w:val="HorizontalLine"/>
        <w:rPr/>
      </w:pPr>
      <w:r>
        <w:rPr/>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(iv)</w:t>
      </w:r>
      <w:r>
        <w:rPr>
          <w:rFonts w:ascii="Times New Roman;Times;serif" w:hAnsi="Times New Roman;Times;serif"/>
          <w:sz w:val="22"/>
        </w:rPr>
        <w:t>To settle all controversies regarding the Plan and Purchase Rights granted under the Plan.</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(v)</w:t>
      </w:r>
      <w:r>
        <w:rPr>
          <w:rFonts w:ascii="Times New Roman;Times;serif" w:hAnsi="Times New Roman;Times;serif"/>
          <w:sz w:val="22"/>
        </w:rPr>
        <w:t>To suspend or terminate the Plan at any time as provided in Section 12.</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(vi)</w:t>
      </w:r>
      <w:r>
        <w:rPr>
          <w:rFonts w:ascii="Times New Roman;Times;serif" w:hAnsi="Times New Roman;Times;serif"/>
          <w:sz w:val="22"/>
        </w:rPr>
        <w:t>To amend the Plan at any time as provided in Section 12.</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(vii)</w:t>
      </w:r>
      <w:r>
        <w:rPr>
          <w:rFonts w:ascii="Times New Roman;Times;serif" w:hAnsi="Times New Roman;Times;serif"/>
          <w:sz w:val="22"/>
        </w:rPr>
        <w:t>Generally, to exercise such powers and to perform such acts as it deems necessary or expedient to promote the best interests of the Company and its Related Corporations and to carry out the intent that the Plan be treated as an Employee Share Purchase Plan with respect to the 423 Component.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(viii)</w:t>
      </w:r>
      <w:r>
        <w:rPr>
          <w:rFonts w:ascii="Times New Roman;Times;serif" w:hAnsi="Times New Roman;Times;serif"/>
          <w:sz w:val="22"/>
        </w:rPr>
        <w:t>To adopt such rules, procedures and sub-plans as are necessary or appropriate to permit or facilitate participation in the Plan by Employees who are foreign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Related Corporation designated for participation in the Non-423 Component, do not have to comply with the requirements of Section 423 of the Code.</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(c)</w:t>
      </w:r>
      <w:bookmarkStart w:id="162" w:name="_Ref292955449"/>
      <w:bookmarkStart w:id="163" w:name="_Ref92702643"/>
      <w:bookmarkEnd w:id="162"/>
      <w:bookmarkEnd w:id="163"/>
      <w:r>
        <w:rPr>
          <w:rFonts w:ascii="Times New Roman;Times;serif" w:hAnsi="Times New Roman;Times;serif"/>
          <w:sz w:val="22"/>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Offering Document to the Board will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w:t>
      </w:r>
      <w:r>
        <w:rPr>
          <w:rFonts w:ascii="Times New Roman;Times;serif" w:hAnsi="Times New Roman;Times;serif"/>
          <w:sz w:val="24"/>
        </w:rPr>
        <w:t xml:space="preserve">  </w:t>
      </w:r>
      <w:r>
        <w:rPr>
          <w:rFonts w:ascii="Times New Roman;Times;serif" w:hAnsi="Times New Roman;Times;serif"/>
          <w:sz w:val="22"/>
        </w:rPr>
        <w:t>Whether or not the Board has delegated administration of the Plan to a Committee, the Board will have the final power to determine all questions of policy and expediency that may arise in the administration of the Plan.</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(d)</w:t>
      </w:r>
      <w:r>
        <w:rPr>
          <w:rFonts w:ascii="Times New Roman;Times;serif" w:hAnsi="Times New Roman;Times;serif"/>
          <w:sz w:val="22"/>
        </w:rPr>
        <w:t>All determinations, interpretations and constructions made by the Board in good faith will not be subject to review by any person and will be final, binding and conclusive on all persons.</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3.</w:t>
      </w:r>
      <w:r>
        <w:rPr>
          <w:rFonts w:ascii="Times New Roman;Times;serif" w:hAnsi="Times New Roman;Times;serif"/>
          <w:b/>
          <w:smallCaps/>
          <w:sz w:val="22"/>
        </w:rPr>
        <w:t>Shares Subject to the Plan</w:t>
      </w:r>
      <w:r>
        <w:rPr>
          <w:rFonts w:ascii="Times New Roman;Times;serif" w:hAnsi="Times New Roman;Times;serif"/>
          <w:b/>
          <w:sz w:val="22"/>
        </w:rPr>
        <w: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(a)</w:t>
      </w:r>
      <w:bookmarkStart w:id="164" w:name="_Ref92702827"/>
      <w:bookmarkEnd w:id="164"/>
      <w:r>
        <w:rPr>
          <w:rFonts w:ascii="Times New Roman;Times;serif" w:hAnsi="Times New Roman;Times;serif"/>
          <w:sz w:val="22"/>
        </w:rPr>
        <w:t>Subject to the provisions of Section 11(a) relating to Capitalization Adjustments, the maximum number of Shares that may be issued under the Plan will not exceed 1,000,000 Shares, plus the number of Shares that are automatically added on January 1</w:t>
      </w:r>
      <w:r>
        <w:rPr>
          <w:rFonts w:ascii="Times New Roman;Times;serif" w:hAnsi="Times New Roman;Times;serif"/>
          <w:sz w:val="17"/>
        </w:rPr>
        <w:t>st</w:t>
      </w:r>
      <w:r>
        <w:rPr>
          <w:rFonts w:ascii="Times New Roman;Times;serif" w:hAnsi="Times New Roman;Times;serif"/>
          <w:sz w:val="24"/>
        </w:rPr>
        <w:t xml:space="preserve"> </w:t>
      </w:r>
      <w:r>
        <w:rPr>
          <w:rFonts w:ascii="Times New Roman;Times;serif" w:hAnsi="Times New Roman;Times;serif"/>
          <w:sz w:val="22"/>
        </w:rPr>
        <w:t>of each year for a period of up to ten years, commencing on the first January 1 following the  IPO Date and ending on (and including) January 1, 2033, in an amount equal to the lesser of (i) one percent (1%) of the total number of Shares outstanding on December 31</w:t>
      </w:r>
      <w:r>
        <w:rPr>
          <w:rFonts w:ascii="Times New Roman;Times;serif" w:hAnsi="Times New Roman;Times;serif"/>
          <w:sz w:val="17"/>
        </w:rPr>
        <w:t>st</w:t>
      </w:r>
      <w:r>
        <w:rPr>
          <w:rFonts w:ascii="Times New Roman;Times;serif" w:hAnsi="Times New Roman;Times;serif"/>
          <w:sz w:val="24"/>
        </w:rPr>
        <w:t xml:space="preserve"> </w:t>
      </w:r>
      <w:r>
        <w:rPr>
          <w:rFonts w:ascii="Times New Roman;Times;serif" w:hAnsi="Times New Roman;Times;serif"/>
          <w:sz w:val="22"/>
        </w:rPr>
        <w:t>of the preceding calendar year, and (ii) 3,000,000 Shares.</w:t>
      </w:r>
      <w:r>
        <w:rPr>
          <w:rFonts w:ascii="Times New Roman;Times;serif" w:hAnsi="Times New Roman;Times;serif"/>
          <w:sz w:val="24"/>
        </w:rPr>
        <w:t xml:space="preserve">  </w:t>
      </w:r>
      <w:r>
        <w:rPr>
          <w:rFonts w:ascii="Times New Roman;Times;serif" w:hAnsi="Times New Roman;Times;serif"/>
          <w:sz w:val="22"/>
        </w:rPr>
        <w:t>Notwithstanding the foregoing, the Board may act prior to the first day of any calendar year to provide that there will be no January 1</w:t>
      </w:r>
      <w:r>
        <w:rPr>
          <w:rFonts w:ascii="Times New Roman;Times;serif" w:hAnsi="Times New Roman;Times;serif"/>
          <w:sz w:val="17"/>
        </w:rPr>
        <w:t>st</w:t>
      </w:r>
      <w:r>
        <w:rPr>
          <w:rFonts w:ascii="Times New Roman;Times;serif" w:hAnsi="Times New Roman;Times;serif"/>
          <w:sz w:val="24"/>
        </w:rPr>
        <w:t xml:space="preserve"> </w:t>
      </w:r>
      <w:r>
        <w:rPr>
          <w:rFonts w:ascii="Times New Roman;Times;serif" w:hAnsi="Times New Roman;Times;serif"/>
          <w:sz w:val="22"/>
        </w:rPr>
        <w:t>increase in the share reserve for such calendar year or that the increase in the share reserve for such calendar year will be a lesser number of Shares than would otherwise occur pursuant to the preceding sentence. For the avoidance of doubt, up to the maximum number of Shares reserved under this Section 3(a) may be used to satisfy purchases of Shares under the 423 Component and any remaining portion of such maximum number of shares may be used to satisfy purchases of Shares under the Non-423 Component.</w:t>
      </w:r>
    </w:p>
    <w:p>
      <w:pPr>
        <w:pStyle w:val="TextBody"/>
        <w:spacing w:lineRule="atLeast" w:line="200" w:before="0" w:after="0"/>
        <w:ind w:left="0" w:right="0" w:hanging="0"/>
        <w:rPr>
          <w:rFonts w:ascii="Times New Roman;Times;serif" w:hAnsi="Times New Roman;Times;serif"/>
          <w:sz w:val="24"/>
        </w:rPr>
      </w:pPr>
      <w:r>
        <w:rPr>
          <w:rFonts w:ascii="Times New Roman;Times;serif" w:hAnsi="Times New Roman;Times;serif"/>
          <w:sz w:val="24"/>
        </w:rPr>
        <w:t>2</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44">
            <wp:simplePos x="0" y="0"/>
            <wp:positionH relativeFrom="page">
              <wp:posOffset>0</wp:posOffset>
            </wp:positionH>
            <wp:positionV relativeFrom="line">
              <wp:posOffset>635</wp:posOffset>
            </wp:positionV>
            <wp:extent cx="6480175" cy="390525"/>
            <wp:effectExtent l="0" t="0" r="0" b="0"/>
            <wp:wrapNone/>
            <wp:docPr id="134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 name="Image78" descr=""/>
                    <pic:cNvPicPr>
                      <a:picLocks noChangeAspect="1" noChangeArrowheads="1"/>
                    </pic:cNvPicPr>
                  </pic:nvPicPr>
                  <pic:blipFill>
                    <a:blip r:embed="rId108"/>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76386237 v5</w:t>
      </w:r>
    </w:p>
    <w:p>
      <w:pPr>
        <w:pStyle w:val="TextBody"/>
        <w:spacing w:lineRule="atLeast" w:line="200" w:before="0" w:after="0"/>
        <w:ind w:left="0" w:right="0" w:hanging="0"/>
        <w:rPr/>
      </w:pPr>
      <w:r>
        <w:rPr/>
        <w:t>​</w:t>
      </w:r>
    </w:p>
    <w:p>
      <w:pPr>
        <w:pStyle w:val="TextBody"/>
        <w:spacing w:lineRule="auto" w:line="285" w:before="0" w:after="0"/>
        <w:ind w:left="0" w:right="0" w:hanging="0"/>
        <w:jc w:val="both"/>
        <w:rPr/>
      </w:pPr>
      <w:r>
        <w:rPr/>
        <w:t>​</w:t>
      </w:r>
    </w:p>
    <w:p>
      <w:pPr>
        <w:pStyle w:val="HorizontalLine"/>
        <w:rPr/>
      </w:pPr>
      <w:r>
        <w:rPr/>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(b)</w:t>
      </w:r>
      <w:r>
        <w:rPr>
          <w:rFonts w:ascii="Times New Roman;Times;serif" w:hAnsi="Times New Roman;Times;serif"/>
          <w:sz w:val="22"/>
        </w:rPr>
        <w:t>If any Purchase Right granted under the Plan terminates without having been exercised in full, the Shares not purchased under such Purchase Right will again become available for issuance under the Plan.  </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(c)</w:t>
      </w:r>
      <w:r>
        <w:rPr>
          <w:rFonts w:ascii="Times New Roman;Times;serif" w:hAnsi="Times New Roman;Times;serif"/>
          <w:sz w:val="22"/>
        </w:rPr>
        <w:t>The shares purchasable under the Plan will be authorized but unissued or reacquired Shares, including shares repurchased by the Company on the open market.  </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4.</w:t>
      </w:r>
      <w:r>
        <w:rPr>
          <w:rFonts w:ascii="Times New Roman;Times;serif" w:hAnsi="Times New Roman;Times;serif"/>
          <w:b/>
          <w:smallCaps/>
          <w:sz w:val="22"/>
        </w:rPr>
        <w:t>Grant of Purchase Rights; Offering</w:t>
      </w:r>
      <w:r>
        <w:rPr>
          <w:rFonts w:ascii="Times New Roman;Times;serif" w:hAnsi="Times New Roman;Times;serif"/>
          <w:b/>
          <w:sz w:val="22"/>
        </w:rPr>
        <w: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(a)</w:t>
      </w:r>
      <w:r>
        <w:rPr>
          <w:rFonts w:ascii="Times New Roman;Times;serif" w:hAnsi="Times New Roman;Times;serif"/>
          <w:sz w:val="22"/>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w:t>
      </w:r>
      <w:r>
        <w:rPr>
          <w:rFonts w:ascii="Times New Roman;Times;serif" w:hAnsi="Times New Roman;Times;serif"/>
          <w:sz w:val="24"/>
        </w:rPr>
        <w:t xml:space="preserve"> </w:t>
      </w:r>
      <w:r>
        <w:rPr>
          <w:rFonts w:ascii="Times New Roman;Times;serif" w:hAnsi="Times New Roman;Times;serif"/>
          <w:sz w:val="22"/>
        </w:rPr>
        <w:t>through 8, inclusive.</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(b)</w:t>
      </w:r>
      <w:r>
        <w:rPr>
          <w:rFonts w:ascii="Times New Roman;Times;serif" w:hAnsi="Times New Roman;Times;serif"/>
          <w:sz w:val="22"/>
        </w:rPr>
        <w:t>If a Participant has more than one Purchase Right outstanding under the Plan, unless he or she otherwise indicates in forms delivered to the Company: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(c)</w:t>
      </w:r>
      <w:r>
        <w:rPr>
          <w:rFonts w:ascii="Times New Roman;Times;serif" w:hAnsi="Times New Roman;Times;serif"/>
          <w:sz w:val="22"/>
        </w:rPr>
        <w:t>The Board will have the discretion to structure an Offering so that if the Fair Market Value of a Share on the first Trading Day of a new Purchase Period within that Offering is less than or equal to the Fair Market Value of a Share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  </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5.</w:t>
      </w:r>
      <w:bookmarkStart w:id="165" w:name="_Ref92702716"/>
      <w:bookmarkEnd w:id="165"/>
      <w:r>
        <w:rPr>
          <w:rFonts w:ascii="Times New Roman;Times;serif" w:hAnsi="Times New Roman;Times;serif"/>
          <w:b/>
          <w:smallCaps/>
          <w:sz w:val="22"/>
        </w:rPr>
        <w:t>Eligibility.</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(a)</w:t>
      </w:r>
      <w:r>
        <w:rPr>
          <w:rFonts w:ascii="Times New Roman;Times;serif" w:hAnsi="Times New Roman;Times;serif"/>
          <w:sz w:val="22"/>
        </w:rPr>
        <w:t>Purchase Rights may be granted only to Employees of the Company or, as the Board may designate in accordance with Section 2(b), to Employees of a Related Corporation.  Except as provided in Section 5(b)</w:t>
      </w:r>
      <w:r>
        <w:rPr>
          <w:rFonts w:ascii="Times New Roman;Times;serif" w:hAnsi="Times New Roman;Times;serif"/>
          <w:sz w:val="24"/>
        </w:rPr>
        <w:t xml:space="preserve"> </w:t>
      </w:r>
      <w:r>
        <w:rPr>
          <w:rFonts w:ascii="Times New Roman;Times;serif" w:hAnsi="Times New Roman;Times;serif"/>
          <w:sz w:val="22"/>
        </w:rPr>
        <w:t>or as required by Applicable Law, an Employee will not be eligible to be granted Purchase Rights unless, on the Offering Date, the Employee has been in the employ of the Company or the Related Corporation, as the case may be, for such continuous period preceding such Offering Date as the Board may require, but in no event will the required period of continuous employment be equal to or greater than two years.  In addition, the Board may (unless prohibited by law) provide that no Employee will be eligible to be granted Purchase Rights under the Plan unless, on the Offering Date, such Employee’s customary employment with the Company or the Related Corporation is more than 20 hours per week and more than five months per calendar year or such other criteria as the Board may determine consistent with Section 423 of the Code with respect to the 423 Component. The Board may also exclude from participation in the Plan or any Offering Employees who are "highly compensated employees" (within the meaning of Section 423(b)(4)(D) of the Code) of the Company or a Related Corporation or a subset of such highly compensated employees.</w:t>
      </w:r>
    </w:p>
    <w:p>
      <w:pPr>
        <w:pStyle w:val="TextBody"/>
        <w:spacing w:lineRule="atLeast" w:line="200" w:before="0" w:after="0"/>
        <w:ind w:left="0" w:right="0" w:hanging="0"/>
        <w:rPr>
          <w:rFonts w:ascii="Times New Roman;Times;serif" w:hAnsi="Times New Roman;Times;serif"/>
          <w:sz w:val="24"/>
        </w:rPr>
      </w:pPr>
      <w:r>
        <w:rPr>
          <w:rFonts w:ascii="Times New Roman;Times;serif" w:hAnsi="Times New Roman;Times;serif"/>
          <w:sz w:val="24"/>
        </w:rPr>
        <w:t>3</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45">
            <wp:simplePos x="0" y="0"/>
            <wp:positionH relativeFrom="page">
              <wp:posOffset>0</wp:posOffset>
            </wp:positionH>
            <wp:positionV relativeFrom="line">
              <wp:posOffset>635</wp:posOffset>
            </wp:positionV>
            <wp:extent cx="6480175" cy="390525"/>
            <wp:effectExtent l="0" t="0" r="0" b="0"/>
            <wp:wrapNone/>
            <wp:docPr id="134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 name="Image79" descr=""/>
                    <pic:cNvPicPr>
                      <a:picLocks noChangeAspect="1" noChangeArrowheads="1"/>
                    </pic:cNvPicPr>
                  </pic:nvPicPr>
                  <pic:blipFill>
                    <a:blip r:embed="rId109"/>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76386237 v5</w:t>
      </w:r>
    </w:p>
    <w:p>
      <w:pPr>
        <w:pStyle w:val="TextBody"/>
        <w:spacing w:lineRule="atLeast" w:line="200" w:before="0" w:after="0"/>
        <w:ind w:left="0" w:right="0" w:hanging="0"/>
        <w:rPr/>
      </w:pPr>
      <w:r>
        <w:rPr/>
        <w:t>​</w:t>
      </w:r>
    </w:p>
    <w:p>
      <w:pPr>
        <w:pStyle w:val="TextBody"/>
        <w:spacing w:lineRule="auto" w:line="285" w:before="0" w:after="0"/>
        <w:ind w:left="0" w:right="0" w:hanging="0"/>
        <w:jc w:val="both"/>
        <w:rPr/>
      </w:pPr>
      <w:r>
        <w:rPr/>
        <w:t>​</w:t>
      </w:r>
    </w:p>
    <w:p>
      <w:pPr>
        <w:pStyle w:val="HorizontalLine"/>
        <w:rPr/>
      </w:pPr>
      <w:r>
        <w:rPr/>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(b)</w:t>
      </w:r>
      <w:bookmarkStart w:id="166" w:name="_Ref92702751"/>
      <w:bookmarkEnd w:id="166"/>
      <w:r>
        <w:rPr>
          <w:rFonts w:ascii="Times New Roman;Times;serif" w:hAnsi="Times New Roman;Times;serif"/>
          <w:sz w:val="22"/>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(i)</w:t>
      </w:r>
      <w:r>
        <w:rPr>
          <w:rFonts w:ascii="Times New Roman;Times;serif" w:hAnsi="Times New Roman;Times;serif"/>
          <w:sz w:val="22"/>
        </w:rPr>
        <w:t>the date on which such Purchase Right is granted will be the “Offering Date” of such Purchase Right for all purposes, including determination of the exercise price of such Purchase Right;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(ii)</w:t>
      </w:r>
      <w:r>
        <w:rPr>
          <w:rFonts w:ascii="Times New Roman;Times;serif" w:hAnsi="Times New Roman;Times;serif"/>
          <w:sz w:val="22"/>
        </w:rPr>
        <w:t>the period of the Offering with respect to such Purchase Right will begin on its Offering Date and end coincident with the end of such Offering; and</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(iii)</w:t>
      </w:r>
      <w:r>
        <w:rPr>
          <w:rFonts w:ascii="Times New Roman;Times;serif" w:hAnsi="Times New Roman;Times;serif"/>
          <w:sz w:val="22"/>
        </w:rPr>
        <w:t>the Board may provide that if such person first becomes an Eligible Employee within a specified period of time before the end of the Offering, he or she will not receive any Purchase Right under that Offering.</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(c)</w:t>
      </w:r>
      <w:bookmarkStart w:id="167" w:name="_Ref92702766"/>
      <w:bookmarkEnd w:id="167"/>
      <w:r>
        <w:rPr>
          <w:rFonts w:ascii="Times New Roman;Times;serif" w:hAnsi="Times New Roman;Times;serif"/>
          <w:sz w:val="22"/>
        </w:rPr>
        <w:t>No Employee will be eligible for the grant of any Purchase Rights if, immediately after any such Purchase Rights are granted, such Employee owns shares possessing five percent or more of the total combined voting power or value of all classes of shares of the Company or of any Related Corporation.  For purposes of this Section 5(c), the rules of Section 424(d) of the Code will apply in determining the share ownership of any Employee, and shares which such Employee may purchase under all outstanding Purchase Rights and options will be treated as shares owned by such Employee.</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(d)</w:t>
      </w:r>
      <w:r>
        <w:rPr>
          <w:rFonts w:ascii="Times New Roman;Times;serif" w:hAnsi="Times New Roman;Times;serif"/>
          <w:sz w:val="22"/>
        </w:rPr>
        <w:t>As specified by Section 423(b)(8) of the Code, an Eligible Employee may be granted Purchase Rights only if such Purchase Rights, together with any other rights granted under all Employee Share Purchase Plans of the Company and any Related Corporations, do not permit such Eligible Employee’s rights to purchase shares of the Company or any Related Corporation to accrue at a rate which, when aggregated, exceeds US $25,000 of Fair Market Value of such shares (determined at the time such rights are granted, and which, with respect to the Plan, will be determined as of their respective Offering Dates) for each calendar year in which such rights are outstanding at any time.</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(e)</w:t>
      </w:r>
      <w:r>
        <w:rPr>
          <w:rFonts w:ascii="Times New Roman;Times;serif" w:hAnsi="Times New Roman;Times;serif"/>
          <w:sz w:val="22"/>
        </w:rPr>
        <w:t xml:space="preserve">Officers of the Company and any designated Related Corporation, if they are otherwise Eligible Employees, will be eligible to participate in Offerings under the Plan.  Notwithstanding the foregoing, the Board may (unless prohibited by law) provide in an Offering that Employees who are highly compensated Employees within the meaning of Section 423(b)(4)(D) of the Code will not be eligible to participate. </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(f)</w:t>
      </w:r>
      <w:bookmarkStart w:id="168" w:name="_cp_blt_1_59"/>
      <w:bookmarkEnd w:id="168"/>
      <w:r>
        <w:rPr>
          <w:rFonts w:ascii="Times New Roman;Times;serif" w:hAnsi="Times New Roman;Times;serif"/>
          <w:sz w:val="22"/>
        </w:rPr>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6.</w:t>
      </w:r>
      <w:r>
        <w:rPr>
          <w:rFonts w:ascii="Times New Roman;Times;serif" w:hAnsi="Times New Roman;Times;serif"/>
          <w:b/>
          <w:smallCaps/>
          <w:sz w:val="22"/>
        </w:rPr>
        <w:t>Purchase Rights; Purchase Price</w:t>
      </w:r>
      <w:r>
        <w:rPr>
          <w:rFonts w:ascii="Times New Roman;Times;serif" w:hAnsi="Times New Roman;Times;serif"/>
          <w:b/>
          <w:sz w:val="22"/>
        </w:rPr>
        <w: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(a)</w:t>
      </w:r>
      <w:r>
        <w:rPr>
          <w:rFonts w:ascii="Times New Roman;Times;serif" w:hAnsi="Times New Roman;Times;serif"/>
          <w:sz w:val="22"/>
        </w:rPr>
        <w:t>On each Offering Date, each Eligible Employee, pursuant to an Offering made under the Plan, will be granted a Purchase Right to purchase up to that number of Shares purchasable either with a percentage or with a maximum dollar amount, as designated by the Board, but in either case not exceeding 15% of such Employee’s earnings (as defined by the Board in each Offering) during the period that begins on the Offering Date (or such later date as the Board determines for a particular Offering) and ends on the date stated in the Offering, which date will be no later than the end of the Offering.</w:t>
      </w:r>
    </w:p>
    <w:p>
      <w:pPr>
        <w:pStyle w:val="TextBody"/>
        <w:spacing w:lineRule="atLeast" w:line="200" w:before="0" w:after="0"/>
        <w:ind w:left="0" w:right="0" w:hanging="0"/>
        <w:rPr>
          <w:rFonts w:ascii="Times New Roman;Times;serif" w:hAnsi="Times New Roman;Times;serif"/>
          <w:sz w:val="24"/>
        </w:rPr>
      </w:pPr>
      <w:r>
        <w:rPr>
          <w:rFonts w:ascii="Times New Roman;Times;serif" w:hAnsi="Times New Roman;Times;serif"/>
          <w:sz w:val="24"/>
        </w:rPr>
        <w:t>4</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46">
            <wp:simplePos x="0" y="0"/>
            <wp:positionH relativeFrom="page">
              <wp:posOffset>0</wp:posOffset>
            </wp:positionH>
            <wp:positionV relativeFrom="line">
              <wp:posOffset>635</wp:posOffset>
            </wp:positionV>
            <wp:extent cx="6480175" cy="390525"/>
            <wp:effectExtent l="0" t="0" r="0" b="0"/>
            <wp:wrapNone/>
            <wp:docPr id="134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 name="Image80" descr=""/>
                    <pic:cNvPicPr>
                      <a:picLocks noChangeAspect="1" noChangeArrowheads="1"/>
                    </pic:cNvPicPr>
                  </pic:nvPicPr>
                  <pic:blipFill>
                    <a:blip r:embed="rId110"/>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76386237 v5</w:t>
      </w:r>
    </w:p>
    <w:p>
      <w:pPr>
        <w:pStyle w:val="TextBody"/>
        <w:spacing w:lineRule="atLeast" w:line="200" w:before="0" w:after="0"/>
        <w:ind w:left="0" w:right="0" w:hanging="0"/>
        <w:rPr/>
      </w:pPr>
      <w:r>
        <w:rPr/>
        <w:t>​</w:t>
      </w:r>
    </w:p>
    <w:p>
      <w:pPr>
        <w:pStyle w:val="TextBody"/>
        <w:spacing w:lineRule="auto" w:line="285" w:before="0" w:after="0"/>
        <w:ind w:left="0" w:right="0" w:hanging="0"/>
        <w:jc w:val="both"/>
        <w:rPr/>
      </w:pPr>
      <w:r>
        <w:rPr/>
        <w:t>​</w:t>
      </w:r>
    </w:p>
    <w:p>
      <w:pPr>
        <w:pStyle w:val="HorizontalLine"/>
        <w:rPr/>
      </w:pPr>
      <w:r>
        <w:rPr/>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(b)</w:t>
      </w:r>
      <w:r>
        <w:rPr>
          <w:rFonts w:ascii="Times New Roman;Times;serif" w:hAnsi="Times New Roman;Times;serif"/>
          <w:sz w:val="22"/>
        </w:rPr>
        <w:t>The Board will establish one or more Purchase Dates during an Offering on which Purchase Rights granted for that Offering will be exercised and Shares will be purchased in accordance with such Offering.</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(c)</w:t>
      </w:r>
      <w:r>
        <w:rPr>
          <w:rFonts w:ascii="Times New Roman;Times;serif" w:hAnsi="Times New Roman;Times;serif"/>
          <w:sz w:val="22"/>
        </w:rPr>
        <w:t>In connection with each Offering made under the Plan, the Board may specify (i) a maximum number of Shares that may be purchased by any Participant on any Purchase Date during such Offering, (ii) a maximum aggregate number of Shares that may be purchased by all Participants pursuant to such Offering and/or (iii) a maximum aggregate number of Shares that may be purchased by all Participants on any Purchase Date under the Offering.  If the aggregate purchase of Shares issuable upon exercise of Purchase Rights granted under the Offering would exceed any such maximum aggregate number, then, in the absence of any Board action otherwise, a pro rata (based on each Participant’s accumulated Contributions) allocation of the Shares (rounded down to the nearest whole share) available will be made in as nearly a uniform manner as will be practicable and equitable.</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(d)</w:t>
      </w:r>
      <w:r>
        <w:rPr>
          <w:rFonts w:ascii="Times New Roman;Times;serif" w:hAnsi="Times New Roman;Times;serif"/>
          <w:sz w:val="22"/>
        </w:rPr>
        <w:t>The purchase price of Shares acquired pursuant to Purchase Rights will be not less than the lesser of:</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(i)</w:t>
      </w:r>
      <w:r>
        <w:rPr>
          <w:rFonts w:ascii="Times New Roman;Times;serif" w:hAnsi="Times New Roman;Times;serif"/>
          <w:sz w:val="22"/>
        </w:rPr>
        <w:t>an amount equal to 85% of the Fair Market Value of the Shares on the Offering Date; or</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(ii)</w:t>
      </w:r>
      <w:r>
        <w:rPr>
          <w:rFonts w:ascii="Times New Roman;Times;serif" w:hAnsi="Times New Roman;Times;serif"/>
          <w:sz w:val="22"/>
        </w:rPr>
        <w:t>an amount equal to 85% of the Fair Market Value of the Shares  on the applicable Purchase Date.</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7.</w:t>
      </w:r>
      <w:r>
        <w:rPr>
          <w:rFonts w:ascii="Times New Roman;Times;serif" w:hAnsi="Times New Roman;Times;serif"/>
          <w:b/>
          <w:smallCaps/>
          <w:sz w:val="22"/>
        </w:rPr>
        <w:t>Participation; Withdrawal; Termination</w:t>
      </w:r>
      <w:r>
        <w:rPr>
          <w:rFonts w:ascii="Times New Roman;Times;serif" w:hAnsi="Times New Roman;Times;serif"/>
          <w:b/>
          <w:sz w:val="22"/>
        </w:rPr>
        <w: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(a)</w:t>
      </w:r>
      <w:r>
        <w:rPr>
          <w:rFonts w:ascii="Times New Roman;Times;serif" w:hAnsi="Times New Roman;Times;serif"/>
          <w:sz w:val="22"/>
        </w:rPr>
        <w:t>An Eligible Employee may elect to participate in an Offering and authorize payroll deductions as the means of making Contributions by completing and delivering to the Company, within the time specified in the Offering, an enrollment form provided by the Company.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required under Applicable Law or if specifically provided in the Offering, in addition to or instead of making Contributions by payroll deductions, a Participant may make Contributions through the payment by cash, check or wire transfer prior to a Purchase Date.</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(b)</w:t>
      </w:r>
      <w:bookmarkStart w:id="169" w:name="_Ref92702793"/>
      <w:bookmarkEnd w:id="169"/>
      <w:r>
        <w:rPr>
          <w:rFonts w:ascii="Times New Roman;Times;serif" w:hAnsi="Times New Roman;Times;serif"/>
          <w:sz w:val="22"/>
        </w:rPr>
        <w:t>During an Offering, a Participant may cease making Contributions and withdraw from the Offering by delivering to the Company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(c)</w:t>
      </w:r>
      <w:r>
        <w:rPr>
          <w:rFonts w:ascii="Times New Roman;Times;serif" w:hAnsi="Times New Roman;Times;serif"/>
          <w:sz w:val="22"/>
        </w:rPr>
        <w:t xml:space="preserve">Unless otherwise required by Applicable Law, Purchase Rights granted pursuant to any Offering under the Plan will terminate immediately if the Participant either (i) is no longer an Employee </w:t>
      </w:r>
    </w:p>
    <w:p>
      <w:pPr>
        <w:pStyle w:val="TextBody"/>
        <w:spacing w:lineRule="atLeast" w:line="200" w:before="0" w:after="0"/>
        <w:ind w:left="0" w:right="0" w:hanging="0"/>
        <w:rPr>
          <w:rFonts w:ascii="Times New Roman;Times;serif" w:hAnsi="Times New Roman;Times;serif"/>
          <w:sz w:val="24"/>
        </w:rPr>
      </w:pPr>
      <w:r>
        <w:rPr>
          <w:rFonts w:ascii="Times New Roman;Times;serif" w:hAnsi="Times New Roman;Times;serif"/>
          <w:sz w:val="24"/>
        </w:rPr>
        <w:t>5</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47">
            <wp:simplePos x="0" y="0"/>
            <wp:positionH relativeFrom="page">
              <wp:posOffset>0</wp:posOffset>
            </wp:positionH>
            <wp:positionV relativeFrom="line">
              <wp:posOffset>635</wp:posOffset>
            </wp:positionV>
            <wp:extent cx="6480175" cy="390525"/>
            <wp:effectExtent l="0" t="0" r="0" b="0"/>
            <wp:wrapNone/>
            <wp:docPr id="1346"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 name="Image81" descr=""/>
                    <pic:cNvPicPr>
                      <a:picLocks noChangeAspect="1" noChangeArrowheads="1"/>
                    </pic:cNvPicPr>
                  </pic:nvPicPr>
                  <pic:blipFill>
                    <a:blip r:embed="rId111"/>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76386237 v5</w:t>
      </w:r>
    </w:p>
    <w:p>
      <w:pPr>
        <w:pStyle w:val="TextBody"/>
        <w:spacing w:lineRule="atLeast" w:line="200" w:before="0" w:after="0"/>
        <w:ind w:left="0" w:right="0" w:hanging="0"/>
        <w:rPr/>
      </w:pPr>
      <w:r>
        <w:rPr/>
        <w:t>​</w:t>
      </w:r>
    </w:p>
    <w:p>
      <w:pPr>
        <w:pStyle w:val="TextBody"/>
        <w:spacing w:lineRule="auto" w:line="285" w:before="0" w:after="0"/>
        <w:ind w:left="0" w:right="0" w:hanging="0"/>
        <w:jc w:val="both"/>
        <w:rPr/>
      </w:pPr>
      <w:r>
        <w:rPr/>
        <w:t>​</w:t>
      </w:r>
    </w:p>
    <w:p>
      <w:pPr>
        <w:pStyle w:val="HorizontalLine"/>
        <w:rPr/>
      </w:pPr>
      <w:r>
        <w:rPr/>
      </w:r>
    </w:p>
    <w:p>
      <w:pPr>
        <w:pStyle w:val="TextBody"/>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 xml:space="preserve">for any reason or for no reason (subject to any post-employment participation period required by law) or (ii) is otherwise no longer eligible to participate. The Company will distribute as soon as practicable to such individual all of his or her accumulated but unused Contributions. </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(d)</w:t>
      </w:r>
      <w:bookmarkStart w:id="170" w:name="_cp_blt_1_62"/>
      <w:bookmarkEnd w:id="170"/>
      <w:r>
        <w:rPr>
          <w:rFonts w:ascii="Times New Roman;Times;serif" w:hAnsi="Times New Roman;Times;serif"/>
          <w:sz w:val="22"/>
        </w:rPr>
        <w:t>Unless otherwise determined by the Board, a Participant whose employment transfers or whose employment terminates with an immediate rehire (with no break in service) by or between the Company and a Related Corporation that has been designated for participation in the Plan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(e)</w:t>
      </w:r>
      <w:r>
        <w:rPr>
          <w:rFonts w:ascii="Times New Roman;Times;serif" w:hAnsi="Times New Roman;Times;serif"/>
          <w:sz w:val="22"/>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  </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(f)</w:t>
      </w:r>
      <w:r>
        <w:rPr>
          <w:rFonts w:ascii="Times New Roman;Times;serif" w:hAnsi="Times New Roman;Times;serif"/>
          <w:sz w:val="22"/>
        </w:rPr>
        <w:t>Unless otherwise specified in the Offering or as required by Applicable Law, the Company will have no obligation to pay interest on Contributions.</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8.</w:t>
      </w:r>
      <w:bookmarkStart w:id="171" w:name="_Ref92702728"/>
      <w:bookmarkEnd w:id="171"/>
      <w:r>
        <w:rPr>
          <w:rFonts w:ascii="Times New Roman;Times;serif" w:hAnsi="Times New Roman;Times;serif"/>
          <w:b/>
          <w:smallCaps/>
          <w:sz w:val="22"/>
        </w:rPr>
        <w:t>Exercise of Purchase Rights.</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(a)</w:t>
      </w:r>
      <w:r>
        <w:rPr>
          <w:rFonts w:ascii="Times New Roman;Times;serif" w:hAnsi="Times New Roman;Times;serif"/>
          <w:sz w:val="22"/>
        </w:rPr>
        <w:t>On each Purchase Date, each Participant’s accumulated Contributions will be applied to the purchase of Shares, up to the maximum number of Shares permitted by the Plan and the applicable Offering, at the purchase price specified in the Offering.  No fractional Shares will be issued unless specifically provided for in the Offering.</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(b)</w:t>
      </w:r>
      <w:r>
        <w:rPr>
          <w:rFonts w:ascii="Times New Roman;Times;serif" w:hAnsi="Times New Roman;Times;serif"/>
          <w:sz w:val="22"/>
        </w:rPr>
        <w:t>Unless otherwise provided in the Offering, if any amount of accumulated Contributions remains in a Participant’s account after the purchase of Shares on the final Purchase Date of an Offering, then such remaining amount will not roll over to the next Offering and will instead be distributed in full to such Participant after the final Purchase Date of such Offering without interest (unless otherwise required by Applicable Law).</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(c)</w:t>
      </w:r>
      <w:r>
        <w:rPr>
          <w:rFonts w:ascii="Times New Roman;Times;serif" w:hAnsi="Times New Roman;Times;serif"/>
          <w:sz w:val="22"/>
        </w:rPr>
        <w:t>No Purchase Rights may be exercised to any extent unless the Shares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are not so registered or the Plan is not in such compliance, no Purchase Rights will be exercised on such Purchase Date, and the Purchase Date will be delayed until the Shares are subject to such an effective registration statement and the Plan is in material compliance, except that the Purchase Date will in no event be more than 27 months from the Offering Date.  If, on the Purchase Date, as delayed to the maximum extent permissible, the Shares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w:t>
      </w:r>
    </w:p>
    <w:p>
      <w:pPr>
        <w:pStyle w:val="TextBody"/>
        <w:spacing w:lineRule="atLeast" w:line="200" w:before="0" w:after="0"/>
        <w:ind w:left="0" w:right="0" w:hanging="0"/>
        <w:rPr>
          <w:rFonts w:ascii="Times New Roman;Times;serif" w:hAnsi="Times New Roman;Times;serif"/>
          <w:sz w:val="24"/>
        </w:rPr>
      </w:pPr>
      <w:r>
        <w:rPr>
          <w:rFonts w:ascii="Times New Roman;Times;serif" w:hAnsi="Times New Roman;Times;serif"/>
          <w:sz w:val="24"/>
        </w:rPr>
        <w:t>6</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48">
            <wp:simplePos x="0" y="0"/>
            <wp:positionH relativeFrom="page">
              <wp:posOffset>0</wp:posOffset>
            </wp:positionH>
            <wp:positionV relativeFrom="line">
              <wp:posOffset>635</wp:posOffset>
            </wp:positionV>
            <wp:extent cx="6480175" cy="390525"/>
            <wp:effectExtent l="0" t="0" r="0" b="0"/>
            <wp:wrapNone/>
            <wp:docPr id="134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 name="Image82" descr=""/>
                    <pic:cNvPicPr>
                      <a:picLocks noChangeAspect="1" noChangeArrowheads="1"/>
                    </pic:cNvPicPr>
                  </pic:nvPicPr>
                  <pic:blipFill>
                    <a:blip r:embed="rId112"/>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76386237 v5</w:t>
      </w:r>
    </w:p>
    <w:p>
      <w:pPr>
        <w:pStyle w:val="TextBody"/>
        <w:spacing w:lineRule="atLeast" w:line="200" w:before="0" w:after="0"/>
        <w:ind w:left="0" w:right="0" w:hanging="0"/>
        <w:rPr/>
      </w:pPr>
      <w:r>
        <w:rPr/>
        <w:t>​</w:t>
      </w:r>
    </w:p>
    <w:p>
      <w:pPr>
        <w:pStyle w:val="TextBody"/>
        <w:spacing w:lineRule="auto" w:line="285" w:before="0" w:after="0"/>
        <w:ind w:left="0" w:right="0" w:hanging="0"/>
        <w:jc w:val="both"/>
        <w:rPr/>
      </w:pPr>
      <w:r>
        <w:rPr/>
        <w:t>​</w:t>
      </w:r>
    </w:p>
    <w:p>
      <w:pPr>
        <w:pStyle w:val="HorizontalLine"/>
        <w:rPr/>
      </w:pPr>
      <w:r>
        <w:rPr/>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9.</w:t>
      </w:r>
      <w:r>
        <w:rPr>
          <w:rFonts w:ascii="Times New Roman;Times;serif" w:hAnsi="Times New Roman;Times;serif"/>
          <w:b/>
          <w:smallCaps/>
          <w:sz w:val="22"/>
        </w:rPr>
        <w:t>Covenants of the Company</w:t>
      </w:r>
      <w:r>
        <w:rPr>
          <w:rFonts w:ascii="Times New Roman;Times;serif" w:hAnsi="Times New Roman;Times;serif"/>
          <w:b/>
          <w:sz w:val="22"/>
        </w:rPr>
        <w:t>.</w:t>
      </w:r>
    </w:p>
    <w:p>
      <w:pPr>
        <w:pStyle w:val="TextBody"/>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The Company will seek to obtain from each U.S. federal or state, foreign or other regulatory commission or agency having jurisdiction over the Plan such authority as may be required to grant Purchase Rights and issue and sell Shares thereunder unless the Company determines, in its sole discretion, that doing so would cause the Company to incur costs that are unreasonable.  If, after commercially reasonable efforts, the Company is unable to obtain the authority that counsel for the Company deems necessary for the grant of Purchase Rights or the lawful issuance and sale of Shares under the Plan, and at a commercially reasonable cost, the Company will be relieved from any liability for failure to grant Purchase Rights and/or to issue and sell Shares upon exercise of such Purchase Rights.</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10.</w:t>
      </w:r>
      <w:bookmarkStart w:id="172" w:name="_Ref92702782"/>
      <w:bookmarkEnd w:id="172"/>
      <w:r>
        <w:rPr>
          <w:rFonts w:ascii="Times New Roman;Times;serif" w:hAnsi="Times New Roman;Times;serif"/>
          <w:b/>
          <w:smallCaps/>
          <w:sz w:val="22"/>
        </w:rPr>
        <w:t>Designation of Beneficiary</w:t>
      </w:r>
      <w:r>
        <w:rPr>
          <w:rFonts w:ascii="Times New Roman;Times;serif" w:hAnsi="Times New Roman;Times;serif"/>
          <w:b/>
          <w:sz w:val="22"/>
        </w:rPr>
        <w: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(a)</w:t>
      </w:r>
      <w:r>
        <w:rPr>
          <w:rFonts w:ascii="Times New Roman;Times;serif" w:hAnsi="Times New Roman;Times;serif"/>
          <w:sz w:val="22"/>
        </w:rPr>
        <w:t>The Company may, but is not obligated to, permit a Participant to submit a form designating a beneficiary who will receive any Shares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(b)</w:t>
      </w:r>
      <w:r>
        <w:rPr>
          <w:rFonts w:ascii="Times New Roman;Times;serif" w:hAnsi="Times New Roman;Times;serif"/>
          <w:sz w:val="22"/>
        </w:rPr>
        <w:t>If a Participant dies, and in the absence of a valid beneficiary designation, the Company will deliver any Shares and/or Contributions to the executor or administrator of the estate of the Participant.  If no executor or administrator has been appointed (to the knowledge of the Company), the Company, in its sole discretion, may deliver such Shares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11.</w:t>
      </w:r>
      <w:r>
        <w:rPr>
          <w:rFonts w:ascii="Times New Roman;Times;serif" w:hAnsi="Times New Roman;Times;serif"/>
          <w:b/>
          <w:smallCaps/>
          <w:sz w:val="22"/>
        </w:rPr>
        <w:t>Adjustments upon Changes in Shares; Corporate Transactions</w:t>
      </w:r>
      <w:r>
        <w:rPr>
          <w:rFonts w:ascii="Times New Roman;Times;serif" w:hAnsi="Times New Roman;Times;serif"/>
          <w:b/>
          <w:sz w:val="22"/>
        </w:rPr>
        <w: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(a)</w:t>
      </w:r>
      <w:bookmarkStart w:id="173" w:name="_Ref93291825"/>
      <w:bookmarkStart w:id="174" w:name="_Ref292956464"/>
      <w:bookmarkEnd w:id="173"/>
      <w:bookmarkEnd w:id="174"/>
      <w:r>
        <w:rPr>
          <w:rFonts w:ascii="Times New Roman;Times;serif" w:hAnsi="Times New Roman;Times;serif"/>
          <w:sz w:val="22"/>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r>
        <w:rPr>
          <w:rFonts w:ascii="Times New Roman;Times;serif" w:hAnsi="Times New Roman;Times;serif"/>
          <w:sz w:val="24"/>
        </w:rPr>
        <w:t xml:space="preserve"> </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(b)</w:t>
      </w:r>
      <w:r>
        <w:rPr>
          <w:rFonts w:ascii="Times New Roman;Times;serif" w:hAnsi="Times New Roman;Times;serif"/>
          <w:sz w:val="22"/>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shareholders in the Corporate Transaction) for outstanding Purchase Rights, or (ii) if any surviving or acquiring corporation (or its parent company)</w:t>
      </w:r>
      <w:r>
        <w:rPr>
          <w:rFonts w:ascii="Times New Roman;Times;serif" w:hAnsi="Times New Roman;Times;serif"/>
          <w:sz w:val="24"/>
        </w:rPr>
        <w:t xml:space="preserve"> </w:t>
      </w:r>
      <w:r>
        <w:rPr>
          <w:rFonts w:ascii="Times New Roman;Times;serif" w:hAnsi="Times New Roman;Times;serif"/>
          <w:sz w:val="22"/>
        </w:rPr>
        <w:t>does not assume or continue such Purchase Rights or does not substitute similar rights for such Purchase Rights, then the Participants’ accumulated Contributions will be used to purchase Shares (rounded down to the nearest whole Share) within ten business days prior to the Corporate Transaction under the outstanding Purchase Rights, and the Purchase Rights will terminate immediately after such purchase.</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12.</w:t>
      </w:r>
      <w:bookmarkStart w:id="175" w:name="_Ref292955502"/>
      <w:bookmarkEnd w:id="175"/>
      <w:r>
        <w:rPr>
          <w:rFonts w:ascii="Times New Roman;Times;serif" w:hAnsi="Times New Roman;Times;serif"/>
          <w:b/>
          <w:smallCaps/>
          <w:sz w:val="22"/>
        </w:rPr>
        <w:t>Amendment, Termination or Suspension of the Plan</w:t>
      </w:r>
      <w:r>
        <w:rPr>
          <w:rFonts w:ascii="Times New Roman;Times;serif" w:hAnsi="Times New Roman;Times;serif"/>
          <w:b/>
          <w:sz w:val="22"/>
        </w:rPr>
        <w: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(a)</w:t>
      </w:r>
      <w:r>
        <w:rPr>
          <w:rFonts w:ascii="Times New Roman;Times;serif" w:hAnsi="Times New Roman;Times;serif"/>
          <w:sz w:val="22"/>
        </w:rPr>
        <w:t>The Board may amend the Plan at any time in any respect the Board deems necessary or advisable.  However, except as provided in Section 11(a)</w:t>
      </w:r>
      <w:r>
        <w:rPr>
          <w:rFonts w:ascii="Times New Roman;Times;serif" w:hAnsi="Times New Roman;Times;serif"/>
          <w:sz w:val="24"/>
        </w:rPr>
        <w:t xml:space="preserve"> </w:t>
      </w:r>
      <w:r>
        <w:rPr>
          <w:rFonts w:ascii="Times New Roman;Times;serif" w:hAnsi="Times New Roman;Times;serif"/>
          <w:sz w:val="22"/>
        </w:rPr>
        <w:t xml:space="preserve">relating to Capitalization Adjustments, </w:t>
      </w:r>
    </w:p>
    <w:p>
      <w:pPr>
        <w:pStyle w:val="TextBody"/>
        <w:spacing w:lineRule="atLeast" w:line="200" w:before="0" w:after="0"/>
        <w:ind w:left="0" w:right="0" w:hanging="0"/>
        <w:rPr>
          <w:rFonts w:ascii="Times New Roman;Times;serif" w:hAnsi="Times New Roman;Times;serif"/>
          <w:sz w:val="24"/>
        </w:rPr>
      </w:pPr>
      <w:r>
        <w:rPr>
          <w:rFonts w:ascii="Times New Roman;Times;serif" w:hAnsi="Times New Roman;Times;serif"/>
          <w:sz w:val="24"/>
        </w:rPr>
        <w:t>7</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49">
            <wp:simplePos x="0" y="0"/>
            <wp:positionH relativeFrom="page">
              <wp:posOffset>0</wp:posOffset>
            </wp:positionH>
            <wp:positionV relativeFrom="line">
              <wp:posOffset>635</wp:posOffset>
            </wp:positionV>
            <wp:extent cx="6480175" cy="390525"/>
            <wp:effectExtent l="0" t="0" r="0" b="0"/>
            <wp:wrapNone/>
            <wp:docPr id="134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 name="Image83" descr=""/>
                    <pic:cNvPicPr>
                      <a:picLocks noChangeAspect="1" noChangeArrowheads="1"/>
                    </pic:cNvPicPr>
                  </pic:nvPicPr>
                  <pic:blipFill>
                    <a:blip r:embed="rId113"/>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76386237 v5</w:t>
      </w:r>
    </w:p>
    <w:p>
      <w:pPr>
        <w:pStyle w:val="TextBody"/>
        <w:spacing w:lineRule="atLeast" w:line="200" w:before="0" w:after="0"/>
        <w:ind w:left="0" w:right="0" w:hanging="0"/>
        <w:rPr/>
      </w:pPr>
      <w:r>
        <w:rPr/>
        <w:t>​</w:t>
      </w:r>
    </w:p>
    <w:p>
      <w:pPr>
        <w:pStyle w:val="TextBody"/>
        <w:spacing w:lineRule="auto" w:line="285" w:before="0" w:after="0"/>
        <w:ind w:left="0" w:right="0" w:hanging="0"/>
        <w:jc w:val="both"/>
        <w:rPr/>
      </w:pPr>
      <w:r>
        <w:rPr/>
        <w:t>​</w:t>
      </w:r>
    </w:p>
    <w:p>
      <w:pPr>
        <w:pStyle w:val="HorizontalLine"/>
        <w:rPr/>
      </w:pPr>
      <w:r>
        <w:rPr/>
      </w:r>
    </w:p>
    <w:p>
      <w:pPr>
        <w:pStyle w:val="TextBody"/>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shareholder approval will be required for any amendment of the Plan for which shareholder approval is required by Applicable Law.</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(b)</w:t>
      </w:r>
      <w:r>
        <w:rPr>
          <w:rFonts w:ascii="Times New Roman;Times;serif" w:hAnsi="Times New Roman;Times;serif"/>
          <w:sz w:val="22"/>
        </w:rPr>
        <w:t>The Board may suspend or terminate the Plan at any time.  No Purchase Rights may be granted under the Plan while the Plan is suspended or after it is terminated.</w:t>
      </w:r>
    </w:p>
    <w:p>
      <w:pPr>
        <w:pStyle w:val="TextBody"/>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comply with any laws, listing requirements, or governmental regulations (including, without limitation, the provisions of Section 423 of the Code and the regulations and other interpretive guidance issued thereunder relating to Employee Share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Shares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13.</w:t>
      </w:r>
      <w:bookmarkStart w:id="176" w:name="_cp_blt_1_81"/>
      <w:bookmarkEnd w:id="176"/>
      <w:r>
        <w:rPr>
          <w:rFonts w:ascii="Times New Roman;Times;serif" w:hAnsi="Times New Roman;Times;serif"/>
          <w:smallCaps/>
          <w:sz w:val="22"/>
        </w:rPr>
        <w:t>Tax Qualification; Tax Withholding.</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(a)</w:t>
      </w:r>
      <w:bookmarkStart w:id="177" w:name="_cp_blt_1_83"/>
      <w:bookmarkEnd w:id="177"/>
      <w:r>
        <w:rPr>
          <w:rFonts w:ascii="Times New Roman;Times;serif" w:hAnsi="Times New Roman;Times;serif"/>
          <w:sz w:val="22"/>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(b)</w:t>
      </w:r>
      <w:bookmarkStart w:id="178" w:name="_cp_blt_1_85"/>
      <w:bookmarkEnd w:id="178"/>
      <w:r>
        <w:rPr>
          <w:rFonts w:ascii="Times New Roman;Times;serif" w:hAnsi="Times New Roman;Times;serif"/>
          <w:sz w:val="22"/>
        </w:rPr>
        <w:t>Each Participant will make arrangements, satisfactory to the Company and any applicable Related Corporation, to enable the Company or the Related Corporation to fulfill any withholding obligation for Tax-Related Items.  Without limitation to the foregoing, in the Company’s sole discretion and subject to Applicable Law, such withholding obligation  may be satsified in whole or in part by (i) withholding from the Participant’s salary or any other cash payment due to the Participant from the Company or a Related Corporation; (ii) withholding from the proceeds of the sale of Shares acquired under the Plan, either through a voluntary sale or a mandatory sale arranged by the Company; or (iii) any other method deemed acceptable by the Board.  </w:t>
      </w:r>
    </w:p>
    <w:p>
      <w:pPr>
        <w:pStyle w:val="TextBody"/>
        <w:spacing w:lineRule="atLeast" w:line="200" w:before="0" w:after="0"/>
        <w:ind w:left="0" w:right="0" w:hanging="0"/>
        <w:rPr>
          <w:rFonts w:ascii="Times New Roman;Times;serif" w:hAnsi="Times New Roman;Times;serif"/>
          <w:sz w:val="24"/>
        </w:rPr>
      </w:pPr>
      <w:r>
        <w:rPr>
          <w:rFonts w:ascii="Times New Roman;Times;serif" w:hAnsi="Times New Roman;Times;serif"/>
          <w:sz w:val="24"/>
        </w:rPr>
        <w:t>8</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50">
            <wp:simplePos x="0" y="0"/>
            <wp:positionH relativeFrom="page">
              <wp:posOffset>0</wp:posOffset>
            </wp:positionH>
            <wp:positionV relativeFrom="line">
              <wp:posOffset>635</wp:posOffset>
            </wp:positionV>
            <wp:extent cx="6480175" cy="390525"/>
            <wp:effectExtent l="0" t="0" r="0" b="0"/>
            <wp:wrapNone/>
            <wp:docPr id="1349"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 name="Image84" descr=""/>
                    <pic:cNvPicPr>
                      <a:picLocks noChangeAspect="1" noChangeArrowheads="1"/>
                    </pic:cNvPicPr>
                  </pic:nvPicPr>
                  <pic:blipFill>
                    <a:blip r:embed="rId114"/>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76386237 v5</w:t>
      </w:r>
    </w:p>
    <w:p>
      <w:pPr>
        <w:pStyle w:val="TextBody"/>
        <w:spacing w:lineRule="atLeast" w:line="200" w:before="0" w:after="0"/>
        <w:ind w:left="0" w:right="0" w:hanging="0"/>
        <w:rPr/>
      </w:pPr>
      <w:r>
        <w:rPr/>
        <w:t>​</w:t>
      </w:r>
    </w:p>
    <w:p>
      <w:pPr>
        <w:pStyle w:val="TextBody"/>
        <w:spacing w:lineRule="auto" w:line="285" w:before="0" w:after="0"/>
        <w:ind w:left="0" w:right="0" w:hanging="0"/>
        <w:jc w:val="both"/>
        <w:rPr/>
      </w:pPr>
      <w:r>
        <w:rPr/>
        <w:t>​</w:t>
      </w:r>
    </w:p>
    <w:p>
      <w:pPr>
        <w:pStyle w:val="HorizontalLine"/>
        <w:rPr/>
      </w:pPr>
      <w:r>
        <w:rPr/>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14.</w:t>
      </w:r>
      <w:bookmarkStart w:id="179" w:name="_Ref92702815"/>
      <w:bookmarkEnd w:id="179"/>
      <w:r>
        <w:rPr>
          <w:rFonts w:ascii="Times New Roman;Times;serif" w:hAnsi="Times New Roman;Times;serif"/>
          <w:b/>
          <w:smallCaps/>
          <w:sz w:val="22"/>
        </w:rPr>
        <w:t>Effective Date of Plan</w:t>
      </w:r>
      <w:r>
        <w:rPr>
          <w:rFonts w:ascii="Times New Roman;Times;serif" w:hAnsi="Times New Roman;Times;serif"/>
          <w:b/>
          <w:sz w:val="22"/>
        </w:rPr>
        <w:t>.</w:t>
      </w:r>
    </w:p>
    <w:p>
      <w:pPr>
        <w:pStyle w:val="TextBody"/>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The Plan will become effective immediately prior to and contingent upon the IPO Date.  No Purchase Rights will be exercised unless and until the Plan has been approved by the shareholders of the Company, which approval must be within 12 months before or after the date the Plan is adopted (or if required under Section 12(a) above, materially amended) by the Board. </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15.</w:t>
      </w:r>
      <w:r>
        <w:rPr>
          <w:rFonts w:ascii="Times New Roman;Times;serif" w:hAnsi="Times New Roman;Times;serif"/>
          <w:b/>
          <w:smallCaps/>
          <w:sz w:val="22"/>
        </w:rPr>
        <w:t>Miscellaneous Provisions</w:t>
      </w:r>
      <w:r>
        <w:rPr>
          <w:rFonts w:ascii="Times New Roman;Times;serif" w:hAnsi="Times New Roman;Times;serif"/>
          <w:b/>
          <w:sz w:val="22"/>
        </w:rPr>
        <w: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(a)</w:t>
      </w:r>
      <w:r>
        <w:rPr>
          <w:rFonts w:ascii="Times New Roman;Times;serif" w:hAnsi="Times New Roman;Times;serif"/>
          <w:sz w:val="22"/>
        </w:rPr>
        <w:t>Proceeds from the sale of Shares pursuant to Purchase Rights will constitute general funds of the Company.</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(b)</w:t>
      </w:r>
      <w:r>
        <w:rPr>
          <w:rFonts w:ascii="Times New Roman;Times;serif" w:hAnsi="Times New Roman;Times;serif"/>
          <w:sz w:val="22"/>
        </w:rPr>
        <w:t>A Participant will not be deemed to be the holder of, or to have any of the rights of a holder with respect to, Shares subject to Purchase Rights unless and until the Participant’s Shares acquired upon exercise of Purchase Rights are recorded in the books of the Company (or its transfer agent).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(c)</w:t>
      </w:r>
      <w:r>
        <w:rPr>
          <w:rFonts w:ascii="Times New Roman;Times;serif" w:hAnsi="Times New Roman;Times;serif"/>
          <w:sz w:val="22"/>
        </w:rPr>
        <w:t>The Plan and Offering do not constitute an employment contract.  Nothing in the Plan or in the Offering will in any way alter the at will nature of a Participant’s employment, if applicable, or be deemed to create in any way whatsoever any obligation on the part of any Participant to continue in the employ of the Company or a Related Corporation, or on the part of the Company or a Related Corporation to continue the employment of a Participant.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(d)</w:t>
      </w:r>
      <w:r>
        <w:rPr>
          <w:rFonts w:ascii="Times New Roman;Times;serif" w:hAnsi="Times New Roman;Times;serif"/>
          <w:sz w:val="22"/>
        </w:rPr>
        <w:t>The provisions of the Plan will be governed by the laws of the Cayman Islands without resort to that state’s conflict of laws rules.</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(e)</w:t>
      </w:r>
      <w:r>
        <w:rPr>
          <w:rFonts w:ascii="Times New Roman;Times;serif" w:hAnsi="Times New Roman;Times;serif"/>
          <w:sz w:val="22"/>
        </w:rPr>
        <w:t>If any particular provision of the Plan is found to be invalid or otherwise unenforceable, such provision will not affect the other provisions of the Plan, but the Plan will be construed in all respects as if such invalid provision were omitted.</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(f)</w:t>
      </w:r>
      <w:r>
        <w:rPr>
          <w:rFonts w:ascii="Times New Roman;Times;serif" w:hAnsi="Times New Roman;Times;serif"/>
          <w:sz w:val="22"/>
        </w:rPr>
        <w:t>If any provision of the Plan does not comply with Applicable Law, such provision shall be construed in such a manner as to comply with Applicable Law.</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(g)</w:t>
      </w:r>
      <w:r>
        <w:rPr>
          <w:rFonts w:ascii="Times New Roman;Times;serif" w:hAnsi="Times New Roman;Times;serif"/>
          <w:sz w:val="22"/>
        </w:rPr>
        <w:t>Sections 8 and 19(3) of the Electronic Transactions Act (as amended) shall not apply to the Plan.</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16.</w:t>
      </w:r>
      <w:r>
        <w:rPr>
          <w:rFonts w:ascii="Times New Roman;Times;serif" w:hAnsi="Times New Roman;Times;serif"/>
          <w:b/>
          <w:smallCaps/>
          <w:sz w:val="22"/>
        </w:rPr>
        <w:t>Definitions.</w:t>
      </w:r>
    </w:p>
    <w:p>
      <w:pPr>
        <w:pStyle w:val="TextBody"/>
        <w:spacing w:lineRule="auto" w:line="285" w:before="0" w:after="240"/>
        <w:ind w:left="0" w:right="0" w:firstLine="720"/>
        <w:jc w:val="both"/>
        <w:rPr>
          <w:rFonts w:ascii="Times New Roman;Times;serif" w:hAnsi="Times New Roman;Times;serif"/>
          <w:sz w:val="22"/>
        </w:rPr>
      </w:pPr>
      <w:r>
        <w:rPr>
          <w:rFonts w:ascii="Times New Roman;Times;serif" w:hAnsi="Times New Roman;Times;serif"/>
          <w:sz w:val="22"/>
        </w:rPr>
        <w:t xml:space="preserve">As used in the Plan, the following definitions will apply to the capitalized terms indicated below: </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(a)</w:t>
      </w:r>
      <w:r>
        <w:rPr>
          <w:rFonts w:ascii="Times New Roman;Times;serif" w:hAnsi="Times New Roman;Times;serif"/>
          <w:sz w:val="24"/>
        </w:rPr>
        <w:t>“</w:t>
      </w:r>
      <w:r>
        <w:rPr>
          <w:rFonts w:ascii="Times New Roman;Times;serif" w:hAnsi="Times New Roman;Times;serif"/>
          <w:b/>
          <w:i/>
          <w:sz w:val="22"/>
        </w:rPr>
        <w:t>423 Component</w:t>
      </w:r>
      <w:r>
        <w:rPr>
          <w:rFonts w:ascii="Times New Roman;Times;serif" w:hAnsi="Times New Roman;Times;serif"/>
          <w:sz w:val="24"/>
        </w:rPr>
        <w:t xml:space="preserve">” </w:t>
      </w:r>
      <w:r>
        <w:rPr>
          <w:rFonts w:ascii="Times New Roman;Times;serif" w:hAnsi="Times New Roman;Times;serif"/>
          <w:sz w:val="22"/>
        </w:rPr>
        <w:t>means the part of the Plan, which excludes the Non-423 Component, pursuant to which Purchase Rights that satisfy the requirements for an Employee Share Purchase Plan may be granted to Eligible Employees.</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(b)</w:t>
      </w:r>
      <w:r>
        <w:rPr>
          <w:rFonts w:ascii="Times New Roman;Times;serif" w:hAnsi="Times New Roman;Times;serif"/>
          <w:sz w:val="24"/>
        </w:rPr>
        <w:t>“</w:t>
      </w:r>
      <w:r>
        <w:rPr>
          <w:rFonts w:ascii="Times New Roman;Times;serif" w:hAnsi="Times New Roman;Times;serif"/>
          <w:b/>
          <w:i/>
          <w:sz w:val="22"/>
        </w:rPr>
        <w:t>ADSs</w:t>
      </w:r>
      <w:r>
        <w:rPr>
          <w:rFonts w:ascii="Times New Roman;Times;serif" w:hAnsi="Times New Roman;Times;serif"/>
          <w:sz w:val="24"/>
        </w:rPr>
        <w:t xml:space="preserve">” </w:t>
      </w:r>
      <w:r>
        <w:rPr>
          <w:rFonts w:ascii="Times New Roman;Times;serif" w:hAnsi="Times New Roman;Times;serif"/>
          <w:sz w:val="22"/>
        </w:rPr>
        <w:t>means American Depository Shares, representing Ordinary Shares on deposit with a U.S. banking institution selected by the Company and which are registered pursuant to a Form S-8.</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(c)</w:t>
      </w:r>
      <w:r>
        <w:rPr>
          <w:rFonts w:ascii="Times New Roman;Times;serif" w:hAnsi="Times New Roman;Times;serif"/>
          <w:sz w:val="24"/>
        </w:rPr>
        <w:t>“</w:t>
      </w:r>
      <w:r>
        <w:rPr>
          <w:rFonts w:ascii="Times New Roman;Times;serif" w:hAnsi="Times New Roman;Times;serif"/>
          <w:b/>
          <w:i/>
          <w:sz w:val="22"/>
        </w:rPr>
        <w:t>Applicable Law</w:t>
      </w:r>
      <w:r>
        <w:rPr>
          <w:rFonts w:ascii="Times New Roman;Times;serif" w:hAnsi="Times New Roman;Times;serif"/>
          <w:sz w:val="24"/>
        </w:rPr>
        <w:t xml:space="preserve">” </w:t>
      </w:r>
      <w:r>
        <w:rPr>
          <w:rFonts w:ascii="Times New Roman;Times;serif" w:hAnsi="Times New Roman;Times;serif"/>
          <w:sz w:val="22"/>
        </w:rPr>
        <w:t xml:space="preserve">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w:t>
      </w:r>
    </w:p>
    <w:p>
      <w:pPr>
        <w:pStyle w:val="TextBody"/>
        <w:spacing w:lineRule="atLeast" w:line="200" w:before="0" w:after="0"/>
        <w:ind w:left="0" w:right="0" w:hanging="0"/>
        <w:rPr>
          <w:rFonts w:ascii="Times New Roman;Times;serif" w:hAnsi="Times New Roman;Times;serif"/>
          <w:sz w:val="24"/>
        </w:rPr>
      </w:pPr>
      <w:r>
        <w:rPr>
          <w:rFonts w:ascii="Times New Roman;Times;serif" w:hAnsi="Times New Roman;Times;serif"/>
          <w:sz w:val="24"/>
        </w:rPr>
        <w:t>9</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51">
            <wp:simplePos x="0" y="0"/>
            <wp:positionH relativeFrom="page">
              <wp:posOffset>0</wp:posOffset>
            </wp:positionH>
            <wp:positionV relativeFrom="line">
              <wp:posOffset>635</wp:posOffset>
            </wp:positionV>
            <wp:extent cx="6480175" cy="390525"/>
            <wp:effectExtent l="0" t="0" r="0" b="0"/>
            <wp:wrapNone/>
            <wp:docPr id="1350"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 name="Image85" descr=""/>
                    <pic:cNvPicPr>
                      <a:picLocks noChangeAspect="1" noChangeArrowheads="1"/>
                    </pic:cNvPicPr>
                  </pic:nvPicPr>
                  <pic:blipFill>
                    <a:blip r:embed="rId115"/>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76386237 v5</w:t>
      </w:r>
    </w:p>
    <w:p>
      <w:pPr>
        <w:pStyle w:val="TextBody"/>
        <w:spacing w:lineRule="atLeast" w:line="200" w:before="0" w:after="0"/>
        <w:ind w:left="0" w:right="0" w:hanging="0"/>
        <w:rPr/>
      </w:pPr>
      <w:r>
        <w:rPr/>
        <w:t>​</w:t>
      </w:r>
    </w:p>
    <w:p>
      <w:pPr>
        <w:pStyle w:val="TextBody"/>
        <w:spacing w:lineRule="auto" w:line="285" w:before="0" w:after="0"/>
        <w:ind w:left="0" w:right="0" w:hanging="0"/>
        <w:jc w:val="both"/>
        <w:rPr/>
      </w:pPr>
      <w:r>
        <w:rPr/>
        <w:t>​</w:t>
      </w:r>
    </w:p>
    <w:p>
      <w:pPr>
        <w:pStyle w:val="HorizontalLine"/>
        <w:rPr/>
      </w:pPr>
      <w:r>
        <w:rPr/>
      </w:r>
    </w:p>
    <w:p>
      <w:pPr>
        <w:pStyle w:val="TextBody"/>
        <w:spacing w:lineRule="auto" w:line="285" w:before="0" w:after="240"/>
        <w:ind w:left="0" w:right="0" w:hanging="0"/>
        <w:jc w:val="both"/>
        <w:rPr>
          <w:rFonts w:ascii="Times New Roman;Times;serif" w:hAnsi="Times New Roman;Times;serif"/>
          <w:sz w:val="22"/>
        </w:rPr>
      </w:pPr>
      <w:r>
        <w:rPr>
          <w:rFonts w:ascii="Times New Roman;Times;serif" w:hAnsi="Times New Roman;Times;serif"/>
          <w:sz w:val="22"/>
        </w:rPr>
        <w:t>Governmental Body (or under the authority of the Nasdaq Stock Market or the Financial Industry Regulatory Authority).</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(d)</w:t>
      </w:r>
      <w:r>
        <w:rPr>
          <w:rFonts w:ascii="Times New Roman;Times;serif" w:hAnsi="Times New Roman;Times;serif"/>
          <w:sz w:val="24"/>
        </w:rPr>
        <w:t>“</w:t>
      </w:r>
      <w:r>
        <w:rPr>
          <w:rFonts w:ascii="Times New Roman;Times;serif" w:hAnsi="Times New Roman;Times;serif"/>
          <w:b/>
          <w:i/>
          <w:sz w:val="22"/>
        </w:rPr>
        <w:t>Board</w:t>
      </w:r>
      <w:r>
        <w:rPr>
          <w:rFonts w:ascii="Times New Roman;Times;serif" w:hAnsi="Times New Roman;Times;serif"/>
          <w:sz w:val="24"/>
        </w:rPr>
        <w:t xml:space="preserve">” </w:t>
      </w:r>
      <w:r>
        <w:rPr>
          <w:rFonts w:ascii="Times New Roman;Times;serif" w:hAnsi="Times New Roman;Times;serif"/>
          <w:sz w:val="22"/>
        </w:rPr>
        <w:t>means the Board of Directors of the Company.</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(e)</w:t>
      </w:r>
      <w:r>
        <w:rPr>
          <w:rFonts w:ascii="Times New Roman;Times;serif" w:hAnsi="Times New Roman;Times;serif"/>
          <w:sz w:val="24"/>
        </w:rPr>
        <w:t>“</w:t>
      </w:r>
      <w:r>
        <w:rPr>
          <w:rFonts w:ascii="Times New Roman;Times;serif" w:hAnsi="Times New Roman;Times;serif"/>
          <w:b/>
          <w:i/>
          <w:sz w:val="22"/>
        </w:rPr>
        <w:t>Capitalization Adjustment</w:t>
      </w:r>
      <w:r>
        <w:rPr>
          <w:rFonts w:ascii="Times New Roman;Times;serif" w:hAnsi="Times New Roman;Times;serif"/>
          <w:sz w:val="24"/>
        </w:rPr>
        <w:t xml:space="preserve">” </w:t>
      </w:r>
      <w:r>
        <w:rPr>
          <w:rFonts w:ascii="Times New Roman;Times;serif" w:hAnsi="Times New Roman;Times;serif"/>
          <w:sz w:val="22"/>
        </w:rPr>
        <w:t>means any change that is made in, or other events that occur with respect to, the Shares subject to the Plan or subject to any Purchase Right after the date the Plan is adopted by the Board without the receipt of consideration by the Company through merger, consolidation, reorganization, recapitalization, reincorporation, share dividend, dividend in property other than cash, large nonrecurring cash dividend, share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(f)</w:t>
      </w:r>
      <w:r>
        <w:rPr>
          <w:rFonts w:ascii="Times New Roman;Times;serif" w:hAnsi="Times New Roman;Times;serif"/>
          <w:sz w:val="24"/>
        </w:rPr>
        <w:t xml:space="preserve"> “</w:t>
      </w:r>
      <w:r>
        <w:rPr>
          <w:rFonts w:ascii="Times New Roman;Times;serif" w:hAnsi="Times New Roman;Times;serif"/>
          <w:b/>
          <w:i/>
          <w:sz w:val="22"/>
        </w:rPr>
        <w:t>Code</w:t>
      </w:r>
      <w:r>
        <w:rPr>
          <w:rFonts w:ascii="Times New Roman;Times;serif" w:hAnsi="Times New Roman;Times;serif"/>
          <w:sz w:val="24"/>
        </w:rPr>
        <w:t xml:space="preserve">” </w:t>
      </w:r>
      <w:r>
        <w:rPr>
          <w:rFonts w:ascii="Times New Roman;Times;serif" w:hAnsi="Times New Roman;Times;serif"/>
          <w:sz w:val="22"/>
        </w:rPr>
        <w:t>means the U.S. Internal Revenue Code of 1986, as amended, including any applicable regulations and guidance thereunder</w:t>
      </w:r>
      <w:r>
        <w:rPr>
          <w:rFonts w:ascii="Times New Roman;Times;serif" w:hAnsi="Times New Roman;Times;serif"/>
          <w:i/>
          <w:sz w:val="22"/>
        </w:rPr>
        <w: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(g)</w:t>
      </w:r>
      <w:r>
        <w:rPr>
          <w:rFonts w:ascii="Times New Roman;Times;serif" w:hAnsi="Times New Roman;Times;serif"/>
          <w:sz w:val="24"/>
        </w:rPr>
        <w:t>“</w:t>
      </w:r>
      <w:r>
        <w:rPr>
          <w:rFonts w:ascii="Times New Roman;Times;serif" w:hAnsi="Times New Roman;Times;serif"/>
          <w:b/>
          <w:i/>
          <w:sz w:val="22"/>
        </w:rPr>
        <w:t>Committee</w:t>
      </w:r>
      <w:r>
        <w:rPr>
          <w:rFonts w:ascii="Times New Roman;Times;serif" w:hAnsi="Times New Roman;Times;serif"/>
          <w:sz w:val="24"/>
        </w:rPr>
        <w:t xml:space="preserve">” </w:t>
      </w:r>
      <w:r>
        <w:rPr>
          <w:rFonts w:ascii="Times New Roman;Times;serif" w:hAnsi="Times New Roman;Times;serif"/>
          <w:sz w:val="22"/>
        </w:rPr>
        <w:t>means a committee of one or more members of the Board to whom authority has been delegated by the Board in accordance with Section 2(c).</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(h)</w:t>
      </w:r>
      <w:r>
        <w:rPr>
          <w:rFonts w:ascii="Times New Roman;Times;serif" w:hAnsi="Times New Roman;Times;serif"/>
          <w:sz w:val="24"/>
        </w:rPr>
        <w:t>“</w:t>
      </w:r>
      <w:r>
        <w:rPr>
          <w:rFonts w:ascii="Times New Roman;Times;serif" w:hAnsi="Times New Roman;Times;serif"/>
          <w:b/>
          <w:i/>
          <w:sz w:val="22"/>
        </w:rPr>
        <w:t>Company</w:t>
      </w:r>
      <w:r>
        <w:rPr>
          <w:rFonts w:ascii="Times New Roman;Times;serif" w:hAnsi="Times New Roman;Times;serif"/>
          <w:sz w:val="24"/>
        </w:rPr>
        <w:t xml:space="preserve">” </w:t>
      </w:r>
      <w:r>
        <w:rPr>
          <w:rFonts w:ascii="Times New Roman;Times;serif" w:hAnsi="Times New Roman;Times;serif"/>
          <w:sz w:val="22"/>
        </w:rPr>
        <w:t>means Structure Therapeutics Inc., a Cayman Islands exempted company.</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(i)</w:t>
      </w:r>
      <w:r>
        <w:rPr>
          <w:rFonts w:ascii="Times New Roman;Times;serif" w:hAnsi="Times New Roman;Times;serif"/>
          <w:sz w:val="24"/>
        </w:rPr>
        <w:t>“</w:t>
      </w:r>
      <w:r>
        <w:rPr>
          <w:rFonts w:ascii="Times New Roman;Times;serif" w:hAnsi="Times New Roman;Times;serif"/>
          <w:b/>
          <w:i/>
          <w:sz w:val="22"/>
        </w:rPr>
        <w:t>Contributions</w:t>
      </w:r>
      <w:r>
        <w:rPr>
          <w:rFonts w:ascii="Times New Roman;Times;serif" w:hAnsi="Times New Roman;Times;serif"/>
          <w:sz w:val="24"/>
        </w:rPr>
        <w:t xml:space="preserve">” </w:t>
      </w:r>
      <w:r>
        <w:rPr>
          <w:rFonts w:ascii="Times New Roman;Times;serif" w:hAnsi="Times New Roman;Times;serif"/>
          <w:sz w:val="22"/>
        </w:rPr>
        <w:t>means the payroll deductions and other additional payments specifically provided for in the Offering that a Participant 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(j)</w:t>
      </w:r>
      <w:r>
        <w:rPr>
          <w:rFonts w:ascii="Times New Roman;Times;serif" w:hAnsi="Times New Roman;Times;serif"/>
          <w:sz w:val="24"/>
        </w:rPr>
        <w:t>“</w:t>
      </w:r>
      <w:r>
        <w:rPr>
          <w:rFonts w:ascii="Times New Roman;Times;serif" w:hAnsi="Times New Roman;Times;serif"/>
          <w:b/>
          <w:i/>
          <w:sz w:val="22"/>
        </w:rPr>
        <w:t>Corporate Transaction</w:t>
      </w:r>
      <w:r>
        <w:rPr>
          <w:rFonts w:ascii="Times New Roman;Times;serif" w:hAnsi="Times New Roman;Times;serif"/>
          <w:sz w:val="24"/>
        </w:rPr>
        <w:t xml:space="preserve">” </w:t>
      </w:r>
      <w:r>
        <w:rPr>
          <w:rFonts w:ascii="Times New Roman;Times;serif" w:hAnsi="Times New Roman;Times;serif"/>
          <w:sz w:val="22"/>
        </w:rPr>
        <w:t>means the consummation, in a single transaction or in a series of related transactions, of any one or more of the following events:</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(i)</w:t>
      </w:r>
      <w:r>
        <w:rPr>
          <w:rFonts w:ascii="Times New Roman;Times;serif" w:hAnsi="Times New Roman;Times;serif"/>
          <w:sz w:val="22"/>
        </w:rPr>
        <w:t>a sale</w:t>
      </w:r>
      <w:r>
        <w:rPr>
          <w:rFonts w:ascii="Times New Roman;Times;serif" w:hAnsi="Times New Roman;Times;serif"/>
          <w:sz w:val="24"/>
        </w:rPr>
        <w:t xml:space="preserve"> </w:t>
      </w:r>
      <w:r>
        <w:rPr>
          <w:rFonts w:ascii="Times New Roman;Times;serif" w:hAnsi="Times New Roman;Times;serif"/>
          <w:sz w:val="22"/>
        </w:rPr>
        <w:t>or other disposition of all or substantially all, as determined by the Board in its sole discretion, of the consolidated assets of the Company and its subsidiaries;</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(ii)</w:t>
      </w:r>
      <w:r>
        <w:rPr>
          <w:rFonts w:ascii="Times New Roman;Times;serif" w:hAnsi="Times New Roman;Times;serif"/>
          <w:sz w:val="22"/>
        </w:rPr>
        <w:t>a sale or other disposition of more than 50% of the outstanding securities of the Company;</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(iii)</w:t>
      </w:r>
      <w:r>
        <w:rPr>
          <w:rFonts w:ascii="Times New Roman;Times;serif" w:hAnsi="Times New Roman;Times;serif"/>
          <w:sz w:val="22"/>
        </w:rPr>
        <w:t>a merger, consolidation or similar transaction following which the Company is not the surviving corporation; or</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(iv)</w:t>
      </w:r>
      <w:r>
        <w:rPr>
          <w:rFonts w:ascii="Times New Roman;Times;serif" w:hAnsi="Times New Roman;Times;serif"/>
          <w:sz w:val="22"/>
        </w:rPr>
        <w:t>a merger, consolidation or similar transaction following which the Company is the surviving corporation but the Shares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(k)</w:t>
      </w:r>
      <w:r>
        <w:rPr>
          <w:rFonts w:ascii="Times New Roman;Times;serif" w:hAnsi="Times New Roman;Times;serif"/>
          <w:sz w:val="24"/>
        </w:rPr>
        <w:t>“</w:t>
      </w:r>
      <w:r>
        <w:rPr>
          <w:rFonts w:ascii="Times New Roman;Times;serif" w:hAnsi="Times New Roman;Times;serif"/>
          <w:b/>
          <w:i/>
          <w:sz w:val="22"/>
        </w:rPr>
        <w:t>Director</w:t>
      </w:r>
      <w:r>
        <w:rPr>
          <w:rFonts w:ascii="Times New Roman;Times;serif" w:hAnsi="Times New Roman;Times;serif"/>
          <w:sz w:val="24"/>
        </w:rPr>
        <w:t xml:space="preserve">” </w:t>
      </w:r>
      <w:r>
        <w:rPr>
          <w:rFonts w:ascii="Times New Roman;Times;serif" w:hAnsi="Times New Roman;Times;serif"/>
          <w:sz w:val="22"/>
        </w:rPr>
        <w:t>means a member of the Board.</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(l)</w:t>
      </w:r>
      <w:r>
        <w:rPr>
          <w:rFonts w:ascii="Times New Roman;Times;serif" w:hAnsi="Times New Roman;Times;serif"/>
          <w:sz w:val="24"/>
        </w:rPr>
        <w:t>“</w:t>
      </w:r>
      <w:r>
        <w:rPr>
          <w:rFonts w:ascii="Times New Roman;Times;serif" w:hAnsi="Times New Roman;Times;serif"/>
          <w:b/>
          <w:i/>
          <w:sz w:val="22"/>
        </w:rPr>
        <w:t>Eligible Employee</w:t>
      </w:r>
      <w:r>
        <w:rPr>
          <w:rFonts w:ascii="Times New Roman;Times;serif" w:hAnsi="Times New Roman;Times;serif"/>
          <w:sz w:val="24"/>
        </w:rPr>
        <w:t xml:space="preserve">” </w:t>
      </w:r>
      <w:r>
        <w:rPr>
          <w:rFonts w:ascii="Times New Roman;Times;serif" w:hAnsi="Times New Roman;Times;serif"/>
          <w:sz w:val="22"/>
        </w:rPr>
        <w:t>means an Employee who meets the requirements set forth in the document(s) governing the Offering for eligibility to participate in the Offering, provided that such Employee also meets the requirements for eligibility to participate set forth in the Plan.</w:t>
      </w:r>
    </w:p>
    <w:p>
      <w:pPr>
        <w:pStyle w:val="TextBody"/>
        <w:spacing w:lineRule="atLeast" w:line="200" w:before="0" w:after="0"/>
        <w:ind w:left="0" w:right="0" w:hanging="0"/>
        <w:rPr>
          <w:rFonts w:ascii="Times New Roman;Times;serif" w:hAnsi="Times New Roman;Times;serif"/>
          <w:sz w:val="24"/>
        </w:rPr>
      </w:pPr>
      <w:r>
        <w:rPr>
          <w:rFonts w:ascii="Times New Roman;Times;serif" w:hAnsi="Times New Roman;Times;serif"/>
          <w:sz w:val="24"/>
        </w:rPr>
        <w:t>10</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52">
            <wp:simplePos x="0" y="0"/>
            <wp:positionH relativeFrom="page">
              <wp:posOffset>0</wp:posOffset>
            </wp:positionH>
            <wp:positionV relativeFrom="line">
              <wp:posOffset>635</wp:posOffset>
            </wp:positionV>
            <wp:extent cx="6480175" cy="390525"/>
            <wp:effectExtent l="0" t="0" r="0" b="0"/>
            <wp:wrapNone/>
            <wp:docPr id="1351"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 name="Image86" descr=""/>
                    <pic:cNvPicPr>
                      <a:picLocks noChangeAspect="1" noChangeArrowheads="1"/>
                    </pic:cNvPicPr>
                  </pic:nvPicPr>
                  <pic:blipFill>
                    <a:blip r:embed="rId116"/>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76386237 v5</w:t>
      </w:r>
    </w:p>
    <w:p>
      <w:pPr>
        <w:pStyle w:val="TextBody"/>
        <w:spacing w:lineRule="atLeast" w:line="200" w:before="0" w:after="0"/>
        <w:ind w:left="0" w:right="0" w:hanging="0"/>
        <w:rPr/>
      </w:pPr>
      <w:r>
        <w:rPr/>
        <w:t>​</w:t>
      </w:r>
    </w:p>
    <w:p>
      <w:pPr>
        <w:pStyle w:val="TextBody"/>
        <w:spacing w:lineRule="auto" w:line="285" w:before="0" w:after="0"/>
        <w:ind w:left="0" w:right="0" w:hanging="0"/>
        <w:jc w:val="both"/>
        <w:rPr/>
      </w:pPr>
      <w:r>
        <w:rPr/>
        <w:t>​</w:t>
      </w:r>
    </w:p>
    <w:p>
      <w:pPr>
        <w:pStyle w:val="HorizontalLine"/>
        <w:rPr/>
      </w:pPr>
      <w:r>
        <w:rPr/>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(m)</w:t>
      </w:r>
      <w:r>
        <w:rPr>
          <w:rFonts w:ascii="Times New Roman;Times;serif" w:hAnsi="Times New Roman;Times;serif"/>
          <w:sz w:val="24"/>
        </w:rPr>
        <w:t>“</w:t>
      </w:r>
      <w:r>
        <w:rPr>
          <w:rFonts w:ascii="Times New Roman;Times;serif" w:hAnsi="Times New Roman;Times;serif"/>
          <w:b/>
          <w:i/>
          <w:sz w:val="22"/>
        </w:rPr>
        <w:t>Employee</w:t>
      </w:r>
      <w:r>
        <w:rPr>
          <w:rFonts w:ascii="Times New Roman;Times;serif" w:hAnsi="Times New Roman;Times;serif"/>
          <w:sz w:val="24"/>
        </w:rPr>
        <w:t xml:space="preserve">” </w:t>
      </w:r>
      <w:r>
        <w:rPr>
          <w:rFonts w:ascii="Times New Roman;Times;serif" w:hAnsi="Times New Roman;Times;serif"/>
          <w:sz w:val="22"/>
        </w:rPr>
        <w:t>means any person, including an Officer or Director, who is “employed” for purposes of Section 423(b)(4) of the Code by the Company or a Related Corporation.  However, service solely as a Director, or payment of a fee for such services, will not cause a Director to be considered an “Employee” for purposes of the Plan.  </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(n)</w:t>
      </w:r>
      <w:r>
        <w:rPr>
          <w:rFonts w:ascii="Times New Roman;Times;serif" w:hAnsi="Times New Roman;Times;serif"/>
          <w:sz w:val="24"/>
        </w:rPr>
        <w:t>“</w:t>
      </w:r>
      <w:r>
        <w:rPr>
          <w:rFonts w:ascii="Times New Roman;Times;serif" w:hAnsi="Times New Roman;Times;serif"/>
          <w:b/>
          <w:i/>
          <w:sz w:val="22"/>
        </w:rPr>
        <w:t>Employee Share Purchase Plan</w:t>
      </w:r>
      <w:r>
        <w:rPr>
          <w:rFonts w:ascii="Times New Roman;Times;serif" w:hAnsi="Times New Roman;Times;serif"/>
          <w:sz w:val="24"/>
        </w:rPr>
        <w:t xml:space="preserve">” </w:t>
      </w:r>
      <w:r>
        <w:rPr>
          <w:rFonts w:ascii="Times New Roman;Times;serif" w:hAnsi="Times New Roman;Times;serif"/>
          <w:sz w:val="22"/>
        </w:rPr>
        <w:t>means a plan that grants Purchase Rights intended to be options issued under an “employee stock purchase plan,” as that term is defined in Section 423(b) of the Code.</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(o)</w:t>
      </w:r>
      <w:r>
        <w:rPr>
          <w:rFonts w:ascii="Times New Roman;Times;serif" w:hAnsi="Times New Roman;Times;serif"/>
          <w:sz w:val="24"/>
        </w:rPr>
        <w:t>“</w:t>
      </w:r>
      <w:r>
        <w:rPr>
          <w:rFonts w:ascii="Times New Roman;Times;serif" w:hAnsi="Times New Roman;Times;serif"/>
          <w:b/>
          <w:i/>
          <w:sz w:val="22"/>
        </w:rPr>
        <w:t>Exchange Act</w:t>
      </w:r>
      <w:r>
        <w:rPr>
          <w:rFonts w:ascii="Times New Roman;Times;serif" w:hAnsi="Times New Roman;Times;serif"/>
          <w:sz w:val="24"/>
        </w:rPr>
        <w:t xml:space="preserve">” </w:t>
      </w:r>
      <w:r>
        <w:rPr>
          <w:rFonts w:ascii="Times New Roman;Times;serif" w:hAnsi="Times New Roman;Times;serif"/>
          <w:sz w:val="22"/>
        </w:rPr>
        <w:t>means the U.S. Securities Exchange Act of 1934, as amended and the rules and regulations promulgated thereunder.</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(p)</w:t>
      </w:r>
      <w:r>
        <w:rPr>
          <w:rFonts w:ascii="Times New Roman;Times;serif" w:hAnsi="Times New Roman;Times;serif"/>
          <w:sz w:val="24"/>
        </w:rPr>
        <w:t>“</w:t>
      </w:r>
      <w:r>
        <w:rPr>
          <w:rFonts w:ascii="Times New Roman;Times;serif" w:hAnsi="Times New Roman;Times;serif"/>
          <w:b/>
          <w:i/>
          <w:sz w:val="22"/>
        </w:rPr>
        <w:t>Fair Market Value</w:t>
      </w:r>
      <w:r>
        <w:rPr>
          <w:rFonts w:ascii="Times New Roman;Times;serif" w:hAnsi="Times New Roman;Times;serif"/>
          <w:sz w:val="24"/>
        </w:rPr>
        <w:t xml:space="preserve">” </w:t>
      </w:r>
      <w:r>
        <w:rPr>
          <w:rFonts w:ascii="Times New Roman;Times;serif" w:hAnsi="Times New Roman;Times;serif"/>
          <w:sz w:val="22"/>
        </w:rPr>
        <w:t>means, as of any date, the value of the Shares determined as follows:</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(i)</w:t>
      </w:r>
      <w:r>
        <w:rPr>
          <w:rFonts w:ascii="Times New Roman;Times;serif" w:hAnsi="Times New Roman;Times;serif"/>
          <w:sz w:val="22"/>
        </w:rPr>
        <w:t>If the Shares are listed on any established stock exchange or traded on any established market, the Fair Market Value of a Share will be the closing sales price for such shares as quoted on such exchange or market (or the exchange or market with the greatest volume of trading in the Shares) on the date of determination, as reported in such source as the Board deems reliable.  Unless otherwise provided by the Board, if there is no closing sales price for the Shares on the date of determination, then the Fair Market Value will be the closing sales price on the last preceding date for which such quotation exists.</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(ii)</w:t>
      </w:r>
      <w:r>
        <w:rPr>
          <w:rFonts w:ascii="Times New Roman;Times;serif" w:hAnsi="Times New Roman;Times;serif"/>
          <w:sz w:val="22"/>
        </w:rPr>
        <w:t>In the absence of such markets for the Shares, the Fair Market Value will be determined by the Board in good faith in compliance with Applicable Laws and regulations and in a manner that complies with Sections 409A of the Code</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(iii)</w:t>
      </w:r>
      <w:r>
        <w:rPr>
          <w:rFonts w:ascii="Times New Roman;Times;serif" w:hAnsi="Times New Roman;Times;serif"/>
          <w:sz w:val="22"/>
        </w:rPr>
        <w:t>Notwithstanding the foregoing, for any Offering that commences on the IPO Date, the Fair Market Value of the Shares on the Offering Date will be the price per share at which shares are first sold to the public in the Company’s initial public offering as specified in the final prospectus for that initial public offering.</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(q)</w:t>
      </w:r>
      <w:r>
        <w:rPr>
          <w:rFonts w:ascii="Times New Roman;Times;serif" w:hAnsi="Times New Roman;Times;serif"/>
          <w:sz w:val="24"/>
        </w:rPr>
        <w:t>“</w:t>
      </w:r>
      <w:r>
        <w:rPr>
          <w:rFonts w:ascii="Times New Roman;Times;serif" w:hAnsi="Times New Roman;Times;serif"/>
          <w:b/>
          <w:i/>
          <w:sz w:val="22"/>
        </w:rPr>
        <w:t>Governmental</w:t>
      </w:r>
      <w:r>
        <w:rPr>
          <w:rFonts w:ascii="Times New Roman;Times;serif" w:hAnsi="Times New Roman;Times;serif"/>
          <w:sz w:val="24"/>
        </w:rPr>
        <w:t xml:space="preserve"> </w:t>
      </w:r>
      <w:r>
        <w:rPr>
          <w:rFonts w:ascii="Times New Roman;Times;serif" w:hAnsi="Times New Roman;Times;serif"/>
          <w:b/>
          <w:i/>
          <w:sz w:val="22"/>
        </w:rPr>
        <w:t>Body</w:t>
      </w:r>
      <w:r>
        <w:rPr>
          <w:rFonts w:ascii="Times New Roman;Times;serif" w:hAnsi="Times New Roman;Times;serif"/>
          <w:sz w:val="24"/>
        </w:rPr>
        <w:t xml:space="preserve">” </w:t>
      </w:r>
      <w:r>
        <w:rPr>
          <w:rFonts w:ascii="Times New Roman;Times;serif" w:hAnsi="Times New Roman;Times;serif"/>
          <w:sz w:val="22"/>
        </w:rPr>
        <w:t xml:space="preserve">means any: (a) nation, state, commonwealth, province, territory, county, municipality, district or other jurisdiction of any nature; (b) federal, state, local, municipal, foreign or other government; (c) governmental or </w:t>
      </w:r>
      <w:bookmarkStart w:id="180" w:name="_cp_text_1_32501"/>
      <w:bookmarkEnd w:id="180"/>
      <w:r>
        <w:rPr>
          <w:rFonts w:ascii="Times New Roman;Times;serif" w:hAnsi="Times New Roman;Times;serif"/>
          <w:sz w:val="22"/>
        </w:rPr>
        <w:t xml:space="preserve">regulatory body, or quasi-governmental body of any nature (including any governmental division, department, </w:t>
      </w:r>
      <w:bookmarkStart w:id="181" w:name="_cp_text_1_32511"/>
      <w:bookmarkEnd w:id="181"/>
      <w:r>
        <w:rPr>
          <w:rFonts w:ascii="Times New Roman;Times;serif" w:hAnsi="Times New Roman;Times;serif"/>
          <w:sz w:val="22"/>
        </w:rPr>
        <w:t>administrative agency</w:t>
      </w:r>
      <w:bookmarkStart w:id="182" w:name="_cp_text_1_32521"/>
      <w:bookmarkEnd w:id="182"/>
      <w:r>
        <w:rPr>
          <w:rFonts w:ascii="Times New Roman;Times;serif" w:hAnsi="Times New Roman;Times;serif"/>
          <w:sz w:val="24"/>
        </w:rPr>
        <w:t xml:space="preserve"> </w:t>
      </w:r>
      <w:r>
        <w:rPr>
          <w:rFonts w:ascii="Times New Roman;Times;serif" w:hAnsi="Times New Roman;Times;serif"/>
          <w:sz w:val="22"/>
        </w:rPr>
        <w:t>or bureau, commission</w:t>
      </w:r>
      <w:bookmarkStart w:id="183" w:name="_cp_text_1_32531"/>
      <w:bookmarkEnd w:id="183"/>
      <w:r>
        <w:rPr>
          <w:rFonts w:ascii="Times New Roman;Times;serif" w:hAnsi="Times New Roman;Times;serif"/>
          <w:sz w:val="22"/>
        </w:rPr>
        <w:t>, authority, instrumentality, official, ministry, fund, foundation, center, organization, unit, body or entity and any court or other tribunal, and for the avoidance of doubt, any tax authority)</w:t>
      </w:r>
      <w:bookmarkStart w:id="184" w:name="_cp_text_1_32541"/>
      <w:bookmarkEnd w:id="184"/>
      <w:r>
        <w:rPr>
          <w:rFonts w:ascii="Times New Roman;Times;serif" w:hAnsi="Times New Roman;Times;serif"/>
          <w:sz w:val="24"/>
        </w:rPr>
        <w:t xml:space="preserve"> </w:t>
      </w:r>
      <w:r>
        <w:rPr>
          <w:rFonts w:ascii="Times New Roman;Times;serif" w:hAnsi="Times New Roman;Times;serif"/>
          <w:sz w:val="22"/>
        </w:rPr>
        <w:t>or other body exercising similar powers or authority; or (d) self-regulatory organization (including the Nasdaq Stock Market and the Financial Industry Regulatory Authority).</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(r)</w:t>
      </w:r>
      <w:r>
        <w:rPr>
          <w:rFonts w:ascii="Times New Roman;Times;serif" w:hAnsi="Times New Roman;Times;serif"/>
          <w:sz w:val="24"/>
        </w:rPr>
        <w:t>“</w:t>
      </w:r>
      <w:r>
        <w:rPr>
          <w:rFonts w:ascii="Times New Roman;Times;serif" w:hAnsi="Times New Roman;Times;serif"/>
          <w:b/>
          <w:i/>
          <w:sz w:val="22"/>
        </w:rPr>
        <w:t>IPO Date</w:t>
      </w:r>
      <w:r>
        <w:rPr>
          <w:rFonts w:ascii="Times New Roman;Times;serif" w:hAnsi="Times New Roman;Times;serif"/>
          <w:sz w:val="24"/>
        </w:rPr>
        <w:t xml:space="preserve">” </w:t>
      </w:r>
      <w:r>
        <w:rPr>
          <w:rFonts w:ascii="Times New Roman;Times;serif" w:hAnsi="Times New Roman;Times;serif"/>
          <w:sz w:val="22"/>
        </w:rPr>
        <w:t>means the date of the underwriting agreement between the Company and the underwriter(s) managing the initial public offering of the Shares, pursuant to which the Shares are priced for the initial public offering.</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(s)</w:t>
      </w:r>
      <w:r>
        <w:rPr>
          <w:rFonts w:ascii="Times New Roman;Times;serif" w:hAnsi="Times New Roman;Times;serif"/>
          <w:sz w:val="24"/>
        </w:rPr>
        <w:t>“</w:t>
      </w:r>
      <w:r>
        <w:rPr>
          <w:rFonts w:ascii="Times New Roman;Times;serif" w:hAnsi="Times New Roman;Times;serif"/>
          <w:sz w:val="22"/>
        </w:rPr>
        <w:t>Non-423 Component</w:t>
      </w:r>
      <w:r>
        <w:rPr>
          <w:rFonts w:ascii="Times New Roman;Times;serif" w:hAnsi="Times New Roman;Times;serif"/>
          <w:sz w:val="24"/>
        </w:rPr>
        <w:t xml:space="preserve">” </w:t>
      </w:r>
      <w:r>
        <w:rPr>
          <w:rFonts w:ascii="Times New Roman;Times;serif" w:hAnsi="Times New Roman;Times;serif"/>
          <w:sz w:val="22"/>
        </w:rPr>
        <w:t>means the part of the Plan, which excludes the 423 Component, pursuant to which Purchase Rights that are not intended to satisfy the requirements for an Employee Share Purchase Plan may be granted to Eligible Employees.</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(t)</w:t>
      </w:r>
      <w:r>
        <w:rPr>
          <w:rFonts w:ascii="Times New Roman;Times;serif" w:hAnsi="Times New Roman;Times;serif"/>
          <w:sz w:val="24"/>
        </w:rPr>
        <w:t>“</w:t>
      </w:r>
      <w:r>
        <w:rPr>
          <w:rFonts w:ascii="Times New Roman;Times;serif" w:hAnsi="Times New Roman;Times;serif"/>
          <w:b/>
          <w:i/>
          <w:sz w:val="22"/>
        </w:rPr>
        <w:t>Offering</w:t>
      </w:r>
      <w:r>
        <w:rPr>
          <w:rFonts w:ascii="Times New Roman;Times;serif" w:hAnsi="Times New Roman;Times;serif"/>
          <w:sz w:val="24"/>
        </w:rPr>
        <w:t xml:space="preserve">” </w:t>
      </w:r>
      <w:r>
        <w:rPr>
          <w:rFonts w:ascii="Times New Roman;Times;serif" w:hAnsi="Times New Roman;Times;serif"/>
          <w:sz w:val="22"/>
        </w:rPr>
        <w:t xml:space="preserve">means the grant to Eligible Employees of Purchase Rights, with the exercise of those Purchase Rights automatically occurring at the end of one or more Purchase Periods. The terms and </w:t>
      </w:r>
    </w:p>
    <w:p>
      <w:pPr>
        <w:pStyle w:val="TextBody"/>
        <w:spacing w:lineRule="atLeast" w:line="200" w:before="0" w:after="0"/>
        <w:ind w:left="0" w:right="0" w:hanging="0"/>
        <w:rPr>
          <w:rFonts w:ascii="Times New Roman;Times;serif" w:hAnsi="Times New Roman;Times;serif"/>
          <w:sz w:val="24"/>
        </w:rPr>
      </w:pPr>
      <w:r>
        <w:rPr>
          <w:rFonts w:ascii="Times New Roman;Times;serif" w:hAnsi="Times New Roman;Times;serif"/>
          <w:sz w:val="24"/>
        </w:rPr>
        <w:t>11</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53">
            <wp:simplePos x="0" y="0"/>
            <wp:positionH relativeFrom="page">
              <wp:posOffset>0</wp:posOffset>
            </wp:positionH>
            <wp:positionV relativeFrom="line">
              <wp:posOffset>635</wp:posOffset>
            </wp:positionV>
            <wp:extent cx="6480175" cy="390525"/>
            <wp:effectExtent l="0" t="0" r="0" b="0"/>
            <wp:wrapNone/>
            <wp:docPr id="1352"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 name="Image87" descr=""/>
                    <pic:cNvPicPr>
                      <a:picLocks noChangeAspect="1" noChangeArrowheads="1"/>
                    </pic:cNvPicPr>
                  </pic:nvPicPr>
                  <pic:blipFill>
                    <a:blip r:embed="rId117"/>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76386237 v5</w:t>
      </w:r>
    </w:p>
    <w:p>
      <w:pPr>
        <w:pStyle w:val="TextBody"/>
        <w:spacing w:lineRule="atLeast" w:line="200" w:before="0" w:after="0"/>
        <w:ind w:left="0" w:right="0" w:hanging="0"/>
        <w:rPr/>
      </w:pPr>
      <w:r>
        <w:rPr/>
        <w:t>​</w:t>
      </w:r>
    </w:p>
    <w:p>
      <w:pPr>
        <w:pStyle w:val="TextBody"/>
        <w:spacing w:lineRule="auto" w:line="285" w:before="0" w:after="0"/>
        <w:ind w:left="0" w:right="0" w:hanging="0"/>
        <w:jc w:val="both"/>
        <w:rPr/>
      </w:pPr>
      <w:r>
        <w:rPr/>
        <w:t>​</w:t>
      </w:r>
    </w:p>
    <w:p>
      <w:pPr>
        <w:pStyle w:val="HorizontalLine"/>
        <w:rPr/>
      </w:pPr>
      <w:r>
        <w:rPr/>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sz w:val="22"/>
        </w:rPr>
        <w:t>conditions of an Offering will generally be set forth in the “</w:t>
      </w:r>
      <w:r>
        <w:rPr>
          <w:rFonts w:ascii="Times New Roman;Times;serif" w:hAnsi="Times New Roman;Times;serif"/>
          <w:b/>
          <w:i/>
          <w:sz w:val="22"/>
        </w:rPr>
        <w:t>Offering Document</w:t>
      </w:r>
      <w:r>
        <w:rPr>
          <w:rFonts w:ascii="Times New Roman;Times;serif" w:hAnsi="Times New Roman;Times;serif"/>
          <w:sz w:val="24"/>
        </w:rPr>
        <w:t xml:space="preserve">” </w:t>
      </w:r>
      <w:r>
        <w:rPr>
          <w:rFonts w:ascii="Times New Roman;Times;serif" w:hAnsi="Times New Roman;Times;serif"/>
          <w:sz w:val="22"/>
        </w:rPr>
        <w:t>approved by the Board for that Offering.</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(u)</w:t>
      </w:r>
      <w:r>
        <w:rPr>
          <w:rFonts w:ascii="Times New Roman;Times;serif" w:hAnsi="Times New Roman;Times;serif"/>
          <w:sz w:val="24"/>
        </w:rPr>
        <w:t>“</w:t>
      </w:r>
      <w:r>
        <w:rPr>
          <w:rFonts w:ascii="Times New Roman;Times;serif" w:hAnsi="Times New Roman;Times;serif"/>
          <w:b/>
          <w:i/>
          <w:sz w:val="22"/>
        </w:rPr>
        <w:t>Offering Date</w:t>
      </w:r>
      <w:r>
        <w:rPr>
          <w:rFonts w:ascii="Times New Roman;Times;serif" w:hAnsi="Times New Roman;Times;serif"/>
          <w:sz w:val="24"/>
        </w:rPr>
        <w:t xml:space="preserve">” </w:t>
      </w:r>
      <w:r>
        <w:rPr>
          <w:rFonts w:ascii="Times New Roman;Times;serif" w:hAnsi="Times New Roman;Times;serif"/>
          <w:sz w:val="22"/>
        </w:rPr>
        <w:t>means a date selected by the Board for an Offering to commence.</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(v)</w:t>
      </w:r>
      <w:r>
        <w:rPr>
          <w:rFonts w:ascii="Times New Roman;Times;serif" w:hAnsi="Times New Roman;Times;serif"/>
          <w:sz w:val="24"/>
        </w:rPr>
        <w:t>“</w:t>
      </w:r>
      <w:r>
        <w:rPr>
          <w:rFonts w:ascii="Times New Roman;Times;serif" w:hAnsi="Times New Roman;Times;serif"/>
          <w:b/>
          <w:i/>
          <w:sz w:val="22"/>
        </w:rPr>
        <w:t>Officer</w:t>
      </w:r>
      <w:r>
        <w:rPr>
          <w:rFonts w:ascii="Times New Roman;Times;serif" w:hAnsi="Times New Roman;Times;serif"/>
          <w:sz w:val="24"/>
        </w:rPr>
        <w:t xml:space="preserve">” </w:t>
      </w:r>
      <w:r>
        <w:rPr>
          <w:rFonts w:ascii="Times New Roman;Times;serif" w:hAnsi="Times New Roman;Times;serif"/>
          <w:sz w:val="22"/>
        </w:rPr>
        <w:t>means</w:t>
      </w:r>
      <w:r>
        <w:rPr>
          <w:rFonts w:ascii="Times New Roman;Times;serif" w:hAnsi="Times New Roman;Times;serif"/>
          <w:sz w:val="24"/>
        </w:rPr>
        <w:t xml:space="preserve"> </w:t>
      </w:r>
      <w:r>
        <w:rPr>
          <w:rFonts w:ascii="Times New Roman;Times;serif" w:hAnsi="Times New Roman;Times;serif"/>
          <w:sz w:val="22"/>
        </w:rPr>
        <w:t>a person who is an officer of the Company or a Related Corporation within the meaning of Section 16 of the Exchange Act.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(w)</w:t>
      </w:r>
      <w:r>
        <w:rPr>
          <w:rFonts w:ascii="Times New Roman;Times;serif" w:hAnsi="Times New Roman;Times;serif"/>
          <w:sz w:val="24"/>
        </w:rPr>
        <w:t>“</w:t>
      </w:r>
      <w:r>
        <w:rPr>
          <w:rFonts w:ascii="Times New Roman;Times;serif" w:hAnsi="Times New Roman;Times;serif"/>
          <w:b/>
          <w:i/>
          <w:sz w:val="22"/>
        </w:rPr>
        <w:t>Ordinary Shares</w:t>
      </w:r>
      <w:r>
        <w:rPr>
          <w:rFonts w:ascii="Times New Roman;Times;serif" w:hAnsi="Times New Roman;Times;serif"/>
          <w:sz w:val="24"/>
        </w:rPr>
        <w:t xml:space="preserve">” </w:t>
      </w:r>
      <w:r>
        <w:rPr>
          <w:rFonts w:ascii="Times New Roman;Times;serif" w:hAnsi="Times New Roman;Times;serif"/>
          <w:sz w:val="22"/>
        </w:rPr>
        <w:t>means the ordinary shares of the Company.</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(x)</w:t>
      </w:r>
      <w:r>
        <w:rPr>
          <w:rFonts w:ascii="Times New Roman;Times;serif" w:hAnsi="Times New Roman;Times;serif"/>
          <w:sz w:val="24"/>
        </w:rPr>
        <w:t>“</w:t>
      </w:r>
      <w:r>
        <w:rPr>
          <w:rFonts w:ascii="Times New Roman;Times;serif" w:hAnsi="Times New Roman;Times;serif"/>
          <w:b/>
          <w:i/>
          <w:sz w:val="22"/>
        </w:rPr>
        <w:t>Participant</w:t>
      </w:r>
      <w:r>
        <w:rPr>
          <w:rFonts w:ascii="Times New Roman;Times;serif" w:hAnsi="Times New Roman;Times;serif"/>
          <w:sz w:val="24"/>
        </w:rPr>
        <w:t xml:space="preserve">” </w:t>
      </w:r>
      <w:r>
        <w:rPr>
          <w:rFonts w:ascii="Times New Roman;Times;serif" w:hAnsi="Times New Roman;Times;serif"/>
          <w:sz w:val="22"/>
        </w:rPr>
        <w:t>means an Eligible Employee who holds an outstanding Purchase Right.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(y)</w:t>
      </w:r>
      <w:r>
        <w:rPr>
          <w:rFonts w:ascii="Times New Roman;Times;serif" w:hAnsi="Times New Roman;Times;serif"/>
          <w:sz w:val="24"/>
        </w:rPr>
        <w:t>“</w:t>
      </w:r>
      <w:r>
        <w:rPr>
          <w:rFonts w:ascii="Times New Roman;Times;serif" w:hAnsi="Times New Roman;Times;serif"/>
          <w:b/>
          <w:i/>
          <w:sz w:val="22"/>
        </w:rPr>
        <w:t>Plan</w:t>
      </w:r>
      <w:r>
        <w:rPr>
          <w:rFonts w:ascii="Times New Roman;Times;serif" w:hAnsi="Times New Roman;Times;serif"/>
          <w:sz w:val="24"/>
        </w:rPr>
        <w:t xml:space="preserve">” </w:t>
      </w:r>
      <w:r>
        <w:rPr>
          <w:rFonts w:ascii="Times New Roman;Times;serif" w:hAnsi="Times New Roman;Times;serif"/>
          <w:sz w:val="22"/>
        </w:rPr>
        <w:t>means this Structure Therapeutics Inc. 2023 Employee Share Purchase Plan, as amended from time to time, including both the 423 Component and the Non-423 Component.</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(z)</w:t>
      </w:r>
      <w:r>
        <w:rPr>
          <w:rFonts w:ascii="Times New Roman;Times;serif" w:hAnsi="Times New Roman;Times;serif"/>
          <w:sz w:val="24"/>
        </w:rPr>
        <w:t>“</w:t>
      </w:r>
      <w:r>
        <w:rPr>
          <w:rFonts w:ascii="Times New Roman;Times;serif" w:hAnsi="Times New Roman;Times;serif"/>
          <w:b/>
          <w:i/>
          <w:sz w:val="22"/>
        </w:rPr>
        <w:t>Purchase Date</w:t>
      </w:r>
      <w:r>
        <w:rPr>
          <w:rFonts w:ascii="Times New Roman;Times;serif" w:hAnsi="Times New Roman;Times;serif"/>
          <w:sz w:val="24"/>
        </w:rPr>
        <w:t xml:space="preserve">” </w:t>
      </w:r>
      <w:r>
        <w:rPr>
          <w:rFonts w:ascii="Times New Roman;Times;serif" w:hAnsi="Times New Roman;Times;serif"/>
          <w:sz w:val="22"/>
        </w:rPr>
        <w:t>means one or more dates during an Offering selected by the Board on which Purchase Rights will be exercised and on which purchases of Shares will be carried out in accordance with such Offering.</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(aa)</w:t>
      </w:r>
      <w:r>
        <w:rPr>
          <w:rFonts w:ascii="Times New Roman;Times;serif" w:hAnsi="Times New Roman;Times;serif"/>
          <w:sz w:val="24"/>
        </w:rPr>
        <w:t>“</w:t>
      </w:r>
      <w:r>
        <w:rPr>
          <w:rFonts w:ascii="Times New Roman;Times;serif" w:hAnsi="Times New Roman;Times;serif"/>
          <w:b/>
          <w:i/>
          <w:sz w:val="22"/>
        </w:rPr>
        <w:t>Purchase Period</w:t>
      </w:r>
      <w:r>
        <w:rPr>
          <w:rFonts w:ascii="Times New Roman;Times;serif" w:hAnsi="Times New Roman;Times;serif"/>
          <w:sz w:val="24"/>
        </w:rPr>
        <w:t xml:space="preserve">” </w:t>
      </w:r>
      <w:r>
        <w:rPr>
          <w:rFonts w:ascii="Times New Roman;Times;serif" w:hAnsi="Times New Roman;Times;serif"/>
          <w:sz w:val="22"/>
        </w:rPr>
        <w:t>means a period of time specified within an Offering, generally beginning on the Offering Date or on the first Trading Day following a Purchase Date, and ending on a Purchase Date.  An Offering may consist of one or more Purchase Periods.</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(bb)</w:t>
      </w:r>
      <w:r>
        <w:rPr>
          <w:rFonts w:ascii="Times New Roman;Times;serif" w:hAnsi="Times New Roman;Times;serif"/>
          <w:sz w:val="24"/>
        </w:rPr>
        <w:t>“</w:t>
      </w:r>
      <w:r>
        <w:rPr>
          <w:rFonts w:ascii="Times New Roman;Times;serif" w:hAnsi="Times New Roman;Times;serif"/>
          <w:b/>
          <w:i/>
          <w:sz w:val="22"/>
        </w:rPr>
        <w:t>Purchase Right</w:t>
      </w:r>
      <w:r>
        <w:rPr>
          <w:rFonts w:ascii="Times New Roman;Times;serif" w:hAnsi="Times New Roman;Times;serif"/>
          <w:sz w:val="24"/>
        </w:rPr>
        <w:t xml:space="preserve">” </w:t>
      </w:r>
      <w:r>
        <w:rPr>
          <w:rFonts w:ascii="Times New Roman;Times;serif" w:hAnsi="Times New Roman;Times;serif"/>
          <w:sz w:val="22"/>
        </w:rPr>
        <w:t>means an option to purchase Shares granted pursuant to the Plan.</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(cc)</w:t>
      </w:r>
      <w:r>
        <w:rPr>
          <w:rFonts w:ascii="Times New Roman;Times;serif" w:hAnsi="Times New Roman;Times;serif"/>
          <w:sz w:val="24"/>
        </w:rPr>
        <w:t>“</w:t>
      </w:r>
      <w:r>
        <w:rPr>
          <w:rFonts w:ascii="Times New Roman;Times;serif" w:hAnsi="Times New Roman;Times;serif"/>
          <w:b/>
          <w:i/>
          <w:sz w:val="22"/>
        </w:rPr>
        <w:t>Related Corporation</w:t>
      </w:r>
      <w:r>
        <w:rPr>
          <w:rFonts w:ascii="Times New Roman;Times;serif" w:hAnsi="Times New Roman;Times;serif"/>
          <w:sz w:val="24"/>
        </w:rPr>
        <w:t xml:space="preserve">” </w:t>
      </w:r>
      <w:r>
        <w:rPr>
          <w:rFonts w:ascii="Times New Roman;Times;serif" w:hAnsi="Times New Roman;Times;serif"/>
          <w:sz w:val="22"/>
        </w:rPr>
        <w:t>means any “parent corporation” or “subsidiary corporation” of the Company whether now or subsequently established, as those terms are defined in Sections 424(e) and (f), respectively, of the Code.</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(dd)</w:t>
      </w:r>
      <w:r>
        <w:rPr>
          <w:rFonts w:ascii="Times New Roman;Times;serif" w:hAnsi="Times New Roman;Times;serif"/>
          <w:sz w:val="24"/>
        </w:rPr>
        <w:t>“</w:t>
      </w:r>
      <w:r>
        <w:rPr>
          <w:rFonts w:ascii="Times New Roman;Times;serif" w:hAnsi="Times New Roman;Times;serif"/>
          <w:b/>
          <w:i/>
          <w:sz w:val="22"/>
        </w:rPr>
        <w:t>Securities Act</w:t>
      </w:r>
      <w:r>
        <w:rPr>
          <w:rFonts w:ascii="Times New Roman;Times;serif" w:hAnsi="Times New Roman;Times;serif"/>
          <w:sz w:val="24"/>
        </w:rPr>
        <w:t xml:space="preserve">” </w:t>
      </w:r>
      <w:r>
        <w:rPr>
          <w:rFonts w:ascii="Times New Roman;Times;serif" w:hAnsi="Times New Roman;Times;serif"/>
          <w:sz w:val="22"/>
        </w:rPr>
        <w:t>means the U.S. Securities Act of 1933, as amended.</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(ee)</w:t>
      </w:r>
      <w:r>
        <w:rPr>
          <w:rFonts w:ascii="Times New Roman;Times;serif" w:hAnsi="Times New Roman;Times;serif"/>
          <w:sz w:val="24"/>
        </w:rPr>
        <w:t>“</w:t>
      </w:r>
      <w:bookmarkStart w:id="185" w:name="_Hlk999794161"/>
      <w:bookmarkEnd w:id="185"/>
      <w:r>
        <w:rPr>
          <w:rFonts w:ascii="Times New Roman;Times;serif" w:hAnsi="Times New Roman;Times;serif"/>
          <w:b/>
          <w:i/>
          <w:sz w:val="22"/>
        </w:rPr>
        <w:t>Share</w:t>
      </w:r>
      <w:r>
        <w:rPr>
          <w:rFonts w:ascii="Times New Roman;Times;serif" w:hAnsi="Times New Roman;Times;serif"/>
          <w:sz w:val="24"/>
        </w:rPr>
        <w:t xml:space="preserve">” </w:t>
      </w:r>
      <w:r>
        <w:rPr>
          <w:rFonts w:ascii="Times New Roman;Times;serif" w:hAnsi="Times New Roman;Times;serif"/>
          <w:sz w:val="22"/>
        </w:rPr>
        <w:t>means an Ordinary Share or the number of ADSs equal to an Ordinary Share, as applicable and based on the ratio of the ADSs to Ordinary Shares, as reasonably determined by the Board.</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(ff)</w:t>
      </w:r>
      <w:r>
        <w:rPr>
          <w:rFonts w:ascii="Times New Roman;Times;serif" w:hAnsi="Times New Roman;Times;serif"/>
          <w:sz w:val="24"/>
        </w:rPr>
        <w:t>“</w:t>
      </w:r>
      <w:r>
        <w:rPr>
          <w:rFonts w:ascii="Times New Roman;Times;serif" w:hAnsi="Times New Roman;Times;serif"/>
          <w:b/>
          <w:i/>
          <w:sz w:val="22"/>
        </w:rPr>
        <w:t>Tax-Related Items</w:t>
      </w:r>
      <w:r>
        <w:rPr>
          <w:rFonts w:ascii="Times New Roman;Times;serif" w:hAnsi="Times New Roman;Times;serif"/>
          <w:sz w:val="24"/>
        </w:rPr>
        <w:t xml:space="preserve">” </w:t>
      </w:r>
      <w:r>
        <w:rPr>
          <w:rFonts w:ascii="Times New Roman;Times;serif" w:hAnsi="Times New Roman;Times;serif"/>
          <w:sz w:val="22"/>
        </w:rPr>
        <w:t>means any income tax, social insurance, payroll tax, fringe benefit tax, payment on account or other tax-related items arising out of or in relation to a Participant’s participation in the Plan, including, but not limited to, the exercise of a Purchase Right and the receipt of Shares or the sale or other disposition of Shares acquired under the Plan.</w:t>
      </w:r>
    </w:p>
    <w:p>
      <w:pPr>
        <w:pStyle w:val="TextBody"/>
        <w:spacing w:lineRule="auto" w:line="285" w:before="0" w:after="240"/>
        <w:ind w:left="0" w:right="0" w:hanging="0"/>
        <w:jc w:val="both"/>
        <w:rPr>
          <w:rFonts w:ascii="Times New Roman;Times;serif" w:hAnsi="Times New Roman;Times;serif"/>
          <w:sz w:val="24"/>
        </w:rPr>
      </w:pPr>
      <w:r>
        <w:rPr>
          <w:rFonts w:ascii="Times New Roman;Times;serif" w:hAnsi="Times New Roman;Times;serif"/>
          <w:b/>
          <w:sz w:val="22"/>
        </w:rPr>
        <w:t>(gg)</w:t>
      </w:r>
      <w:r>
        <w:rPr>
          <w:rFonts w:ascii="Times New Roman;Times;serif" w:hAnsi="Times New Roman;Times;serif"/>
          <w:sz w:val="24"/>
        </w:rPr>
        <w:t>“</w:t>
      </w:r>
      <w:r>
        <w:rPr>
          <w:rFonts w:ascii="Times New Roman;Times;serif" w:hAnsi="Times New Roman;Times;serif"/>
          <w:b/>
          <w:i/>
          <w:sz w:val="22"/>
        </w:rPr>
        <w:t>Trading Day</w:t>
      </w:r>
      <w:r>
        <w:rPr>
          <w:rFonts w:ascii="Times New Roman;Times;serif" w:hAnsi="Times New Roman;Times;serif"/>
          <w:sz w:val="24"/>
        </w:rPr>
        <w:t xml:space="preserve">” </w:t>
      </w:r>
      <w:r>
        <w:rPr>
          <w:rFonts w:ascii="Times New Roman;Times;serif" w:hAnsi="Times New Roman;Times;serif"/>
          <w:sz w:val="22"/>
        </w:rPr>
        <w:t>means any day on which the exchange(s) or market(s) on which Shares are listed, including but not limited to the NYSE, Nasdaq Global Select Market, the Nasdaq Global Market, the Nasdaq Capital Market or any successors thereto, is open for trading.</w:t>
      </w:r>
    </w:p>
    <w:p>
      <w:pPr>
        <w:pStyle w:val="TextBody"/>
        <w:spacing w:lineRule="atLeast" w:line="200" w:before="0" w:after="0"/>
        <w:ind w:left="0" w:right="0" w:hanging="0"/>
        <w:rPr>
          <w:rFonts w:ascii="Times New Roman;Times;serif" w:hAnsi="Times New Roman;Times;serif"/>
          <w:sz w:val="24"/>
        </w:rPr>
      </w:pPr>
      <w:r>
        <w:rPr>
          <w:rFonts w:ascii="Times New Roman;Times;serif" w:hAnsi="Times New Roman;Times;serif"/>
          <w:sz w:val="24"/>
        </w:rPr>
        <w:t>12</w:t>
      </w:r>
    </w:p>
    <w:p>
      <w:pPr>
        <w:pStyle w:val="TextBody"/>
        <w:spacing w:lineRule="atLeast" w:line="200" w:before="0" w:after="0"/>
        <w:ind w:left="0" w:right="0" w:hanging="0"/>
        <w:rPr>
          <w:rFonts w:ascii="Arial;Helvetica;sans-serif" w:hAnsi="Arial;Helvetica;sans-serif"/>
          <w:sz w:val="14"/>
        </w:rPr>
      </w:pPr>
      <w:r>
        <w:drawing>
          <wp:anchor behindDoc="0" distT="0" distB="0" distL="0" distR="0" simplePos="0" locked="0" layoutInCell="1" allowOverlap="1" relativeHeight="1354">
            <wp:simplePos x="0" y="0"/>
            <wp:positionH relativeFrom="page">
              <wp:posOffset>0</wp:posOffset>
            </wp:positionH>
            <wp:positionV relativeFrom="line">
              <wp:posOffset>635</wp:posOffset>
            </wp:positionV>
            <wp:extent cx="6480175" cy="390525"/>
            <wp:effectExtent l="0" t="0" r="0" b="0"/>
            <wp:wrapNone/>
            <wp:docPr id="1353"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 name="Image88" descr=""/>
                    <pic:cNvPicPr>
                      <a:picLocks noChangeAspect="1" noChangeArrowheads="1"/>
                    </pic:cNvPicPr>
                  </pic:nvPicPr>
                  <pic:blipFill>
                    <a:blip r:embed="rId118"/>
                    <a:stretch>
                      <a:fillRect/>
                    </a:stretch>
                  </pic:blipFill>
                  <pic:spPr bwMode="auto">
                    <a:xfrm>
                      <a:off x="0" y="0"/>
                      <a:ext cx="6480175" cy="390525"/>
                    </a:xfrm>
                    <a:prstGeom prst="rect">
                      <a:avLst/>
                    </a:prstGeom>
                  </pic:spPr>
                </pic:pic>
              </a:graphicData>
            </a:graphic>
          </wp:anchor>
        </w:drawing>
      </w:r>
      <w:r>
        <w:rPr>
          <w:rFonts w:ascii="Arial;Helvetica;sans-serif" w:hAnsi="Arial;Helvetica;sans-serif"/>
          <w:sz w:val="14"/>
        </w:rPr>
        <w:t>2</w:t>
      </w:r>
      <w:r>
        <w:rPr>
          <w:rFonts w:ascii="Arial;Helvetica;sans-serif" w:hAnsi="Arial;Helvetica;sans-serif"/>
          <w:sz w:val="14"/>
        </w:rPr>
        <w:t>76386237 v5</w:t>
      </w:r>
    </w:p>
    <w:p>
      <w:pPr>
        <w:pStyle w:val="TextBody"/>
        <w:spacing w:lineRule="atLeast" w:line="200" w:before="0" w:after="0"/>
        <w:ind w:left="0" w:right="0" w:hanging="0"/>
        <w:rPr/>
      </w:pPr>
      <w:r>
        <w:rPr/>
        <w:t>​</w:t>
      </w:r>
    </w:p>
    <w:p>
      <w:pPr>
        <w:pStyle w:val="TextBody"/>
        <w:spacing w:lineRule="auto" w:line="285" w:before="0" w:after="0"/>
        <w:ind w:left="0" w:right="0" w:hanging="0"/>
        <w:jc w:val="both"/>
        <w:rPr/>
      </w:pPr>
      <w:r>
        <w:rPr/>
        <w:t>​</w:t>
      </w:r>
    </w:p>
    <w:p>
      <w:pPr>
        <w:pStyle w:val="HorizontalLine"/>
        <w:rPr/>
      </w:pPr>
      <w:r>
        <w:rPr/>
      </w:r>
      <w:r>
        <w:br w:type="page"/>
      </w:r>
    </w:p>
    <w:p>
      <w:pPr>
        <w:pStyle w:val="TextBody"/>
        <w:spacing w:before="0" w:after="0"/>
        <w:ind w:left="0" w:right="0" w:hanging="0"/>
        <w:jc w:val="right"/>
        <w:rPr/>
      </w:pPr>
      <w:bookmarkStart w:id="186" w:name="gpcr-20221231xex21d1.htm"/>
      <w:bookmarkStart w:id="187" w:name="ksgpcr20221231xex21d1"/>
      <w:bookmarkEnd w:id="186"/>
      <w:bookmarkEnd w:id="187"/>
      <w:r>
        <w:rPr/>
        <w:t>​</w:t>
      </w:r>
    </w:p>
    <w:tbl>
      <w:tblPr>
        <w:tblW w:w="9152" w:type="dxa"/>
        <w:jc w:val="left"/>
        <w:tblInd w:w="0" w:type="dxa"/>
        <w:tblCellMar>
          <w:top w:w="0" w:type="dxa"/>
          <w:left w:w="0" w:type="dxa"/>
          <w:bottom w:w="28" w:type="dxa"/>
          <w:right w:w="0" w:type="dxa"/>
        </w:tblCellMar>
      </w:tblPr>
      <w:tblGrid>
        <w:gridCol w:w="6286"/>
        <w:gridCol w:w="2866"/>
      </w:tblGrid>
      <w:tr>
        <w:trPr/>
        <w:tc>
          <w:tcPr>
            <w:tcW w:w="6286"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Name of Subsidiary</w:t>
            </w:r>
          </w:p>
        </w:tc>
        <w:tc>
          <w:tcPr>
            <w:tcW w:w="2866" w:type="dxa"/>
            <w:tcBorders>
              <w:bottom w:val="single" w:sz="8" w:space="0" w:color="000000"/>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Jurisdiction of Incorporation or</w:t>
              <w:br/>
              <w:t>Organization</w:t>
            </w:r>
          </w:p>
        </w:tc>
      </w:tr>
      <w:tr>
        <w:trPr/>
        <w:tc>
          <w:tcPr>
            <w:tcW w:w="62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86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628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Annapurna Bio Pty Limited</w:t>
            </w:r>
          </w:p>
        </w:tc>
        <w:tc>
          <w:tcPr>
            <w:tcW w:w="28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Australia</w:t>
            </w:r>
          </w:p>
        </w:tc>
      </w:tr>
      <w:tr>
        <w:trPr/>
        <w:tc>
          <w:tcPr>
            <w:tcW w:w="62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86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628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Annapurna Bio, Inc.</w:t>
            </w:r>
          </w:p>
        </w:tc>
        <w:tc>
          <w:tcPr>
            <w:tcW w:w="28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62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86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628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Basecamp Bio Hong Kong Limited</w:t>
            </w:r>
          </w:p>
        </w:tc>
        <w:tc>
          <w:tcPr>
            <w:tcW w:w="28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Hong Kong</w:t>
            </w:r>
          </w:p>
        </w:tc>
      </w:tr>
      <w:tr>
        <w:trPr/>
        <w:tc>
          <w:tcPr>
            <w:tcW w:w="62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86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628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Basecamp Bio Inc.</w:t>
            </w:r>
          </w:p>
        </w:tc>
        <w:tc>
          <w:tcPr>
            <w:tcW w:w="28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Cayman Islands</w:t>
            </w:r>
          </w:p>
        </w:tc>
      </w:tr>
      <w:tr>
        <w:trPr/>
        <w:tc>
          <w:tcPr>
            <w:tcW w:w="62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86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628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Basecamp Bio USA Inc.</w:t>
            </w:r>
          </w:p>
        </w:tc>
        <w:tc>
          <w:tcPr>
            <w:tcW w:w="28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62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86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628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Gasherbrum Bio, Inc.</w:t>
            </w:r>
          </w:p>
        </w:tc>
        <w:tc>
          <w:tcPr>
            <w:tcW w:w="28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62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86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628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Lhotse Bio, Inc.</w:t>
            </w:r>
          </w:p>
        </w:tc>
        <w:tc>
          <w:tcPr>
            <w:tcW w:w="28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r>
        <w:trPr/>
        <w:tc>
          <w:tcPr>
            <w:tcW w:w="62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86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6286" w:type="dxa"/>
            <w:tcBorders/>
            <w:shd w:fill="auto" w:val="clear"/>
            <w:tcMar>
              <w:bottom w:w="0" w:type="dxa"/>
            </w:tcMar>
            <w:vAlign w:val="center"/>
          </w:tcPr>
          <w:p>
            <w:pPr>
              <w:pStyle w:val="TableContents"/>
              <w:spacing w:before="0" w:after="0"/>
              <w:ind w:left="0" w:right="0" w:hanging="0"/>
              <w:rPr/>
            </w:pPr>
            <w:r>
              <w:rPr>
                <w:rFonts w:ascii="Times New Roman;Times;serif" w:hAnsi="Times New Roman;Times;serif"/>
                <w:sz w:val="20"/>
              </w:rPr>
              <w:t>Shanghai Basecamp Biotechnology Co., Ltd. (</w:t>
            </w:r>
            <w:r>
              <w:rPr>
                <w:rFonts w:eastAsia="MS Mincho"/>
                <w:sz w:val="20"/>
              </w:rPr>
              <w:t>上海倍勘生物技</w:t>
            </w:r>
            <w:r>
              <w:rPr>
                <w:rFonts w:eastAsia="PMingLiU"/>
                <w:sz w:val="20"/>
              </w:rPr>
              <w:t>术</w:t>
            </w:r>
            <w:r>
              <w:rPr>
                <w:rFonts w:eastAsia="MS Mincho"/>
                <w:sz w:val="20"/>
              </w:rPr>
              <w:t>有限公司</w:t>
            </w:r>
            <w:r>
              <w:rPr>
                <w:rFonts w:ascii="Times New Roman;Times;serif" w:hAnsi="Times New Roman;Times;serif"/>
                <w:sz w:val="20"/>
              </w:rPr>
              <w:t>)</w:t>
            </w:r>
          </w:p>
        </w:tc>
        <w:tc>
          <w:tcPr>
            <w:tcW w:w="28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People’s Republic of China</w:t>
            </w:r>
          </w:p>
        </w:tc>
      </w:tr>
      <w:tr>
        <w:trPr/>
        <w:tc>
          <w:tcPr>
            <w:tcW w:w="62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86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6286" w:type="dxa"/>
            <w:tcBorders/>
            <w:shd w:fill="auto" w:val="clear"/>
            <w:tcMar>
              <w:bottom w:w="0" w:type="dxa"/>
            </w:tcMar>
            <w:vAlign w:val="center"/>
          </w:tcPr>
          <w:p>
            <w:pPr>
              <w:pStyle w:val="TableContents"/>
              <w:spacing w:before="0" w:after="0"/>
              <w:ind w:left="0" w:right="0" w:hanging="0"/>
              <w:rPr/>
            </w:pPr>
            <w:r>
              <w:rPr>
                <w:rFonts w:ascii="Times New Roman;Times;serif" w:hAnsi="Times New Roman;Times;serif"/>
                <w:sz w:val="20"/>
              </w:rPr>
              <w:t>Shanghai ShouTi Biotechnology Co., Ltd. (</w:t>
            </w:r>
            <w:r>
              <w:rPr>
                <w:rFonts w:eastAsia="MS Mincho"/>
                <w:sz w:val="20"/>
              </w:rPr>
              <w:t>上海</w:t>
            </w:r>
            <w:r>
              <w:rPr>
                <w:rFonts w:eastAsia="PMingLiU"/>
                <w:sz w:val="20"/>
              </w:rPr>
              <w:t>硕</w:t>
            </w:r>
            <w:r>
              <w:rPr>
                <w:rFonts w:eastAsia="MS Mincho"/>
                <w:sz w:val="20"/>
              </w:rPr>
              <w:t>迪生物技</w:t>
            </w:r>
            <w:r>
              <w:rPr>
                <w:rFonts w:eastAsia="PMingLiU"/>
                <w:sz w:val="20"/>
              </w:rPr>
              <w:t>术</w:t>
            </w:r>
            <w:r>
              <w:rPr>
                <w:rFonts w:eastAsia="MS Mincho"/>
                <w:sz w:val="20"/>
              </w:rPr>
              <w:t>有限公司</w:t>
            </w:r>
            <w:r>
              <w:rPr>
                <w:rFonts w:ascii="Times New Roman;Times;serif" w:hAnsi="Times New Roman;Times;serif"/>
                <w:sz w:val="20"/>
              </w:rPr>
              <w:t>)</w:t>
            </w:r>
          </w:p>
        </w:tc>
        <w:tc>
          <w:tcPr>
            <w:tcW w:w="28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People’s Republic of China</w:t>
            </w:r>
          </w:p>
        </w:tc>
      </w:tr>
      <w:tr>
        <w:trPr/>
        <w:tc>
          <w:tcPr>
            <w:tcW w:w="62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86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628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ShouTi Hong Kong Limited</w:t>
            </w:r>
          </w:p>
        </w:tc>
        <w:tc>
          <w:tcPr>
            <w:tcW w:w="28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Hong Kong</w:t>
            </w:r>
          </w:p>
        </w:tc>
      </w:tr>
      <w:tr>
        <w:trPr/>
        <w:tc>
          <w:tcPr>
            <w:tcW w:w="628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c>
          <w:tcPr>
            <w:tcW w:w="2866" w:type="dxa"/>
            <w:tcBorders/>
            <w:shd w:fill="auto" w:val="clear"/>
            <w:tcMar>
              <w:bottom w:w="0" w:type="dxa"/>
            </w:tcMar>
            <w:vAlign w:val="center"/>
          </w:tcPr>
          <w:p>
            <w:pPr>
              <w:pStyle w:val="TableContents"/>
              <w:spacing w:before="0" w:after="283"/>
              <w:ind w:left="0" w:right="0" w:hanging="0"/>
              <w:rPr>
                <w:sz w:val="4"/>
                <w:szCs w:val="4"/>
              </w:rPr>
            </w:pPr>
            <w:r>
              <w:rPr>
                <w:sz w:val="4"/>
                <w:szCs w:val="4"/>
              </w:rPr>
            </w:r>
          </w:p>
        </w:tc>
      </w:tr>
      <w:tr>
        <w:trPr/>
        <w:tc>
          <w:tcPr>
            <w:tcW w:w="628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Structure Therapeutics USA Inc.</w:t>
            </w:r>
          </w:p>
        </w:tc>
        <w:tc>
          <w:tcPr>
            <w:tcW w:w="2866" w:type="dxa"/>
            <w:tcBorders/>
            <w:shd w:fill="auto" w:val="clear"/>
            <w:tcMar>
              <w:bottom w:w="0"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Delaware</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rPr/>
      </w:pPr>
      <w:bookmarkStart w:id="188" w:name="gpcr-20221231xex23d1.htm"/>
      <w:bookmarkStart w:id="189" w:name="ksgpcr20221231xex23d1"/>
      <w:bookmarkEnd w:id="188"/>
      <w:bookmarkEnd w:id="189"/>
      <w:r>
        <w:rPr/>
        <w:t>​</w:t>
      </w:r>
    </w:p>
    <w:p>
      <w:pPr>
        <w:pStyle w:val="TextBody"/>
        <w:spacing w:before="0" w:after="0"/>
        <w:ind w:left="0" w:right="0" w:hanging="0"/>
        <w:rPr/>
      </w:pPr>
      <w:r>
        <w:rPr/>
        <w:t>​</w:t>
      </w:r>
    </w:p>
    <w:p>
      <w:pPr>
        <w:pStyle w:val="TextBody"/>
        <w:pBdr/>
        <w:spacing w:before="480" w:after="0"/>
        <w:ind w:left="0" w:right="0" w:hanging="0"/>
        <w:jc w:val="center"/>
        <w:rPr>
          <w:rFonts w:ascii="Georgia" w:hAnsi="Georgia"/>
          <w:sz w:val="20"/>
        </w:rPr>
      </w:pPr>
      <w:bookmarkStart w:id="190" w:name="_heading=h.1fob9te"/>
      <w:bookmarkEnd w:id="190"/>
      <w:r>
        <w:rPr>
          <w:rFonts w:ascii="Georgia" w:hAnsi="Georgia"/>
          <w:sz w:val="20"/>
        </w:rPr>
        <w:t>CONSENT OF INDEPENDENT REGISTERED PUBLIC ACCOUNTING FIRM</w:t>
      </w:r>
    </w:p>
    <w:p>
      <w:pPr>
        <w:pStyle w:val="TextBody"/>
        <w:pBdr/>
        <w:spacing w:before="0" w:after="0"/>
        <w:ind w:left="0" w:right="0" w:hanging="0"/>
        <w:rPr>
          <w:rFonts w:ascii="Georgia" w:hAnsi="Georgia"/>
          <w:sz w:val="20"/>
        </w:rPr>
      </w:pPr>
      <w:bookmarkStart w:id="191" w:name="_heading=h.3znysh7"/>
      <w:bookmarkEnd w:id="191"/>
      <w:r>
        <w:rPr>
          <w:rFonts w:ascii="Georgia" w:hAnsi="Georgia"/>
          <w:sz w:val="20"/>
        </w:rPr>
        <w:t>We hereby consent to the incorporation by reference in the Registration Statement on Form S-8 (No. 333-269601) of Structure Therapeutics Inc. of our report dated March 30, 2023 relating to the financial statements, which appears in this Form 10-K.</w:t>
      </w:r>
    </w:p>
    <w:p>
      <w:pPr>
        <w:pStyle w:val="TextBody"/>
        <w:pBdr/>
        <w:spacing w:before="0" w:after="0"/>
        <w:ind w:left="0" w:right="0" w:hanging="0"/>
        <w:rPr>
          <w:rFonts w:ascii="Georgia" w:hAnsi="Georgia"/>
          <w:sz w:val="20"/>
        </w:rPr>
      </w:pPr>
      <w:bookmarkStart w:id="192" w:name="_heading=h.2et92p0"/>
      <w:bookmarkEnd w:id="192"/>
      <w:r>
        <w:rPr>
          <w:rFonts w:ascii="Georgia" w:hAnsi="Georgia"/>
          <w:sz w:val="20"/>
        </w:rPr>
        <w:t>/s/ PricewaterhouseCoopers LLP</w:t>
        <w:br/>
        <w:t>San Jose, California</w:t>
      </w:r>
      <w:r>
        <w:rPr>
          <w:rFonts w:ascii="Georgia" w:hAnsi="Georgia"/>
          <w:b/>
          <w:color w:val="FF0000"/>
          <w:sz w:val="20"/>
        </w:rPr>
        <w:br/>
      </w:r>
      <w:r>
        <w:rPr>
          <w:rFonts w:ascii="Georgia" w:hAnsi="Georgia"/>
          <w:sz w:val="20"/>
        </w:rPr>
        <w:t>March 30, 2023</w:t>
      </w:r>
    </w:p>
    <w:p>
      <w:pPr>
        <w:pStyle w:val="TextBody"/>
        <w:pBdr/>
        <w:spacing w:before="0" w:after="0"/>
        <w:ind w:left="0" w:right="0" w:hanging="0"/>
        <w:jc w:val="right"/>
        <w:rPr>
          <w:rFonts w:ascii="Georgia" w:hAnsi="Georgia"/>
          <w:sz w:val="20"/>
        </w:rPr>
      </w:pPr>
      <w:r>
        <w:rPr>
          <w:rFonts w:ascii="Georgia" w:hAnsi="Georgia"/>
          <w:sz w:val="20"/>
        </w:rPr>
        <w:t>1</w:t>
      </w:r>
    </w:p>
    <w:p>
      <w:pPr>
        <w:pStyle w:val="TextBody"/>
        <w:pBdr/>
        <w:spacing w:before="0" w:after="0"/>
        <w:ind w:left="0" w:right="0" w:hanging="0"/>
        <w:rPr/>
      </w:pPr>
      <w:r>
        <w:rPr/>
        <w:t>​</w:t>
      </w:r>
    </w:p>
    <w:p>
      <w:pPr>
        <w:pStyle w:val="TextBody"/>
        <w:spacing w:before="0" w:after="0"/>
        <w:ind w:left="0" w:right="0" w:hanging="0"/>
        <w:rPr/>
      </w:pPr>
      <w:r>
        <w:rPr/>
        <w:t>​</w:t>
      </w:r>
    </w:p>
    <w:p>
      <w:pPr>
        <w:pStyle w:val="HorizontalLine"/>
        <w:rPr/>
      </w:pPr>
      <w:r>
        <w:rPr/>
      </w:r>
      <w:r>
        <w:br w:type="page"/>
      </w:r>
    </w:p>
    <w:p>
      <w:pPr>
        <w:pStyle w:val="TextBody"/>
        <w:spacing w:lineRule="auto" w:line="328" w:before="0" w:after="0"/>
        <w:ind w:left="0" w:right="0" w:hanging="0"/>
        <w:rPr/>
      </w:pPr>
      <w:bookmarkStart w:id="193" w:name="gpcr-20221231xex31d1.htm"/>
      <w:bookmarkStart w:id="194" w:name="ksgpcr20221231xex31d1"/>
      <w:bookmarkEnd w:id="193"/>
      <w:bookmarkEnd w:id="194"/>
      <w:r>
        <w:rPr/>
        <w:t>​</w:t>
      </w:r>
    </w:p>
    <w:p>
      <w:pPr>
        <w:pStyle w:val="TextBody"/>
        <w:spacing w:lineRule="auto" w:line="328" w:before="0" w:after="0"/>
        <w:ind w:left="0" w:right="0" w:hanging="0"/>
        <w:jc w:val="right"/>
        <w:rPr>
          <w:rFonts w:ascii="Times New Roman;Times;serif" w:hAnsi="Times New Roman;Times;serif"/>
          <w:b/>
          <w:sz w:val="20"/>
          <w:highlight w:val="white"/>
        </w:rPr>
      </w:pPr>
      <w:bookmarkStart w:id="195" w:name="Section1"/>
      <w:bookmarkEnd w:id="195"/>
      <w:r>
        <w:rPr>
          <w:rFonts w:ascii="Times New Roman;Times;serif" w:hAnsi="Times New Roman;Times;serif"/>
          <w:b/>
          <w:sz w:val="20"/>
          <w:highlight w:val="white"/>
        </w:rPr>
        <w:t>Exhibit 31.1</w:t>
      </w:r>
    </w:p>
    <w:p>
      <w:pPr>
        <w:pStyle w:val="TextBody"/>
        <w:spacing w:lineRule="auto" w:line="328" w:before="360" w:after="0"/>
        <w:ind w:left="0" w:right="0" w:hanging="0"/>
        <w:jc w:val="center"/>
        <w:rPr>
          <w:rFonts w:ascii="Times New Roman;Times;serif" w:hAnsi="Times New Roman;Times;serif"/>
          <w:b/>
          <w:sz w:val="20"/>
          <w:highlight w:val="white"/>
        </w:rPr>
      </w:pPr>
      <w:r>
        <w:rPr>
          <w:rFonts w:ascii="Times New Roman;Times;serif" w:hAnsi="Times New Roman;Times;serif"/>
          <w:b/>
          <w:sz w:val="20"/>
          <w:highlight w:val="white"/>
        </w:rPr>
        <w:t>CERTIFICATION PURSUANT TO</w:t>
      </w:r>
    </w:p>
    <w:p>
      <w:pPr>
        <w:pStyle w:val="TextBody"/>
        <w:spacing w:lineRule="auto" w:line="328" w:before="0" w:after="0"/>
        <w:ind w:left="0" w:right="0" w:hanging="0"/>
        <w:jc w:val="center"/>
        <w:rPr>
          <w:rFonts w:ascii="Times New Roman;Times;serif" w:hAnsi="Times New Roman;Times;serif"/>
          <w:b/>
          <w:sz w:val="20"/>
          <w:highlight w:val="white"/>
        </w:rPr>
      </w:pPr>
      <w:r>
        <w:rPr>
          <w:rFonts w:ascii="Times New Roman;Times;serif" w:hAnsi="Times New Roman;Times;serif"/>
          <w:b/>
          <w:sz w:val="20"/>
          <w:highlight w:val="white"/>
        </w:rPr>
        <w:t>RULES 13a-14(a) AND 15d-14(a) UNDER THE SECURITIES EXCHANGE ACT OF 1934,</w:t>
      </w:r>
    </w:p>
    <w:p>
      <w:pPr>
        <w:pStyle w:val="TextBody"/>
        <w:spacing w:lineRule="auto" w:line="328" w:before="0" w:after="0"/>
        <w:ind w:left="0" w:right="0" w:hanging="0"/>
        <w:jc w:val="center"/>
        <w:rPr>
          <w:rFonts w:ascii="Times New Roman;Times;serif" w:hAnsi="Times New Roman;Times;serif"/>
          <w:b/>
          <w:sz w:val="20"/>
          <w:highlight w:val="white"/>
        </w:rPr>
      </w:pPr>
      <w:r>
        <w:rPr>
          <w:rFonts w:ascii="Times New Roman;Times;serif" w:hAnsi="Times New Roman;Times;serif"/>
          <w:b/>
          <w:sz w:val="20"/>
          <w:highlight w:val="white"/>
        </w:rPr>
        <w:t>AS ADOPTED PURSUANT TO SECTION 302 OF THE SARBANES-OXLEY ACT OF 2002</w:t>
      </w:r>
    </w:p>
    <w:p>
      <w:pPr>
        <w:pStyle w:val="TextBody"/>
        <w:spacing w:lineRule="auto" w:line="328" w:before="240" w:after="0"/>
        <w:ind w:left="0" w:right="0" w:hanging="0"/>
        <w:rPr>
          <w:rFonts w:ascii="Times New Roman;Times;serif" w:hAnsi="Times New Roman;Times;serif"/>
          <w:sz w:val="20"/>
        </w:rPr>
      </w:pPr>
      <w:r>
        <w:rPr>
          <w:rFonts w:ascii="Times New Roman;Times;serif" w:hAnsi="Times New Roman;Times;serif"/>
          <w:sz w:val="20"/>
        </w:rPr>
        <w:t>I, Raymond Stevens, Ph.D., certify that:</w:t>
      </w:r>
    </w:p>
    <w:tbl>
      <w:tblPr>
        <w:tblW w:w="6715" w:type="dxa"/>
        <w:jc w:val="left"/>
        <w:tblInd w:w="0" w:type="dxa"/>
        <w:tblCellMar>
          <w:top w:w="0" w:type="dxa"/>
          <w:left w:w="0" w:type="dxa"/>
          <w:bottom w:w="0" w:type="dxa"/>
          <w:right w:w="0" w:type="dxa"/>
        </w:tblCellMar>
      </w:tblPr>
      <w:tblGrid>
        <w:gridCol w:w="170"/>
        <w:gridCol w:w="6545"/>
      </w:tblGrid>
      <w:tr>
        <w:trPr/>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6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Structure Therapeutics Inc.;</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49"/>
        <w:gridCol w:w="10056"/>
      </w:tblGrid>
      <w:tr>
        <w:trPr/>
        <w:tc>
          <w:tcPr>
            <w:tcW w:w="14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5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tbl>
      <w:tblPr>
        <w:tblW w:w="1218" w:type="dxa"/>
        <w:jc w:val="left"/>
        <w:tblInd w:w="0" w:type="dxa"/>
        <w:tblCellMar>
          <w:top w:w="0" w:type="dxa"/>
          <w:left w:w="0" w:type="dxa"/>
          <w:bottom w:w="0" w:type="dxa"/>
          <w:right w:w="0" w:type="dxa"/>
        </w:tblCellMar>
      </w:tblPr>
      <w:tblGrid>
        <w:gridCol w:w="23"/>
        <w:gridCol w:w="245"/>
        <w:gridCol w:w="95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(b)</w:t>
            </w:r>
          </w:p>
        </w:tc>
        <w:tc>
          <w:tcPr>
            <w:tcW w:w="950"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[Reserved];</w:t>
            </w:r>
          </w:p>
        </w:tc>
      </w:tr>
    </w:tbl>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(d)</w:t>
            </w:r>
          </w:p>
        </w:tc>
        <w:tc>
          <w:tcPr>
            <w:tcW w:w="9978"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6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97"/>
        <w:gridCol w:w="9985"/>
      </w:tblGrid>
      <w:tr>
        <w:trPr/>
        <w:tc>
          <w:tcPr>
            <w:tcW w:w="2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(a)</w:t>
            </w:r>
          </w:p>
        </w:tc>
        <w:tc>
          <w:tcPr>
            <w:tcW w:w="9985"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lineRule="auto" w:line="328" w:before="240" w:after="0"/>
        <w:ind w:left="0" w:right="0" w:hanging="0"/>
        <w:rPr/>
      </w:pPr>
      <w:r>
        <w:rPr/>
        <w:t>​</w:t>
      </w:r>
    </w:p>
    <w:tbl>
      <w:tblPr>
        <w:tblW w:w="4893" w:type="dxa"/>
        <w:jc w:val="left"/>
        <w:tblInd w:w="0" w:type="dxa"/>
        <w:tblCellMar>
          <w:top w:w="0" w:type="dxa"/>
          <w:left w:w="0" w:type="dxa"/>
          <w:bottom w:w="0" w:type="dxa"/>
          <w:right w:w="0" w:type="dxa"/>
        </w:tblCellMar>
      </w:tblPr>
      <w:tblGrid>
        <w:gridCol w:w="1891"/>
        <w:gridCol w:w="406"/>
        <w:gridCol w:w="2596"/>
      </w:tblGrid>
      <w:tr>
        <w:trPr/>
        <w:tc>
          <w:tcPr>
            <w:tcW w:w="189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96" w:type="dxa"/>
            <w:tcBorders/>
            <w:shd w:fill="auto" w:val="clear"/>
            <w:vAlign w:val="center"/>
          </w:tcPr>
          <w:p>
            <w:pPr>
              <w:pStyle w:val="TableContents"/>
              <w:spacing w:before="0" w:after="0"/>
              <w:ind w:left="0" w:right="0" w:hanging="0"/>
              <w:rPr/>
            </w:pPr>
            <w:r>
              <w:rPr/>
              <w:t>​</w:t>
            </w:r>
          </w:p>
        </w:tc>
      </w:tr>
      <w:tr>
        <w:trPr/>
        <w:tc>
          <w:tcPr>
            <w:tcW w:w="18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March 30, 2023</w:t>
            </w:r>
          </w:p>
        </w:tc>
        <w:tc>
          <w:tcPr>
            <w:tcW w:w="4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By:</w:t>
            </w:r>
          </w:p>
        </w:tc>
        <w:tc>
          <w:tcPr>
            <w:tcW w:w="25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Raymond Stevens, Ph.D.</w:t>
            </w:r>
          </w:p>
        </w:tc>
      </w:tr>
      <w:tr>
        <w:trPr/>
        <w:tc>
          <w:tcPr>
            <w:tcW w:w="189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9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Raymond Stevens, Ph.D.</w:t>
            </w:r>
          </w:p>
        </w:tc>
      </w:tr>
      <w:tr>
        <w:trPr/>
        <w:tc>
          <w:tcPr>
            <w:tcW w:w="189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9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89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9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r>
      <w:tr>
        <w:trPr/>
        <w:tc>
          <w:tcPr>
            <w:tcW w:w="189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96" w:type="dxa"/>
            <w:tcBorders/>
            <w:shd w:fill="auto" w:val="clear"/>
            <w:vAlign w:val="center"/>
          </w:tcPr>
          <w:p>
            <w:pPr>
              <w:pStyle w:val="TableContents"/>
              <w:spacing w:before="0" w:after="0"/>
              <w:ind w:left="0" w:right="0" w:hanging="0"/>
              <w:jc w:val="center"/>
              <w:rPr/>
            </w:pPr>
            <w:r>
              <w:rPr/>
              <w:t>​</w:t>
            </w:r>
          </w:p>
        </w:tc>
      </w:tr>
    </w:tbl>
    <w:p>
      <w:pPr>
        <w:pStyle w:val="TextBody"/>
        <w:spacing w:before="0" w:after="0"/>
        <w:ind w:left="0" w:right="0" w:hanging="0"/>
        <w:rPr/>
      </w:pPr>
      <w:r>
        <w:rPr/>
        <w:t>​</w:t>
      </w:r>
    </w:p>
    <w:p>
      <w:pPr>
        <w:pStyle w:val="TextBody"/>
        <w:spacing w:lineRule="auto" w:line="328" w:before="0" w:after="0"/>
        <w:ind w:left="0" w:right="0" w:hanging="0"/>
        <w:rPr/>
      </w:pPr>
      <w:r>
        <w:rPr/>
        <w:t>​</w:t>
      </w:r>
    </w:p>
    <w:p>
      <w:pPr>
        <w:pStyle w:val="HorizontalLine"/>
        <w:rPr/>
      </w:pPr>
      <w:r>
        <w:rPr/>
      </w:r>
      <w:r>
        <w:br w:type="page"/>
      </w:r>
    </w:p>
    <w:p>
      <w:pPr>
        <w:pStyle w:val="TextBody"/>
        <w:spacing w:lineRule="auto" w:line="328" w:before="0" w:after="0"/>
        <w:ind w:left="0" w:right="0" w:hanging="0"/>
        <w:rPr/>
      </w:pPr>
      <w:bookmarkStart w:id="196" w:name="gpcr-20221231xex31d2.htm"/>
      <w:bookmarkStart w:id="197" w:name="ksgpcr20221231xex31d2"/>
      <w:bookmarkEnd w:id="196"/>
      <w:bookmarkEnd w:id="197"/>
      <w:r>
        <w:rPr/>
        <w:t>​</w:t>
      </w:r>
    </w:p>
    <w:p>
      <w:pPr>
        <w:pStyle w:val="TextBody"/>
        <w:spacing w:lineRule="auto" w:line="328" w:before="0" w:after="0"/>
        <w:ind w:left="0" w:right="0" w:hanging="0"/>
        <w:jc w:val="right"/>
        <w:rPr>
          <w:rFonts w:ascii="Times New Roman;Times;serif" w:hAnsi="Times New Roman;Times;serif"/>
          <w:b/>
          <w:sz w:val="20"/>
          <w:highlight w:val="white"/>
        </w:rPr>
      </w:pPr>
      <w:bookmarkStart w:id="198" w:name="Section11"/>
      <w:bookmarkEnd w:id="198"/>
      <w:r>
        <w:rPr>
          <w:rFonts w:ascii="Times New Roman;Times;serif" w:hAnsi="Times New Roman;Times;serif"/>
          <w:b/>
          <w:sz w:val="20"/>
          <w:highlight w:val="white"/>
        </w:rPr>
        <w:t>Exhibit 31.2</w:t>
      </w:r>
    </w:p>
    <w:p>
      <w:pPr>
        <w:pStyle w:val="TextBody"/>
        <w:spacing w:lineRule="auto" w:line="328" w:before="360" w:after="0"/>
        <w:ind w:left="0" w:right="0" w:hanging="0"/>
        <w:jc w:val="center"/>
        <w:rPr>
          <w:rFonts w:ascii="Times New Roman;Times;serif" w:hAnsi="Times New Roman;Times;serif"/>
          <w:b/>
          <w:sz w:val="20"/>
          <w:highlight w:val="white"/>
        </w:rPr>
      </w:pPr>
      <w:r>
        <w:rPr>
          <w:rFonts w:ascii="Times New Roman;Times;serif" w:hAnsi="Times New Roman;Times;serif"/>
          <w:b/>
          <w:sz w:val="20"/>
          <w:highlight w:val="white"/>
        </w:rPr>
        <w:t>CERTIFICATION PURSUANT TO</w:t>
      </w:r>
    </w:p>
    <w:p>
      <w:pPr>
        <w:pStyle w:val="TextBody"/>
        <w:spacing w:lineRule="auto" w:line="328" w:before="0" w:after="0"/>
        <w:ind w:left="0" w:right="0" w:hanging="0"/>
        <w:jc w:val="center"/>
        <w:rPr>
          <w:rFonts w:ascii="Times New Roman;Times;serif" w:hAnsi="Times New Roman;Times;serif"/>
          <w:b/>
          <w:sz w:val="20"/>
          <w:highlight w:val="white"/>
        </w:rPr>
      </w:pPr>
      <w:r>
        <w:rPr>
          <w:rFonts w:ascii="Times New Roman;Times;serif" w:hAnsi="Times New Roman;Times;serif"/>
          <w:b/>
          <w:sz w:val="20"/>
          <w:highlight w:val="white"/>
        </w:rPr>
        <w:t>RULES 13a-14(a) AND 15d-14(a) UNDER THE SECURITIES EXCHANGE ACT OF 1934,</w:t>
      </w:r>
    </w:p>
    <w:p>
      <w:pPr>
        <w:pStyle w:val="TextBody"/>
        <w:spacing w:lineRule="auto" w:line="328" w:before="0" w:after="0"/>
        <w:ind w:left="0" w:right="0" w:hanging="0"/>
        <w:jc w:val="center"/>
        <w:rPr>
          <w:rFonts w:ascii="Times New Roman;Times;serif" w:hAnsi="Times New Roman;Times;serif"/>
          <w:b/>
          <w:sz w:val="20"/>
          <w:highlight w:val="white"/>
        </w:rPr>
      </w:pPr>
      <w:r>
        <w:rPr>
          <w:rFonts w:ascii="Times New Roman;Times;serif" w:hAnsi="Times New Roman;Times;serif"/>
          <w:b/>
          <w:sz w:val="20"/>
          <w:highlight w:val="white"/>
        </w:rPr>
        <w:t>AS ADOPTED PURSUANT TO SECTION 302 OF THE SARBANES-OXLEY ACT OF 2002</w:t>
      </w:r>
    </w:p>
    <w:p>
      <w:pPr>
        <w:pStyle w:val="TextBody"/>
        <w:spacing w:lineRule="auto" w:line="328" w:before="240" w:after="0"/>
        <w:ind w:left="0" w:right="0" w:hanging="0"/>
        <w:rPr>
          <w:rFonts w:ascii="Times New Roman;Times;serif" w:hAnsi="Times New Roman;Times;serif"/>
          <w:sz w:val="20"/>
        </w:rPr>
      </w:pPr>
      <w:r>
        <w:rPr>
          <w:rFonts w:ascii="Times New Roman;Times;serif" w:hAnsi="Times New Roman;Times;serif"/>
          <w:sz w:val="20"/>
        </w:rPr>
        <w:t>I, Jun Yoon, certify that:</w:t>
      </w:r>
    </w:p>
    <w:tbl>
      <w:tblPr>
        <w:tblW w:w="6715" w:type="dxa"/>
        <w:jc w:val="left"/>
        <w:tblInd w:w="0" w:type="dxa"/>
        <w:tblCellMar>
          <w:top w:w="0" w:type="dxa"/>
          <w:left w:w="0" w:type="dxa"/>
          <w:bottom w:w="0" w:type="dxa"/>
          <w:right w:w="0" w:type="dxa"/>
        </w:tblCellMar>
      </w:tblPr>
      <w:tblGrid>
        <w:gridCol w:w="170"/>
        <w:gridCol w:w="6545"/>
      </w:tblGrid>
      <w:tr>
        <w:trPr/>
        <w:tc>
          <w:tcPr>
            <w:tcW w:w="1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654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Structure Therapeutics Inc.;</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49"/>
        <w:gridCol w:w="10056"/>
      </w:tblGrid>
      <w:tr>
        <w:trPr/>
        <w:tc>
          <w:tcPr>
            <w:tcW w:w="14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10056"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for the registrant and have:</w:t>
            </w:r>
          </w:p>
        </w:tc>
      </w:tr>
    </w:tbl>
    <w:tbl>
      <w:tblPr>
        <w:tblW w:w="10205" w:type="dxa"/>
        <w:jc w:val="left"/>
        <w:tblInd w:w="0" w:type="dxa"/>
        <w:tblCellMar>
          <w:top w:w="0" w:type="dxa"/>
          <w:left w:w="0" w:type="dxa"/>
          <w:bottom w:w="0" w:type="dxa"/>
          <w:right w:w="0" w:type="dxa"/>
        </w:tblCellMar>
      </w:tblPr>
      <w:tblGrid>
        <w:gridCol w:w="23"/>
        <w:gridCol w:w="189"/>
        <w:gridCol w:w="9993"/>
      </w:tblGrid>
      <w:tr>
        <w:trPr/>
        <w:tc>
          <w:tcPr>
            <w:tcW w:w="2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(a)</w:t>
            </w:r>
          </w:p>
        </w:tc>
        <w:tc>
          <w:tcPr>
            <w:tcW w:w="9993"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218" w:type="dxa"/>
        <w:jc w:val="left"/>
        <w:tblInd w:w="0" w:type="dxa"/>
        <w:tblCellMar>
          <w:top w:w="0" w:type="dxa"/>
          <w:left w:w="0" w:type="dxa"/>
          <w:bottom w:w="0" w:type="dxa"/>
          <w:right w:w="0" w:type="dxa"/>
        </w:tblCellMar>
      </w:tblPr>
      <w:tblGrid>
        <w:gridCol w:w="23"/>
        <w:gridCol w:w="245"/>
        <w:gridCol w:w="95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(b)</w:t>
            </w:r>
          </w:p>
        </w:tc>
        <w:tc>
          <w:tcPr>
            <w:tcW w:w="950"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[Reserved];</w:t>
            </w:r>
          </w:p>
        </w:tc>
      </w:tr>
    </w:tbl>
    <w:tbl>
      <w:tblPr>
        <w:tblW w:w="10205" w:type="dxa"/>
        <w:jc w:val="left"/>
        <w:tblInd w:w="0" w:type="dxa"/>
        <w:tblCellMar>
          <w:top w:w="0" w:type="dxa"/>
          <w:left w:w="0" w:type="dxa"/>
          <w:bottom w:w="0" w:type="dxa"/>
          <w:right w:w="0" w:type="dxa"/>
        </w:tblCellMar>
      </w:tblPr>
      <w:tblGrid>
        <w:gridCol w:w="23"/>
        <w:gridCol w:w="195"/>
        <w:gridCol w:w="9987"/>
      </w:tblGrid>
      <w:tr>
        <w:trPr/>
        <w:tc>
          <w:tcPr>
            <w:tcW w:w="23"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(c)</w:t>
            </w:r>
          </w:p>
        </w:tc>
        <w:tc>
          <w:tcPr>
            <w:tcW w:w="9987"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23"/>
        <w:gridCol w:w="204"/>
        <w:gridCol w:w="9978"/>
      </w:tblGrid>
      <w:tr>
        <w:trPr/>
        <w:tc>
          <w:tcPr>
            <w:tcW w:w="2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(d)</w:t>
            </w:r>
          </w:p>
        </w:tc>
        <w:tc>
          <w:tcPr>
            <w:tcW w:w="9978"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1006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23"/>
        <w:gridCol w:w="197"/>
        <w:gridCol w:w="9985"/>
      </w:tblGrid>
      <w:tr>
        <w:trPr/>
        <w:tc>
          <w:tcPr>
            <w:tcW w:w="23"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(a)</w:t>
            </w:r>
          </w:p>
        </w:tc>
        <w:tc>
          <w:tcPr>
            <w:tcW w:w="9985"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23"/>
        <w:gridCol w:w="227"/>
        <w:gridCol w:w="9955"/>
      </w:tblGrid>
      <w:tr>
        <w:trPr/>
        <w:tc>
          <w:tcPr>
            <w:tcW w:w="2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(b)</w:t>
            </w:r>
          </w:p>
        </w:tc>
        <w:tc>
          <w:tcPr>
            <w:tcW w:w="9955"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pBdr/>
        <w:spacing w:lineRule="auto" w:line="328" w:before="240" w:after="0"/>
        <w:ind w:left="490" w:right="0" w:hanging="490"/>
        <w:rPr/>
      </w:pPr>
      <w:r>
        <w:rPr/>
        <w:t>​</w:t>
      </w:r>
    </w:p>
    <w:tbl>
      <w:tblPr>
        <w:tblW w:w="5208" w:type="dxa"/>
        <w:jc w:val="left"/>
        <w:tblInd w:w="0" w:type="dxa"/>
        <w:tblCellMar>
          <w:top w:w="0" w:type="dxa"/>
          <w:left w:w="0" w:type="dxa"/>
          <w:bottom w:w="0" w:type="dxa"/>
          <w:right w:w="0" w:type="dxa"/>
        </w:tblCellMar>
      </w:tblPr>
      <w:tblGrid>
        <w:gridCol w:w="1891"/>
        <w:gridCol w:w="406"/>
        <w:gridCol w:w="2911"/>
      </w:tblGrid>
      <w:tr>
        <w:trPr/>
        <w:tc>
          <w:tcPr>
            <w:tcW w:w="189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911" w:type="dxa"/>
            <w:tcBorders/>
            <w:shd w:fill="auto" w:val="clear"/>
            <w:vAlign w:val="center"/>
          </w:tcPr>
          <w:p>
            <w:pPr>
              <w:pStyle w:val="TableContents"/>
              <w:spacing w:before="0" w:after="0"/>
              <w:ind w:left="0" w:right="0" w:hanging="0"/>
              <w:rPr/>
            </w:pPr>
            <w:r>
              <w:rPr/>
              <w:t>​</w:t>
            </w:r>
          </w:p>
        </w:tc>
      </w:tr>
      <w:tr>
        <w:trPr/>
        <w:tc>
          <w:tcPr>
            <w:tcW w:w="1891" w:type="dxa"/>
            <w:tcBorders/>
            <w:shd w:fill="auto" w:val="clear"/>
            <w:vAlign w:val="center"/>
          </w:tcPr>
          <w:p>
            <w:pPr>
              <w:pStyle w:val="TableContents"/>
              <w:spacing w:before="0" w:after="0"/>
              <w:ind w:left="0" w:right="0" w:hanging="0"/>
              <w:rPr>
                <w:rFonts w:ascii="Times New Roman;Times;serif" w:hAnsi="Times New Roman;Times;serif"/>
                <w:sz w:val="20"/>
              </w:rPr>
            </w:pPr>
            <w:bookmarkStart w:id="199" w:name="_Hlk129953257"/>
            <w:bookmarkEnd w:id="199"/>
            <w:r>
              <w:rPr>
                <w:rFonts w:ascii="Times New Roman;Times;serif" w:hAnsi="Times New Roman;Times;serif"/>
                <w:sz w:val="20"/>
              </w:rPr>
              <w:t>Date: March 30, 2023</w:t>
            </w:r>
          </w:p>
        </w:tc>
        <w:tc>
          <w:tcPr>
            <w:tcW w:w="4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By:</w:t>
            </w:r>
          </w:p>
        </w:tc>
        <w:tc>
          <w:tcPr>
            <w:tcW w:w="29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Jun Yoon</w:t>
            </w:r>
          </w:p>
        </w:tc>
      </w:tr>
      <w:tr>
        <w:trPr/>
        <w:tc>
          <w:tcPr>
            <w:tcW w:w="189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91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Jun Yoon</w:t>
            </w:r>
          </w:p>
        </w:tc>
      </w:tr>
      <w:tr>
        <w:trPr/>
        <w:tc>
          <w:tcPr>
            <w:tcW w:w="189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91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89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91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(Principal Financial Officer and </w:t>
            </w:r>
          </w:p>
        </w:tc>
      </w:tr>
      <w:tr>
        <w:trPr/>
        <w:tc>
          <w:tcPr>
            <w:tcW w:w="189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91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Accounting Officer)</w:t>
            </w:r>
          </w:p>
        </w:tc>
      </w:tr>
    </w:tbl>
    <w:p>
      <w:pPr>
        <w:pStyle w:val="TextBody"/>
        <w:spacing w:before="0" w:after="0"/>
        <w:ind w:left="0" w:right="0" w:hanging="0"/>
        <w:rPr/>
      </w:pPr>
      <w:r>
        <w:rPr/>
        <w:t>​</w:t>
      </w:r>
    </w:p>
    <w:p>
      <w:pPr>
        <w:pStyle w:val="TextBody"/>
        <w:spacing w:lineRule="auto" w:line="328" w:before="0" w:after="0"/>
        <w:ind w:left="0" w:right="0" w:hanging="0"/>
        <w:rPr/>
      </w:pPr>
      <w:r>
        <w:rPr/>
        <w:t>​</w:t>
      </w:r>
    </w:p>
    <w:p>
      <w:pPr>
        <w:pStyle w:val="HorizontalLine"/>
        <w:rPr/>
      </w:pPr>
      <w:r>
        <w:rPr/>
      </w:r>
      <w:r>
        <w:br w:type="page"/>
      </w:r>
    </w:p>
    <w:p>
      <w:pPr>
        <w:pStyle w:val="TextBody"/>
        <w:spacing w:lineRule="auto" w:line="328" w:before="0" w:after="0"/>
        <w:ind w:left="0" w:right="0" w:hanging="0"/>
        <w:rPr/>
      </w:pPr>
      <w:bookmarkStart w:id="200" w:name="gpcr-20221231xex32d1.htm"/>
      <w:bookmarkStart w:id="201" w:name="ksgpcr20221231xex32d1"/>
      <w:bookmarkEnd w:id="200"/>
      <w:bookmarkEnd w:id="201"/>
      <w:r>
        <w:rPr/>
        <w:t>​</w:t>
      </w:r>
    </w:p>
    <w:p>
      <w:pPr>
        <w:pStyle w:val="TextBody"/>
        <w:spacing w:lineRule="auto" w:line="328" w:before="0" w:after="0"/>
        <w:ind w:left="0" w:right="0" w:hanging="0"/>
        <w:jc w:val="right"/>
        <w:rPr>
          <w:rFonts w:ascii="Times New Roman;Times;serif" w:hAnsi="Times New Roman;Times;serif"/>
          <w:b/>
          <w:sz w:val="20"/>
          <w:highlight w:val="white"/>
        </w:rPr>
      </w:pPr>
      <w:bookmarkStart w:id="202" w:name="Section12"/>
      <w:bookmarkEnd w:id="202"/>
      <w:r>
        <w:rPr>
          <w:rFonts w:ascii="Times New Roman;Times;serif" w:hAnsi="Times New Roman;Times;serif"/>
          <w:b/>
          <w:sz w:val="20"/>
          <w:highlight w:val="white"/>
        </w:rPr>
        <w:t>Exhibit 32.1</w:t>
      </w:r>
    </w:p>
    <w:p>
      <w:pPr>
        <w:pStyle w:val="TextBody"/>
        <w:spacing w:lineRule="auto" w:line="328" w:before="360" w:after="0"/>
        <w:ind w:left="0" w:right="0" w:hanging="0"/>
        <w:jc w:val="center"/>
        <w:rPr>
          <w:rFonts w:ascii="Times New Roman;Times;serif" w:hAnsi="Times New Roman;Times;serif"/>
          <w:b/>
          <w:sz w:val="20"/>
          <w:highlight w:val="white"/>
        </w:rPr>
      </w:pPr>
      <w:r>
        <w:rPr>
          <w:rFonts w:ascii="Times New Roman;Times;serif" w:hAnsi="Times New Roman;Times;serif"/>
          <w:b/>
          <w:sz w:val="20"/>
          <w:highlight w:val="white"/>
        </w:rPr>
        <w:t>CERTIFICATION PURSUANT TO</w:t>
      </w:r>
    </w:p>
    <w:p>
      <w:pPr>
        <w:pStyle w:val="TextBody"/>
        <w:spacing w:lineRule="auto" w:line="328" w:before="0" w:after="0"/>
        <w:ind w:left="0" w:right="0" w:hanging="0"/>
        <w:jc w:val="center"/>
        <w:rPr>
          <w:rFonts w:ascii="Times New Roman;Times;serif" w:hAnsi="Times New Roman;Times;serif"/>
          <w:b/>
          <w:sz w:val="20"/>
          <w:highlight w:val="white"/>
        </w:rPr>
      </w:pPr>
      <w:r>
        <w:rPr>
          <w:rFonts w:ascii="Times New Roman;Times;serif" w:hAnsi="Times New Roman;Times;serif"/>
          <w:b/>
          <w:sz w:val="20"/>
          <w:highlight w:val="white"/>
        </w:rPr>
        <w:t>18 U.S.C. SECTION 1350, AS ADOPTED PURSUANT TO</w:t>
      </w:r>
    </w:p>
    <w:p>
      <w:pPr>
        <w:pStyle w:val="TextBody"/>
        <w:spacing w:lineRule="auto" w:line="328" w:before="0" w:after="0"/>
        <w:ind w:left="0" w:right="0" w:hanging="0"/>
        <w:jc w:val="center"/>
        <w:rPr>
          <w:rFonts w:ascii="Times New Roman;Times;serif" w:hAnsi="Times New Roman;Times;serif"/>
          <w:b/>
          <w:sz w:val="20"/>
          <w:highlight w:val="white"/>
        </w:rPr>
      </w:pPr>
      <w:r>
        <w:rPr>
          <w:rFonts w:ascii="Times New Roman;Times;serif" w:hAnsi="Times New Roman;Times;serif"/>
          <w:b/>
          <w:sz w:val="20"/>
          <w:highlight w:val="white"/>
        </w:rPr>
        <w:t>SECTION 906 OF THE SARBANES-OXLEY ACT OF 2002</w:t>
      </w:r>
    </w:p>
    <w:p>
      <w:pPr>
        <w:pStyle w:val="TextBody"/>
        <w:spacing w:lineRule="auto" w:line="328" w:before="240" w:after="0"/>
        <w:ind w:left="0" w:right="0" w:firstLine="490"/>
        <w:rPr>
          <w:rFonts w:ascii="Times New Roman;Times;serif" w:hAnsi="Times New Roman;Times;serif"/>
          <w:sz w:val="20"/>
        </w:rPr>
      </w:pPr>
      <w:r>
        <w:rPr>
          <w:rFonts w:ascii="Times New Roman;Times;serif" w:hAnsi="Times New Roman;Times;serif"/>
          <w:sz w:val="20"/>
        </w:rPr>
        <w:t>In connection with the Annual Report of Structure Therapeutics Inc. (the “Company”) on Form 10-K for the year ended December 31, 2022 as filed with the Securities and Exchange Commission on the date hereof (the “Report”), I certify, pursuant to 18 U.S.C. § 1350, as adopted pursuant to § 906 of the Sarbanes-Oxley Act of 2002, that, to the best of my knowledge:</w:t>
      </w:r>
    </w:p>
    <w:tbl>
      <w:tblPr>
        <w:tblW w:w="9828" w:type="dxa"/>
        <w:jc w:val="left"/>
        <w:tblInd w:w="0" w:type="dxa"/>
        <w:tblCellMar>
          <w:top w:w="0" w:type="dxa"/>
          <w:left w:w="0" w:type="dxa"/>
          <w:bottom w:w="0" w:type="dxa"/>
          <w:right w:w="0" w:type="dxa"/>
        </w:tblCellMar>
      </w:tblPr>
      <w:tblGrid>
        <w:gridCol w:w="23"/>
        <w:gridCol w:w="245"/>
        <w:gridCol w:w="956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(1)</w:t>
            </w:r>
          </w:p>
        </w:tc>
        <w:tc>
          <w:tcPr>
            <w:tcW w:w="9560"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23"/>
        <w:gridCol w:w="235"/>
        <w:gridCol w:w="9947"/>
      </w:tblGrid>
      <w:tr>
        <w:trPr/>
        <w:tc>
          <w:tcPr>
            <w:tcW w:w="2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(2)</w:t>
            </w:r>
          </w:p>
        </w:tc>
        <w:tc>
          <w:tcPr>
            <w:tcW w:w="9947"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 of operations of the Company.</w:t>
            </w:r>
          </w:p>
        </w:tc>
      </w:tr>
    </w:tbl>
    <w:p>
      <w:pPr>
        <w:pStyle w:val="TextBody"/>
        <w:spacing w:lineRule="auto" w:line="328" w:before="240" w:after="0"/>
        <w:ind w:left="0" w:right="0" w:hanging="0"/>
        <w:rPr/>
      </w:pPr>
      <w:r>
        <w:rPr/>
        <w:t>​</w:t>
      </w:r>
    </w:p>
    <w:tbl>
      <w:tblPr>
        <w:tblW w:w="4893" w:type="dxa"/>
        <w:jc w:val="left"/>
        <w:tblInd w:w="0" w:type="dxa"/>
        <w:tblCellMar>
          <w:top w:w="0" w:type="dxa"/>
          <w:left w:w="0" w:type="dxa"/>
          <w:bottom w:w="0" w:type="dxa"/>
          <w:right w:w="0" w:type="dxa"/>
        </w:tblCellMar>
      </w:tblPr>
      <w:tblGrid>
        <w:gridCol w:w="1891"/>
        <w:gridCol w:w="406"/>
        <w:gridCol w:w="2596"/>
      </w:tblGrid>
      <w:tr>
        <w:trPr/>
        <w:tc>
          <w:tcPr>
            <w:tcW w:w="189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96" w:type="dxa"/>
            <w:tcBorders/>
            <w:shd w:fill="auto" w:val="clear"/>
            <w:vAlign w:val="center"/>
          </w:tcPr>
          <w:p>
            <w:pPr>
              <w:pStyle w:val="TableContents"/>
              <w:spacing w:before="0" w:after="0"/>
              <w:ind w:left="0" w:right="0" w:hanging="0"/>
              <w:rPr/>
            </w:pPr>
            <w:r>
              <w:rPr/>
              <w:t>​</w:t>
            </w:r>
          </w:p>
        </w:tc>
      </w:tr>
      <w:tr>
        <w:trPr/>
        <w:tc>
          <w:tcPr>
            <w:tcW w:w="18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March 30, 2023</w:t>
            </w:r>
          </w:p>
        </w:tc>
        <w:tc>
          <w:tcPr>
            <w:tcW w:w="4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By:</w:t>
            </w:r>
          </w:p>
        </w:tc>
        <w:tc>
          <w:tcPr>
            <w:tcW w:w="259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Raymond Stevens, Ph.D.</w:t>
            </w:r>
          </w:p>
        </w:tc>
      </w:tr>
      <w:tr>
        <w:trPr/>
        <w:tc>
          <w:tcPr>
            <w:tcW w:w="189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96"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Raymond Stevens, Ph.D.</w:t>
            </w:r>
          </w:p>
        </w:tc>
      </w:tr>
      <w:tr>
        <w:trPr/>
        <w:tc>
          <w:tcPr>
            <w:tcW w:w="189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9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Executive Officer</w:t>
            </w:r>
          </w:p>
        </w:tc>
      </w:tr>
      <w:tr>
        <w:trPr/>
        <w:tc>
          <w:tcPr>
            <w:tcW w:w="189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9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Executive Officer)</w:t>
            </w:r>
          </w:p>
        </w:tc>
      </w:tr>
      <w:tr>
        <w:trPr/>
        <w:tc>
          <w:tcPr>
            <w:tcW w:w="189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596" w:type="dxa"/>
            <w:tcBorders/>
            <w:shd w:fill="auto" w:val="clear"/>
            <w:vAlign w:val="center"/>
          </w:tcPr>
          <w:p>
            <w:pPr>
              <w:pStyle w:val="TableContents"/>
              <w:spacing w:before="0" w:after="0"/>
              <w:ind w:left="0" w:right="0" w:hanging="0"/>
              <w:jc w:val="center"/>
              <w:rPr/>
            </w:pPr>
            <w:r>
              <w:rPr/>
              <w:t>​</w:t>
            </w:r>
          </w:p>
        </w:tc>
      </w:tr>
    </w:tbl>
    <w:p>
      <w:pPr>
        <w:pStyle w:val="TextBody"/>
        <w:spacing w:before="0" w:after="0"/>
        <w:ind w:left="0" w:right="0" w:hanging="0"/>
        <w:rPr/>
      </w:pPr>
      <w:r>
        <w:rPr/>
        <w:t>​</w:t>
      </w:r>
    </w:p>
    <w:p>
      <w:pPr>
        <w:pStyle w:val="TextBody"/>
        <w:pBdr/>
        <w:spacing w:lineRule="auto" w:line="328" w:before="0" w:after="0"/>
        <w:ind w:left="0" w:right="0" w:hanging="490"/>
        <w:rPr/>
      </w:pPr>
      <w:r>
        <w:rPr/>
        <w:t>​</w:t>
      </w:r>
    </w:p>
    <w:p>
      <w:pPr>
        <w:pStyle w:val="TextBody"/>
        <w:spacing w:lineRule="auto" w:line="328" w:before="240" w:after="0"/>
        <w:ind w:left="0" w:right="0" w:firstLine="490"/>
        <w:rPr>
          <w:rFonts w:ascii="Times New Roman;Times;serif" w:hAnsi="Times New Roman;Times;serif"/>
          <w:sz w:val="20"/>
        </w:rPr>
      </w:pPr>
      <w:r>
        <w:rPr>
          <w:rFonts w:ascii="Times New Roman;Times;serif" w:hAnsi="Times New Roman;Times;serif"/>
          <w:sz w:val="20"/>
        </w:rPr>
        <w:t>This certification accompanies the Report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pStyle w:val="TextBody"/>
        <w:spacing w:before="0" w:after="0"/>
        <w:ind w:left="0" w:right="0" w:hanging="0"/>
        <w:rPr/>
      </w:pPr>
      <w:r>
        <w:rPr/>
        <w:t>​</w:t>
      </w:r>
    </w:p>
    <w:p>
      <w:pPr>
        <w:pStyle w:val="HorizontalLine"/>
        <w:rPr/>
      </w:pPr>
      <w:r>
        <w:rPr/>
      </w:r>
      <w:r>
        <w:br w:type="page"/>
      </w:r>
    </w:p>
    <w:p>
      <w:pPr>
        <w:pStyle w:val="TextBody"/>
        <w:spacing w:lineRule="auto" w:line="328" w:before="0" w:after="0"/>
        <w:ind w:left="0" w:right="0" w:hanging="0"/>
        <w:rPr/>
      </w:pPr>
      <w:bookmarkStart w:id="203" w:name="gpcr-20221231xex32d2.htm"/>
      <w:bookmarkStart w:id="204" w:name="ksgpcr20221231xex32d2"/>
      <w:bookmarkEnd w:id="203"/>
      <w:bookmarkEnd w:id="204"/>
      <w:r>
        <w:rPr/>
        <w:t>​</w:t>
      </w:r>
    </w:p>
    <w:p>
      <w:pPr>
        <w:pStyle w:val="TextBody"/>
        <w:spacing w:lineRule="auto" w:line="328" w:before="0" w:after="0"/>
        <w:ind w:left="0" w:right="0" w:hanging="0"/>
        <w:jc w:val="right"/>
        <w:rPr>
          <w:rFonts w:ascii="Times New Roman;Times;serif" w:hAnsi="Times New Roman;Times;serif"/>
          <w:b/>
          <w:sz w:val="20"/>
          <w:highlight w:val="white"/>
        </w:rPr>
      </w:pPr>
      <w:bookmarkStart w:id="205" w:name="Section13"/>
      <w:bookmarkEnd w:id="205"/>
      <w:r>
        <w:rPr>
          <w:rFonts w:ascii="Times New Roman;Times;serif" w:hAnsi="Times New Roman;Times;serif"/>
          <w:b/>
          <w:sz w:val="20"/>
          <w:highlight w:val="white"/>
        </w:rPr>
        <w:t>Exhibit 32.2</w:t>
      </w:r>
    </w:p>
    <w:p>
      <w:pPr>
        <w:pStyle w:val="TextBody"/>
        <w:spacing w:lineRule="auto" w:line="328" w:before="360" w:after="0"/>
        <w:ind w:left="0" w:right="0" w:hanging="0"/>
        <w:jc w:val="center"/>
        <w:rPr>
          <w:rFonts w:ascii="Times New Roman;Times;serif" w:hAnsi="Times New Roman;Times;serif"/>
          <w:b/>
          <w:sz w:val="20"/>
          <w:highlight w:val="white"/>
        </w:rPr>
      </w:pPr>
      <w:r>
        <w:rPr>
          <w:rFonts w:ascii="Times New Roman;Times;serif" w:hAnsi="Times New Roman;Times;serif"/>
          <w:b/>
          <w:sz w:val="20"/>
          <w:highlight w:val="white"/>
        </w:rPr>
        <w:t>CERTIFICATION PURSUANT TO</w:t>
      </w:r>
    </w:p>
    <w:p>
      <w:pPr>
        <w:pStyle w:val="TextBody"/>
        <w:spacing w:lineRule="auto" w:line="328" w:before="0" w:after="0"/>
        <w:ind w:left="0" w:right="0" w:hanging="0"/>
        <w:jc w:val="center"/>
        <w:rPr>
          <w:rFonts w:ascii="Times New Roman;Times;serif" w:hAnsi="Times New Roman;Times;serif"/>
          <w:b/>
          <w:sz w:val="20"/>
          <w:highlight w:val="white"/>
        </w:rPr>
      </w:pPr>
      <w:r>
        <w:rPr>
          <w:rFonts w:ascii="Times New Roman;Times;serif" w:hAnsi="Times New Roman;Times;serif"/>
          <w:b/>
          <w:sz w:val="20"/>
          <w:highlight w:val="white"/>
        </w:rPr>
        <w:t>18 U.S.C. SECTION 1350, AS ADOPTED PURSUANT TO</w:t>
      </w:r>
    </w:p>
    <w:p>
      <w:pPr>
        <w:pStyle w:val="TextBody"/>
        <w:spacing w:lineRule="auto" w:line="328" w:before="0" w:after="0"/>
        <w:ind w:left="0" w:right="0" w:hanging="0"/>
        <w:jc w:val="center"/>
        <w:rPr>
          <w:rFonts w:ascii="Times New Roman;Times;serif" w:hAnsi="Times New Roman;Times;serif"/>
          <w:b/>
          <w:sz w:val="20"/>
          <w:highlight w:val="white"/>
        </w:rPr>
      </w:pPr>
      <w:r>
        <w:rPr>
          <w:rFonts w:ascii="Times New Roman;Times;serif" w:hAnsi="Times New Roman;Times;serif"/>
          <w:b/>
          <w:sz w:val="20"/>
          <w:highlight w:val="white"/>
        </w:rPr>
        <w:t>SECTION 906 OF THE SARBANES-OXLEY ACT OF 2002</w:t>
      </w:r>
    </w:p>
    <w:p>
      <w:pPr>
        <w:pStyle w:val="TextBody"/>
        <w:spacing w:lineRule="auto" w:line="328" w:before="240" w:after="0"/>
        <w:ind w:left="0" w:right="0" w:firstLine="490"/>
        <w:rPr>
          <w:rFonts w:ascii="Times New Roman;Times;serif" w:hAnsi="Times New Roman;Times;serif"/>
          <w:sz w:val="20"/>
        </w:rPr>
      </w:pPr>
      <w:r>
        <w:rPr>
          <w:rFonts w:ascii="Times New Roman;Times;serif" w:hAnsi="Times New Roman;Times;serif"/>
          <w:sz w:val="20"/>
        </w:rPr>
        <w:t>In connection with the Annual Report of Structure Therapeutics Inc. (the “Company”) on Form 10-K for the year ended December 31, 2022 as filed with the Securities and Exchange Commission on the date hereof (the “Report”), I certify, pursuant to 18 U.S.C. § 1350, as adopted pursuant to § 906 of the Sarbanes-Oxley Act of 2002, that, to the best of my knowledge:</w:t>
      </w:r>
    </w:p>
    <w:tbl>
      <w:tblPr>
        <w:tblW w:w="9828" w:type="dxa"/>
        <w:jc w:val="left"/>
        <w:tblInd w:w="0" w:type="dxa"/>
        <w:tblCellMar>
          <w:top w:w="0" w:type="dxa"/>
          <w:left w:w="0" w:type="dxa"/>
          <w:bottom w:w="0" w:type="dxa"/>
          <w:right w:w="0" w:type="dxa"/>
        </w:tblCellMar>
      </w:tblPr>
      <w:tblGrid>
        <w:gridCol w:w="23"/>
        <w:gridCol w:w="245"/>
        <w:gridCol w:w="9560"/>
      </w:tblGrid>
      <w:tr>
        <w:trPr/>
        <w:tc>
          <w:tcPr>
            <w:tcW w:w="23"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(1)</w:t>
            </w:r>
          </w:p>
        </w:tc>
        <w:tc>
          <w:tcPr>
            <w:tcW w:w="9560"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23"/>
        <w:gridCol w:w="235"/>
        <w:gridCol w:w="9947"/>
      </w:tblGrid>
      <w:tr>
        <w:trPr/>
        <w:tc>
          <w:tcPr>
            <w:tcW w:w="23"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(2)</w:t>
            </w:r>
          </w:p>
        </w:tc>
        <w:tc>
          <w:tcPr>
            <w:tcW w:w="9947" w:type="dxa"/>
            <w:tcBorders/>
            <w:shd w:fill="auto" w:val="clear"/>
            <w:vAlign w:val="center"/>
          </w:tcPr>
          <w:p>
            <w:pPr>
              <w:pStyle w:val="TableContents"/>
              <w:spacing w:lineRule="auto" w:line="328" w:before="240" w:after="0"/>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 of operations of the Company.</w:t>
            </w:r>
          </w:p>
        </w:tc>
      </w:tr>
    </w:tbl>
    <w:p>
      <w:pPr>
        <w:pStyle w:val="TextBody"/>
        <w:spacing w:lineRule="auto" w:line="328" w:before="240" w:after="0"/>
        <w:ind w:left="0" w:right="0" w:hanging="0"/>
        <w:rPr/>
      </w:pPr>
      <w:r>
        <w:rPr/>
        <w:t>​</w:t>
      </w:r>
    </w:p>
    <w:tbl>
      <w:tblPr>
        <w:tblW w:w="5208" w:type="dxa"/>
        <w:jc w:val="left"/>
        <w:tblInd w:w="0" w:type="dxa"/>
        <w:tblCellMar>
          <w:top w:w="0" w:type="dxa"/>
          <w:left w:w="0" w:type="dxa"/>
          <w:bottom w:w="0" w:type="dxa"/>
          <w:right w:w="0" w:type="dxa"/>
        </w:tblCellMar>
      </w:tblPr>
      <w:tblGrid>
        <w:gridCol w:w="1891"/>
        <w:gridCol w:w="406"/>
        <w:gridCol w:w="2911"/>
      </w:tblGrid>
      <w:tr>
        <w:trPr/>
        <w:tc>
          <w:tcPr>
            <w:tcW w:w="189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911" w:type="dxa"/>
            <w:tcBorders/>
            <w:shd w:fill="auto" w:val="clear"/>
            <w:vAlign w:val="center"/>
          </w:tcPr>
          <w:p>
            <w:pPr>
              <w:pStyle w:val="TableContents"/>
              <w:spacing w:before="0" w:after="0"/>
              <w:ind w:left="0" w:right="0" w:hanging="0"/>
              <w:rPr/>
            </w:pPr>
            <w:r>
              <w:rPr/>
              <w:t>​</w:t>
            </w:r>
          </w:p>
        </w:tc>
      </w:tr>
      <w:tr>
        <w:trPr/>
        <w:tc>
          <w:tcPr>
            <w:tcW w:w="1891" w:type="dxa"/>
            <w:tcBorders/>
            <w:shd w:fill="auto" w:val="clear"/>
            <w:vAlign w:val="center"/>
          </w:tcPr>
          <w:p>
            <w:pPr>
              <w:pStyle w:val="TableContents"/>
              <w:spacing w:before="0" w:after="0"/>
              <w:ind w:left="0" w:right="0" w:hanging="0"/>
              <w:rPr>
                <w:rFonts w:ascii="Times New Roman;Times;serif" w:hAnsi="Times New Roman;Times;serif"/>
                <w:sz w:val="20"/>
              </w:rPr>
            </w:pPr>
            <w:bookmarkStart w:id="206" w:name="_Hlk1299532571"/>
            <w:bookmarkEnd w:id="206"/>
            <w:r>
              <w:rPr>
                <w:rFonts w:ascii="Times New Roman;Times;serif" w:hAnsi="Times New Roman;Times;serif"/>
                <w:sz w:val="20"/>
              </w:rPr>
              <w:t>Date: March 30, 2023</w:t>
            </w:r>
          </w:p>
        </w:tc>
        <w:tc>
          <w:tcPr>
            <w:tcW w:w="40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By:</w:t>
            </w:r>
          </w:p>
        </w:tc>
        <w:tc>
          <w:tcPr>
            <w:tcW w:w="291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 Jun Yoon</w:t>
            </w:r>
          </w:p>
        </w:tc>
      </w:tr>
      <w:tr>
        <w:trPr/>
        <w:tc>
          <w:tcPr>
            <w:tcW w:w="189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911" w:type="dxa"/>
            <w:tcBorders>
              <w:top w:val="single" w:sz="2" w:space="0" w:color="000000"/>
            </w:tcBorders>
            <w:shd w:fill="auto" w:val="clear"/>
            <w:tcMar>
              <w:top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Jun Yoon</w:t>
            </w:r>
          </w:p>
        </w:tc>
      </w:tr>
      <w:tr>
        <w:trPr/>
        <w:tc>
          <w:tcPr>
            <w:tcW w:w="189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91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Chief Financial Officer</w:t>
            </w:r>
          </w:p>
        </w:tc>
      </w:tr>
      <w:tr>
        <w:trPr/>
        <w:tc>
          <w:tcPr>
            <w:tcW w:w="189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91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(Principal Financial Officer and </w:t>
            </w:r>
          </w:p>
        </w:tc>
      </w:tr>
      <w:tr>
        <w:trPr/>
        <w:tc>
          <w:tcPr>
            <w:tcW w:w="1891" w:type="dxa"/>
            <w:tcBorders/>
            <w:shd w:fill="auto" w:val="clear"/>
            <w:vAlign w:val="center"/>
          </w:tcPr>
          <w:p>
            <w:pPr>
              <w:pStyle w:val="TableContents"/>
              <w:spacing w:before="0" w:after="0"/>
              <w:ind w:left="0" w:right="0" w:hanging="0"/>
              <w:rPr/>
            </w:pPr>
            <w:r>
              <w:rPr/>
              <w:t>​</w:t>
            </w:r>
          </w:p>
        </w:tc>
        <w:tc>
          <w:tcPr>
            <w:tcW w:w="406" w:type="dxa"/>
            <w:tcBorders/>
            <w:shd w:fill="auto" w:val="clear"/>
            <w:vAlign w:val="center"/>
          </w:tcPr>
          <w:p>
            <w:pPr>
              <w:pStyle w:val="TableContents"/>
              <w:spacing w:before="0" w:after="0"/>
              <w:ind w:left="0" w:right="0" w:hanging="0"/>
              <w:rPr/>
            </w:pPr>
            <w:r>
              <w:rPr/>
              <w:t>​</w:t>
            </w:r>
          </w:p>
        </w:tc>
        <w:tc>
          <w:tcPr>
            <w:tcW w:w="291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Principal Accounting Officer)</w:t>
            </w:r>
          </w:p>
        </w:tc>
      </w:tr>
    </w:tbl>
    <w:p>
      <w:pPr>
        <w:pStyle w:val="TextBody"/>
        <w:spacing w:before="0" w:after="0"/>
        <w:ind w:left="0" w:right="0" w:hanging="0"/>
        <w:rPr/>
      </w:pPr>
      <w:r>
        <w:rPr/>
        <w:t>​</w:t>
      </w:r>
    </w:p>
    <w:p>
      <w:pPr>
        <w:pStyle w:val="TextBody"/>
        <w:pBdr/>
        <w:spacing w:lineRule="auto" w:line="328" w:before="0" w:after="0"/>
        <w:ind w:left="0" w:right="0" w:hanging="490"/>
        <w:rPr/>
      </w:pPr>
      <w:r>
        <w:rPr/>
        <w:t>​</w:t>
      </w:r>
    </w:p>
    <w:p>
      <w:pPr>
        <w:pStyle w:val="TextBody"/>
        <w:spacing w:lineRule="auto" w:line="328" w:before="240" w:after="0"/>
        <w:ind w:left="0" w:right="0" w:firstLine="490"/>
        <w:rPr>
          <w:rFonts w:ascii="Times New Roman;Times;serif" w:hAnsi="Times New Roman;Times;serif"/>
          <w:sz w:val="20"/>
        </w:rPr>
      </w:pPr>
      <w:r>
        <w:rPr>
          <w:rFonts w:ascii="Times New Roman;Times;serif" w:hAnsi="Times New Roman;Times;serif"/>
          <w:sz w:val="20"/>
        </w:rPr>
        <w:t>This certification accompanies the Report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pStyle w:val="TextBody"/>
        <w:spacing w:lineRule="auto" w:line="328"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 w:name="Arial Narrow">
    <w:charset w:val="00"/>
    <w:family w:val="auto"/>
    <w:pitch w:val="default"/>
  </w:font>
  <w:font w:name="Calibri">
    <w:altName w:val="Helvetica"/>
    <w:charset w:val="00"/>
    <w:family w:val="auto"/>
    <w:pitch w:val="default"/>
  </w:font>
  <w:font w:name="Times New Roman Bold">
    <w:charset w:val="00"/>
    <w:family w:val="auto"/>
    <w:pitch w:val="default"/>
  </w:font>
  <w:font w:name="Georgi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hyperlink" Target="https://www.sec.gov/Archives/edgar/data/1888886/000110465923011717/tm235639d1_ex3-1.htm" TargetMode="External"/><Relationship Id="rId45" Type="http://schemas.openxmlformats.org/officeDocument/2006/relationships/hyperlink" Target="https://www.sec.gov/Archives/edgar/data/1888886/000110465923007657/tm225197d15_ex4-1.htm" TargetMode="External"/><Relationship Id="rId46" Type="http://schemas.openxmlformats.org/officeDocument/2006/relationships/hyperlink" Target="https://www.sec.gov/Archives/edgar/data/1888886/000110465923007657/tm225197d15_ex4-2.htm" TargetMode="External"/><Relationship Id="rId47" Type="http://schemas.openxmlformats.org/officeDocument/2006/relationships/hyperlink" Target="https://www.sec.gov/Archives/edgar/data/1888886/000110465923007657/tm225197d15_ex4-2.htm" TargetMode="External"/><Relationship Id="rId48" Type="http://schemas.openxmlformats.org/officeDocument/2006/relationships/hyperlink" Target="https://www.sec.gov/Archives/edgar/data/1888886/000110465923003415/tm225197d11_ex4-4.htm" TargetMode="External"/><Relationship Id="rId49" Type="http://schemas.openxmlformats.org/officeDocument/2006/relationships/hyperlink" Target="https://www.sec.gov/Archives/edgar/data/1888886/000110465923003415/tm225197d11_ex10-1.htm" TargetMode="External"/><Relationship Id="rId50" Type="http://schemas.openxmlformats.org/officeDocument/2006/relationships/hyperlink" Target="https://www.sec.gov/Archives/edgar/data/1888886/000110465923003415/tm225197d11_ex10-2.htm" TargetMode="External"/><Relationship Id="rId51" Type="http://schemas.openxmlformats.org/officeDocument/2006/relationships/hyperlink" Target="https://www.sec.gov/Archives/edgar/data/1888886/000110465923003415/tm225197d11_ex10-4.htm" TargetMode="External"/><Relationship Id="rId52" Type="http://schemas.openxmlformats.org/officeDocument/2006/relationships/hyperlink" Target="https://www.sec.gov/Archives/edgar/data/1888886/000110465923003415/tm225197d11_ex10-4.htm" TargetMode="External"/><Relationship Id="rId53" Type="http://schemas.openxmlformats.org/officeDocument/2006/relationships/hyperlink" Target="https://www.sec.gov/Archives/edgar/data/1888886/000110465923003415/tm225197d11_ex10-5.htm" TargetMode="External"/><Relationship Id="rId54" Type="http://schemas.openxmlformats.org/officeDocument/2006/relationships/hyperlink" Target="https://www.sec.gov/Archives/edgar/data/1888886/000110465923003415/tm225197d11_ex10-6.htm" TargetMode="External"/><Relationship Id="rId55" Type="http://schemas.openxmlformats.org/officeDocument/2006/relationships/hyperlink" Target="https://www.sec.gov/Archives/edgar/data/1888886/000110465923003415/tm225197d11_ex10-7.htm" TargetMode="External"/><Relationship Id="rId56" Type="http://schemas.openxmlformats.org/officeDocument/2006/relationships/hyperlink" Target="https://www.sec.gov/Archives/edgar/data/1888886/000110465923003415/tm225197d11_ex10-8.htm" TargetMode="External"/><Relationship Id="rId57" Type="http://schemas.openxmlformats.org/officeDocument/2006/relationships/hyperlink" Target="https://www.sec.gov/Archives/edgar/data/1888886/000110465923003415/tm225197d11_ex10-10.htm" TargetMode="External"/><Relationship Id="rId58" Type="http://schemas.openxmlformats.org/officeDocument/2006/relationships/hyperlink" Target="https://www.sec.gov/Archives/edgar/data/1888886/000110465923003415/tm225197d11_ex10-11.htm" TargetMode="External"/><Relationship Id="rId59" Type="http://schemas.openxmlformats.org/officeDocument/2006/relationships/hyperlink" Target="https://www.sec.gov/Archives/edgar/data/1888886/000110465923003415/tm225197d11_ex10-12.htm" TargetMode="External"/><Relationship Id="rId60" Type="http://schemas.openxmlformats.org/officeDocument/2006/relationships/hyperlink" Target="https://www.sec.gov/Archives/edgar/data/1888886/000110465923003415/tm225197d11_ex10-13.htm" TargetMode="External"/><Relationship Id="rId61" Type="http://schemas.openxmlformats.org/officeDocument/2006/relationships/hyperlink" Target="https://www.sec.gov/Archives/edgar/data/1888886/000110465923003415/tm225197d11_ex10-14.htm" TargetMode="External"/><Relationship Id="rId62" Type="http://schemas.openxmlformats.org/officeDocument/2006/relationships/hyperlink" Target="https://www.sec.gov/Archives/edgar/data/1888886/000110465923003415/tm225197d11_ex10-15.htm" TargetMode="External"/><Relationship Id="rId63" Type="http://schemas.openxmlformats.org/officeDocument/2006/relationships/hyperlink" Target="https://www.sec.gov/Archives/edgar/data/1888886/000110465923003415/tm225197d11_ex10-16.htm" TargetMode="External"/><Relationship Id="rId64" Type="http://schemas.openxmlformats.org/officeDocument/2006/relationships/hyperlink" Target="https://www.sec.gov/Archives/edgar/data/1888886/000110465923003415/tm225197d11_ex10-17.htm" TargetMode="External"/><Relationship Id="rId65" Type="http://schemas.openxmlformats.org/officeDocument/2006/relationships/hyperlink" Target="https://www.sec.gov/Archives/edgar/data/1888886/000110465923003415/tm225197d11_ex10-18.htm" TargetMode="External"/><Relationship Id="rId66" Type="http://schemas.openxmlformats.org/officeDocument/2006/relationships/hyperlink" Target="https://www.sec.gov/Archives/edgar/data/1888886/000110465923003415/tm225197d11_ex10-19.htm" TargetMode="External"/><Relationship Id="rId67" Type="http://schemas.openxmlformats.org/officeDocument/2006/relationships/hyperlink" Target="https://www.sec.gov/Archives/edgar/data/1888886/000110465923003415/tm225197d11_ex10-20.htm" TargetMode="External"/><Relationship Id="rId68" Type="http://schemas.openxmlformats.org/officeDocument/2006/relationships/hyperlink" Target="https://www.sec.gov/Archives/edgar/data/1888886/000110465923003415/tm225197d11_ex10-21.htm" TargetMode="External"/><Relationship Id="rId69" Type="http://schemas.openxmlformats.org/officeDocument/2006/relationships/hyperlink" Target="https://www.sec.gov/Archives/edgar/data/1888886/000110465923003415/tm225197d11_ex10-22.htm" TargetMode="External"/><Relationship Id="rId70" Type="http://schemas.openxmlformats.org/officeDocument/2006/relationships/hyperlink" Target="https://www.sec.gov/Archives/edgar/data/1888886/000110465923003415/tm225197d11_ex10-23.htm" TargetMode="External"/><Relationship Id="rId71" Type="http://schemas.openxmlformats.org/officeDocument/2006/relationships/hyperlink" Target="https://www.sec.gov/Archives/edgar/data/1888886/000110465923003415/tm225197d11_ex10-24.htm" TargetMode="External"/><Relationship Id="rId72" Type="http://schemas.openxmlformats.org/officeDocument/2006/relationships/hyperlink" Target="https://www.sec.gov/Archives/edgar/data/1888886/000110465923003415/tm225197d11_ex10-25.htm" TargetMode="External"/><Relationship Id="rId73" Type="http://schemas.openxmlformats.org/officeDocument/2006/relationships/image" Target="media/image43.jpeg"/><Relationship Id="rId74" Type="http://schemas.openxmlformats.org/officeDocument/2006/relationships/image" Target="media/image44.jpeg"/><Relationship Id="rId75" Type="http://schemas.openxmlformats.org/officeDocument/2006/relationships/image" Target="media/image45.jpeg"/><Relationship Id="rId76" Type="http://schemas.openxmlformats.org/officeDocument/2006/relationships/image" Target="media/image46.jpeg"/><Relationship Id="rId77" Type="http://schemas.openxmlformats.org/officeDocument/2006/relationships/image" Target="media/image47.jpeg"/><Relationship Id="rId78" Type="http://schemas.openxmlformats.org/officeDocument/2006/relationships/image" Target="media/image48.jpeg"/><Relationship Id="rId79" Type="http://schemas.openxmlformats.org/officeDocument/2006/relationships/image" Target="media/image49.jpeg"/><Relationship Id="rId80" Type="http://schemas.openxmlformats.org/officeDocument/2006/relationships/image" Target="media/image50.jpeg"/><Relationship Id="rId81" Type="http://schemas.openxmlformats.org/officeDocument/2006/relationships/image" Target="media/image51.jpeg"/><Relationship Id="rId82" Type="http://schemas.openxmlformats.org/officeDocument/2006/relationships/image" Target="media/image52.jpeg"/><Relationship Id="rId83" Type="http://schemas.openxmlformats.org/officeDocument/2006/relationships/image" Target="media/image53.jpeg"/><Relationship Id="rId84" Type="http://schemas.openxmlformats.org/officeDocument/2006/relationships/image" Target="media/image54.jpeg"/><Relationship Id="rId85" Type="http://schemas.openxmlformats.org/officeDocument/2006/relationships/image" Target="media/image55.jpeg"/><Relationship Id="rId86" Type="http://schemas.openxmlformats.org/officeDocument/2006/relationships/image" Target="media/image56.jpeg"/><Relationship Id="rId87" Type="http://schemas.openxmlformats.org/officeDocument/2006/relationships/image" Target="media/image57.jpeg"/><Relationship Id="rId88" Type="http://schemas.openxmlformats.org/officeDocument/2006/relationships/image" Target="media/image58.jpeg"/><Relationship Id="rId89" Type="http://schemas.openxmlformats.org/officeDocument/2006/relationships/image" Target="media/image59.jpeg"/><Relationship Id="rId90" Type="http://schemas.openxmlformats.org/officeDocument/2006/relationships/image" Target="media/image60.jpeg"/><Relationship Id="rId91" Type="http://schemas.openxmlformats.org/officeDocument/2006/relationships/image" Target="media/image61.jpeg"/><Relationship Id="rId92" Type="http://schemas.openxmlformats.org/officeDocument/2006/relationships/image" Target="media/image62.jpeg"/><Relationship Id="rId93" Type="http://schemas.openxmlformats.org/officeDocument/2006/relationships/image" Target="media/image63.jpeg"/><Relationship Id="rId94" Type="http://schemas.openxmlformats.org/officeDocument/2006/relationships/image" Target="media/image64.jpeg"/><Relationship Id="rId95" Type="http://schemas.openxmlformats.org/officeDocument/2006/relationships/image" Target="media/image65.jpeg"/><Relationship Id="rId96" Type="http://schemas.openxmlformats.org/officeDocument/2006/relationships/image" Target="media/image66.jpeg"/><Relationship Id="rId97" Type="http://schemas.openxmlformats.org/officeDocument/2006/relationships/image" Target="media/image67.jpeg"/><Relationship Id="rId98" Type="http://schemas.openxmlformats.org/officeDocument/2006/relationships/image" Target="media/image68.jpeg"/><Relationship Id="rId99" Type="http://schemas.openxmlformats.org/officeDocument/2006/relationships/image" Target="media/image69.jpeg"/><Relationship Id="rId100" Type="http://schemas.openxmlformats.org/officeDocument/2006/relationships/image" Target="media/image70.jpeg"/><Relationship Id="rId101" Type="http://schemas.openxmlformats.org/officeDocument/2006/relationships/image" Target="media/image71.jpeg"/><Relationship Id="rId102" Type="http://schemas.openxmlformats.org/officeDocument/2006/relationships/image" Target="media/image72.jpeg"/><Relationship Id="rId103" Type="http://schemas.openxmlformats.org/officeDocument/2006/relationships/image" Target="media/image73.jpeg"/><Relationship Id="rId104" Type="http://schemas.openxmlformats.org/officeDocument/2006/relationships/image" Target="media/image74.jpeg"/><Relationship Id="rId105" Type="http://schemas.openxmlformats.org/officeDocument/2006/relationships/image" Target="media/image75.jpeg"/><Relationship Id="rId106" Type="http://schemas.openxmlformats.org/officeDocument/2006/relationships/image" Target="media/image76.jpeg"/><Relationship Id="rId107" Type="http://schemas.openxmlformats.org/officeDocument/2006/relationships/image" Target="media/image77.jpeg"/><Relationship Id="rId108" Type="http://schemas.openxmlformats.org/officeDocument/2006/relationships/image" Target="media/image78.jpeg"/><Relationship Id="rId109" Type="http://schemas.openxmlformats.org/officeDocument/2006/relationships/image" Target="media/image79.jpeg"/><Relationship Id="rId110" Type="http://schemas.openxmlformats.org/officeDocument/2006/relationships/image" Target="media/image80.jpeg"/><Relationship Id="rId111" Type="http://schemas.openxmlformats.org/officeDocument/2006/relationships/image" Target="media/image81.jpeg"/><Relationship Id="rId112" Type="http://schemas.openxmlformats.org/officeDocument/2006/relationships/image" Target="media/image82.jpeg"/><Relationship Id="rId113" Type="http://schemas.openxmlformats.org/officeDocument/2006/relationships/image" Target="media/image83.jpeg"/><Relationship Id="rId114" Type="http://schemas.openxmlformats.org/officeDocument/2006/relationships/image" Target="media/image84.jpeg"/><Relationship Id="rId115" Type="http://schemas.openxmlformats.org/officeDocument/2006/relationships/image" Target="media/image85.jpeg"/><Relationship Id="rId116" Type="http://schemas.openxmlformats.org/officeDocument/2006/relationships/image" Target="media/image86.jpeg"/><Relationship Id="rId117" Type="http://schemas.openxmlformats.org/officeDocument/2006/relationships/image" Target="media/image87.jpeg"/><Relationship Id="rId118" Type="http://schemas.openxmlformats.org/officeDocument/2006/relationships/image" Target="media/image88.jpeg"/><Relationship Id="rId119" Type="http://schemas.openxmlformats.org/officeDocument/2006/relationships/fontTable" Target="fontTable.xml"/><Relationship Id="rId1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27</Pages>
  <Words>177973</Words>
  <CharactersWithSpaces>1157738</CharactersWithSpaces>
  <Paragraphs>11347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