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1950085</wp:posOffset>
            </wp:positionH>
            <wp:positionV relativeFrom="page">
              <wp:posOffset>3627120</wp:posOffset>
            </wp:positionV>
            <wp:extent cx="3602355" cy="662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2355" cy="6629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560"/>
        <w:spacing w:after="0"/>
        <w:rPr>
          <w:sz w:val="20"/>
          <w:szCs w:val="20"/>
          <w:color w:val="auto"/>
        </w:rPr>
      </w:pPr>
      <w:r>
        <w:rPr>
          <w:rFonts w:ascii="Arial" w:cs="Arial" w:eastAsia="Arial" w:hAnsi="Arial"/>
          <w:sz w:val="36"/>
          <w:szCs w:val="36"/>
          <w:b w:val="1"/>
          <w:bCs w:val="1"/>
          <w:color w:val="auto"/>
        </w:rPr>
        <w:t>2023 Annual Report</w:t>
      </w:r>
    </w:p>
    <w:p>
      <w:pPr>
        <w:spacing w:after="0" w:line="92" w:lineRule="exact"/>
        <w:rPr>
          <w:sz w:val="24"/>
          <w:szCs w:val="24"/>
          <w:color w:val="auto"/>
        </w:rPr>
      </w:pPr>
    </w:p>
    <w:p>
      <w:pPr>
        <w:ind w:left="2440"/>
        <w:spacing w:after="0"/>
        <w:rPr>
          <w:sz w:val="20"/>
          <w:szCs w:val="20"/>
          <w:color w:val="auto"/>
        </w:rPr>
      </w:pPr>
      <w:r>
        <w:rPr>
          <w:rFonts w:ascii="Arial" w:cs="Arial" w:eastAsia="Arial" w:hAnsi="Arial"/>
          <w:sz w:val="36"/>
          <w:szCs w:val="36"/>
          <w:b w:val="1"/>
          <w:bCs w:val="1"/>
          <w:color w:val="auto"/>
        </w:rPr>
        <w:t>and Proxy Statement</w:t>
      </w:r>
    </w:p>
    <w:p>
      <w:pPr>
        <w:sectPr>
          <w:pgSz w:w="11880" w:h="15480" w:orient="portrait"/>
          <w:cols w:equalWidth="0" w:num="1">
            <w:col w:w="9000"/>
          </w:cols>
          <w:pgMar w:left="1440" w:top="1440" w:right="1440" w:bottom="1440"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line="99"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323850</wp:posOffset>
                </wp:positionH>
                <wp:positionV relativeFrom="page">
                  <wp:posOffset>882650</wp:posOffset>
                </wp:positionV>
                <wp:extent cx="68961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69.5pt" to="568.5pt,69.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323850</wp:posOffset>
                </wp:positionH>
                <wp:positionV relativeFrom="page">
                  <wp:posOffset>943610</wp:posOffset>
                </wp:positionV>
                <wp:extent cx="68961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74.3pt" to="568.5pt,74.3pt" o:allowincell="f" strokecolor="#000000" strokeweight="0.4809pt">
                <w10:wrap anchorx="page" anchory="page"/>
              </v:line>
            </w:pict>
          </mc:Fallback>
        </mc:AlternateContent>
      </w:r>
    </w:p>
    <w:p>
      <w:pPr>
        <w:jc w:val="center"/>
        <w:spacing w:after="0"/>
        <w:rPr>
          <w:sz w:val="20"/>
          <w:szCs w:val="20"/>
          <w:color w:val="auto"/>
        </w:rPr>
      </w:pPr>
      <w:r>
        <w:rPr>
          <w:rFonts w:ascii="Arial" w:cs="Arial" w:eastAsia="Arial" w:hAnsi="Arial"/>
          <w:sz w:val="18"/>
          <w:szCs w:val="18"/>
          <w:b w:val="1"/>
          <w:bCs w:val="1"/>
          <w:color w:val="auto"/>
        </w:rPr>
        <w:t>UNITED STATES</w:t>
      </w: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77" w:lineRule="exact"/>
        <w:rPr>
          <w:sz w:val="20"/>
          <w:szCs w:val="20"/>
          <w:color w:val="auto"/>
        </w:rPr>
      </w:pPr>
    </w:p>
    <w:p>
      <w:pPr>
        <w:ind w:left="3720" w:right="2540" w:hanging="3720"/>
        <w:spacing w:after="0" w:line="331" w:lineRule="auto"/>
        <w:tabs>
          <w:tab w:leader="none" w:pos="365"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68" w:lineRule="exact"/>
        <w:rPr>
          <w:sz w:val="20"/>
          <w:szCs w:val="20"/>
          <w:color w:val="auto"/>
        </w:rPr>
      </w:pPr>
    </w:p>
    <w:p>
      <w:pPr>
        <w:ind w:left="360" w:hanging="360"/>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 w:lineRule="exact"/>
        <w:rPr>
          <w:rFonts w:ascii="MS PGothic" w:cs="MS PGothic" w:eastAsia="MS PGothic" w:hAnsi="MS PGothic"/>
          <w:sz w:val="14"/>
          <w:szCs w:val="14"/>
          <w:color w:val="auto"/>
        </w:rPr>
      </w:pPr>
    </w:p>
    <w:p>
      <w:pPr>
        <w:ind w:left="424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For The Transition Period From To</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001-41608</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Structure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66"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4980" w:type="dxa"/>
            <w:vAlign w:val="bottom"/>
          </w:tcPr>
          <w:p>
            <w:pPr>
              <w:jc w:val="center"/>
              <w:ind w:right="1210"/>
              <w:spacing w:after="0"/>
              <w:rPr>
                <w:sz w:val="20"/>
                <w:szCs w:val="20"/>
                <w:color w:val="auto"/>
              </w:rPr>
            </w:pPr>
            <w:r>
              <w:rPr>
                <w:rFonts w:ascii="Arial" w:cs="Arial" w:eastAsia="Arial" w:hAnsi="Arial"/>
                <w:sz w:val="14"/>
                <w:szCs w:val="14"/>
                <w:b w:val="1"/>
                <w:bCs w:val="1"/>
                <w:color w:val="auto"/>
                <w:w w:val="99"/>
              </w:rPr>
              <w:t>Cayman Islands</w:t>
            </w:r>
          </w:p>
        </w:tc>
        <w:tc>
          <w:tcPr>
            <w:tcW w:w="3460" w:type="dxa"/>
            <w:vAlign w:val="bottom"/>
          </w:tcPr>
          <w:p>
            <w:pPr>
              <w:jc w:val="right"/>
              <w:ind w:right="630"/>
              <w:spacing w:after="0"/>
              <w:rPr>
                <w:sz w:val="20"/>
                <w:szCs w:val="20"/>
                <w:color w:val="auto"/>
              </w:rPr>
            </w:pPr>
            <w:r>
              <w:rPr>
                <w:rFonts w:ascii="Arial" w:cs="Arial" w:eastAsia="Arial" w:hAnsi="Arial"/>
                <w:sz w:val="14"/>
                <w:szCs w:val="14"/>
                <w:b w:val="1"/>
                <w:bCs w:val="1"/>
                <w:color w:val="auto"/>
              </w:rPr>
              <w:t>98-1480821</w:t>
            </w:r>
          </w:p>
        </w:tc>
      </w:tr>
      <w:tr>
        <w:trPr>
          <w:trHeight w:val="159"/>
        </w:trPr>
        <w:tc>
          <w:tcPr>
            <w:tcW w:w="4980" w:type="dxa"/>
            <w:vAlign w:val="bottom"/>
          </w:tcPr>
          <w:p>
            <w:pPr>
              <w:jc w:val="center"/>
              <w:ind w:right="1210"/>
              <w:spacing w:after="0" w:line="159" w:lineRule="exact"/>
              <w:rPr>
                <w:sz w:val="20"/>
                <w:szCs w:val="20"/>
                <w:color w:val="auto"/>
              </w:rPr>
            </w:pPr>
            <w:r>
              <w:rPr>
                <w:rFonts w:ascii="Arial" w:cs="Arial" w:eastAsia="Arial" w:hAnsi="Arial"/>
                <w:sz w:val="14"/>
                <w:szCs w:val="14"/>
                <w:color w:val="auto"/>
                <w:w w:val="99"/>
              </w:rPr>
              <w:t>(State of Other Jurisdiction of incorporation or Organization)</w:t>
            </w:r>
          </w:p>
        </w:tc>
        <w:tc>
          <w:tcPr>
            <w:tcW w:w="3460" w:type="dxa"/>
            <w:vAlign w:val="bottom"/>
          </w:tcPr>
          <w:p>
            <w:pPr>
              <w:jc w:val="center"/>
              <w:ind w:left="1230"/>
              <w:spacing w:after="0" w:line="159" w:lineRule="exact"/>
              <w:rPr>
                <w:sz w:val="20"/>
                <w:szCs w:val="20"/>
                <w:color w:val="auto"/>
              </w:rPr>
            </w:pPr>
            <w:r>
              <w:rPr>
                <w:rFonts w:ascii="Arial" w:cs="Arial" w:eastAsia="Arial" w:hAnsi="Arial"/>
                <w:sz w:val="14"/>
                <w:szCs w:val="14"/>
                <w:color w:val="auto"/>
              </w:rPr>
              <w:t>(I.R.S. Employer Identification No.)</w:t>
            </w:r>
          </w:p>
        </w:tc>
      </w:tr>
      <w:tr>
        <w:trPr>
          <w:trHeight w:val="161"/>
        </w:trPr>
        <w:tc>
          <w:tcPr>
            <w:tcW w:w="4980" w:type="dxa"/>
            <w:vAlign w:val="bottom"/>
          </w:tcPr>
          <w:p>
            <w:pPr>
              <w:jc w:val="center"/>
              <w:ind w:right="1230"/>
              <w:spacing w:after="0"/>
              <w:rPr>
                <w:sz w:val="20"/>
                <w:szCs w:val="20"/>
                <w:color w:val="auto"/>
              </w:rPr>
            </w:pPr>
            <w:r>
              <w:rPr>
                <w:rFonts w:ascii="Arial" w:cs="Arial" w:eastAsia="Arial" w:hAnsi="Arial"/>
                <w:sz w:val="14"/>
                <w:szCs w:val="14"/>
                <w:b w:val="1"/>
                <w:bCs w:val="1"/>
                <w:color w:val="auto"/>
                <w:w w:val="99"/>
              </w:rPr>
              <w:t>601 Gateway Blvd., Suite 900</w:t>
            </w:r>
          </w:p>
        </w:tc>
        <w:tc>
          <w:tcPr>
            <w:tcW w:w="3460" w:type="dxa"/>
            <w:vAlign w:val="bottom"/>
          </w:tcPr>
          <w:p>
            <w:pPr>
              <w:spacing w:after="0"/>
              <w:rPr>
                <w:sz w:val="13"/>
                <w:szCs w:val="13"/>
                <w:color w:val="auto"/>
              </w:rPr>
            </w:pPr>
          </w:p>
        </w:tc>
      </w:tr>
      <w:tr>
        <w:trPr>
          <w:trHeight w:val="163"/>
        </w:trPr>
        <w:tc>
          <w:tcPr>
            <w:tcW w:w="4980" w:type="dxa"/>
            <w:vAlign w:val="bottom"/>
          </w:tcPr>
          <w:p>
            <w:pPr>
              <w:jc w:val="center"/>
              <w:ind w:right="1230"/>
              <w:spacing w:after="0"/>
              <w:rPr>
                <w:sz w:val="20"/>
                <w:szCs w:val="20"/>
                <w:color w:val="auto"/>
              </w:rPr>
            </w:pPr>
            <w:r>
              <w:rPr>
                <w:rFonts w:ascii="Arial" w:cs="Arial" w:eastAsia="Arial" w:hAnsi="Arial"/>
                <w:sz w:val="14"/>
                <w:szCs w:val="14"/>
                <w:b w:val="1"/>
                <w:bCs w:val="1"/>
                <w:color w:val="auto"/>
              </w:rPr>
              <w:t>South San Francisco, California</w:t>
            </w:r>
          </w:p>
        </w:tc>
        <w:tc>
          <w:tcPr>
            <w:tcW w:w="3460" w:type="dxa"/>
            <w:vAlign w:val="bottom"/>
          </w:tcPr>
          <w:p>
            <w:pPr>
              <w:jc w:val="right"/>
              <w:ind w:right="810"/>
              <w:spacing w:after="0"/>
              <w:rPr>
                <w:sz w:val="20"/>
                <w:szCs w:val="20"/>
                <w:color w:val="auto"/>
              </w:rPr>
            </w:pPr>
            <w:r>
              <w:rPr>
                <w:rFonts w:ascii="Arial" w:cs="Arial" w:eastAsia="Arial" w:hAnsi="Arial"/>
                <w:sz w:val="14"/>
                <w:szCs w:val="14"/>
                <w:b w:val="1"/>
                <w:bCs w:val="1"/>
                <w:color w:val="auto"/>
              </w:rPr>
              <w:t>94080</w:t>
            </w:r>
          </w:p>
        </w:tc>
      </w:tr>
      <w:tr>
        <w:trPr>
          <w:trHeight w:val="190"/>
        </w:trPr>
        <w:tc>
          <w:tcPr>
            <w:tcW w:w="4980" w:type="dxa"/>
            <w:vAlign w:val="bottom"/>
          </w:tcPr>
          <w:p>
            <w:pPr>
              <w:jc w:val="center"/>
              <w:ind w:right="1230"/>
              <w:spacing w:after="0"/>
              <w:rPr>
                <w:sz w:val="20"/>
                <w:szCs w:val="20"/>
                <w:color w:val="auto"/>
              </w:rPr>
            </w:pPr>
            <w:r>
              <w:rPr>
                <w:rFonts w:ascii="Arial" w:cs="Arial" w:eastAsia="Arial" w:hAnsi="Arial"/>
                <w:sz w:val="14"/>
                <w:szCs w:val="14"/>
                <w:color w:val="auto"/>
              </w:rPr>
              <w:t>(Address of principal executive offices)</w:t>
            </w:r>
          </w:p>
        </w:tc>
        <w:tc>
          <w:tcPr>
            <w:tcW w:w="3460" w:type="dxa"/>
            <w:vAlign w:val="bottom"/>
          </w:tcPr>
          <w:p>
            <w:pPr>
              <w:jc w:val="center"/>
              <w:ind w:left="1230"/>
              <w:spacing w:after="0"/>
              <w:rPr>
                <w:sz w:val="20"/>
                <w:szCs w:val="20"/>
                <w:color w:val="auto"/>
              </w:rPr>
            </w:pPr>
            <w:r>
              <w:rPr>
                <w:rFonts w:ascii="Arial" w:cs="Arial" w:eastAsia="Arial" w:hAnsi="Arial"/>
                <w:sz w:val="14"/>
                <w:szCs w:val="14"/>
                <w:color w:val="auto"/>
              </w:rPr>
              <w:t>(Zip code)</w:t>
            </w:r>
          </w:p>
        </w:tc>
      </w:tr>
    </w:tbl>
    <w:p>
      <w:pPr>
        <w:spacing w:after="0" w:line="37" w:lineRule="exact"/>
        <w:rPr>
          <w:sz w:val="20"/>
          <w:szCs w:val="20"/>
          <w:color w:val="auto"/>
        </w:rPr>
      </w:pPr>
    </w:p>
    <w:p>
      <w:pPr>
        <w:ind w:left="2840"/>
        <w:spacing w:after="0"/>
        <w:rPr>
          <w:sz w:val="20"/>
          <w:szCs w:val="20"/>
          <w:color w:val="auto"/>
        </w:rPr>
      </w:pPr>
      <w:r>
        <w:rPr>
          <w:rFonts w:ascii="Arial" w:cs="Arial" w:eastAsia="Arial" w:hAnsi="Arial"/>
          <w:sz w:val="16"/>
          <w:szCs w:val="16"/>
          <w:b w:val="1"/>
          <w:bCs w:val="1"/>
          <w:color w:val="auto"/>
        </w:rPr>
        <w:t>Registrant's telephone number, including area code: (650) 457-1978</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9"/>
              </w:rPr>
              <w:t>Name Of Each Exchange</w:t>
            </w:r>
          </w:p>
        </w:tc>
        <w:tc>
          <w:tcPr>
            <w:tcW w:w="200" w:type="dxa"/>
            <w:vAlign w:val="bottom"/>
          </w:tcPr>
          <w:p>
            <w:pPr>
              <w:spacing w:after="0"/>
              <w:rPr>
                <w:sz w:val="14"/>
                <w:szCs w:val="14"/>
                <w:color w:val="auto"/>
              </w:rPr>
            </w:pPr>
          </w:p>
        </w:tc>
        <w:tc>
          <w:tcPr>
            <w:tcW w:w="3600" w:type="dxa"/>
            <w:vAlign w:val="bottom"/>
          </w:tcPr>
          <w:p>
            <w:pPr>
              <w:spacing w:after="0"/>
              <w:rPr>
                <w:sz w:val="14"/>
                <w:szCs w:val="14"/>
                <w:color w:val="auto"/>
              </w:rPr>
            </w:pPr>
          </w:p>
        </w:tc>
      </w:tr>
      <w:tr>
        <w:trPr>
          <w:trHeight w:val="178"/>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Title of Each Class</w:t>
            </w:r>
          </w:p>
        </w:tc>
        <w:tc>
          <w:tcPr>
            <w:tcW w:w="200" w:type="dxa"/>
            <w:vAlign w:val="bottom"/>
          </w:tcPr>
          <w:p>
            <w:pPr>
              <w:spacing w:after="0"/>
              <w:rPr>
                <w:sz w:val="15"/>
                <w:szCs w:val="15"/>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200" w:type="dxa"/>
            <w:vAlign w:val="bottom"/>
          </w:tcPr>
          <w:p>
            <w:pPr>
              <w:spacing w:after="0"/>
              <w:rPr>
                <w:sz w:val="15"/>
                <w:szCs w:val="15"/>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34"/>
        </w:trPr>
        <w:tc>
          <w:tcPr>
            <w:tcW w:w="422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rPr>
              <w:t>American Depositary Shares (ADSs), each representing three</w:t>
            </w:r>
          </w:p>
        </w:tc>
        <w:tc>
          <w:tcPr>
            <w:tcW w:w="200" w:type="dxa"/>
            <w:vAlign w:val="bottom"/>
          </w:tcPr>
          <w:p>
            <w:pPr>
              <w:spacing w:after="0"/>
              <w:rPr>
                <w:sz w:val="11"/>
                <w:szCs w:val="11"/>
                <w:color w:val="auto"/>
              </w:rPr>
            </w:pPr>
          </w:p>
        </w:tc>
        <w:tc>
          <w:tcPr>
            <w:tcW w:w="258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8"/>
              </w:rPr>
              <w:t>GPCR</w:t>
            </w:r>
          </w:p>
        </w:tc>
        <w:tc>
          <w:tcPr>
            <w:tcW w:w="200" w:type="dxa"/>
            <w:vAlign w:val="bottom"/>
          </w:tcPr>
          <w:p>
            <w:pPr>
              <w:spacing w:after="0"/>
              <w:rPr>
                <w:sz w:val="11"/>
                <w:szCs w:val="11"/>
                <w:color w:val="auto"/>
              </w:rPr>
            </w:pPr>
          </w:p>
        </w:tc>
        <w:tc>
          <w:tcPr>
            <w:tcW w:w="360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rPr>
              <w:t>Nasdaq Global Market</w:t>
            </w:r>
          </w:p>
        </w:tc>
      </w:tr>
      <w:tr>
        <w:trPr>
          <w:trHeight w:val="161"/>
        </w:trPr>
        <w:tc>
          <w:tcPr>
            <w:tcW w:w="4220" w:type="dxa"/>
            <w:vAlign w:val="bottom"/>
          </w:tcPr>
          <w:p>
            <w:pPr>
              <w:jc w:val="center"/>
              <w:spacing w:after="0"/>
              <w:rPr>
                <w:sz w:val="20"/>
                <w:szCs w:val="20"/>
                <w:color w:val="auto"/>
              </w:rPr>
            </w:pPr>
            <w:r>
              <w:rPr>
                <w:rFonts w:ascii="Arial" w:cs="Arial" w:eastAsia="Arial" w:hAnsi="Arial"/>
                <w:sz w:val="14"/>
                <w:szCs w:val="14"/>
                <w:b w:val="1"/>
                <w:bCs w:val="1"/>
                <w:color w:val="auto"/>
              </w:rPr>
              <w:t>ordinary shares, par value $0.0001 per ordinary share</w:t>
            </w:r>
          </w:p>
        </w:tc>
        <w:tc>
          <w:tcPr>
            <w:tcW w:w="2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0" w:type="dxa"/>
            <w:vAlign w:val="bottom"/>
          </w:tcPr>
          <w:p>
            <w:pPr>
              <w:spacing w:after="0"/>
              <w:rPr>
                <w:sz w:val="13"/>
                <w:szCs w:val="13"/>
                <w:color w:val="auto"/>
              </w:rPr>
            </w:pPr>
          </w:p>
        </w:tc>
      </w:tr>
      <w:tr>
        <w:trPr>
          <w:trHeight w:val="200"/>
        </w:trPr>
        <w:tc>
          <w:tcPr>
            <w:tcW w:w="4220" w:type="dxa"/>
            <w:vAlign w:val="bottom"/>
          </w:tcPr>
          <w:p>
            <w:pPr>
              <w:jc w:val="center"/>
              <w:spacing w:after="0"/>
              <w:rPr>
                <w:sz w:val="20"/>
                <w:szCs w:val="20"/>
                <w:color w:val="auto"/>
              </w:rPr>
            </w:pPr>
            <w:r>
              <w:rPr>
                <w:rFonts w:ascii="Arial" w:cs="Arial" w:eastAsia="Arial" w:hAnsi="Arial"/>
                <w:sz w:val="14"/>
                <w:szCs w:val="14"/>
                <w:b w:val="1"/>
                <w:bCs w:val="1"/>
                <w:color w:val="auto"/>
              </w:rPr>
              <w:t>Ordinary shares, par value $0.0001 per share*</w:t>
            </w:r>
          </w:p>
        </w:tc>
        <w:tc>
          <w:tcPr>
            <w:tcW w:w="2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9"/>
              </w:rPr>
              <w:t>Nasdaq Global Market*</w:t>
            </w: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 Not for trading, but only in connection with the registration of the American Depositary Shares</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1" w:lineRule="exact"/>
        <w:rPr>
          <w:sz w:val="20"/>
          <w:szCs w:val="20"/>
          <w:color w:val="auto"/>
        </w:rPr>
      </w:pPr>
    </w:p>
    <w:p>
      <w:pPr>
        <w:ind w:left="280"/>
        <w:spacing w:after="0" w:line="161" w:lineRule="exact"/>
        <w:tabs>
          <w:tab w:leader="none" w:pos="78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0"/>
          <w:szCs w:val="20"/>
          <w:color w:val="auto"/>
        </w:rPr>
      </w:pPr>
    </w:p>
    <w:p>
      <w:pPr>
        <w:ind w:left="280"/>
        <w:spacing w:after="0" w:line="161" w:lineRule="exact"/>
        <w:tabs>
          <w:tab w:leader="none" w:pos="78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ind w:right="260"/>
        <w:spacing w:after="0" w:line="229" w:lineRule="exact"/>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w:t>
      </w:r>
    </w:p>
    <w:p>
      <w:pPr>
        <w:spacing w:after="0" w:line="20" w:lineRule="exact"/>
        <w:rPr>
          <w:sz w:val="20"/>
          <w:szCs w:val="20"/>
          <w:color w:val="auto"/>
        </w:rPr>
      </w:pPr>
    </w:p>
    <w:p>
      <w:pPr>
        <w:spacing w:after="0" w:line="161" w:lineRule="exact"/>
        <w:tabs>
          <w:tab w:leader="none" w:pos="8760" w:val="left"/>
          <w:tab w:leader="none" w:pos="9260" w:val="left"/>
        </w:tabs>
        <w:rPr>
          <w:sz w:val="20"/>
          <w:szCs w:val="20"/>
          <w:color w:val="auto"/>
        </w:rPr>
      </w:pPr>
      <w:r>
        <w:rPr>
          <w:rFonts w:ascii="Arial" w:cs="Arial" w:eastAsia="Arial" w:hAnsi="Arial"/>
          <w:sz w:val="14"/>
          <w:szCs w:val="14"/>
          <w:color w:val="auto"/>
        </w:rPr>
        <w:t>(§232.0405 of this chapter) during the preceding 12 months (or for such shorter period that the registrant was required to submit such files).</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43"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p>
      <w:pPr>
        <w:spacing w:after="0" w:line="161" w:lineRule="exact"/>
        <w:tabs>
          <w:tab w:leader="none" w:pos="2240" w:val="left"/>
          <w:tab w:leader="none" w:pos="4380" w:val="left"/>
          <w:tab w:leader="none" w:pos="6620" w:val="left"/>
          <w:tab w:leader="none" w:pos="88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39" w:lineRule="exact"/>
        <w:rPr>
          <w:sz w:val="20"/>
          <w:szCs w:val="20"/>
          <w:color w:val="auto"/>
        </w:rPr>
      </w:pPr>
    </w:p>
    <w:p>
      <w:pPr>
        <w:ind w:right="160"/>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0"/>
          <w:szCs w:val="20"/>
          <w:color w:val="auto"/>
        </w:rPr>
      </w:pPr>
    </w:p>
    <w:p>
      <w:pPr>
        <w:ind w:right="260"/>
        <w:spacing w:after="0" w:line="20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right="460"/>
        <w:spacing w:after="0" w:line="21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0"/>
          <w:szCs w:val="20"/>
          <w:color w:val="auto"/>
        </w:rPr>
      </w:pPr>
    </w:p>
    <w:p>
      <w:pPr>
        <w:ind w:right="32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9" w:lineRule="exact"/>
        <w:rPr>
          <w:sz w:val="20"/>
          <w:szCs w:val="20"/>
          <w:color w:val="auto"/>
        </w:rPr>
      </w:pPr>
    </w:p>
    <w:p>
      <w:pPr>
        <w:ind w:right="20" w:firstLine="288"/>
        <w:spacing w:after="0" w:line="250" w:lineRule="auto"/>
        <w:rPr>
          <w:sz w:val="20"/>
          <w:szCs w:val="20"/>
          <w:color w:val="auto"/>
        </w:rPr>
      </w:pPr>
      <w:r>
        <w:rPr>
          <w:rFonts w:ascii="Arial" w:cs="Arial" w:eastAsia="Arial" w:hAnsi="Arial"/>
          <w:sz w:val="14"/>
          <w:szCs w:val="14"/>
          <w:color w:val="auto"/>
        </w:rPr>
        <w:t>The aggregate market value of the registrant’s ordinary shares held by non-affiliates of the registrant as of June 30, 2023, the last business day of the registrant’s most recently completed second fiscal quarter, was approximately $501.7 million, based on the closing price of the registrant’s ordinary shares represented by ADSs on the Nasdaq Global Market of $41.57 per ADS. In determining the market value of the voting equity held by non-affiliates, ordinary shares of the registrant beneficially owned by each director and officer and each person who owns 10% or more of the registrant’s outstanding ordinary shares have been excluded. This determination of affiliate status is not necessarily a conclusive determination for other purposes.</w:t>
      </w:r>
    </w:p>
    <w:p>
      <w:pPr>
        <w:spacing w:after="0" w:line="35" w:lineRule="exact"/>
        <w:rPr>
          <w:sz w:val="20"/>
          <w:szCs w:val="20"/>
          <w:color w:val="auto"/>
        </w:rPr>
      </w:pPr>
    </w:p>
    <w:p>
      <w:pPr>
        <w:ind w:right="380" w:firstLine="288"/>
        <w:spacing w:after="0" w:line="282" w:lineRule="auto"/>
        <w:rPr>
          <w:sz w:val="20"/>
          <w:szCs w:val="20"/>
          <w:color w:val="auto"/>
        </w:rPr>
      </w:pPr>
      <w:r>
        <w:rPr>
          <w:rFonts w:ascii="Arial" w:cs="Arial" w:eastAsia="Arial" w:hAnsi="Arial"/>
          <w:sz w:val="14"/>
          <w:szCs w:val="14"/>
          <w:color w:val="auto"/>
        </w:rPr>
        <w:t>The number of outstanding ordinary shares of the registrant, par value $0.0001 per share, as of February 29, 2024 was 139,794,124, of which 129,882,333 ordinary shares were held in the form of ADSs.</w:t>
      </w:r>
    </w:p>
    <w:p>
      <w:pPr>
        <w:spacing w:after="0" w:line="58"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DOCUMENTS INCORPORATED BY REFERENCE</w:t>
      </w:r>
    </w:p>
    <w:p>
      <w:pPr>
        <w:spacing w:after="0" w:line="69" w:lineRule="exact"/>
        <w:rPr>
          <w:sz w:val="20"/>
          <w:szCs w:val="20"/>
          <w:color w:val="auto"/>
        </w:rPr>
      </w:pPr>
    </w:p>
    <w:p>
      <w:pPr>
        <w:jc w:val="both"/>
        <w:ind w:right="60"/>
        <w:spacing w:after="0" w:line="261" w:lineRule="auto"/>
        <w:rPr>
          <w:sz w:val="20"/>
          <w:szCs w:val="20"/>
          <w:color w:val="auto"/>
        </w:rPr>
      </w:pPr>
      <w:r>
        <w:rPr>
          <w:rFonts w:ascii="Arial" w:cs="Arial" w:eastAsia="Arial" w:hAnsi="Arial"/>
          <w:sz w:val="14"/>
          <w:szCs w:val="14"/>
          <w:color w:val="auto"/>
        </w:rPr>
        <w:t>Portions of the registrant’s definitive proxy statement for its 2024 Annual General Meeting of Shareholders, which the registrant intends to file pursuant to Regulation 14A with the Securities and Exchange Commission not later than 120 days after the registrant’s fiscal year ended December 31, 2023, 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29845</wp:posOffset>
                </wp:positionV>
                <wp:extent cx="68961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2.35pt" to="541.5pt,2.3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90805</wp:posOffset>
                </wp:positionV>
                <wp:extent cx="68961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7.15pt" to="541.5pt,7.15pt" o:allowincell="f" strokecolor="#000000" strokeweight="3pt"/>
            </w:pict>
          </mc:Fallback>
        </mc:AlternateContent>
      </w:r>
    </w:p>
    <w:p>
      <w:pPr>
        <w:sectPr>
          <w:pgSz w:w="11880" w:h="15480" w:orient="portrait"/>
          <w:cols w:equalWidth="0" w:num="1">
            <w:col w:w="10800"/>
          </w:cols>
          <w:pgMar w:left="540" w:top="1440" w:right="540" w:bottom="969"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t>TABLE OF CONTENTS</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7"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Part I</w:t>
      </w:r>
    </w:p>
    <w:p>
      <w:pPr>
        <w:spacing w:after="0" w:line="4" w:lineRule="exact"/>
        <w:rPr>
          <w:sz w:val="20"/>
          <w:szCs w:val="20"/>
          <w:color w:val="auto"/>
        </w:rPr>
      </w:pPr>
    </w:p>
    <w:p>
      <w:pPr>
        <w:spacing w:after="0"/>
        <w:tabs>
          <w:tab w:leader="none" w:pos="880" w:val="left"/>
          <w:tab w:leader="none" w:pos="940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19"/>
          <w:szCs w:val="19"/>
          <w:color w:val="auto"/>
        </w:rPr>
        <w:t>Business . . . . . . . . . . . . . . . . . . . . . . . . . . . . . . . . . . . . . . . . . . . . . . . . . . . . . . . . . . . . . . . . . . . . . . . . . .</w:t>
      </w:r>
      <w:r>
        <w:rPr>
          <w:sz w:val="20"/>
          <w:szCs w:val="20"/>
          <w:color w:val="auto"/>
        </w:rPr>
        <w:tab/>
      </w:r>
      <w:r>
        <w:rPr>
          <w:rFonts w:ascii="Arial" w:cs="Arial" w:eastAsia="Arial" w:hAnsi="Arial"/>
          <w:sz w:val="17"/>
          <w:szCs w:val="17"/>
          <w:color w:val="auto"/>
        </w:rPr>
        <w:t>6</w:t>
      </w:r>
    </w:p>
    <w:p>
      <w:pPr>
        <w:spacing w:after="0"/>
        <w:tabs>
          <w:tab w:leader="none" w:pos="9340" w:val="left"/>
        </w:tabs>
        <w:rPr>
          <w:sz w:val="20"/>
          <w:szCs w:val="20"/>
          <w:color w:val="auto"/>
        </w:rPr>
      </w:pPr>
      <w:r>
        <w:rPr>
          <w:rFonts w:ascii="Arial" w:cs="Arial" w:eastAsia="Arial" w:hAnsi="Arial"/>
          <w:sz w:val="19"/>
          <w:szCs w:val="19"/>
          <w:color w:val="auto"/>
        </w:rPr>
        <w:t>Item 1A.  Risk Factors . . . . . . . . . . . . . . . . . . . . . . . . . . . . . . . . . . . . . . . . . . . . . . . . . . . . . . . . . . . . . . . . . . . . . . .</w:t>
        <w:tab/>
        <w:t>67</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Item 1B.  Unresolved Staff Comments . . . . . . . . . . . . . . . . . . . . . . . . . . . . . . . . . . . . . . . . . . . . . . . . . . . . . . . . . 147</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Item 1C.  Cybersecurity . . . . . . . . . . . . . . . . . . . . . . . . . . . . . . . . . . . . . . . . . . . . . . . . . . . . . . . . . . . . . . . . . . . . . . 147</w:t>
      </w:r>
    </w:p>
    <w:p>
      <w:pPr>
        <w:spacing w:after="0" w:line="2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Item 2.</w:t>
      </w:r>
      <w:r>
        <w:rPr>
          <w:sz w:val="20"/>
          <w:szCs w:val="20"/>
          <w:color w:val="auto"/>
        </w:rPr>
        <w:tab/>
      </w:r>
      <w:r>
        <w:rPr>
          <w:rFonts w:ascii="Arial" w:cs="Arial" w:eastAsia="Arial" w:hAnsi="Arial"/>
          <w:sz w:val="18"/>
          <w:szCs w:val="18"/>
          <w:color w:val="auto"/>
        </w:rPr>
        <w:t>Properties . . . . . . . . . . . . . . . . . . . . . . . . . . . . . . . . . . . . . . . . . . . . . . . . . . . . . . . . . . . . . . . . . . . . . . . . . 148</w:t>
      </w:r>
    </w:p>
    <w:p>
      <w:pPr>
        <w:spacing w:after="0"/>
        <w:tabs>
          <w:tab w:leader="none" w:pos="88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18"/>
          <w:szCs w:val="18"/>
          <w:color w:val="auto"/>
        </w:rPr>
        <w:t>Legal Proceedings. . . . . . . . . . . . . . . . . . . . . . . . . . . . . . . . . . . . . . . . . . . . . . . . . . . . . . . . . . . . . . . . . . 148</w:t>
      </w:r>
    </w:p>
    <w:p>
      <w:pPr>
        <w:spacing w:after="0"/>
        <w:tabs>
          <w:tab w:leader="none" w:pos="88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8"/>
          <w:szCs w:val="18"/>
          <w:color w:val="auto"/>
        </w:rPr>
        <w:t>Mine Safety Disclosures . . . . . . . . . . . . . . . . . . . . . . . . . . . . . . . . . . . . . . . . . . . . . . . . . . . . . . . . . . . . . 149</w:t>
      </w:r>
    </w:p>
    <w:p>
      <w:pPr>
        <w:ind w:left="4800"/>
        <w:spacing w:after="0"/>
        <w:rPr>
          <w:sz w:val="20"/>
          <w:szCs w:val="20"/>
          <w:color w:val="auto"/>
        </w:rPr>
      </w:pPr>
      <w:r>
        <w:rPr>
          <w:rFonts w:ascii="Arial" w:cs="Arial" w:eastAsia="Arial" w:hAnsi="Arial"/>
          <w:sz w:val="20"/>
          <w:szCs w:val="20"/>
          <w:b w:val="1"/>
          <w:bCs w:val="1"/>
          <w:color w:val="auto"/>
        </w:rPr>
        <w:t>Part II</w:t>
      </w:r>
    </w:p>
    <w:p>
      <w:pPr>
        <w:spacing w:after="0" w:line="4"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Item 5.</w:t>
        <w:tab/>
        <w:t>Market for Registrant’s Common Equity, Related Stockholder Matters and Issuer</w:t>
      </w:r>
    </w:p>
    <w:p>
      <w:pPr>
        <w:jc w:val="both"/>
        <w:ind w:right="60" w:firstLine="1045"/>
        <w:spacing w:after="0" w:line="252" w:lineRule="auto"/>
        <w:rPr>
          <w:sz w:val="20"/>
          <w:szCs w:val="20"/>
          <w:color w:val="auto"/>
        </w:rPr>
      </w:pPr>
      <w:r>
        <w:rPr>
          <w:rFonts w:ascii="Arial" w:cs="Arial" w:eastAsia="Arial" w:hAnsi="Arial"/>
          <w:sz w:val="19"/>
          <w:szCs w:val="19"/>
          <w:color w:val="auto"/>
        </w:rPr>
        <w:t>Purchases of Equity Securities. . . . . . . . . . . . . . . . . . . . . . . . . . . . . . . . . . . . . . . . . . . . . . . . . . . . . . 149 Item 6. [Reserved] . . . . . . . . . . . . . . . . . . . . . . . . . . . . . . . . . . . . . . . . . . . . . . . . . . . . . . . . . . . . . . . . . . . . . . . . 158 Item 7. Management’s Discussion and Analysis of Financial Condition and Results of Operations . . . . 159 Item 7A. Quantitative and Qualitative Disclosures About Market Risk . . . . . . . . . . . . . . . . . . . . . . . . . . . . . . 170 Item 8. Financial Statements and Supplementary Data . . . . . . . . . . . . . . . . . . . . . . . . . . . . . . . . . . . . . . . . . 171 Item 9. Changes in and Disagreements With Accountants on Accounting and Financial Disclosure . . . 205 Item 9A. Controls and Procedures . . . . . . . . . . . . . . . . . . . . . . . . . . . . . . . . . . . . . . . . . . . . . . . . . . . . . . . . . . . . 205 Item 9B. Other Information . . . . . . . . . . . . . . . . . . . . . . . . . . . . . . . . . . . . . . . . . . . . . . . . . . . . . . . . . . . . . . . . . . . 207 Item 9C. Disclosure Regarding Foreign Jurisdictions that Prevent Inspections . . . . . . . . . . . . . . . . . . . . . . 207</w:t>
      </w:r>
    </w:p>
    <w:p>
      <w:pPr>
        <w:spacing w:after="0" w:line="2" w:lineRule="exact"/>
        <w:rPr>
          <w:sz w:val="20"/>
          <w:szCs w:val="20"/>
          <w:color w:val="auto"/>
        </w:rPr>
      </w:pPr>
    </w:p>
    <w:p>
      <w:pPr>
        <w:jc w:val="center"/>
        <w:ind w:right="-439"/>
        <w:spacing w:after="0"/>
        <w:rPr>
          <w:sz w:val="20"/>
          <w:szCs w:val="20"/>
          <w:color w:val="auto"/>
        </w:rPr>
      </w:pPr>
      <w:r>
        <w:rPr>
          <w:rFonts w:ascii="Arial" w:cs="Arial" w:eastAsia="Arial" w:hAnsi="Arial"/>
          <w:sz w:val="20"/>
          <w:szCs w:val="20"/>
          <w:b w:val="1"/>
          <w:bCs w:val="1"/>
          <w:color w:val="auto"/>
        </w:rPr>
        <w:t>Part III</w:t>
      </w:r>
    </w:p>
    <w:p>
      <w:pPr>
        <w:spacing w:after="0" w:line="2" w:lineRule="exact"/>
        <w:rPr>
          <w:sz w:val="20"/>
          <w:szCs w:val="20"/>
          <w:color w:val="auto"/>
        </w:rPr>
      </w:pPr>
    </w:p>
    <w:p>
      <w:pPr>
        <w:jc w:val="both"/>
        <w:ind w:right="60"/>
        <w:spacing w:after="0" w:line="252" w:lineRule="auto"/>
        <w:rPr>
          <w:sz w:val="20"/>
          <w:szCs w:val="20"/>
          <w:color w:val="auto"/>
        </w:rPr>
      </w:pPr>
      <w:r>
        <w:rPr>
          <w:rFonts w:ascii="Arial" w:cs="Arial" w:eastAsia="Arial" w:hAnsi="Arial"/>
          <w:sz w:val="19"/>
          <w:szCs w:val="19"/>
          <w:color w:val="auto"/>
        </w:rPr>
        <w:t>Item 10. Directors, Executive Officers and Corporate Governance . . . . . . . . . . . . . . . . . . . . . . . . . . . . . . . . 208 Item 11. Executive Compensation . . . . . . . . . . . . . . . . . . . . . . . . . . . . . . . . . . . . . . . . . . . . . . . . . . . . . . . . . . . . 208 Item 12. Security Ownership of Certain Beneficial Owners and Management and Related</w:t>
      </w:r>
    </w:p>
    <w:p>
      <w:pPr>
        <w:spacing w:after="0" w:line="2" w:lineRule="exact"/>
        <w:rPr>
          <w:sz w:val="20"/>
          <w:szCs w:val="20"/>
          <w:color w:val="auto"/>
        </w:rPr>
      </w:pPr>
    </w:p>
    <w:p>
      <w:pPr>
        <w:jc w:val="both"/>
        <w:ind w:right="60" w:firstLine="1045"/>
        <w:spacing w:after="0" w:line="251" w:lineRule="auto"/>
        <w:rPr>
          <w:sz w:val="20"/>
          <w:szCs w:val="20"/>
          <w:color w:val="auto"/>
        </w:rPr>
      </w:pPr>
      <w:r>
        <w:rPr>
          <w:rFonts w:ascii="Arial" w:cs="Arial" w:eastAsia="Arial" w:hAnsi="Arial"/>
          <w:sz w:val="19"/>
          <w:szCs w:val="19"/>
          <w:color w:val="auto"/>
        </w:rPr>
        <w:t>Stockholder Matters . . . . . . . . . . . . . . . . . . . . . . . . . . . . . . . . . . . . . . . . . . . . . . . . . . . . . . . . . . . . . . . 208 Item 13. Certain Relationships and Related Transactions, and Director Independence . . . . . . . . . . . . . . . 208 Item 14. Principal Accountant Fees and Services . . . . . . . . . . . . . . . . . . . . . . . . . . . . . . . . . . . . . . . . . . . . . . . 208</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Part IV</w:t>
      </w:r>
    </w:p>
    <w:p>
      <w:pPr>
        <w:spacing w:after="0" w:line="2"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Item 15.</w:t>
      </w:r>
      <w:r>
        <w:rPr>
          <w:sz w:val="20"/>
          <w:szCs w:val="20"/>
          <w:color w:val="auto"/>
        </w:rPr>
        <w:tab/>
      </w:r>
      <w:r>
        <w:rPr>
          <w:rFonts w:ascii="Arial" w:cs="Arial" w:eastAsia="Arial" w:hAnsi="Arial"/>
          <w:sz w:val="19"/>
          <w:szCs w:val="19"/>
          <w:color w:val="auto"/>
        </w:rPr>
        <w:t>Exhibits, Financial Statement Schedules . . . . . . . . . . . . . . . . . . . . . . . . . . . . . . . . . . . . . . . . . . . . . . . 209</w:t>
      </w:r>
    </w:p>
    <w:p>
      <w:pPr>
        <w:spacing w:after="0"/>
        <w:tabs>
          <w:tab w:leader="none" w:pos="880" w:val="left"/>
        </w:tabs>
        <w:rPr>
          <w:sz w:val="20"/>
          <w:szCs w:val="20"/>
          <w:color w:val="auto"/>
        </w:rPr>
      </w:pPr>
      <w:r>
        <w:rPr>
          <w:rFonts w:ascii="Arial" w:cs="Arial" w:eastAsia="Arial" w:hAnsi="Arial"/>
          <w:sz w:val="20"/>
          <w:szCs w:val="20"/>
          <w:color w:val="auto"/>
        </w:rPr>
        <w:t>Item 16.</w:t>
      </w:r>
      <w:r>
        <w:rPr>
          <w:sz w:val="20"/>
          <w:szCs w:val="20"/>
          <w:color w:val="auto"/>
        </w:rPr>
        <w:tab/>
      </w:r>
      <w:r>
        <w:rPr>
          <w:rFonts w:ascii="Arial" w:cs="Arial" w:eastAsia="Arial" w:hAnsi="Arial"/>
          <w:sz w:val="18"/>
          <w:szCs w:val="18"/>
          <w:color w:val="auto"/>
        </w:rPr>
        <w:t>Form 10–K Summary . . . . . . . . . . . . . . . . . . . . . . . . . . . . . . . . . . . . . . . . . . . . . . . . . . . . . . . . . . . . . . . 214</w:t>
      </w:r>
    </w:p>
    <w:p>
      <w:pPr>
        <w:ind w:left="900"/>
        <w:spacing w:after="0"/>
        <w:rPr>
          <w:sz w:val="20"/>
          <w:szCs w:val="20"/>
          <w:color w:val="auto"/>
        </w:rPr>
      </w:pPr>
      <w:r>
        <w:rPr>
          <w:rFonts w:ascii="Arial" w:cs="Arial" w:eastAsia="Arial" w:hAnsi="Arial"/>
          <w:sz w:val="18"/>
          <w:szCs w:val="18"/>
          <w:color w:val="auto"/>
        </w:rPr>
        <w:t>Signatures. . . . . . . . . . . . . . . . . . . . . . . . . . . . . . . . . . . . . . . . . . . . . . . . . . . . . . . . . . . . . . . . . . . . . . . . . 215</w:t>
      </w:r>
    </w:p>
    <w:p>
      <w:pPr>
        <w:sectPr>
          <w:pgSz w:w="11880" w:h="15480" w:orient="portrait"/>
          <w:cols w:equalWidth="0" w:num="1">
            <w:col w:w="9700"/>
          </w:cols>
          <w:pgMar w:left="1080" w:top="1063" w:right="110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880" w:h="15480" w:orient="portrait"/>
          <w:cols w:equalWidth="0" w:num="1">
            <w:col w:w="9700"/>
          </w:cols>
          <w:pgMar w:left="1080" w:top="1063" w:right="1100" w:bottom="543" w:gutter="0" w:footer="0" w:header="0"/>
          <w:type w:val="continuous"/>
        </w:sectPr>
      </w:pPr>
    </w:p>
    <w:bookmarkStart w:id="4" w:name="page5"/>
    <w:bookmarkEnd w:id="4"/>
    <w:p>
      <w:pPr>
        <w:jc w:val="center"/>
        <w:ind w:right="-59"/>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42" w:lineRule="exact"/>
        <w:rPr>
          <w:sz w:val="20"/>
          <w:szCs w:val="20"/>
          <w:color w:val="auto"/>
        </w:rPr>
      </w:pPr>
    </w:p>
    <w:p>
      <w:pPr>
        <w:ind w:firstLine="1"/>
        <w:spacing w:after="0" w:line="247" w:lineRule="auto"/>
        <w:rPr>
          <w:sz w:val="20"/>
          <w:szCs w:val="20"/>
          <w:color w:val="auto"/>
        </w:rPr>
      </w:pPr>
      <w:r>
        <w:rPr>
          <w:rFonts w:ascii="Arial" w:cs="Arial" w:eastAsia="Arial" w:hAnsi="Arial"/>
          <w:sz w:val="20"/>
          <w:szCs w:val="20"/>
          <w:color w:val="auto"/>
        </w:rPr>
        <w:t>This Annual Report on Form 10-K (“Annual Report”), contains forward-looking statements. All statements other than statements of historical facts contained in this Annual Report are forward-looking statements. In some cases, you can identify forward- looking statements by terms such as “may,” "can," “will,” “would,”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Annual Report, including without limitation statements regarding:</w:t>
      </w:r>
    </w:p>
    <w:p>
      <w:pPr>
        <w:spacing w:after="0" w:line="207" w:lineRule="exact"/>
        <w:rPr>
          <w:sz w:val="20"/>
          <w:szCs w:val="20"/>
          <w:color w:val="auto"/>
        </w:rPr>
      </w:pPr>
    </w:p>
    <w:p>
      <w:pPr>
        <w:ind w:left="720" w:right="320" w:hanging="353"/>
        <w:spacing w:after="0" w:line="284"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timing, progress and results of preclinical studies and clinical trials for our product candidates, including our product development plans and strategies;</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impact of data collection omissions at any of our clinical sites;</w:t>
      </w:r>
    </w:p>
    <w:p>
      <w:pPr>
        <w:spacing w:after="0" w:line="132" w:lineRule="exact"/>
        <w:rPr>
          <w:rFonts w:ascii="Arial" w:cs="Arial" w:eastAsia="Arial" w:hAnsi="Arial"/>
          <w:sz w:val="20"/>
          <w:szCs w:val="20"/>
          <w:color w:val="auto"/>
        </w:rPr>
      </w:pPr>
    </w:p>
    <w:p>
      <w:pPr>
        <w:ind w:left="720" w:hanging="353"/>
        <w:spacing w:after="0" w:line="284"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timing, scope and likelihood of regulatory filings and approvals, including final regulatory approval of our product candidates;</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potential benefits and market opportunity for our product candidates and discovery platform;</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expectations regarding the size, scope and design of clinical trials;</w:t>
      </w:r>
    </w:p>
    <w:p>
      <w:pPr>
        <w:spacing w:after="0" w:line="133" w:lineRule="exact"/>
        <w:rPr>
          <w:rFonts w:ascii="Arial" w:cs="Arial" w:eastAsia="Arial" w:hAnsi="Arial"/>
          <w:sz w:val="20"/>
          <w:szCs w:val="20"/>
          <w:color w:val="auto"/>
        </w:rPr>
      </w:pPr>
    </w:p>
    <w:p>
      <w:pPr>
        <w:ind w:left="720" w:right="780" w:hanging="353"/>
        <w:spacing w:after="0" w:line="284"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plans and strategy with respect to our drug discovery efforts and potential benefits of our discovery platform;</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manufacturing, commercialization, and marketing plans and strategies;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plans to hire additional personnel and our ability to attract and retain such personnel;</w:t>
      </w:r>
    </w:p>
    <w:p>
      <w:pPr>
        <w:spacing w:after="0" w:line="133" w:lineRule="exact"/>
        <w:rPr>
          <w:rFonts w:ascii="Arial" w:cs="Arial" w:eastAsia="Arial" w:hAnsi="Arial"/>
          <w:sz w:val="20"/>
          <w:szCs w:val="20"/>
          <w:color w:val="auto"/>
        </w:rPr>
      </w:pPr>
    </w:p>
    <w:p>
      <w:pPr>
        <w:ind w:left="720" w:right="160" w:hanging="353"/>
        <w:spacing w:after="0" w:line="284"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estimates of the number of patients who suffer from the diseases we are targeting and potential growth in our target markets;</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expectations regarding the approval and use of our product candidates;</w:t>
      </w:r>
    </w:p>
    <w:p>
      <w:pPr>
        <w:spacing w:after="0" w:line="132" w:lineRule="exact"/>
        <w:rPr>
          <w:rFonts w:ascii="Arial" w:cs="Arial" w:eastAsia="Arial" w:hAnsi="Arial"/>
          <w:sz w:val="20"/>
          <w:szCs w:val="20"/>
          <w:color w:val="auto"/>
        </w:rPr>
      </w:pPr>
    </w:p>
    <w:p>
      <w:pPr>
        <w:ind w:left="720" w:right="400" w:hanging="353"/>
        <w:spacing w:after="0" w:line="284"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competitive position and the development and impact of competing therapies that are or may become available;</w:t>
      </w:r>
    </w:p>
    <w:p>
      <w:pPr>
        <w:spacing w:after="0" w:line="49" w:lineRule="exact"/>
        <w:rPr>
          <w:rFonts w:ascii="Arial" w:cs="Arial" w:eastAsia="Arial" w:hAnsi="Arial"/>
          <w:sz w:val="20"/>
          <w:szCs w:val="20"/>
          <w:color w:val="auto"/>
        </w:rPr>
      </w:pPr>
    </w:p>
    <w:p>
      <w:pPr>
        <w:ind w:left="720" w:right="240" w:hanging="353"/>
        <w:spacing w:after="0" w:line="262"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expectations regarding future events under collaboration and licensing agreements, including potential future payments, as well as our plans and strategies for entering into further collaboration and licensing agreements;</w:t>
      </w:r>
    </w:p>
    <w:p>
      <w:pPr>
        <w:spacing w:after="0" w:line="70" w:lineRule="exact"/>
        <w:rPr>
          <w:rFonts w:ascii="Arial" w:cs="Arial" w:eastAsia="Arial" w:hAnsi="Arial"/>
          <w:sz w:val="20"/>
          <w:szCs w:val="20"/>
          <w:color w:val="auto"/>
        </w:rPr>
      </w:pPr>
    </w:p>
    <w:p>
      <w:pPr>
        <w:ind w:left="720" w:right="100" w:hanging="353"/>
        <w:spacing w:after="0" w:line="251"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intellectual property position, including the scope of protection we are able to establish and maintain for intellectual property rights covering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81" w:lineRule="exact"/>
        <w:rPr>
          <w:rFonts w:ascii="Arial" w:cs="Arial" w:eastAsia="Arial" w:hAnsi="Arial"/>
          <w:sz w:val="20"/>
          <w:szCs w:val="20"/>
          <w:color w:val="auto"/>
        </w:rPr>
      </w:pPr>
    </w:p>
    <w:p>
      <w:pPr>
        <w:ind w:left="720" w:hanging="353"/>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rate and degree of market acceptance and clinical utility of product candidates we may develop;</w:t>
      </w:r>
    </w:p>
    <w:p>
      <w:pPr>
        <w:spacing w:after="0" w:line="132" w:lineRule="exact"/>
        <w:rPr>
          <w:rFonts w:ascii="Arial" w:cs="Arial" w:eastAsia="Arial" w:hAnsi="Arial"/>
          <w:sz w:val="20"/>
          <w:szCs w:val="20"/>
          <w:color w:val="auto"/>
        </w:rPr>
      </w:pPr>
    </w:p>
    <w:p>
      <w:pPr>
        <w:ind w:left="720" w:right="420" w:hanging="353"/>
        <w:spacing w:after="0" w:line="284"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estimates regarding expenses, future revenue, capital requirements and needs for additional financing;</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future financial performance;</w:t>
      </w:r>
    </w:p>
    <w:p>
      <w:pPr>
        <w:spacing w:after="0" w:line="133" w:lineRule="exact"/>
        <w:rPr>
          <w:rFonts w:ascii="Arial" w:cs="Arial" w:eastAsia="Arial" w:hAnsi="Arial"/>
          <w:sz w:val="20"/>
          <w:szCs w:val="20"/>
          <w:color w:val="auto"/>
        </w:rPr>
      </w:pPr>
    </w:p>
    <w:p>
      <w:pPr>
        <w:ind w:left="720" w:right="280" w:hanging="353"/>
        <w:spacing w:after="0" w:line="284"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period over which we estimate our existing cash, cash equivalents and short-term investments will be sufficient to fund our future operating expenses and capital expenditure requirements;</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impact of laws and regulations; and</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impact of geopolitical and macroeconomic factors.</w:t>
      </w:r>
    </w:p>
    <w:p>
      <w:pPr>
        <w:spacing w:after="0" w:line="240" w:lineRule="exact"/>
        <w:rPr>
          <w:sz w:val="20"/>
          <w:szCs w:val="20"/>
          <w:color w:val="auto"/>
        </w:rPr>
      </w:pPr>
    </w:p>
    <w:p>
      <w:pPr>
        <w:ind w:right="180"/>
        <w:spacing w:after="0" w:line="312" w:lineRule="auto"/>
        <w:rPr>
          <w:sz w:val="20"/>
          <w:szCs w:val="20"/>
          <w:color w:val="auto"/>
        </w:rPr>
      </w:pPr>
      <w:r>
        <w:rPr>
          <w:rFonts w:ascii="Arial" w:cs="Arial" w:eastAsia="Arial" w:hAnsi="Arial"/>
          <w:sz w:val="19"/>
          <w:szCs w:val="19"/>
          <w:color w:val="auto"/>
        </w:rPr>
        <w:t>The forward-looking statements in this Annual Report are only predictions and are based largely on our current expectations and projections about future events and trends that we believe may affect our financial</w:t>
      </w:r>
    </w:p>
    <w:p>
      <w:pPr>
        <w:sectPr>
          <w:pgSz w:w="11880" w:h="15480" w:orient="portrait"/>
          <w:cols w:equalWidth="0" w:num="1">
            <w:col w:w="9660"/>
          </w:cols>
          <w:pgMar w:left="1080" w:top="1063" w:right="1140" w:bottom="543" w:gutter="0" w:footer="0" w:header="0"/>
        </w:sectPr>
      </w:pP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ectPr>
          <w:pgSz w:w="11880" w:h="15480" w:orient="portrait"/>
          <w:cols w:equalWidth="0" w:num="1">
            <w:col w:w="9660"/>
          </w:cols>
          <w:pgMar w:left="1080" w:top="1063" w:right="1140" w:bottom="543" w:gutter="0" w:footer="0" w:header="0"/>
          <w:type w:val="continuous"/>
        </w:sectPr>
      </w:pPr>
    </w:p>
    <w:bookmarkStart w:id="5" w:name="page6"/>
    <w:bookmarkEnd w:id="5"/>
    <w:p>
      <w:pPr>
        <w:ind w:right="40"/>
        <w:spacing w:after="0" w:line="244" w:lineRule="auto"/>
        <w:rPr>
          <w:sz w:val="20"/>
          <w:szCs w:val="20"/>
          <w:color w:val="auto"/>
        </w:rPr>
      </w:pPr>
      <w:r>
        <w:rPr>
          <w:rFonts w:ascii="Arial" w:cs="Arial" w:eastAsia="Arial" w:hAnsi="Arial"/>
          <w:sz w:val="20"/>
          <w:szCs w:val="20"/>
          <w:color w:val="auto"/>
        </w:rPr>
        <w:t>condition, results of operations, business strategy, short-term and long-term business operations and objectives, and financial needs. These forward-looking statements speak only as of the date of this Annual Report and are subject to a number of known and unknown risks, uncertainties, and assumptions, including those described under Part I. Item 1A. “Risk Factors” and Part II. Item 7. “Management’s Discussion and Analysis of Financial Condition and Results of Operations” and elsewhere in this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may not occur and actual results could differ materially and adversely from those anticipated or implied in the forward-looking statements.</w:t>
      </w:r>
    </w:p>
    <w:p>
      <w:pPr>
        <w:spacing w:after="0" w:line="195" w:lineRule="exact"/>
        <w:rPr>
          <w:sz w:val="20"/>
          <w:szCs w:val="20"/>
          <w:color w:val="auto"/>
        </w:rPr>
      </w:pPr>
    </w:p>
    <w:p>
      <w:pPr>
        <w:ind w:firstLine="1"/>
        <w:spacing w:after="0" w:line="244" w:lineRule="auto"/>
        <w:rPr>
          <w:sz w:val="20"/>
          <w:szCs w:val="20"/>
          <w:color w:val="auto"/>
        </w:rPr>
      </w:pPr>
      <w:r>
        <w:rPr>
          <w:rFonts w:ascii="Arial" w:cs="Arial" w:eastAsia="Arial" w:hAnsi="Arial"/>
          <w:sz w:val="20"/>
          <w:szCs w:val="20"/>
          <w:color w:val="auto"/>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 -looking statements are reasonable, we cannot guarantee future results, performance, or achievements. The forward-looking statements made in this Annual report relate only to events or information as of the date on which the statements are made in this Annual Report. Except as required by applicable law, we do not plan to publicly update or revise any forward-looking statements contained herein, whether as a result of any new information, future events, changed circumstances or otherwise. We intend the forward-looking statements contained in this Annual Report to be covered by the safe harbor provisions for forward-looking statements contained in Section 27A of the Securities Act of 1933, as amended (the “Securities Act”), and Section 21E of the Securities Exchange Act of 1934, as amended (the “Exchange Act”).</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SUMMARY RISK FACTORS</w:t>
      </w:r>
    </w:p>
    <w:p>
      <w:pPr>
        <w:spacing w:after="0" w:line="244" w:lineRule="exact"/>
        <w:rPr>
          <w:sz w:val="20"/>
          <w:szCs w:val="20"/>
          <w:color w:val="auto"/>
        </w:rPr>
      </w:pPr>
    </w:p>
    <w:p>
      <w:pPr>
        <w:ind w:right="400"/>
        <w:spacing w:after="0" w:line="254" w:lineRule="auto"/>
        <w:rPr>
          <w:sz w:val="20"/>
          <w:szCs w:val="20"/>
          <w:color w:val="auto"/>
        </w:rPr>
      </w:pPr>
      <w:r>
        <w:rPr>
          <w:rFonts w:ascii="Arial" w:cs="Arial" w:eastAsia="Arial" w:hAnsi="Arial"/>
          <w:sz w:val="20"/>
          <w:szCs w:val="20"/>
          <w:color w:val="auto"/>
        </w:rPr>
        <w:t>Our business is subject to numerous risks and uncertainties, including those described in Part I. Item 1A. “Risk Factors” in this Annual Report. You should carefully consider these risks and uncertainties when investing in our American Depositary Shares (“ADSs”). The principal risks and uncertainties affecting our business include the following:</w:t>
      </w:r>
    </w:p>
    <w:p>
      <w:pPr>
        <w:spacing w:after="0" w:line="186" w:lineRule="exact"/>
        <w:rPr>
          <w:sz w:val="20"/>
          <w:szCs w:val="20"/>
          <w:color w:val="auto"/>
        </w:rPr>
      </w:pPr>
    </w:p>
    <w:p>
      <w:pPr>
        <w:ind w:left="720" w:right="300"/>
        <w:spacing w:after="0" w:line="284" w:lineRule="auto"/>
        <w:rPr>
          <w:sz w:val="20"/>
          <w:szCs w:val="20"/>
          <w:color w:val="auto"/>
        </w:rPr>
      </w:pPr>
      <w:r>
        <w:rPr>
          <w:rFonts w:ascii="Arial" w:cs="Arial" w:eastAsia="Arial" w:hAnsi="Arial"/>
          <w:sz w:val="20"/>
          <w:szCs w:val="20"/>
          <w:color w:val="auto"/>
        </w:rPr>
        <w:t>We have a limited operating history, have incurred significant operating losses since our inception and expect to incur significant losses for the foreseeable future.</w:t>
      </w:r>
    </w:p>
    <w:p>
      <w:pPr>
        <w:spacing w:after="0" w:line="156" w:lineRule="exact"/>
        <w:rPr>
          <w:sz w:val="20"/>
          <w:szCs w:val="20"/>
          <w:color w:val="auto"/>
        </w:rPr>
      </w:pPr>
    </w:p>
    <w:p>
      <w:pPr>
        <w:ind w:left="720" w:right="20"/>
        <w:spacing w:after="0" w:line="254" w:lineRule="auto"/>
        <w:rPr>
          <w:sz w:val="20"/>
          <w:szCs w:val="20"/>
          <w:color w:val="auto"/>
        </w:rPr>
      </w:pPr>
      <w:r>
        <w:rPr>
          <w:rFonts w:ascii="Arial" w:cs="Arial" w:eastAsia="Arial" w:hAnsi="Arial"/>
          <w:sz w:val="20"/>
          <w:szCs w:val="20"/>
          <w:color w:val="auto"/>
        </w:rPr>
        <w:t>We will require substantial additional capital to finance our operations, which may not be available on acceptable terms, or at all. Failure to obtain this necessary capital when needed may force us to delay, limit or terminate certain of our product development programs, commercialization efforts or other operations.</w:t>
      </w:r>
    </w:p>
    <w:p>
      <w:pPr>
        <w:spacing w:after="0" w:line="185" w:lineRule="exact"/>
        <w:rPr>
          <w:sz w:val="20"/>
          <w:szCs w:val="20"/>
          <w:color w:val="auto"/>
        </w:rPr>
      </w:pPr>
    </w:p>
    <w:p>
      <w:pPr>
        <w:ind w:left="720" w:right="120"/>
        <w:spacing w:after="0" w:line="284" w:lineRule="auto"/>
        <w:rPr>
          <w:sz w:val="20"/>
          <w:szCs w:val="20"/>
          <w:color w:val="auto"/>
        </w:rPr>
      </w:pPr>
      <w:r>
        <w:rPr>
          <w:rFonts w:ascii="Arial" w:cs="Arial" w:eastAsia="Arial" w:hAnsi="Arial"/>
          <w:sz w:val="20"/>
          <w:szCs w:val="20"/>
          <w:color w:val="auto"/>
        </w:rPr>
        <w:t>Our approach to the discovery of product candidates based on our technology platform is unproven, and we do not know whether we will be able to develop any products of commercial value.</w:t>
      </w:r>
    </w:p>
    <w:p>
      <w:pPr>
        <w:spacing w:after="0" w:line="156" w:lineRule="exact"/>
        <w:rPr>
          <w:sz w:val="20"/>
          <w:szCs w:val="20"/>
          <w:color w:val="auto"/>
        </w:rPr>
      </w:pPr>
    </w:p>
    <w:p>
      <w:pPr>
        <w:ind w:left="720" w:right="360"/>
        <w:spacing w:after="0" w:line="251" w:lineRule="auto"/>
        <w:rPr>
          <w:sz w:val="20"/>
          <w:szCs w:val="20"/>
          <w:color w:val="auto"/>
        </w:rPr>
      </w:pPr>
      <w:r>
        <w:rPr>
          <w:rFonts w:ascii="Arial" w:cs="Arial" w:eastAsia="Arial" w:hAnsi="Arial"/>
          <w:sz w:val="20"/>
          <w:szCs w:val="20"/>
          <w:color w:val="auto"/>
        </w:rPr>
        <w:t>We are early in our development efforts and only have two product candidates, GSBR-1290 and ANPA-0073, in early clinical development. All of our other development programs are in the preclinical or discovery stage. If we are unable to advance our product candidates in clinical development, obtain regulatory approval and ultimately commercialize our product candidates, or experience significant delays in doing so, our business will be materially harmed.</w:t>
      </w:r>
    </w:p>
    <w:p>
      <w:pPr>
        <w:spacing w:after="0" w:line="187" w:lineRule="exact"/>
        <w:rPr>
          <w:sz w:val="20"/>
          <w:szCs w:val="20"/>
          <w:color w:val="auto"/>
        </w:rPr>
      </w:pPr>
    </w:p>
    <w:p>
      <w:pPr>
        <w:ind w:left="720" w:right="160"/>
        <w:spacing w:after="0" w:line="254" w:lineRule="auto"/>
        <w:rPr>
          <w:sz w:val="20"/>
          <w:szCs w:val="20"/>
          <w:color w:val="auto"/>
        </w:rPr>
      </w:pPr>
      <w:r>
        <w:rPr>
          <w:rFonts w:ascii="Arial" w:cs="Arial" w:eastAsia="Arial" w:hAnsi="Arial"/>
          <w:sz w:val="20"/>
          <w:szCs w:val="20"/>
          <w:color w:val="auto"/>
        </w:rPr>
        <w:t>Clinical and preclinical drug development involves a lengthy and expensive process with uncertain timelines and outcomes. The results of prior clinical trials and preclinical studies are not necessarily predictive of future results, and may not be favorable, or receive regulatory approval on a timely basis, if at all.</w:t>
      </w:r>
    </w:p>
    <w:p>
      <w:pPr>
        <w:sectPr>
          <w:pgSz w:w="11880" w:h="15480" w:orient="portrait"/>
          <w:cols w:equalWidth="0" w:num="1">
            <w:col w:w="9660"/>
          </w:cols>
          <w:pgMar w:left="1080" w:top="1066" w:right="1140" w:bottom="543"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w:t>
      </w:r>
    </w:p>
    <w:p>
      <w:pPr>
        <w:sectPr>
          <w:pgSz w:w="11880" w:h="15480" w:orient="portrait"/>
          <w:cols w:equalWidth="0" w:num="1">
            <w:col w:w="9660"/>
          </w:cols>
          <w:pgMar w:left="1080" w:top="1066" w:right="1140" w:bottom="543" w:gutter="0" w:footer="0" w:header="0"/>
          <w:type w:val="continuous"/>
        </w:sectPr>
      </w:pPr>
    </w:p>
    <w:bookmarkStart w:id="6" w:name="page7"/>
    <w:bookmarkEnd w:id="6"/>
    <w:p>
      <w:pPr>
        <w:ind w:left="360" w:right="300"/>
        <w:spacing w:after="0" w:line="262" w:lineRule="auto"/>
        <w:rPr>
          <w:sz w:val="20"/>
          <w:szCs w:val="20"/>
          <w:color w:val="auto"/>
        </w:rPr>
      </w:pPr>
      <w:r>
        <w:rPr>
          <w:rFonts w:ascii="Arial" w:cs="Arial" w:eastAsia="Arial" w:hAnsi="Arial"/>
          <w:sz w:val="20"/>
          <w:szCs w:val="20"/>
          <w:color w:val="auto"/>
        </w:rPr>
        <w:t>Any difficulties or delays in the commencement or completion, or termination or suspension, of our planned clinical trials could result in increased costs to us, delay or limit our ability to generate revenue and adversely affect our commercial prospects.</w:t>
      </w:r>
    </w:p>
    <w:p>
      <w:pPr>
        <w:spacing w:after="0" w:line="176" w:lineRule="exact"/>
        <w:rPr>
          <w:sz w:val="20"/>
          <w:szCs w:val="20"/>
          <w:color w:val="auto"/>
        </w:rPr>
      </w:pPr>
    </w:p>
    <w:p>
      <w:pPr>
        <w:ind w:left="360" w:right="60"/>
        <w:spacing w:after="0" w:line="249" w:lineRule="auto"/>
        <w:rPr>
          <w:sz w:val="20"/>
          <w:szCs w:val="20"/>
          <w:color w:val="auto"/>
        </w:rPr>
      </w:pPr>
      <w:r>
        <w:rPr>
          <w:rFonts w:ascii="Arial" w:cs="Arial" w:eastAsia="Arial" w:hAnsi="Arial"/>
          <w:sz w:val="20"/>
          <w:szCs w:val="20"/>
          <w:color w:val="auto"/>
        </w:rPr>
        <w:t>Serious adverse events (“SAEs”),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w:t>
      </w:r>
    </w:p>
    <w:p>
      <w:pPr>
        <w:spacing w:after="0" w:line="188" w:lineRule="exact"/>
        <w:rPr>
          <w:sz w:val="20"/>
          <w:szCs w:val="20"/>
          <w:color w:val="auto"/>
        </w:rPr>
      </w:pPr>
    </w:p>
    <w:p>
      <w:pPr>
        <w:ind w:left="360" w:right="520"/>
        <w:spacing w:after="0" w:line="284" w:lineRule="auto"/>
        <w:rPr>
          <w:sz w:val="20"/>
          <w:szCs w:val="20"/>
          <w:color w:val="auto"/>
        </w:rPr>
      </w:pPr>
      <w:r>
        <w:rPr>
          <w:rFonts w:ascii="Arial" w:cs="Arial" w:eastAsia="Arial" w:hAnsi="Arial"/>
          <w:sz w:val="20"/>
          <w:szCs w:val="20"/>
          <w:color w:val="auto"/>
        </w:rPr>
        <w:t>As an organization, we have never conducted later-stage clinical trials or submitted a New Drug Application (“NDA”), and may be unable to do so for any of our product candidates.</w:t>
      </w:r>
    </w:p>
    <w:p>
      <w:pPr>
        <w:spacing w:after="0" w:line="156" w:lineRule="exact"/>
        <w:rPr>
          <w:sz w:val="20"/>
          <w:szCs w:val="20"/>
          <w:color w:val="auto"/>
        </w:rPr>
      </w:pPr>
    </w:p>
    <w:p>
      <w:pPr>
        <w:ind w:left="360"/>
        <w:spacing w:after="0" w:line="254" w:lineRule="auto"/>
        <w:rPr>
          <w:sz w:val="20"/>
          <w:szCs w:val="20"/>
          <w:color w:val="auto"/>
        </w:rPr>
      </w:pPr>
      <w:r>
        <w:rPr>
          <w:rFonts w:ascii="Arial" w:cs="Arial" w:eastAsia="Arial" w:hAnsi="Arial"/>
          <w:sz w:val="20"/>
          <w:szCs w:val="20"/>
          <w:color w:val="auto"/>
        </w:rPr>
        <w:t>The marketing approval processes of the U.S. Food and Drug Administration (“FDA”) and applicable foreign authorities are lengthy, time consuming, expensive and inherently unpredictable, and if we are ultimately unable to obtain marketing approval for our product candidates, our business will be substantially harmed.</w:t>
      </w:r>
    </w:p>
    <w:p>
      <w:pPr>
        <w:spacing w:after="0" w:line="185" w:lineRule="exact"/>
        <w:rPr>
          <w:sz w:val="20"/>
          <w:szCs w:val="20"/>
          <w:color w:val="auto"/>
        </w:rPr>
      </w:pPr>
    </w:p>
    <w:p>
      <w:pPr>
        <w:ind w:left="360" w:right="120"/>
        <w:spacing w:after="0" w:line="255" w:lineRule="auto"/>
        <w:rPr>
          <w:sz w:val="20"/>
          <w:szCs w:val="20"/>
          <w:color w:val="auto"/>
        </w:rPr>
      </w:pPr>
      <w:r>
        <w:rPr>
          <w:rFonts w:ascii="Arial" w:cs="Arial" w:eastAsia="Arial" w:hAnsi="Arial"/>
          <w:sz w:val="20"/>
          <w:szCs w:val="20"/>
          <w:color w:val="auto"/>
        </w:rPr>
        <w:t>We have conducted, or plan to conduct, our initial clinical studies for GSBR-1290, ANPA-0073, LTSE-2578 and our other product candidates outside of the United States. However, the FDA and other foreign equivalents may not accept data from such trials, in which case our development plans will be delayed, which could materially harm our business.</w:t>
      </w:r>
    </w:p>
    <w:p>
      <w:pPr>
        <w:spacing w:after="0" w:line="183" w:lineRule="exact"/>
        <w:rPr>
          <w:sz w:val="20"/>
          <w:szCs w:val="20"/>
          <w:color w:val="auto"/>
        </w:rPr>
      </w:pPr>
    </w:p>
    <w:p>
      <w:pPr>
        <w:ind w:left="360" w:right="80"/>
        <w:spacing w:after="0" w:line="251" w:lineRule="auto"/>
        <w:rPr>
          <w:sz w:val="20"/>
          <w:szCs w:val="20"/>
          <w:color w:val="auto"/>
        </w:rPr>
      </w:pPr>
      <w:r>
        <w:rPr>
          <w:rFonts w:ascii="Arial" w:cs="Arial" w:eastAsia="Arial" w:hAnsi="Arial"/>
          <w:sz w:val="20"/>
          <w:szCs w:val="20"/>
          <w:color w:val="auto"/>
        </w:rPr>
        <w:t>We rely on third parties for the manufacture of our product candidates for preclinical and 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87" w:lineRule="exact"/>
        <w:rPr>
          <w:sz w:val="20"/>
          <w:szCs w:val="20"/>
          <w:color w:val="auto"/>
        </w:rPr>
      </w:pPr>
    </w:p>
    <w:p>
      <w:pPr>
        <w:ind w:left="360" w:right="280"/>
        <w:spacing w:after="0" w:line="262" w:lineRule="auto"/>
        <w:rPr>
          <w:sz w:val="20"/>
          <w:szCs w:val="20"/>
          <w:color w:val="auto"/>
        </w:rPr>
      </w:pPr>
      <w:r>
        <w:rPr>
          <w:rFonts w:ascii="Arial" w:cs="Arial" w:eastAsia="Arial" w:hAnsi="Arial"/>
          <w:sz w:val="20"/>
          <w:szCs w:val="20"/>
          <w:color w:val="auto"/>
        </w:rPr>
        <w:t>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176" w:lineRule="exact"/>
        <w:rPr>
          <w:sz w:val="20"/>
          <w:szCs w:val="20"/>
          <w:color w:val="auto"/>
        </w:rPr>
      </w:pPr>
    </w:p>
    <w:p>
      <w:pPr>
        <w:ind w:left="360" w:right="100"/>
        <w:spacing w:after="0" w:line="251" w:lineRule="auto"/>
        <w:rPr>
          <w:sz w:val="20"/>
          <w:szCs w:val="20"/>
          <w:color w:val="auto"/>
        </w:rPr>
      </w:pPr>
      <w:r>
        <w:rPr>
          <w:rFonts w:ascii="Arial" w:cs="Arial" w:eastAsia="Arial" w:hAnsi="Arial"/>
          <w:sz w:val="20"/>
          <w:szCs w:val="20"/>
          <w:color w:val="auto"/>
        </w:rPr>
        <w:t>We rely on third parties to conduct, supervise and monitor our discovery research, preclinical studies and clinical trials. We have experienced delays due to actions of third parties in the past and if in the future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187" w:lineRule="exact"/>
        <w:rPr>
          <w:sz w:val="20"/>
          <w:szCs w:val="20"/>
          <w:color w:val="auto"/>
        </w:rPr>
      </w:pPr>
    </w:p>
    <w:p>
      <w:pPr>
        <w:ind w:left="360" w:right="20"/>
        <w:spacing w:after="0" w:line="249" w:lineRule="auto"/>
        <w:rPr>
          <w:sz w:val="20"/>
          <w:szCs w:val="20"/>
          <w:color w:val="auto"/>
        </w:rPr>
      </w:pPr>
      <w:r>
        <w:rPr>
          <w:rFonts w:ascii="Arial" w:cs="Arial" w:eastAsia="Arial" w:hAnsi="Arial"/>
          <w:sz w:val="20"/>
          <w:szCs w:val="20"/>
          <w:color w:val="auto"/>
        </w:rPr>
        <w:t>We have entered into, and may in the future enter into, collaboration agreements and strategic alliances to maximize the potential of our structure-based drug discovery platform and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w:t>
      </w:r>
    </w:p>
    <w:p>
      <w:pPr>
        <w:spacing w:after="0" w:line="188" w:lineRule="exact"/>
        <w:rPr>
          <w:sz w:val="20"/>
          <w:szCs w:val="20"/>
          <w:color w:val="auto"/>
        </w:rPr>
      </w:pPr>
    </w:p>
    <w:p>
      <w:pPr>
        <w:ind w:left="360"/>
        <w:spacing w:after="0" w:line="262" w:lineRule="auto"/>
        <w:rPr>
          <w:sz w:val="20"/>
          <w:szCs w:val="20"/>
          <w:color w:val="auto"/>
        </w:rPr>
      </w:pPr>
      <w:r>
        <w:rPr>
          <w:rFonts w:ascii="Arial" w:cs="Arial" w:eastAsia="Arial" w:hAnsi="Arial"/>
          <w:sz w:val="20"/>
          <w:szCs w:val="20"/>
          <w:color w:val="auto"/>
        </w:rPr>
        <w:t>Our existing discovery collaborations with Schrödinger, LLC (together with its affiliates, “Schrödinger”) are important to our business. If we are unable to maintain these collaborations, or if these collaborations are not successful, our business could be adversely affected.</w:t>
      </w:r>
    </w:p>
    <w:p>
      <w:pPr>
        <w:spacing w:after="0" w:line="176" w:lineRule="exact"/>
        <w:rPr>
          <w:sz w:val="20"/>
          <w:szCs w:val="20"/>
          <w:color w:val="auto"/>
        </w:rPr>
      </w:pPr>
    </w:p>
    <w:p>
      <w:pPr>
        <w:ind w:left="360" w:right="1340"/>
        <w:spacing w:after="0" w:line="284" w:lineRule="auto"/>
        <w:rPr>
          <w:sz w:val="20"/>
          <w:szCs w:val="20"/>
          <w:color w:val="auto"/>
        </w:rPr>
      </w:pPr>
      <w:r>
        <w:rPr>
          <w:rFonts w:ascii="Arial" w:cs="Arial" w:eastAsia="Arial" w:hAnsi="Arial"/>
          <w:sz w:val="20"/>
          <w:szCs w:val="20"/>
          <w:color w:val="auto"/>
        </w:rPr>
        <w:t>We face substantial competition, which may result in others discovering, developing or commercializing products before or more successfully than us.</w:t>
      </w:r>
    </w:p>
    <w:p>
      <w:pPr>
        <w:sectPr>
          <w:pgSz w:w="11880" w:h="15480" w:orient="portrait"/>
          <w:cols w:equalWidth="0" w:num="1">
            <w:col w:w="9340"/>
          </w:cols>
          <w:pgMar w:left="1440" w:top="1066" w:right="110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5</w:t>
      </w:r>
    </w:p>
    <w:p>
      <w:pPr>
        <w:sectPr>
          <w:pgSz w:w="11880" w:h="15480" w:orient="portrait"/>
          <w:cols w:equalWidth="0" w:num="1">
            <w:col w:w="9340"/>
          </w:cols>
          <w:pgMar w:left="1440" w:top="1066" w:right="1100" w:bottom="543" w:gutter="0" w:footer="0" w:header="0"/>
          <w:type w:val="continuous"/>
        </w:sectPr>
      </w:pPr>
    </w:p>
    <w:bookmarkStart w:id="7" w:name="page8"/>
    <w:bookmarkEnd w:id="7"/>
    <w:p>
      <w:pPr>
        <w:ind w:left="720"/>
        <w:spacing w:after="0" w:line="255" w:lineRule="auto"/>
        <w:rPr>
          <w:sz w:val="20"/>
          <w:szCs w:val="20"/>
          <w:color w:val="auto"/>
        </w:rPr>
      </w:pPr>
      <w:r>
        <w:rPr>
          <w:rFonts w:ascii="Arial" w:cs="Arial" w:eastAsia="Arial" w:hAnsi="Arial"/>
          <w:sz w:val="20"/>
          <w:szCs w:val="20"/>
          <w:color w:val="auto"/>
        </w:rPr>
        <w:t>We currently have no marketing and sales organization and have no experience as a company in commercializing products, and we may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83" w:lineRule="exact"/>
        <w:rPr>
          <w:sz w:val="20"/>
          <w:szCs w:val="20"/>
          <w:color w:val="auto"/>
        </w:rPr>
      </w:pPr>
    </w:p>
    <w:p>
      <w:pPr>
        <w:ind w:left="720" w:right="80"/>
        <w:spacing w:after="0" w:line="251" w:lineRule="auto"/>
        <w:rPr>
          <w:sz w:val="20"/>
          <w:szCs w:val="20"/>
          <w:color w:val="auto"/>
        </w:rPr>
      </w:pPr>
      <w:r>
        <w:rPr>
          <w:rFonts w:ascii="Arial" w:cs="Arial" w:eastAsia="Arial" w:hAnsi="Arial"/>
          <w:sz w:val="20"/>
          <w:szCs w:val="20"/>
          <w:color w:val="auto"/>
        </w:rPr>
        <w:t>We conduct certain research and development operations through our Australian wholly-owned subsidiaries. If we lose our ability to operate in Australia, or if any of our subsidiaries are unable to receive the research and development tax credit allowed by Australian regulations, or are required to refund any research and development tax credit previously received or reserve for such credit in our financial statements, our business and results of operations could suffer.</w:t>
      </w:r>
    </w:p>
    <w:p>
      <w:pPr>
        <w:spacing w:after="0" w:line="187" w:lineRule="exact"/>
        <w:rPr>
          <w:sz w:val="20"/>
          <w:szCs w:val="20"/>
          <w:color w:val="auto"/>
        </w:rPr>
      </w:pPr>
    </w:p>
    <w:p>
      <w:pPr>
        <w:ind w:left="720" w:right="180"/>
        <w:spacing w:after="0" w:line="284" w:lineRule="auto"/>
        <w:rPr>
          <w:sz w:val="20"/>
          <w:szCs w:val="20"/>
          <w:color w:val="auto"/>
        </w:rPr>
      </w:pPr>
      <w:r>
        <w:rPr>
          <w:rFonts w:ascii="Arial" w:cs="Arial" w:eastAsia="Arial" w:hAnsi="Arial"/>
          <w:sz w:val="20"/>
          <w:szCs w:val="20"/>
          <w:color w:val="auto"/>
        </w:rPr>
        <w:t>Changes in the political and economic policies or in relations between China and the United States may affect our business, financial condition, results of operations and the market price of our ADSs.</w:t>
      </w:r>
    </w:p>
    <w:p>
      <w:pPr>
        <w:spacing w:after="0" w:line="156" w:lineRule="exact"/>
        <w:rPr>
          <w:sz w:val="20"/>
          <w:szCs w:val="20"/>
          <w:color w:val="auto"/>
        </w:rPr>
      </w:pPr>
    </w:p>
    <w:p>
      <w:pPr>
        <w:ind w:left="720" w:right="280"/>
        <w:spacing w:after="0" w:line="254" w:lineRule="auto"/>
        <w:rPr>
          <w:sz w:val="20"/>
          <w:szCs w:val="20"/>
          <w:color w:val="auto"/>
        </w:rPr>
      </w:pPr>
      <w:r>
        <w:rPr>
          <w:rFonts w:ascii="Arial" w:cs="Arial" w:eastAsia="Arial" w:hAnsi="Arial"/>
          <w:sz w:val="20"/>
          <w:szCs w:val="20"/>
          <w:color w:val="auto"/>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85" w:lineRule="exact"/>
        <w:rPr>
          <w:sz w:val="20"/>
          <w:szCs w:val="20"/>
          <w:color w:val="auto"/>
        </w:rPr>
      </w:pPr>
    </w:p>
    <w:p>
      <w:pPr>
        <w:ind w:left="720" w:right="80"/>
        <w:spacing w:after="0" w:line="255" w:lineRule="auto"/>
        <w:rPr>
          <w:sz w:val="20"/>
          <w:szCs w:val="20"/>
          <w:color w:val="auto"/>
        </w:rPr>
      </w:pPr>
      <w:r>
        <w:rPr>
          <w:rFonts w:ascii="Arial" w:cs="Arial" w:eastAsia="Arial" w:hAnsi="Arial"/>
          <w:sz w:val="20"/>
          <w:szCs w:val="20"/>
          <w:color w:val="auto"/>
        </w:rPr>
        <w:t>We may rely on one or more in-licenses from third parties. If we lose these rights, our business may be materially adversely affected, and if disputes arise with one or more licensors, we may be subjected to future litigation as well as the potential loss of or limitations on our ability to develop and commercialize products and technologies covered by these license agreements.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Overview</w:t>
      </w:r>
    </w:p>
    <w:p>
      <w:pPr>
        <w:spacing w:after="0" w:line="244" w:lineRule="exact"/>
        <w:rPr>
          <w:sz w:val="20"/>
          <w:szCs w:val="20"/>
          <w:color w:val="auto"/>
        </w:rPr>
      </w:pPr>
    </w:p>
    <w:p>
      <w:pPr>
        <w:ind w:firstLine="1"/>
        <w:spacing w:after="0" w:line="245" w:lineRule="auto"/>
        <w:rPr>
          <w:sz w:val="20"/>
          <w:szCs w:val="20"/>
          <w:color w:val="auto"/>
        </w:rPr>
      </w:pPr>
      <w:r>
        <w:rPr>
          <w:rFonts w:ascii="Arial" w:cs="Arial" w:eastAsia="Arial" w:hAnsi="Arial"/>
          <w:sz w:val="20"/>
          <w:szCs w:val="20"/>
          <w:color w:val="auto"/>
        </w:rPr>
        <w:t>We are a clinical stage global biopharmaceutical company aiming to develop and deliver novel oral therapeutics to treat a wide range of chronic diseases with unmet medical need. Our differentiated technology platform leverages structure -based drug discovery and computational chemistry expertise and enables us to develop oral small molecule therapeutics for the treatment of various diseases including those impacting the metabolic, cardiovascular, and pulmonary systems. In February 2023, we completed our Initial Public Offering (“IPO”) for net proceeds of approximately $166.7 million, after deducting the underwriting discounts and commissions and estimated offering expenses payable by us. In September 2023, we entered into a share purchase agreement with certain institutional investors (the “Purchase Agreement”), pursuant to which we issued and sold an aggregate of 21,617,295 ordinary shares and 2,401,920 non-voting ordinary shares for net proceeds of approximately $281.5 million (the “Private Placement”).</w:t>
      </w:r>
    </w:p>
    <w:p>
      <w:pPr>
        <w:spacing w:after="0" w:line="192"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Our initial focus is on G-protein coupled receptors (“GPCRs”) as a therapeutic target class. GPCRs regulate numerous diverse physiological and pathological processes, and approximately one in every three marketed medicines targets GPCR-associated pathways. By leveraging our world-class GPCR know-how, we aim to design differentiated small molecule therapies to overcome the limitations of biologics and peptide therapies targeting this family of receptors. We are developing GSBR-1290, our oral small molecule product candidate targeting the validated glucagon-like-peptide-1 receptor (“GLP-1R”) for the treatment of type 2 diabetes mellitus (“T2DM”) and obesity. We completed our Phase 1 single ascending dose (“SAD”) study of GSBR-1290 in September 2022. GSBR-1290 was generally well tolerated and demonstrated</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dose- dependent pharmacokinetic (“PK”) and pharmacodynamic (“PD”) activity. We submitted an investigational new drug (“IND”) application to the FDA to support initiation of a Phase 1b study in T2DM and obesity and received FDA allowance in September 2022. We initiated the Phase 1b multiple ascending dose (“MAD”) study of</w:t>
      </w:r>
    </w:p>
    <w:p>
      <w:pPr>
        <w:sectPr>
          <w:pgSz w:w="11880" w:h="15480" w:orient="portrait"/>
          <w:cols w:equalWidth="0" w:num="1">
            <w:col w:w="9700"/>
          </w:cols>
          <w:pgMar w:left="1080" w:top="1066" w:right="110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880" w:h="15480" w:orient="portrait"/>
          <w:cols w:equalWidth="0" w:num="1">
            <w:col w:w="9700"/>
          </w:cols>
          <w:pgMar w:left="1080" w:top="1066" w:right="1100" w:bottom="543" w:gutter="0" w:footer="0" w:header="0"/>
          <w:type w:val="continuous"/>
        </w:sectPr>
      </w:pPr>
    </w:p>
    <w:bookmarkStart w:id="8" w:name="page9"/>
    <w:bookmarkEnd w:id="8"/>
    <w:p>
      <w:pPr>
        <w:ind w:right="80"/>
        <w:spacing w:after="0"/>
        <w:rPr>
          <w:sz w:val="20"/>
          <w:szCs w:val="20"/>
          <w:color w:val="auto"/>
        </w:rPr>
      </w:pPr>
      <w:r>
        <w:rPr>
          <w:rFonts w:ascii="Arial" w:cs="Arial" w:eastAsia="Arial" w:hAnsi="Arial"/>
          <w:sz w:val="20"/>
          <w:szCs w:val="20"/>
          <w:color w:val="auto"/>
        </w:rPr>
        <w:t>GSBR- 1290 in January 2023 and completed dosing in otherwise healthy overweight subjects in March 2023. In May 2023, we submitted a protocol amendment to the FDA and initiated dosing of the Phase 2a proof-of-concept study in T2DM and obesity. We reported topline data for the 28-day Phase 1b MAD study in September 2023, in which GSBR-1290 was generally well-tolerated with no adverse event (“AE”)-related discontinuations and demonstrated an encouraging safety profile and significant weight loss of up to 4.9% placebo-adjusted, supporting once-daily dosing. In December 2023, we reported clinically meaningful topline data from our Phase 2a T2DM cohort, interim results from our Phase 2a obesity cohort and topline data from</w:t>
      </w:r>
    </w:p>
    <w:p>
      <w:pPr>
        <w:spacing w:after="0" w:line="1" w:lineRule="exact"/>
        <w:rPr>
          <w:sz w:val="20"/>
          <w:szCs w:val="20"/>
          <w:color w:val="auto"/>
        </w:rPr>
      </w:pPr>
    </w:p>
    <w:p>
      <w:pPr>
        <w:ind w:right="20" w:firstLine="7"/>
        <w:spacing w:after="0" w:line="245" w:lineRule="auto"/>
        <w:tabs>
          <w:tab w:leader="none" w:pos="167" w:val="left"/>
        </w:tabs>
        <w:numPr>
          <w:ilvl w:val="0"/>
          <w:numId w:val="7"/>
        </w:numPr>
        <w:rPr>
          <w:rFonts w:ascii="Arial" w:cs="Arial" w:eastAsia="Arial" w:hAnsi="Arial"/>
          <w:sz w:val="20"/>
          <w:szCs w:val="20"/>
          <w:color w:val="auto"/>
        </w:rPr>
      </w:pPr>
      <w:r>
        <w:rPr>
          <w:rFonts w:ascii="Arial" w:cs="Arial" w:eastAsia="Arial" w:hAnsi="Arial"/>
          <w:sz w:val="20"/>
          <w:szCs w:val="20"/>
          <w:color w:val="auto"/>
        </w:rPr>
        <w:t>Japanese ethno-bridging study of GSBR-1290. These data demonstrated that GSBR-1290 was generally well-tolerated, with no treatment-related SAEs over 12 weeks, with only one participant discontinuing the study due to adverse events in the T2DM cohort and none in the obesity cohort. GSBR-1290 also showed significant reductions in weight in the obesity cohort at 8 weeks, and significant reductions in hemoglobin A1c (“HbA1c”) and weight in the T2DM cohort. We expect to report the full 12-week Phase 2a obesity data in the latter half of the second quarter of 2024 with additional 24 participant data. We also fully enrolled a formulation bridging and titration optimization study to evaluate capsule versus tablet PK and explore different titration regimens of GSBR-1290. We expect to report topline results from this study in the latter half of the second quarter of 2024, in preparation for the global Phase 2b study for obesity which we expect to initiate in the second half of 2024. A Phase 2 study in T2DM is also planned for the fourth quarter of 2024.</w:t>
      </w:r>
    </w:p>
    <w:p>
      <w:pPr>
        <w:spacing w:after="0" w:line="19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 number of GPCR properties contribute to its importance as a drug target class, including interaction with a diverse set of signaling molecules, involvement in a vast array of physiological and pathological processes, and cell surface expression that enables extracellular drug binding. As such, GPCRs have emerged as the largest family of targets for approved drugs, have provided significant benefit to patients and have achieved blockbuster sales in a number of therapeutic indications, including diabetes (Victoza), bipolar disorders (Abilify, Seroquel), asthma (Singulair), hypertension (Diovan, Lopressor), and cardiovascular disease (Plavix). Despite this success, there remain a number of challenges to continued innovation in this target class, including (i) low expression levels on cell surfaces, (ii) the complexity of the multi- subunit peptide GPCR receptor, (iii) difficulties in obtaining relevant crystal structures as a basis for drug design, and (iv) non-specific signaling through multiple intracellular signaling pathways, a concept known as non -biased signaling, which can limit activity and increase side effects. We have developed a platform designed to address these key challenges, enabling us to discover small molecule drugs to effectively target GPCRs. Further, our platform has been designed to develop novel drugs against other targets where traditional drug discovery methods have not been adequate.</w:t>
      </w:r>
    </w:p>
    <w:p>
      <w:pPr>
        <w:spacing w:after="0" w:line="200"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Our next generation structure-based drug discovery platform is based on techniques that our founders have evolved for over 25 years, which enables us to generate small molecule product candidates designed to overcome the historical limitations of GPCR drug development. As shown below, we believe our insights and capability to visualize the three-dimensional protein structures of the target and the ligands combined with the computational chemistry capabilities of our co -founder and strategic partner, Schrödinger, give us significant competitive advantages in highly efficient and rational drug design. We design our novel compounds by combining our knowledge of GPCR structures together with advanced physics-based computational methods, which we believe allows us to predict the binding affinity of molecules to the target site with a high degree of accuracy.</w:t>
      </w:r>
    </w:p>
    <w:p>
      <w:pPr>
        <w:sectPr>
          <w:pgSz w:w="11880" w:h="15480" w:orient="portrait"/>
          <w:cols w:equalWidth="0" w:num="1">
            <w:col w:w="9700"/>
          </w:cols>
          <w:pgMar w:left="1080" w:top="1066" w:right="110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880" w:h="15480" w:orient="portrait"/>
          <w:cols w:equalWidth="0" w:num="1">
            <w:col w:w="9700"/>
          </w:cols>
          <w:pgMar w:left="1080" w:top="1066" w:right="1100" w:bottom="543" w:gutter="0" w:footer="0" w:header="0"/>
          <w:type w:val="continuous"/>
        </w:sectPr>
      </w:pPr>
    </w:p>
    <w:bookmarkStart w:id="9" w:name="page10"/>
    <w:bookmarkEnd w:id="9"/>
    <w:p>
      <w:pPr>
        <w:jc w:val="center"/>
        <w:ind w:right="-59"/>
        <w:spacing w:after="0"/>
        <w:rPr>
          <w:sz w:val="20"/>
          <w:szCs w:val="20"/>
          <w:color w:val="auto"/>
        </w:rPr>
      </w:pPr>
      <w:r>
        <w:rPr>
          <w:rFonts w:ascii="Arial" w:cs="Arial" w:eastAsia="Arial" w:hAnsi="Arial"/>
          <w:sz w:val="20"/>
          <w:szCs w:val="20"/>
          <w:b w:val="1"/>
          <w:bCs w:val="1"/>
          <w:color w:val="auto"/>
        </w:rPr>
        <w:t>Advantages of GPCR oral small molecule therapeutic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167640</wp:posOffset>
            </wp:positionV>
            <wp:extent cx="6162040" cy="2904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6162040" cy="290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0" w:type="dxa"/>
            <w:vAlign w:val="bottom"/>
          </w:tcPr>
          <w:p>
            <w:pPr>
              <w:spacing w:after="0"/>
              <w:rPr>
                <w:sz w:val="21"/>
                <w:szCs w:val="21"/>
                <w:color w:val="auto"/>
              </w:rPr>
            </w:pPr>
          </w:p>
        </w:tc>
        <w:tc>
          <w:tcPr>
            <w:tcW w:w="4280" w:type="dxa"/>
            <w:vAlign w:val="bottom"/>
          </w:tcPr>
          <w:p>
            <w:pPr>
              <w:ind w:left="1500"/>
              <w:spacing w:after="0"/>
              <w:rPr>
                <w:sz w:val="20"/>
                <w:szCs w:val="20"/>
                <w:color w:val="auto"/>
              </w:rPr>
            </w:pPr>
            <w:r>
              <w:rPr>
                <w:rFonts w:ascii="Arial" w:cs="Arial" w:eastAsia="Arial" w:hAnsi="Arial"/>
                <w:sz w:val="20"/>
                <w:szCs w:val="20"/>
                <w:b w:val="1"/>
                <w:bCs w:val="1"/>
                <w:color w:val="auto"/>
              </w:rPr>
              <w:t>CHALLENGES</w:t>
            </w:r>
          </w:p>
        </w:tc>
        <w:tc>
          <w:tcPr>
            <w:tcW w:w="940" w:type="dxa"/>
            <w:vAlign w:val="bottom"/>
          </w:tcPr>
          <w:p>
            <w:pPr>
              <w:spacing w:after="0"/>
              <w:rPr>
                <w:sz w:val="21"/>
                <w:szCs w:val="21"/>
                <w:color w:val="auto"/>
              </w:rPr>
            </w:pPr>
          </w:p>
        </w:tc>
        <w:tc>
          <w:tcPr>
            <w:tcW w:w="3840" w:type="dxa"/>
            <w:vAlign w:val="bottom"/>
          </w:tcPr>
          <w:p>
            <w:pPr>
              <w:ind w:left="1160"/>
              <w:spacing w:after="0"/>
              <w:rPr>
                <w:sz w:val="20"/>
                <w:szCs w:val="20"/>
                <w:color w:val="auto"/>
              </w:rPr>
            </w:pPr>
            <w:r>
              <w:rPr>
                <w:rFonts w:ascii="Arial" w:cs="Arial" w:eastAsia="Arial" w:hAnsi="Arial"/>
                <w:sz w:val="20"/>
                <w:szCs w:val="20"/>
                <w:b w:val="1"/>
                <w:bCs w:val="1"/>
                <w:color w:val="auto"/>
              </w:rPr>
              <w:t>OPPORTUNITIES</w:t>
            </w:r>
          </w:p>
        </w:tc>
      </w:tr>
      <w:tr>
        <w:trPr>
          <w:trHeight w:val="244"/>
        </w:trPr>
        <w:tc>
          <w:tcPr>
            <w:tcW w:w="4520" w:type="dxa"/>
            <w:vAlign w:val="bottom"/>
            <w:gridSpan w:val="2"/>
          </w:tcPr>
          <w:p>
            <w:pPr>
              <w:spacing w:after="0"/>
              <w:rPr>
                <w:sz w:val="20"/>
                <w:szCs w:val="20"/>
                <w:color w:val="auto"/>
              </w:rPr>
            </w:pPr>
            <w:r>
              <w:rPr>
                <w:rFonts w:ascii="Arial" w:cs="Arial" w:eastAsia="Arial" w:hAnsi="Arial"/>
                <w:sz w:val="20"/>
                <w:szCs w:val="20"/>
                <w:color w:val="auto"/>
              </w:rPr>
              <w:t>•   Limited cellular and tissue permeability</w:t>
            </w:r>
          </w:p>
        </w:tc>
        <w:tc>
          <w:tcPr>
            <w:tcW w:w="940" w:type="dxa"/>
            <w:vAlign w:val="bottom"/>
          </w:tcPr>
          <w:p>
            <w:pPr>
              <w:ind w:left="700"/>
              <w:spacing w:after="0"/>
              <w:rPr>
                <w:sz w:val="20"/>
                <w:szCs w:val="20"/>
                <w:color w:val="auto"/>
              </w:rPr>
            </w:pPr>
            <w:r>
              <w:rPr>
                <w:rFonts w:ascii="Arial" w:cs="Arial" w:eastAsia="Arial" w:hAnsi="Arial"/>
                <w:sz w:val="20"/>
                <w:szCs w:val="20"/>
                <w:color w:val="auto"/>
              </w:rPr>
              <w:t>•</w:t>
            </w:r>
          </w:p>
        </w:tc>
        <w:tc>
          <w:tcPr>
            <w:tcW w:w="3840" w:type="dxa"/>
            <w:vAlign w:val="bottom"/>
          </w:tcPr>
          <w:p>
            <w:pPr>
              <w:ind w:left="120"/>
              <w:spacing w:after="0"/>
              <w:rPr>
                <w:sz w:val="20"/>
                <w:szCs w:val="20"/>
                <w:color w:val="auto"/>
              </w:rPr>
            </w:pPr>
            <w:r>
              <w:rPr>
                <w:rFonts w:ascii="Arial" w:cs="Arial" w:eastAsia="Arial" w:hAnsi="Arial"/>
                <w:sz w:val="20"/>
                <w:szCs w:val="20"/>
                <w:color w:val="auto"/>
              </w:rPr>
              <w:t>Customizable pharmaceutic properties</w:t>
            </w:r>
          </w:p>
        </w:tc>
      </w:tr>
      <w:tr>
        <w:trPr>
          <w:trHeight w:val="242"/>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4280" w:type="dxa"/>
            <w:vAlign w:val="bottom"/>
          </w:tcPr>
          <w:p>
            <w:pPr>
              <w:ind w:left="120"/>
              <w:spacing w:after="0"/>
              <w:rPr>
                <w:sz w:val="20"/>
                <w:szCs w:val="20"/>
                <w:color w:val="auto"/>
              </w:rPr>
            </w:pPr>
            <w:r>
              <w:rPr>
                <w:rFonts w:ascii="Arial" w:cs="Arial" w:eastAsia="Arial" w:hAnsi="Arial"/>
                <w:sz w:val="20"/>
                <w:szCs w:val="20"/>
                <w:color w:val="auto"/>
              </w:rPr>
              <w:t>Scalability and costs</w:t>
            </w:r>
          </w:p>
        </w:tc>
        <w:tc>
          <w:tcPr>
            <w:tcW w:w="4780" w:type="dxa"/>
            <w:vAlign w:val="bottom"/>
            <w:gridSpan w:val="2"/>
          </w:tcPr>
          <w:p>
            <w:pPr>
              <w:ind w:left="700"/>
              <w:spacing w:after="0"/>
              <w:rPr>
                <w:sz w:val="20"/>
                <w:szCs w:val="20"/>
                <w:color w:val="auto"/>
              </w:rPr>
            </w:pPr>
            <w:r>
              <w:rPr>
                <w:rFonts w:ascii="Arial" w:cs="Arial" w:eastAsia="Arial" w:hAnsi="Arial"/>
                <w:sz w:val="20"/>
                <w:szCs w:val="20"/>
                <w:color w:val="auto"/>
              </w:rPr>
              <w:t>•   Orally available, better patient compliance</w:t>
            </w:r>
          </w:p>
        </w:tc>
      </w:tr>
      <w:tr>
        <w:trPr>
          <w:trHeight w:val="244"/>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4280" w:type="dxa"/>
            <w:vAlign w:val="bottom"/>
          </w:tcPr>
          <w:p>
            <w:pPr>
              <w:ind w:left="120"/>
              <w:spacing w:after="0"/>
              <w:rPr>
                <w:sz w:val="20"/>
                <w:szCs w:val="20"/>
                <w:color w:val="auto"/>
              </w:rPr>
            </w:pPr>
            <w:r>
              <w:rPr>
                <w:rFonts w:ascii="Arial" w:cs="Arial" w:eastAsia="Arial" w:hAnsi="Arial"/>
                <w:sz w:val="20"/>
                <w:szCs w:val="20"/>
                <w:color w:val="auto"/>
              </w:rPr>
              <w:t>Limited stability</w:t>
            </w:r>
          </w:p>
        </w:tc>
        <w:tc>
          <w:tcPr>
            <w:tcW w:w="940" w:type="dxa"/>
            <w:vAlign w:val="bottom"/>
          </w:tcPr>
          <w:p>
            <w:pPr>
              <w:ind w:left="700"/>
              <w:spacing w:after="0"/>
              <w:rPr>
                <w:sz w:val="20"/>
                <w:szCs w:val="20"/>
                <w:color w:val="auto"/>
              </w:rPr>
            </w:pPr>
            <w:r>
              <w:rPr>
                <w:rFonts w:ascii="Arial" w:cs="Arial" w:eastAsia="Arial" w:hAnsi="Arial"/>
                <w:sz w:val="20"/>
                <w:szCs w:val="20"/>
                <w:color w:val="auto"/>
              </w:rPr>
              <w:t>•</w:t>
            </w:r>
          </w:p>
        </w:tc>
        <w:tc>
          <w:tcPr>
            <w:tcW w:w="3840" w:type="dxa"/>
            <w:vAlign w:val="bottom"/>
          </w:tcPr>
          <w:p>
            <w:pPr>
              <w:ind w:left="120"/>
              <w:spacing w:after="0"/>
              <w:rPr>
                <w:sz w:val="20"/>
                <w:szCs w:val="20"/>
                <w:color w:val="auto"/>
              </w:rPr>
            </w:pPr>
            <w:r>
              <w:rPr>
                <w:rFonts w:ascii="Arial" w:cs="Arial" w:eastAsia="Arial" w:hAnsi="Arial"/>
                <w:sz w:val="20"/>
                <w:szCs w:val="20"/>
                <w:color w:val="auto"/>
              </w:rPr>
              <w:t>No cold-chain requirements</w:t>
            </w:r>
          </w:p>
        </w:tc>
      </w:tr>
      <w:tr>
        <w:trPr>
          <w:trHeight w:val="244"/>
        </w:trPr>
        <w:tc>
          <w:tcPr>
            <w:tcW w:w="4520" w:type="dxa"/>
            <w:vAlign w:val="bottom"/>
            <w:gridSpan w:val="2"/>
          </w:tcPr>
          <w:p>
            <w:pPr>
              <w:spacing w:after="0"/>
              <w:rPr>
                <w:sz w:val="20"/>
                <w:szCs w:val="20"/>
                <w:color w:val="auto"/>
              </w:rPr>
            </w:pPr>
            <w:r>
              <w:rPr>
                <w:rFonts w:ascii="Arial" w:cs="Arial" w:eastAsia="Arial" w:hAnsi="Arial"/>
                <w:sz w:val="20"/>
                <w:szCs w:val="20"/>
                <w:color w:val="auto"/>
              </w:rPr>
              <w:t>•   Cold supply chain requirements</w:t>
            </w:r>
          </w:p>
        </w:tc>
        <w:tc>
          <w:tcPr>
            <w:tcW w:w="940" w:type="dxa"/>
            <w:vAlign w:val="bottom"/>
          </w:tcPr>
          <w:p>
            <w:pPr>
              <w:ind w:left="700"/>
              <w:spacing w:after="0"/>
              <w:rPr>
                <w:sz w:val="20"/>
                <w:szCs w:val="20"/>
                <w:color w:val="auto"/>
              </w:rPr>
            </w:pPr>
            <w:r>
              <w:rPr>
                <w:rFonts w:ascii="Arial" w:cs="Arial" w:eastAsia="Arial" w:hAnsi="Arial"/>
                <w:sz w:val="20"/>
                <w:szCs w:val="20"/>
                <w:color w:val="auto"/>
              </w:rPr>
              <w:t>•</w:t>
            </w:r>
          </w:p>
        </w:tc>
        <w:tc>
          <w:tcPr>
            <w:tcW w:w="3840" w:type="dxa"/>
            <w:vAlign w:val="bottom"/>
          </w:tcPr>
          <w:p>
            <w:pPr>
              <w:ind w:left="120"/>
              <w:spacing w:after="0"/>
              <w:rPr>
                <w:sz w:val="20"/>
                <w:szCs w:val="20"/>
                <w:color w:val="auto"/>
              </w:rPr>
            </w:pPr>
            <w:r>
              <w:rPr>
                <w:rFonts w:ascii="Arial" w:cs="Arial" w:eastAsia="Arial" w:hAnsi="Arial"/>
                <w:sz w:val="20"/>
                <w:szCs w:val="20"/>
                <w:color w:val="auto"/>
              </w:rPr>
              <w:t>Lower costs</w:t>
            </w:r>
          </w:p>
        </w:tc>
      </w:tr>
      <w:tr>
        <w:trPr>
          <w:trHeight w:val="273"/>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4280" w:type="dxa"/>
            <w:vAlign w:val="bottom"/>
          </w:tcPr>
          <w:p>
            <w:pPr>
              <w:ind w:left="120"/>
              <w:spacing w:after="0"/>
              <w:rPr>
                <w:sz w:val="20"/>
                <w:szCs w:val="20"/>
                <w:color w:val="auto"/>
              </w:rPr>
            </w:pPr>
            <w:r>
              <w:rPr>
                <w:rFonts w:ascii="Arial" w:cs="Arial" w:eastAsia="Arial" w:hAnsi="Arial"/>
                <w:sz w:val="20"/>
                <w:szCs w:val="20"/>
                <w:color w:val="auto"/>
              </w:rPr>
              <w:t>Higher costs</w:t>
            </w:r>
          </w:p>
        </w:tc>
        <w:tc>
          <w:tcPr>
            <w:tcW w:w="4780" w:type="dxa"/>
            <w:vAlign w:val="bottom"/>
            <w:gridSpan w:val="2"/>
          </w:tcPr>
          <w:p>
            <w:pPr>
              <w:ind w:left="700"/>
              <w:spacing w:after="0"/>
              <w:rPr>
                <w:sz w:val="20"/>
                <w:szCs w:val="20"/>
                <w:color w:val="auto"/>
              </w:rPr>
            </w:pPr>
            <w:r>
              <w:rPr>
                <w:rFonts w:ascii="Arial" w:cs="Arial" w:eastAsia="Arial" w:hAnsi="Arial"/>
                <w:sz w:val="20"/>
                <w:szCs w:val="20"/>
                <w:color w:val="auto"/>
              </w:rPr>
              <w:t>•   Large scale manufacturing capability</w:t>
            </w:r>
          </w:p>
        </w:tc>
      </w:tr>
    </w:tbl>
    <w:p>
      <w:pPr>
        <w:spacing w:after="0" w:line="188"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We believe the strengths of our platform position us to develop oral small molecule drugs that can deliver biologic-like activity and specificity. Oral small molecules can address many of the key limitations of biologic and peptide drugs, thereby significantly improving patient access. We believe this is particularly important for the most prevalent chronic diseases including those involving the metabolic, cardiovascular, and pulmonary systems.</w:t>
      </w:r>
    </w:p>
    <w:p>
      <w:pPr>
        <w:spacing w:after="0" w:line="19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Our lead product candidate, GSBR-1290, is an oral and biased small molecule agonist of GLP-1R, a validated GPCR drug target for T2DM and obesity, currently in Phase 2 development. There are currently ten marketed peptide molecules that target GLP-1R; collectively, these peptide therapies generated worldwide sales of $65 billion in 2023. However, there are currently no approved oral small molecule therapies targeting GLP-1R. In non-human primate (“NHP”), studies, GSBR-1290 demonstrated glucose-dependent insulin secretion and suppressed food intake, resulting in weight reduction. Given these findings and other compelling preclinical data, we completed a Phase 1 study in healthy volunteers for GSBR-1290 in September 2022, a Phase 2a study development in diabetes in December 2023 and expect to complete a Phase 2a study in obesity in the latter half of the second quarter of 2024. To date GSBR -1290 has demonstrated generally favorable safety, tolerability and efficacy results in clinical trials. Beyond GSBR-1290, we are developing next generation GLP-1R candidates, including dual GLP-1R/glucose-dependent insulinotropic polypeptide receptor (“GIPR”) agonists and amylin agonists, each designed with customized properties to achieve additional benefit.</w:t>
      </w:r>
    </w:p>
    <w:p>
      <w:pPr>
        <w:sectPr>
          <w:pgSz w:w="11880" w:h="15480" w:orient="portrait"/>
          <w:cols w:equalWidth="0" w:num="1">
            <w:col w:w="9660"/>
          </w:cols>
          <w:pgMar w:left="1080" w:top="1063" w:right="114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w:t>
      </w:r>
    </w:p>
    <w:p>
      <w:pPr>
        <w:sectPr>
          <w:pgSz w:w="11880" w:h="15480" w:orient="portrait"/>
          <w:cols w:equalWidth="0" w:num="1">
            <w:col w:w="9660"/>
          </w:cols>
          <w:pgMar w:left="1080" w:top="1063" w:right="1140" w:bottom="543" w:gutter="0" w:footer="0" w:header="0"/>
          <w:type w:val="continuous"/>
        </w:sectPr>
      </w:pPr>
    </w:p>
    <w:bookmarkStart w:id="10" w:name="page11"/>
    <w:bookmarkEnd w:id="10"/>
    <w:p>
      <w:pPr>
        <w:ind w:right="80"/>
        <w:spacing w:after="0" w:line="245" w:lineRule="auto"/>
        <w:rPr>
          <w:sz w:val="20"/>
          <w:szCs w:val="20"/>
          <w:color w:val="auto"/>
        </w:rPr>
      </w:pPr>
      <w:r>
        <w:rPr>
          <w:rFonts w:ascii="Arial" w:cs="Arial" w:eastAsia="Arial" w:hAnsi="Arial"/>
          <w:sz w:val="20"/>
          <w:szCs w:val="20"/>
          <w:color w:val="auto"/>
        </w:rPr>
        <w:t>We are also developing oral small molecule therapeutics targeting other GPCRs for the treatment of pulmonary and cardiovascular diseases. Specifically, we are advancing ANPA-0073, our biased agonist, targeting the apelin receptor (“APJR,”) a GPCR that has been implicated in idiopathic pulmonary fibrosis (“IPF”). In September 2022, we completed a Phase 1 SAD and MAD study evaluating ANPA-0073 in healthy human volunteers, in which it was generally well tolerated. Additionally, we are developing an antagonist that targets lysophosphatidic acid 1 receptor (“LPA1R”), a GPCR implicated in responses to tissue injury and pro-fibrotic processes. We have demonstrated substantial anti-fibrotic activity of our LPA1R antagonists in mouse models of fibrotic lung disease and we selected a development candidate, LTSE- 2578, in January 2023 and expect to initiate a first-in-human study in the second quarter of 2024.</w:t>
      </w:r>
    </w:p>
    <w:p>
      <w:pPr>
        <w:spacing w:after="0" w:line="197"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We are also dedicated to fueling our pipeline and pursuing drug discovery partnerships. Through our discovery engine, we leverage the power of cryo-electron microscopy (“cryo-EM”) machine learning and X-ray crystallography, as the basis for our molecular designs. We employ state-of-the-art small molecule hit identification, including DNA encoded library technology and affinity mass spectrometry selections for membrane proteins.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Strategy</w:t>
      </w:r>
    </w:p>
    <w:p>
      <w:pPr>
        <w:spacing w:after="0" w:line="242"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auto"/>
        </w:rPr>
        <w:t>Our mission is to discover and develop broadly accessible oral therapeutics to treat a wide range of chronic diseases with unmet medical need through advancements in structure-based drug discovery and computational chemistry. The key pillars of our business strategy to achieve this mission include:</w:t>
      </w:r>
    </w:p>
    <w:p>
      <w:pPr>
        <w:spacing w:after="0" w:line="195" w:lineRule="exact"/>
        <w:rPr>
          <w:sz w:val="20"/>
          <w:szCs w:val="20"/>
          <w:color w:val="auto"/>
        </w:rPr>
      </w:pPr>
    </w:p>
    <w:p>
      <w:pPr>
        <w:ind w:left="720" w:hanging="353"/>
        <w:spacing w:after="0" w:line="244"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Invest in and leverage our next generation structure-based drug discovery platform to drive innovations in GPCR targeted therapies and beyond. </w:t>
      </w:r>
      <w:r>
        <w:rPr>
          <w:rFonts w:ascii="Arial" w:cs="Arial" w:eastAsia="Arial" w:hAnsi="Arial"/>
          <w:sz w:val="20"/>
          <w:szCs w:val="20"/>
          <w:color w:val="auto"/>
        </w:rPr>
        <w:t>Our platform has the potential to transform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treatment paradigm for a wide range of chronic diseases with unmet medical need. We are continually growing our position as a leader in structure-based drug discovery and development by incorporating platform innovations that have the potential to expand the therapeutic opportunity of this field. We are integrating advancements in computational chemistry, molecular imaging technologies, structural biology techniques, and machine learning while continuing to deepen our understanding of GPCR signaling pathways and pharmacology. We intend to expand into other key emerging areas where we can leverage our platform to develop orally-available molecules against targets that historically have been limited to peptides or biologics.</w:t>
      </w:r>
    </w:p>
    <w:p>
      <w:pPr>
        <w:spacing w:after="0" w:line="95" w:lineRule="exact"/>
        <w:rPr>
          <w:rFonts w:ascii="Arial" w:cs="Arial" w:eastAsia="Arial" w:hAnsi="Arial"/>
          <w:sz w:val="20"/>
          <w:szCs w:val="20"/>
          <w:color w:val="auto"/>
        </w:rPr>
      </w:pPr>
    </w:p>
    <w:p>
      <w:pPr>
        <w:ind w:left="720" w:right="180" w:hanging="353"/>
        <w:spacing w:after="0" w:line="244"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Advance our GLP-1R franchise of metabolic focused assets, establishing a foundation for additional opportunities. </w:t>
      </w:r>
      <w:r>
        <w:rPr>
          <w:rFonts w:ascii="Arial" w:cs="Arial" w:eastAsia="Arial" w:hAnsi="Arial"/>
          <w:sz w:val="20"/>
          <w:szCs w:val="20"/>
          <w:color w:val="auto"/>
        </w:rPr>
        <w:t>Our franchise approach involves developing next generation GLP-1R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agonists, including dual GLP-1R/GIPR agonists, each designed with customized properties to achieve maximum benefit. Based on compelling data generated from our preclinical studies, we believe that our lead GLP-1R candidate, GSBR-1290, has the potential to be a differentiated treatment for T2DM and obesity. In obesity, we expect to complete the Phase 2a study in the latter half of the second quarter of 2024 and initiate a Phase 2b study in the fourth quarter of 2024. In T2DM, we have completed the Phase 2a study and expect to initiate a Phase 2 study in the second half of 2024. In addition, our next generation GLP-1R program is focused on the development of orally-available small molecules in combination with GLP-1R, including GIPR, amylin, as well as the APJR for selective or muscle-sparing weight loss.</w:t>
      </w:r>
    </w:p>
    <w:p>
      <w:pPr>
        <w:spacing w:after="0" w:line="88" w:lineRule="exact"/>
        <w:rPr>
          <w:rFonts w:ascii="Arial" w:cs="Arial" w:eastAsia="Arial" w:hAnsi="Arial"/>
          <w:sz w:val="20"/>
          <w:szCs w:val="20"/>
          <w:color w:val="auto"/>
        </w:rPr>
      </w:pPr>
    </w:p>
    <w:p>
      <w:pPr>
        <w:ind w:left="720" w:right="20" w:hanging="353"/>
        <w:spacing w:after="0" w:line="245"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Pursue additional opportunities in chronic diseases. </w:t>
      </w:r>
      <w:r>
        <w:rPr>
          <w:rFonts w:ascii="Arial" w:cs="Arial" w:eastAsia="Arial" w:hAnsi="Arial"/>
          <w:sz w:val="20"/>
          <w:szCs w:val="20"/>
          <w:color w:val="auto"/>
        </w:rPr>
        <w:t>Chronic diseases pose a major burden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patients and healthcare systems worldwide and there is an urgent need for effective and more accessible treatment options. Our APJR agonist product candidate, ANPA-0073 is in development for the treatment of cardiopulmonary and cardiometabolic conditions. In addition, we are evaluating LPA1R antagonism in IPF, and selected a development candidate (LTSE-2578) in January 2023 and expect to initiate a first-in-human study in the second quarter of 2024. We plan to continue to harness insights on GPCR targets, particularly among metabolic, endocrine, pulmonary, and cardiovascular indications, and leverage our platform to fuel our pipeline through our discovery engine at Basecamp Bio Inc. (“Basecamp Bio”).</w:t>
      </w:r>
    </w:p>
    <w:p>
      <w:pPr>
        <w:sectPr>
          <w:pgSz w:w="11880" w:h="15480" w:orient="portrait"/>
          <w:cols w:equalWidth="0" w:num="1">
            <w:col w:w="9700"/>
          </w:cols>
          <w:pgMar w:left="1080" w:top="1066" w:right="110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880" w:h="15480" w:orient="portrait"/>
          <w:cols w:equalWidth="0" w:num="1">
            <w:col w:w="9700"/>
          </w:cols>
          <w:pgMar w:left="1080" w:top="1066" w:right="1100" w:bottom="543" w:gutter="0" w:footer="0" w:header="0"/>
          <w:type w:val="continuous"/>
        </w:sectPr>
      </w:pPr>
    </w:p>
    <w:bookmarkStart w:id="11" w:name="page12"/>
    <w:bookmarkEnd w:id="11"/>
    <w:p>
      <w:pPr>
        <w:ind w:left="720" w:hanging="353"/>
        <w:spacing w:after="0" w:line="264" w:lineRule="auto"/>
        <w:tabs>
          <w:tab w:leader="none" w:pos="720" w:val="left"/>
        </w:tabs>
        <w:numPr>
          <w:ilvl w:val="0"/>
          <w:numId w:val="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Maximize the potential of our platform and portfolio through strategic partnerships. </w:t>
      </w:r>
      <w:r>
        <w:rPr>
          <w:rFonts w:ascii="Arial" w:cs="Arial" w:eastAsia="Arial" w:hAnsi="Arial"/>
          <w:sz w:val="19"/>
          <w:szCs w:val="19"/>
          <w:color w:val="auto"/>
        </w:rPr>
        <w:t>We have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established value- and capability-enhancing collaborations with Schrödinger, our co-founder and strategic partner. We intend to continue to explore additional collaborations with third parties to further strengthen our platform capabilities and enable expansion of our portfolio. We plan to leverage our platform for external opportunities where partners bring additional disease biology understanding, drug development and commercial expertise, regional insights, or other complementary capabilities.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Pipeline and Programs</w:t>
      </w:r>
    </w:p>
    <w:p>
      <w:pPr>
        <w:spacing w:after="0" w:line="242"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We pursue opportunities to target GPCRs in human diseases on the basis of validated biology, safety, development feasibility and market potential. We are building a pipeline of wholly-owned oral small molecule drugs targeting chronic diseases with unmet medical need and commercial potential. Our initial focus is in areas of metabolic, cardiovascular and pulmonary diseases.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key information on our current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312420</wp:posOffset>
            </wp:positionV>
            <wp:extent cx="6169025" cy="2218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169025" cy="221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Metabolic Diseases</w:t>
      </w:r>
    </w:p>
    <w:p>
      <w:pPr>
        <w:spacing w:after="0" w:line="235"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We are initially advancing our GLP-1R franchise as a treatment for obesity and T2DM, conditions affecting approximately 764 million and 537 million people worldwide, respectively. We believe our GLP-1R programs have demonstrated qualities that offer the potential to differentiate them from current approved and development stage programs.</w:t>
      </w:r>
    </w:p>
    <w:p>
      <w:pPr>
        <w:spacing w:after="0" w:line="200" w:lineRule="exact"/>
        <w:rPr>
          <w:sz w:val="20"/>
          <w:szCs w:val="20"/>
          <w:color w:val="auto"/>
        </w:rPr>
      </w:pPr>
    </w:p>
    <w:p>
      <w:pPr>
        <w:ind w:left="720" w:right="160" w:hanging="353"/>
        <w:spacing w:after="0" w:line="251"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Selective GLP-1R Program. </w:t>
      </w:r>
      <w:r>
        <w:rPr>
          <w:rFonts w:ascii="Arial" w:cs="Arial" w:eastAsia="Arial" w:hAnsi="Arial"/>
          <w:sz w:val="20"/>
          <w:szCs w:val="20"/>
          <w:color w:val="auto"/>
        </w:rPr>
        <w:t>GSBR-1290 is a biased GLP-1R agonist which has demonstrated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dose-dependent activation of the G-protein pathway. GSBR-1290 has also demonstrated glucose-dependent insulin secretion and suppressed food intake with similar activity to an approved injectable peptide GLP-1R agonist in preclinical models. The product candidate is designed to be orally administered, without restrictions on diet or concomitant therapy.</w:t>
      </w:r>
    </w:p>
    <w:p>
      <w:pPr>
        <w:spacing w:after="0" w:line="80" w:lineRule="exact"/>
        <w:rPr>
          <w:rFonts w:ascii="Arial" w:cs="Arial" w:eastAsia="Arial" w:hAnsi="Arial"/>
          <w:sz w:val="20"/>
          <w:szCs w:val="20"/>
          <w:color w:val="auto"/>
        </w:rPr>
      </w:pPr>
    </w:p>
    <w:p>
      <w:pPr>
        <w:ind w:left="720" w:right="60" w:hanging="353"/>
        <w:spacing w:after="0" w:line="247"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GLP-1R Combination. </w:t>
      </w:r>
      <w:r>
        <w:rPr>
          <w:rFonts w:ascii="Arial" w:cs="Arial" w:eastAsia="Arial" w:hAnsi="Arial"/>
          <w:sz w:val="20"/>
          <w:szCs w:val="20"/>
          <w:color w:val="auto"/>
        </w:rPr>
        <w:t>Our combination and next generation small molecule program is focused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 GLP-1R candidates, including GLP-1R/GIPR agonists and amylin agonists, each designed with customized properties to achieve additional benefits like enhanced metabolic control. Our APJR agonist, ANPA-0073, is being evaluated for selective or muscle-sparing weight loss. ANPA-0073, is a G-protein biased APJR agonist for which we completed a Phase 1 SAD and MAD study, in which it was generally well tolerated as a single dose from 2mg to 600 mg, and at doses from 75 mg to 500 mg once daily dosing for seven days, with no SAEs reported.</w:t>
      </w:r>
    </w:p>
    <w:p>
      <w:pPr>
        <w:sectPr>
          <w:pgSz w:w="11880" w:h="15480" w:orient="portrait"/>
          <w:cols w:equalWidth="0" w:num="1">
            <w:col w:w="9700"/>
          </w:cols>
          <w:pgMar w:left="1080" w:top="1080" w:right="110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880" w:h="15480" w:orient="portrait"/>
          <w:cols w:equalWidth="0" w:num="1">
            <w:col w:w="9700"/>
          </w:cols>
          <w:pgMar w:left="1080" w:top="1080" w:right="1100" w:bottom="543"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i w:val="1"/>
          <w:iCs w:val="1"/>
          <w:color w:val="auto"/>
        </w:rPr>
        <w:t>Pulmonary and Cardiovascular Diseases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We are evaluating our LPA1R program, LTSE-2578 for IPF and PPF.</w:t>
      </w:r>
    </w:p>
    <w:p>
      <w:pPr>
        <w:spacing w:after="0" w:line="240" w:lineRule="exact"/>
        <w:rPr>
          <w:sz w:val="20"/>
          <w:szCs w:val="20"/>
          <w:color w:val="auto"/>
        </w:rPr>
      </w:pPr>
    </w:p>
    <w:p>
      <w:pPr>
        <w:ind w:right="380"/>
        <w:spacing w:after="0" w:line="254" w:lineRule="auto"/>
        <w:rPr>
          <w:sz w:val="20"/>
          <w:szCs w:val="20"/>
          <w:color w:val="auto"/>
        </w:rPr>
      </w:pPr>
      <w:r>
        <w:rPr>
          <w:rFonts w:ascii="Arial" w:cs="Arial" w:eastAsia="Arial" w:hAnsi="Arial"/>
          <w:sz w:val="20"/>
          <w:szCs w:val="20"/>
          <w:color w:val="auto"/>
        </w:rPr>
        <w:t>Our LPA1R program, LTSE-2578, is an investigational oral small molecule LPA1R antagonist. We believe LTSE-2578 is a differentiated molecule because it demonstrated potent in vitro and in vivo activity in preclinical IPF models and dose dependent inhibition of histamine release as the PD marker. We plan to initiate a first-in-human study in the second quarter of 2024.</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GPCRs as a Therapeutic Target Family</w:t>
      </w:r>
    </w:p>
    <w:p>
      <w:pPr>
        <w:spacing w:after="0" w:line="242"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GPCRs form the largest human membrane protein family, consisting of approximately 800 identified members as illustrated below. GPCRs are involved in several vital physiological functions, such as immune system regulation and inflammation, autonomic nervous system transmission, behavioral and mood regulation, sensory transmission, and maintenance of homeostasis, making them important targets for numerous therapeutics. To date, there are approximately 475 drugs on the market acting at over 100 unique GPCRs. Additionally, more than 220 GPCRs have not yet been explored as clinical targets, hence representing broad untapped therapeutic potential for addressing global healthcare needs.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Phylogenetic tree of GPCR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167005</wp:posOffset>
            </wp:positionV>
            <wp:extent cx="3474720" cy="3489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3474720" cy="348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GPCR targeting drugs have successfully delivered significant patient benefit resulting in large market opportunities in many therapeutic areas. Examples include liraglutide (Victoza for T2DM), aripiprazole (Abilify for schizophrenia, bipolar disorder and depression), montelukast (Singulair for asthma), valsartan (Diovan for hypertension), metoprolol (Lopressor for hypertension, angina, and myocardial infarction), and clopidogrel (Plavix for myocardial infarction and stroke). GPCR related drugs are the largest drug class accounting for approximately 27% of global pharmaceutical sales with estimated aggregate sales of $890 billion between 2011 and 2015.</w:t>
      </w:r>
    </w:p>
    <w:p>
      <w:pPr>
        <w:sectPr>
          <w:pgSz w:w="11880" w:h="15480" w:orient="portrait"/>
          <w:cols w:equalWidth="0" w:num="1">
            <w:col w:w="9720"/>
          </w:cols>
          <w:pgMar w:left="1080" w:top="1071"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880" w:h="15480" w:orient="portrait"/>
          <w:cols w:equalWidth="0" w:num="1">
            <w:col w:w="9720"/>
          </w:cols>
          <w:pgMar w:left="1080" w:top="1071" w:right="1080" w:bottom="543" w:gutter="0" w:footer="0" w:header="0"/>
          <w:type w:val="continuous"/>
        </w:sectPr>
      </w:pPr>
    </w:p>
    <w:bookmarkStart w:id="13" w:name="page14"/>
    <w:bookmarkEnd w:id="13"/>
    <w:p>
      <w:pPr>
        <w:ind w:right="60"/>
        <w:spacing w:after="0" w:line="262" w:lineRule="auto"/>
        <w:rPr>
          <w:sz w:val="20"/>
          <w:szCs w:val="20"/>
          <w:color w:val="auto"/>
        </w:rPr>
      </w:pPr>
      <w:r>
        <w:rPr>
          <w:rFonts w:ascii="Arial" w:cs="Arial" w:eastAsia="Arial" w:hAnsi="Arial"/>
          <w:sz w:val="20"/>
          <w:szCs w:val="20"/>
          <w:color w:val="auto"/>
        </w:rPr>
        <w:t>GPCRs are proteins that span the entire width of cell membranes. Their primary function is to recognize extracellular substances, primarily ligands, and transmit signals across the cell membrane to the inside of the cell.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Schematic of a GPCR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1927860</wp:posOffset>
            </wp:positionH>
            <wp:positionV relativeFrom="paragraph">
              <wp:posOffset>167005</wp:posOffset>
            </wp:positionV>
            <wp:extent cx="2316480" cy="29972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2316480" cy="299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As shown above, the binding of extracellular ligands to GPCRs elicits conformational changes that impact the intracellular side of the receptor, resulting in the formation of a GPCR complex with signal transducers, particularly G-proteins. These signal transducers go on to interact with second messengers, ultimately either stimulating or inhibiting certain cellular processes.</w:t>
      </w:r>
    </w:p>
    <w:p>
      <w:pPr>
        <w:spacing w:after="0" w:line="183"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 xml:space="preserve">GPCRs signal not only through G-proteins, but also through </w:t>
      </w:r>
      <w:r>
        <w:rPr>
          <w:rFonts w:ascii="Arial" w:cs="Arial" w:eastAsia="Arial" w:hAnsi="Arial"/>
          <w:sz w:val="20"/>
          <w:szCs w:val="20"/>
          <w:color w:val="auto"/>
        </w:rPr>
        <w:t>β</w:t>
      </w:r>
      <w:r>
        <w:rPr>
          <w:rFonts w:ascii="Arial" w:cs="Arial" w:eastAsia="Arial" w:hAnsi="Arial"/>
          <w:sz w:val="20"/>
          <w:szCs w:val="20"/>
          <w:color w:val="auto"/>
        </w:rPr>
        <w:t xml:space="preserve">-arrestins and other non-G -protein transducers. </w:t>
      </w:r>
      <w:r>
        <w:rPr>
          <w:rFonts w:ascii="Arial" w:cs="Arial" w:eastAsia="Arial" w:hAnsi="Arial"/>
          <w:sz w:val="20"/>
          <w:szCs w:val="20"/>
          <w:color w:val="auto"/>
        </w:rPr>
        <w:t>Β</w:t>
      </w:r>
      <w:r>
        <w:rPr>
          <w:rFonts w:ascii="Arial" w:cs="Arial" w:eastAsia="Arial" w:hAnsi="Arial"/>
          <w:sz w:val="20"/>
          <w:szCs w:val="20"/>
          <w:color w:val="auto"/>
        </w:rPr>
        <w:t>-arrestins play an essential role in many physiological and pathological processes, and are involved in the</w:t>
      </w:r>
      <w:r>
        <w:rPr>
          <w:rFonts w:ascii="Arial" w:cs="Arial" w:eastAsia="Arial" w:hAnsi="Arial"/>
          <w:sz w:val="20"/>
          <w:szCs w:val="20"/>
          <w:color w:val="auto"/>
        </w:rPr>
        <w:t xml:space="preserve"> </w:t>
      </w:r>
      <w:r>
        <w:rPr>
          <w:rFonts w:ascii="Arial" w:cs="Arial" w:eastAsia="Arial" w:hAnsi="Arial"/>
          <w:sz w:val="20"/>
          <w:szCs w:val="20"/>
          <w:color w:val="auto"/>
        </w:rPr>
        <w:t>desensitization, internalization, sequestration, and trafficking of GPCRs. Certain GPCR ligands are capable of simultaneously activating both G-protein and non-G-protein mediated signaling pathways, which can lead to a variety of physiologic as well as pathologic effects.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Challenges of GPCR Therapeutic Discovery and Development</w:t>
      </w:r>
    </w:p>
    <w:p>
      <w:pPr>
        <w:spacing w:after="0" w:line="242" w:lineRule="exact"/>
        <w:rPr>
          <w:sz w:val="20"/>
          <w:szCs w:val="20"/>
          <w:color w:val="auto"/>
        </w:rPr>
      </w:pPr>
    </w:p>
    <w:p>
      <w:pPr>
        <w:ind w:right="160"/>
        <w:spacing w:after="0" w:line="284" w:lineRule="auto"/>
        <w:rPr>
          <w:sz w:val="20"/>
          <w:szCs w:val="20"/>
          <w:color w:val="auto"/>
        </w:rPr>
      </w:pPr>
      <w:r>
        <w:rPr>
          <w:rFonts w:ascii="Arial" w:cs="Arial" w:eastAsia="Arial" w:hAnsi="Arial"/>
          <w:sz w:val="20"/>
          <w:szCs w:val="20"/>
          <w:color w:val="auto"/>
        </w:rPr>
        <w:t>Despite tremendous advancements in structure-based drug design and development, GPCR drug discovery and development remains challenging.</w:t>
      </w:r>
    </w:p>
    <w:p>
      <w:pPr>
        <w:spacing w:after="0" w:line="165" w:lineRule="exact"/>
        <w:rPr>
          <w:sz w:val="20"/>
          <w:szCs w:val="20"/>
          <w:color w:val="auto"/>
        </w:rPr>
      </w:pPr>
    </w:p>
    <w:p>
      <w:pPr>
        <w:ind w:left="720" w:right="140" w:hanging="353"/>
        <w:spacing w:after="0" w:line="246"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Similarity between the binding sites of GPCRs and related receptors can cause off-target toxicities: </w:t>
      </w:r>
      <w:r>
        <w:rPr>
          <w:rFonts w:ascii="Arial" w:cs="Arial" w:eastAsia="Arial" w:hAnsi="Arial"/>
          <w:sz w:val="20"/>
          <w:szCs w:val="20"/>
          <w:color w:val="auto"/>
        </w:rPr>
        <w:t>All GPCRs have the same overall three-dimensional architecture but the specific</w:t>
      </w:r>
      <w:r>
        <w:rPr>
          <w:rFonts w:ascii="Arial" w:cs="Arial" w:eastAsia="Arial" w:hAnsi="Arial"/>
          <w:sz w:val="20"/>
          <w:szCs w:val="20"/>
          <w:b w:val="1"/>
          <w:bCs w:val="1"/>
          <w:color w:val="auto"/>
        </w:rPr>
        <w:t xml:space="preserve"> </w:t>
      </w:r>
      <w:r>
        <w:rPr>
          <w:rFonts w:ascii="Arial" w:cs="Arial" w:eastAsia="Arial" w:hAnsi="Arial"/>
          <w:sz w:val="20"/>
          <w:szCs w:val="20"/>
          <w:color w:val="auto"/>
        </w:rPr>
        <w:t>endogenous binding site is unique due to the placement of amino acid side chains shaping the binding site. For instance, the early sphingosine-1-phosphate 1 receptor (“S1P1R”) agonist Gilenya led to the development of a new class of therapy for the treatment of multiple sclerosis, but had exhibited bradycardia as a side effect due in part to sphingosine-1-phosphate 3 receptor (“S1P3R”) activity, a very closely related S1P1 receptor subtype. The next generation S1P1R agonist Zeposia was designed using structural information by Receptos, Inc. to remove the S1P3 and other activities and therefore did not have the same side effect profile as Gilenya.</w:t>
      </w:r>
    </w:p>
    <w:p>
      <w:pPr>
        <w:spacing w:after="0" w:line="83" w:lineRule="exact"/>
        <w:rPr>
          <w:rFonts w:ascii="Arial" w:cs="Arial" w:eastAsia="Arial" w:hAnsi="Arial"/>
          <w:sz w:val="20"/>
          <w:szCs w:val="20"/>
          <w:color w:val="auto"/>
        </w:rPr>
      </w:pPr>
    </w:p>
    <w:p>
      <w:pPr>
        <w:ind w:left="720" w:right="620" w:hanging="353"/>
        <w:spacing w:after="0" w:line="297"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GPCRs are involved in diverse downstream signaling pathways which can result in side effects: </w:t>
      </w:r>
      <w:r>
        <w:rPr>
          <w:rFonts w:ascii="Arial" w:cs="Arial" w:eastAsia="Arial" w:hAnsi="Arial"/>
          <w:sz w:val="20"/>
          <w:szCs w:val="20"/>
          <w:color w:val="auto"/>
        </w:rPr>
        <w:t>GPCRs interact with a range of molecules, including G-protein and non-G-protein</w:t>
      </w:r>
    </w:p>
    <w:p>
      <w:pPr>
        <w:sectPr>
          <w:pgSz w:w="11880" w:h="15480" w:orient="portrait"/>
          <w:cols w:equalWidth="0" w:num="1">
            <w:col w:w="9700"/>
          </w:cols>
          <w:pgMar w:left="1080" w:top="1066" w:right="1100" w:bottom="543"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880" w:h="15480" w:orient="portrait"/>
          <w:cols w:equalWidth="0" w:num="1">
            <w:col w:w="9700"/>
          </w:cols>
          <w:pgMar w:left="1080" w:top="1066" w:right="1100" w:bottom="543" w:gutter="0" w:footer="0" w:header="0"/>
          <w:type w:val="continuous"/>
        </w:sectPr>
      </w:pPr>
    </w:p>
    <w:bookmarkStart w:id="14" w:name="page15"/>
    <w:bookmarkEnd w:id="14"/>
    <w:p>
      <w:pPr>
        <w:ind w:left="720" w:right="180"/>
        <w:spacing w:after="0" w:line="262" w:lineRule="auto"/>
        <w:rPr>
          <w:sz w:val="20"/>
          <w:szCs w:val="20"/>
          <w:color w:val="auto"/>
        </w:rPr>
      </w:pPr>
      <w:r>
        <w:rPr>
          <w:rFonts w:ascii="Arial" w:cs="Arial" w:eastAsia="Arial" w:hAnsi="Arial"/>
          <w:sz w:val="20"/>
          <w:szCs w:val="20"/>
          <w:color w:val="auto"/>
        </w:rPr>
        <w:t xml:space="preserve">transducers including </w:t>
      </w:r>
      <w:r>
        <w:rPr>
          <w:rFonts w:ascii="Arial" w:cs="Arial" w:eastAsia="Arial" w:hAnsi="Arial"/>
          <w:sz w:val="20"/>
          <w:szCs w:val="20"/>
          <w:color w:val="auto"/>
        </w:rPr>
        <w:t>β</w:t>
      </w:r>
      <w:r>
        <w:rPr>
          <w:rFonts w:ascii="Arial" w:cs="Arial" w:eastAsia="Arial" w:hAnsi="Arial"/>
          <w:sz w:val="20"/>
          <w:szCs w:val="20"/>
          <w:color w:val="auto"/>
        </w:rPr>
        <w:t>-arrestin. Signaling pathway selectivity results from agonist-induced specific receptor conformation and when targeting GPCRs involved in multiple signaling pathways, both therapeutic benefits and side effect issues may arise.</w:t>
      </w:r>
    </w:p>
    <w:p>
      <w:pPr>
        <w:spacing w:after="0" w:line="68" w:lineRule="exact"/>
        <w:rPr>
          <w:sz w:val="20"/>
          <w:szCs w:val="20"/>
          <w:color w:val="auto"/>
        </w:rPr>
      </w:pPr>
    </w:p>
    <w:p>
      <w:pPr>
        <w:ind w:left="720" w:right="40" w:hanging="353"/>
        <w:spacing w:after="0" w:line="252"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Expression levels of GPCRs are low and create significant hurdles to structural and PD characterization: </w:t>
      </w:r>
      <w:r>
        <w:rPr>
          <w:rFonts w:ascii="Arial" w:cs="Arial" w:eastAsia="Arial" w:hAnsi="Arial"/>
          <w:sz w:val="20"/>
          <w:szCs w:val="20"/>
          <w:color w:val="auto"/>
        </w:rPr>
        <w:t>Recombinant protein expression of GPCRs remains extremely challenging.</w:t>
      </w:r>
      <w:r>
        <w:rPr>
          <w:rFonts w:ascii="Arial" w:cs="Arial" w:eastAsia="Arial" w:hAnsi="Arial"/>
          <w:sz w:val="20"/>
          <w:szCs w:val="20"/>
          <w:b w:val="1"/>
          <w:bCs w:val="1"/>
          <w:color w:val="auto"/>
        </w:rPr>
        <w:t xml:space="preserve"> </w:t>
      </w:r>
      <w:r>
        <w:rPr>
          <w:rFonts w:ascii="Arial" w:cs="Arial" w:eastAsia="Arial" w:hAnsi="Arial"/>
          <w:sz w:val="20"/>
          <w:szCs w:val="20"/>
          <w:color w:val="auto"/>
        </w:rPr>
        <w:t>Expression levels of GPCRs are low and improvement of expression level continues to be mainly empirical and resource-consuming. GPCRs are complex membrane proteins that require a stable membrane environment throughout the purification process to avoid destabilization and aggregation.</w:t>
      </w:r>
    </w:p>
    <w:p>
      <w:pPr>
        <w:spacing w:after="0" w:line="75" w:lineRule="exact"/>
        <w:rPr>
          <w:rFonts w:ascii="Arial" w:cs="Arial" w:eastAsia="Arial" w:hAnsi="Arial"/>
          <w:sz w:val="20"/>
          <w:szCs w:val="20"/>
          <w:color w:val="auto"/>
        </w:rPr>
      </w:pPr>
    </w:p>
    <w:p>
      <w:pPr>
        <w:ind w:left="720" w:right="60" w:hanging="353"/>
        <w:spacing w:after="0" w:line="252"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GPCR structural visualization is complex making GPCR structure-based drug discovery challenging: </w:t>
      </w:r>
      <w:r>
        <w:rPr>
          <w:rFonts w:ascii="Arial" w:cs="Arial" w:eastAsia="Arial" w:hAnsi="Arial"/>
          <w:sz w:val="20"/>
          <w:szCs w:val="20"/>
          <w:color w:val="auto"/>
        </w:rPr>
        <w:t>Structure-based drug design requires rapid iterations of GPCR structures in complex</w:t>
      </w:r>
      <w:r>
        <w:rPr>
          <w:rFonts w:ascii="Arial" w:cs="Arial" w:eastAsia="Arial" w:hAnsi="Arial"/>
          <w:sz w:val="20"/>
          <w:szCs w:val="20"/>
          <w:b w:val="1"/>
          <w:bCs w:val="1"/>
          <w:color w:val="auto"/>
        </w:rPr>
        <w:t xml:space="preserve"> </w:t>
      </w:r>
      <w:r>
        <w:rPr>
          <w:rFonts w:ascii="Arial" w:cs="Arial" w:eastAsia="Arial" w:hAnsi="Arial"/>
          <w:sz w:val="20"/>
          <w:szCs w:val="20"/>
          <w:color w:val="auto"/>
        </w:rPr>
        <w:t>with specific new ligands to determine their effects on conformation. This is well established through robust crystallography platforms for soluble drug targets. Cryo-EM has helped accelerate the membrane protein field, but the methods still require substantial expertise and execution.</w:t>
      </w:r>
    </w:p>
    <w:p>
      <w:pPr>
        <w:spacing w:after="0" w:line="186"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auto"/>
        </w:rPr>
        <w:t>Drug discovery approaches targeting GPCRs have evolved from traditional approaches including high throughput screening to rational design for enhanced activity, tailor-made signaling response, and improved selectivity, which leads to improved safety and tolerability profiles.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Platform and Approach</w:t>
      </w:r>
    </w:p>
    <w:p>
      <w:pPr>
        <w:spacing w:after="0" w:line="242"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color w:val="auto"/>
        </w:rPr>
        <w:t>Our platform is based on techniques that our founders have been evolving for over 25 years, which have enabled them to deliver multiple marketed medicines. Our approach enables us to generate small molecule product candidates that are designed to overcome the historical limitations of GPCR drug development.</w:t>
      </w:r>
    </w:p>
    <w:p>
      <w:pPr>
        <w:spacing w:after="0" w:line="177"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Our insights and capabilities enable us to visualize the three-dimensional protein structures of the target and the ligands. We believe this visualization combined with the computational chemistry capabilities of Schrödinger gives us significant competitive advantages in highly efficient and rational drug design. We design our novel compounds by combining our knowledge of GPCR structures together with advanced physics-based computational methods, which we believe allows us to predict the binding affinity of molecules to the target site with a high degree of accuracy.</w:t>
      </w:r>
    </w:p>
    <w:p>
      <w:pPr>
        <w:spacing w:after="0" w:line="189" w:lineRule="exact"/>
        <w:rPr>
          <w:sz w:val="20"/>
          <w:szCs w:val="20"/>
          <w:color w:val="auto"/>
        </w:rPr>
      </w:pPr>
    </w:p>
    <w:p>
      <w:pPr>
        <w:ind w:right="560"/>
        <w:spacing w:after="0" w:line="284" w:lineRule="auto"/>
        <w:rPr>
          <w:sz w:val="20"/>
          <w:szCs w:val="20"/>
          <w:color w:val="auto"/>
        </w:rPr>
      </w:pPr>
      <w:r>
        <w:rPr>
          <w:rFonts w:ascii="Arial" w:cs="Arial" w:eastAsia="Arial" w:hAnsi="Arial"/>
          <w:sz w:val="20"/>
          <w:szCs w:val="20"/>
          <w:color w:val="auto"/>
        </w:rPr>
        <w:t>As shown below, our technology platform allows us to determine feasibility, optimize the design of, and efficiently generate families of potent and highly selective small molecule candidates.</w:t>
      </w:r>
    </w:p>
    <w:p>
      <w:pPr>
        <w:sectPr>
          <w:pgSz w:w="11880" w:h="15480" w:orient="portrait"/>
          <w:cols w:equalWidth="0" w:num="1">
            <w:col w:w="9640"/>
          </w:cols>
          <w:pgMar w:left="1080" w:top="1066" w:right="116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13</w:t>
      </w:r>
    </w:p>
    <w:p>
      <w:pPr>
        <w:sectPr>
          <w:pgSz w:w="11880" w:h="15480" w:orient="portrait"/>
          <w:cols w:equalWidth="0" w:num="1">
            <w:col w:w="9640"/>
          </w:cols>
          <w:pgMar w:left="1080" w:top="1066" w:right="1160" w:bottom="543" w:gutter="0" w:footer="0" w:header="0"/>
          <w:type w:val="continuous"/>
        </w:sectPr>
      </w:pPr>
    </w:p>
    <w:bookmarkStart w:id="15" w:name="page16"/>
    <w:bookmarkEnd w:id="15"/>
    <w:p>
      <w:pPr>
        <w:jc w:val="center"/>
        <w:ind w:right="-39"/>
        <w:spacing w:after="0"/>
        <w:rPr>
          <w:sz w:val="20"/>
          <w:szCs w:val="20"/>
          <w:color w:val="auto"/>
        </w:rPr>
      </w:pPr>
      <w:r>
        <w:rPr>
          <w:rFonts w:ascii="Arial" w:cs="Arial" w:eastAsia="Arial" w:hAnsi="Arial"/>
          <w:sz w:val="20"/>
          <w:szCs w:val="20"/>
          <w:b w:val="1"/>
          <w:bCs w:val="1"/>
          <w:color w:val="auto"/>
        </w:rPr>
        <w:t>Structure Therapeutics integrated technology platform from target to 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167640</wp:posOffset>
            </wp:positionV>
            <wp:extent cx="5558790" cy="292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5558790" cy="292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Oral small molecules have the potential to address the key limitations of biologic and peptide drugs, such as high cost and patient inconvenience, thereby significantly improving patient access. We believe this is particularly important for the most prevalent chronic diseases including those involving the endocrine, cardiovascular, and pulmonary systems. We believe the strengths of our technology platform will enable us to develop oral small molecule drugs that can deliver biologic-like activity and specificity.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Strategic GPCR Target Prioritization</w:t>
      </w:r>
    </w:p>
    <w:p>
      <w:pPr>
        <w:spacing w:after="0" w:line="235" w:lineRule="exact"/>
        <w:rPr>
          <w:sz w:val="20"/>
          <w:szCs w:val="20"/>
          <w:color w:val="auto"/>
        </w:rPr>
      </w:pPr>
    </w:p>
    <w:p>
      <w:pPr>
        <w:ind w:right="440"/>
        <w:spacing w:after="0" w:line="262" w:lineRule="auto"/>
        <w:rPr>
          <w:sz w:val="20"/>
          <w:szCs w:val="20"/>
          <w:color w:val="auto"/>
        </w:rPr>
      </w:pPr>
      <w:r>
        <w:rPr>
          <w:rFonts w:ascii="Arial" w:cs="Arial" w:eastAsia="Arial" w:hAnsi="Arial"/>
          <w:sz w:val="20"/>
          <w:szCs w:val="20"/>
          <w:color w:val="auto"/>
        </w:rPr>
        <w:t>We start with target prioritization by focusing on validated GPCR targets that do not have attractive small molecule solutions. We then prioritize by assessing the feasibility of a small molecule solution for these targets and market opportunities of their respective target indication.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Expertise in GPCR Structure-Based Drug Discovery</w:t>
      </w:r>
    </w:p>
    <w:p>
      <w:pPr>
        <w:spacing w:after="0" w:line="236"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GPCRs are difficult to characterize structurally because they are composed of seven transmembrane domains, have low expression, and are unstable outside of the cell membrane environment. While structure-based approaches have been utilized for decades in soluble protein drug discovery, recent breakthrough advancements in computational chemistry, artificial intelligence, machine learning and electron microscopy are redefining the field of GPCR structure-based drug discovery.</w:t>
      </w:r>
    </w:p>
    <w:p>
      <w:pPr>
        <w:sectPr>
          <w:pgSz w:w="11880" w:h="15480" w:orient="portrait"/>
          <w:cols w:equalWidth="0" w:num="1">
            <w:col w:w="9680"/>
          </w:cols>
          <w:pgMar w:left="1080" w:top="1063" w:right="112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w:t>
      </w:r>
    </w:p>
    <w:p>
      <w:pPr>
        <w:sectPr>
          <w:pgSz w:w="11880" w:h="15480" w:orient="portrait"/>
          <w:cols w:equalWidth="0" w:num="1">
            <w:col w:w="9680"/>
          </w:cols>
          <w:pgMar w:left="1080" w:top="1063" w:right="1120" w:bottom="543"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20"/>
          <w:szCs w:val="20"/>
          <w:b w:val="1"/>
          <w:bCs w:val="1"/>
          <w:color w:val="auto"/>
        </w:rPr>
        <w:t>Visualization of GPCR Structure and binding site interactions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167640</wp:posOffset>
            </wp:positionV>
            <wp:extent cx="4053840" cy="2987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4053840" cy="2987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80"/>
        <w:spacing w:after="0" w:line="245" w:lineRule="auto"/>
        <w:rPr>
          <w:sz w:val="20"/>
          <w:szCs w:val="20"/>
          <w:color w:val="auto"/>
        </w:rPr>
      </w:pPr>
      <w:r>
        <w:rPr>
          <w:rFonts w:ascii="Arial" w:cs="Arial" w:eastAsia="Arial" w:hAnsi="Arial"/>
          <w:sz w:val="20"/>
          <w:szCs w:val="20"/>
          <w:color w:val="auto"/>
        </w:rPr>
        <w:t>As shown above, our structure-based technology platform combines direct visualization of protein receptor binding interactions with advanced simulation of molecular motion and signal transduction. Site 1 is considered to be the orthosteric or primary binding site for receptor activation. Site 2 is on the surface of the receptor, often referred to as the allosteric site and may potentially regulate receptor activation signaling. By visualizing and analyzing how different ligands bind to a particular target and specific sites and affect their conformational dynamics, we believe we are able to efficiently convert biologics and peptides into more accessible, patient-accommodating oral small molecules. In addition, we can enhance the pharmaceutic properties of our small molecules with the aim to elicit the desired function while maintaining superior pharmaceutical properties.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Non-biased vs biased GPCR agonists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167005</wp:posOffset>
            </wp:positionV>
            <wp:extent cx="4632960" cy="1950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4632960" cy="195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 xml:space="preserve">Additionally, GPCR signaling can follow several pathways and molecules can be designed such that their pharmacology is selected to create “biased signaling” as illustrated above. GPCRs are known to signal not only through G-proteins, but also through </w:t>
      </w:r>
      <w:r>
        <w:rPr>
          <w:rFonts w:ascii="Arial" w:cs="Arial" w:eastAsia="Arial" w:hAnsi="Arial"/>
          <w:sz w:val="20"/>
          <w:szCs w:val="20"/>
          <w:color w:val="auto"/>
        </w:rPr>
        <w:t>β</w:t>
      </w:r>
      <w:r>
        <w:rPr>
          <w:rFonts w:ascii="Arial" w:cs="Arial" w:eastAsia="Arial" w:hAnsi="Arial"/>
          <w:sz w:val="20"/>
          <w:szCs w:val="20"/>
          <w:color w:val="auto"/>
        </w:rPr>
        <w:t>-arrestins, intracellular proteins that “arrest” the signal and stop the receptor from becoming over-stimulated through a receptor internalization mechanism. Using the three-dimensional structures of GPCRs and selection methods, we can potentially design highly selective “biased”</w:t>
      </w:r>
    </w:p>
    <w:p>
      <w:pPr>
        <w:sectPr>
          <w:pgSz w:w="11880" w:h="15480" w:orient="portrait"/>
          <w:cols w:equalWidth="0" w:num="1">
            <w:col w:w="9700"/>
          </w:cols>
          <w:pgMar w:left="1080" w:top="1063" w:right="1100" w:bottom="543"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880" w:h="15480" w:orient="portrait"/>
          <w:cols w:equalWidth="0" w:num="1">
            <w:col w:w="9700"/>
          </w:cols>
          <w:pgMar w:left="1080" w:top="1063" w:right="1100" w:bottom="543" w:gutter="0" w:footer="0" w:header="0"/>
          <w:type w:val="continuous"/>
        </w:sectPr>
      </w:pPr>
    </w:p>
    <w:bookmarkStart w:id="17" w:name="page18"/>
    <w:bookmarkEnd w:id="17"/>
    <w:p>
      <w:pPr>
        <w:ind w:right="260"/>
        <w:spacing w:after="0" w:line="284" w:lineRule="auto"/>
        <w:rPr>
          <w:sz w:val="20"/>
          <w:szCs w:val="20"/>
          <w:color w:val="auto"/>
        </w:rPr>
      </w:pPr>
      <w:r>
        <w:rPr>
          <w:rFonts w:ascii="Arial" w:cs="Arial" w:eastAsia="Arial" w:hAnsi="Arial"/>
          <w:sz w:val="20"/>
          <w:szCs w:val="20"/>
          <w:color w:val="auto"/>
        </w:rPr>
        <w:t xml:space="preserve">molecules that preferentially activate G-protein and not </w:t>
      </w:r>
      <w:r>
        <w:rPr>
          <w:rFonts w:ascii="Arial" w:cs="Arial" w:eastAsia="Arial" w:hAnsi="Arial"/>
          <w:sz w:val="20"/>
          <w:szCs w:val="20"/>
          <w:color w:val="auto"/>
        </w:rPr>
        <w:t>β</w:t>
      </w:r>
      <w:r>
        <w:rPr>
          <w:rFonts w:ascii="Arial" w:cs="Arial" w:eastAsia="Arial" w:hAnsi="Arial"/>
          <w:sz w:val="20"/>
          <w:szCs w:val="20"/>
          <w:color w:val="auto"/>
        </w:rPr>
        <w:t>-arrestin pathways, which could lead to enhanced clinical activity as well as an improved safety profile due to lower dosage requirements.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GPCR Experience</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Robust and Integrated Medicinal Chemistry to Generate and Optimize Hits on GPCR Targets</w:t>
      </w: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have extensive medicinal chemistry know-how on the discovery and development of novel molecules that target GPCRs. When coupled with our deep understanding of GPCR biology, we have the potential to design appropriate chemotypes for each GPCR function as illustrated below.</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Family members with determined structures are</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highlighted within the tree, and their binding pockets with the ligand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167640</wp:posOffset>
            </wp:positionV>
            <wp:extent cx="5223510" cy="2903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5223510" cy="2903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Four character code at end of each image is Protein Data Bank ID.</w:t>
      </w:r>
    </w:p>
    <w:p>
      <w:pPr>
        <w:spacing w:after="0" w:line="231" w:lineRule="exact"/>
        <w:rPr>
          <w:sz w:val="20"/>
          <w:szCs w:val="20"/>
          <w:color w:val="auto"/>
        </w:rPr>
      </w:pPr>
    </w:p>
    <w:p>
      <w:pPr>
        <w:ind w:right="500"/>
        <w:spacing w:after="0" w:line="284" w:lineRule="auto"/>
        <w:rPr>
          <w:sz w:val="20"/>
          <w:szCs w:val="20"/>
          <w:color w:val="auto"/>
        </w:rPr>
      </w:pPr>
      <w:r>
        <w:rPr>
          <w:rFonts w:ascii="Arial" w:cs="Arial" w:eastAsia="Arial" w:hAnsi="Arial"/>
          <w:sz w:val="20"/>
          <w:szCs w:val="20"/>
          <w:color w:val="auto"/>
        </w:rPr>
        <w:t>Further optimization of compounds powered by our excellence in medicinal chemistry lead us to identify potent and selective oral small molecule product candidates.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Partnership with Schrödinger Leveraging its Cutting-Edge Computational Chemistry Capability</w:t>
      </w:r>
    </w:p>
    <w:p>
      <w:pPr>
        <w:spacing w:after="0" w:line="235"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 xml:space="preserve">We have collaborations with Schrödinger on the iteration and optimization of GPCR lead compounds using various next-generation physics-based computational technologies. Schrödinger is a scientific leader in chemical simulation, accurate physics-based methods, which includes among many technologies, Free Energy Perturbation (“FEP”) and in silico drug discovery. Its computational platforms integrate predictive physics-based methods with machine learning to evaluate billions of compounds </w:t>
      </w:r>
      <w:r>
        <w:rPr>
          <w:rFonts w:ascii="Arial" w:cs="Arial" w:eastAsia="Arial" w:hAnsi="Arial"/>
          <w:sz w:val="20"/>
          <w:szCs w:val="20"/>
          <w:i w:val="1"/>
          <w:iCs w:val="1"/>
          <w:color w:val="auto"/>
        </w:rPr>
        <w:t>in silico</w:t>
      </w:r>
      <w:r>
        <w:rPr>
          <w:rFonts w:ascii="Arial" w:cs="Arial" w:eastAsia="Arial" w:hAnsi="Arial"/>
          <w:sz w:val="20"/>
          <w:szCs w:val="20"/>
          <w:color w:val="auto"/>
        </w:rPr>
        <w:t xml:space="preserve">, achieving experimental accuracy on properties such as binding affinity and solubility. Through this iterative process, we can accelerate evaluation and optimization of molecules </w:t>
      </w:r>
      <w:r>
        <w:rPr>
          <w:rFonts w:ascii="Arial" w:cs="Arial" w:eastAsia="Arial" w:hAnsi="Arial"/>
          <w:sz w:val="20"/>
          <w:szCs w:val="20"/>
          <w:i w:val="1"/>
          <w:iCs w:val="1"/>
          <w:color w:val="auto"/>
        </w:rPr>
        <w:t>in silico</w:t>
      </w:r>
      <w:r>
        <w:rPr>
          <w:rFonts w:ascii="Arial" w:cs="Arial" w:eastAsia="Arial" w:hAnsi="Arial"/>
          <w:sz w:val="20"/>
          <w:szCs w:val="20"/>
          <w:color w:val="auto"/>
        </w:rPr>
        <w:t xml:space="preserve"> ahead of synthesis and assay, and then further optimize them through additional cycles of computation analysis.</w:t>
      </w:r>
    </w:p>
    <w:p>
      <w:pPr>
        <w:sectPr>
          <w:pgSz w:w="11880" w:h="15480" w:orient="portrait"/>
          <w:cols w:equalWidth="0" w:num="1">
            <w:col w:w="9660"/>
          </w:cols>
          <w:pgMar w:left="1080" w:top="1066" w:right="114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16</w:t>
      </w:r>
    </w:p>
    <w:p>
      <w:pPr>
        <w:sectPr>
          <w:pgSz w:w="11880" w:h="15480" w:orient="portrait"/>
          <w:cols w:equalWidth="0" w:num="1">
            <w:col w:w="9660"/>
          </w:cols>
          <w:pgMar w:left="1080" w:top="1066" w:right="1140" w:bottom="543" w:gutter="0" w:footer="0" w:header="0"/>
          <w:type w:val="continuous"/>
        </w:sectPr>
      </w:pPr>
    </w:p>
    <w:bookmarkStart w:id="18" w:name="page19"/>
    <w:bookmarkEnd w:id="18"/>
    <w:p>
      <w:pPr>
        <w:jc w:val="center"/>
        <w:ind w:right="-39"/>
        <w:spacing w:after="0"/>
        <w:rPr>
          <w:sz w:val="20"/>
          <w:szCs w:val="20"/>
          <w:color w:val="auto"/>
        </w:rPr>
      </w:pPr>
      <w:r>
        <w:rPr>
          <w:rFonts w:ascii="Arial" w:cs="Arial" w:eastAsia="Arial" w:hAnsi="Arial"/>
          <w:sz w:val="20"/>
          <w:szCs w:val="20"/>
          <w:b w:val="1"/>
          <w:bCs w:val="1"/>
          <w:color w:val="auto"/>
        </w:rPr>
        <w:t>Structure Therapeutics Integrated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167640</wp:posOffset>
            </wp:positionV>
            <wp:extent cx="4972050" cy="3200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4972050" cy="320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As shown above, our collaborations with Schrödinger in our computational and chemistry module enables us to accelerate our lead optimization drug discovery process and reduce development costs. In our partnership with Schrödinger on GPCR drug discovery, we retain the full product rights on the compounds under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Safety Assays</w:t>
      </w:r>
    </w:p>
    <w:p>
      <w:pPr>
        <w:spacing w:after="0" w:line="235"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We have proactively used cell and animal-based safety assays to better screen out unwanted side effects, such as liver, cardiovascular and central nervous system toxicity at the initial stages of lead optimization, and we have designed molecules to help minimize safety risks at every step. Our in-depth understanding of GPCR signaling pathway provide us insights to design biased molecules when necessary to mitigate any unwanted liabilities while maintaining the desired activities.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Proprietary In-House Development Tools for Drug Synthesis and Screening</w:t>
      </w:r>
    </w:p>
    <w:p>
      <w:pPr>
        <w:spacing w:after="0" w:line="235"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Basecamp Bio focuses specifically on technology development and early discovery and continues to innovate new methods, particularly in hit discovery.</w:t>
      </w:r>
    </w:p>
    <w:p>
      <w:pPr>
        <w:sectPr>
          <w:pgSz w:w="11880" w:h="15480" w:orient="portrait"/>
          <w:cols w:equalWidth="0" w:num="1">
            <w:col w:w="9680"/>
          </w:cols>
          <w:pgMar w:left="1080" w:top="1063" w:right="112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w:t>
      </w:r>
    </w:p>
    <w:p>
      <w:pPr>
        <w:sectPr>
          <w:pgSz w:w="11880" w:h="15480" w:orient="portrait"/>
          <w:cols w:equalWidth="0" w:num="1">
            <w:col w:w="9680"/>
          </w:cols>
          <w:pgMar w:left="1080" w:top="1063" w:right="1120" w:bottom="543"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0"/>
          <w:szCs w:val="20"/>
          <w:b w:val="1"/>
          <w:bCs w:val="1"/>
          <w:color w:val="auto"/>
        </w:rPr>
        <w:t>Basecamp Bio early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167640</wp:posOffset>
            </wp:positionV>
            <wp:extent cx="5212080" cy="3268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5212080" cy="326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20"/>
        <w:spacing w:after="0" w:line="254" w:lineRule="auto"/>
        <w:rPr>
          <w:sz w:val="20"/>
          <w:szCs w:val="20"/>
          <w:color w:val="auto"/>
        </w:rPr>
      </w:pPr>
      <w:r>
        <w:rPr>
          <w:rFonts w:ascii="Arial" w:cs="Arial" w:eastAsia="Arial" w:hAnsi="Arial"/>
          <w:sz w:val="20"/>
          <w:szCs w:val="20"/>
          <w:color w:val="auto"/>
        </w:rPr>
        <w:t>In addition to our robust iterative structure-based drug discovery platform shown above, Basecamp Bio is optimizing proprietary in-house drug discovery tools including DNA-Encoded Library technology and Affinity Mass Spectrometry technology to enable the synthesis and screening of vast numbers of small molecule product candidates at a scale that is not possible to achieve by traditional methods.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Lead GPCR Programs</w:t>
      </w:r>
    </w:p>
    <w:p>
      <w:pPr>
        <w:spacing w:after="0" w:line="242" w:lineRule="exact"/>
        <w:rPr>
          <w:sz w:val="20"/>
          <w:szCs w:val="20"/>
          <w:color w:val="auto"/>
        </w:rPr>
      </w:pPr>
    </w:p>
    <w:p>
      <w:pPr>
        <w:ind w:right="400"/>
        <w:spacing w:after="0" w:line="255" w:lineRule="auto"/>
        <w:rPr>
          <w:sz w:val="20"/>
          <w:szCs w:val="20"/>
          <w:color w:val="auto"/>
        </w:rPr>
      </w:pPr>
      <w:r>
        <w:rPr>
          <w:rFonts w:ascii="Arial" w:cs="Arial" w:eastAsia="Arial" w:hAnsi="Arial"/>
          <w:sz w:val="20"/>
          <w:szCs w:val="20"/>
          <w:color w:val="auto"/>
        </w:rPr>
        <w:t>By leveraging our unique platform capabilities, we are building a pipeline of oral small molecule product candidates designed to have patient impact and broad commercial opportunity in therapeutic areas traditionally dominated by biologics and peptide medicines. We are initially focusing on chronic metabolic, cardiovascular, and pulmonary diseases with unmet medical need.</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GLP-1R Focused Franchise for Metabolic Disorders</w:t>
      </w:r>
    </w:p>
    <w:p>
      <w:pPr>
        <w:spacing w:after="0" w:line="236"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To unlock the full potential of our drug discovery platform across a broad range of metabolic indications, we intend to build out our franchise approach for GLP-1R. Our franchise approach involves developing next generation GLP-1R candidates, with each exhibiting customized properties to achieve additional benefit. Our lead GLP-1R product candidate, GSBR-1290, has the potential to be a differentiated treatment for T2DM and obesity based on preclinical data.</w:t>
      </w:r>
    </w:p>
    <w:p>
      <w:pPr>
        <w:spacing w:after="0" w:line="187"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GSBR-1290 is an oral and biased agonist of the GLP-1R, a validated GPCR drug target involved in a variety of metabolic conditions. We completed a Phase 1 SAD study for GSBR-1290 in healthy volunteers in September 2022. We initiated the Phase 1b MAD study in January 2023 and completed dosing in otherwise healthy overweight subjects in March 2023. In May 2023, we submitted a protocol amendment to the FDA and initiated dosing of the Phase 2a proof-of-concept study in T2DM and obesity. We reported topline data for the 28-day Phase 1b MAD study in September 2023, in which GSBR-1290 was generally well-tolerated with no adverse event -related discontinuations and demonstrated an encouraging safety profile and significant weight loss of up to 4.9% placebo-adjusted, supporting once-daily dosing. In December 2023, we reported clinically meaningful topline data from our Phase 2a T2DM cohort, interim results from our Phase 2a obesity cohort and topline data from our Japanese ethno-bridging study of GSBR-1290. These data demonstrated</w:t>
      </w:r>
    </w:p>
    <w:p>
      <w:pPr>
        <w:sectPr>
          <w:pgSz w:w="11880" w:h="15480" w:orient="portrait"/>
          <w:cols w:equalWidth="0" w:num="1">
            <w:col w:w="9720"/>
          </w:cols>
          <w:pgMar w:left="1080" w:top="1063" w:right="1080" w:bottom="543"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880" w:h="15480" w:orient="portrait"/>
          <w:cols w:equalWidth="0" w:num="1">
            <w:col w:w="9720"/>
          </w:cols>
          <w:pgMar w:left="1080" w:top="1063" w:right="1080" w:bottom="543" w:gutter="0" w:footer="0" w:header="0"/>
          <w:type w:val="continuous"/>
        </w:sectPr>
      </w:pPr>
    </w:p>
    <w:bookmarkStart w:id="20" w:name="page21"/>
    <w:bookmarkEnd w:id="20"/>
    <w:p>
      <w:pPr>
        <w:ind w:right="20"/>
        <w:spacing w:after="0" w:line="244" w:lineRule="auto"/>
        <w:rPr>
          <w:sz w:val="20"/>
          <w:szCs w:val="20"/>
          <w:color w:val="auto"/>
        </w:rPr>
      </w:pPr>
      <w:r>
        <w:rPr>
          <w:rFonts w:ascii="Arial" w:cs="Arial" w:eastAsia="Arial" w:hAnsi="Arial"/>
          <w:sz w:val="20"/>
          <w:szCs w:val="20"/>
          <w:color w:val="auto"/>
        </w:rPr>
        <w:t>that GSBR -1290 was generally well-tolerated, with no treatment-related SAEs over 12 weeks, with only one participant discontinuing the study due to adverse events in the T2DM cohort and none in the obesity cohort. GSBR- 1290 also showed significant reduction in weight in the obesity cohort, and significant reductions in HbA1c and weight in the T2DM cohort. We expect to report the full 12-week Phase 2a obesity data in the latter half of the second quarter of 2024 with additional 24 participant data. We also fully enrolled a formulation bridging and titration optimization study to evaluate capsule versus tablet PK and explore different titration regimens of GSBR-1290. This study is expected to be completed in the latter half of the second quarter of 2024, in preparation for the global Phase 2b study for obesity which we expect to initiate in the fourth quarter of 2024. A Phase 2 study in T2DM is also planned for the second half of 2024. Based on our preclinical and clinical data, we believe that GSBR-1290 and our next-generation product candidates have the potential to have highly differentiated profiles versus currently approved therapies and those in development.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Diabetes Disease Background</w:t>
      </w:r>
    </w:p>
    <w:p>
      <w:pPr>
        <w:spacing w:after="0" w:line="235"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 xml:space="preserve">Diabetes mellitus (“DM”) is an endocrine related disorder of glucose regulation with subsequent hyperglycemia, or high blood sugar, which develops following pancreatic </w:t>
      </w:r>
      <w:r>
        <w:rPr>
          <w:rFonts w:ascii="Arial" w:cs="Arial" w:eastAsia="Arial" w:hAnsi="Arial"/>
          <w:sz w:val="20"/>
          <w:szCs w:val="20"/>
          <w:color w:val="auto"/>
        </w:rPr>
        <w:t>β</w:t>
      </w:r>
      <w:r>
        <w:rPr>
          <w:rFonts w:ascii="Arial" w:cs="Arial" w:eastAsia="Arial" w:hAnsi="Arial"/>
          <w:sz w:val="20"/>
          <w:szCs w:val="20"/>
          <w:color w:val="auto"/>
        </w:rPr>
        <w:t xml:space="preserve">-cell destruction or dysfunction resulting in severe loss of insulin production, also known as type 1 diabetes, or </w:t>
      </w:r>
      <w:r>
        <w:rPr>
          <w:rFonts w:ascii="Arial" w:cs="Arial" w:eastAsia="Arial" w:hAnsi="Arial"/>
          <w:sz w:val="20"/>
          <w:szCs w:val="20"/>
          <w:color w:val="auto"/>
        </w:rPr>
        <w:t>β</w:t>
      </w:r>
      <w:r>
        <w:rPr>
          <w:rFonts w:ascii="Arial" w:cs="Arial" w:eastAsia="Arial" w:hAnsi="Arial"/>
          <w:sz w:val="20"/>
          <w:szCs w:val="20"/>
          <w:color w:val="auto"/>
        </w:rPr>
        <w:t>-cell dysfunction and loss of insulin sensitivity, also known as T2DM. T2DM is more common in adults and accounts for around 90% of all diabetes cases. In T2DM, the loss of insulin sensitivity is often preceded by being overweight or obese, and manifests along with hypertension and dyslipidemia. Regardless of etiology, once hyperglycemia develops, patients with diabetes share a common disease course characterized by atherosclerotic diseases such as coronary heart disease, stroke, peripheral vascular disease and/or, microvascular diseases such as nephropathy, retinopathy, and neuropathy. Additionally, hyperglycemia is associated with metabolic dysfunction, chronic inflammation, and an increase in infections.</w:t>
      </w:r>
    </w:p>
    <w:p>
      <w:pPr>
        <w:spacing w:after="0" w:line="192" w:lineRule="exact"/>
        <w:rPr>
          <w:sz w:val="20"/>
          <w:szCs w:val="20"/>
          <w:color w:val="auto"/>
        </w:rPr>
      </w:pPr>
    </w:p>
    <w:p>
      <w:pPr>
        <w:ind w:right="80"/>
        <w:spacing w:after="0"/>
        <w:rPr>
          <w:sz w:val="20"/>
          <w:szCs w:val="20"/>
          <w:color w:val="auto"/>
        </w:rPr>
      </w:pPr>
      <w:r>
        <w:rPr>
          <w:rFonts w:ascii="Arial" w:cs="Arial" w:eastAsia="Arial" w:hAnsi="Arial"/>
          <w:sz w:val="20"/>
          <w:szCs w:val="20"/>
          <w:color w:val="auto"/>
        </w:rPr>
        <w:t>According to the 2021 International Diabetes Federation Diabetes Atlas, more than one in ten adults are now living with diabetes globally. The estimated prevalence of diabetes in adults aged 20 to 79 years has more than tripled since 2000, from an estimated 151 million (4.6% of the global population in this age group at the time) to 537 million (10.5%) today. If trends continue, the number will jump to a staggering 783 million</w:t>
      </w:r>
    </w:p>
    <w:p>
      <w:pPr>
        <w:spacing w:after="0" w:line="1"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color w:val="auto"/>
        </w:rPr>
        <w:t>(12.2%) by 2045. The number of adults with diabetes in the United States reached 32.2 million in 2021, while China has the largest numbers of adults with diabetes at 140.9 million. In 2021, approximately 6.7 million adults aged 20 to 79 are estimated to have died as a result of diabetes or its complications. According to American Diabetes Association (“ADA”), the total estimated cost of diagnosed diabetes in the United States increased to $327 billion in 2017, which included $237 billion in direct medical costs and $90 billion in reduced productivity.</w:t>
      </w:r>
    </w:p>
    <w:p>
      <w:pPr>
        <w:spacing w:after="0" w:line="189"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In newly diagnosed T2DM patients, treatment is focused on improving modifiable risk factors such as obesity, low physical activity and high caloric diet through patient education that includes instruction on maintaining a healthy lifestyle including nutritional counseling, avoiding excessive calories and rapidly absorbed carbohydrates, and physical exercise. Patients who are unable to achieve glycemic control through weight loss and/or lifestyle modifications should be started on single or combination glucose-lowering medications to lower their glycemic burden and reduce the risk of cardiovascular and other complications.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Obesity Disease Background</w:t>
      </w:r>
    </w:p>
    <w:p>
      <w:pPr>
        <w:spacing w:after="0" w:line="234" w:lineRule="exact"/>
        <w:rPr>
          <w:sz w:val="20"/>
          <w:szCs w:val="20"/>
          <w:color w:val="auto"/>
        </w:rPr>
      </w:pPr>
    </w:p>
    <w:p>
      <w:pPr>
        <w:spacing w:after="0" w:line="219" w:lineRule="auto"/>
        <w:rPr>
          <w:sz w:val="20"/>
          <w:szCs w:val="20"/>
          <w:color w:val="auto"/>
        </w:rPr>
      </w:pPr>
      <w:r>
        <w:rPr>
          <w:rFonts w:ascii="Arial" w:cs="Arial" w:eastAsia="Arial" w:hAnsi="Arial"/>
          <w:sz w:val="20"/>
          <w:szCs w:val="20"/>
          <w:color w:val="auto"/>
        </w:rPr>
        <w:t xml:space="preserve">Obesity, defined as a body mass index (“BMI”) of </w:t>
      </w:r>
      <w:r>
        <w:rPr>
          <w:rFonts w:ascii="Arial" w:cs="Arial" w:eastAsia="Arial" w:hAnsi="Arial"/>
          <w:sz w:val="20"/>
          <w:szCs w:val="20"/>
          <w:u w:val="single" w:color="auto"/>
          <w:color w:val="auto"/>
        </w:rPr>
        <w:t>&gt;</w:t>
      </w:r>
      <w:r>
        <w:rPr>
          <w:rFonts w:ascii="Arial" w:cs="Arial" w:eastAsia="Arial" w:hAnsi="Arial"/>
          <w:sz w:val="20"/>
          <w:szCs w:val="20"/>
          <w:color w:val="auto"/>
        </w:rPr>
        <w:t xml:space="preserve"> 30 kg/m </w:t>
      </w:r>
      <w:r>
        <w:rPr>
          <w:rFonts w:ascii="Arial" w:cs="Arial" w:eastAsia="Arial" w:hAnsi="Arial"/>
          <w:sz w:val="25"/>
          <w:szCs w:val="25"/>
          <w:color w:val="auto"/>
          <w:vertAlign w:val="superscript"/>
        </w:rPr>
        <w:t>2</w:t>
      </w:r>
      <w:r>
        <w:rPr>
          <w:rFonts w:ascii="Arial" w:cs="Arial" w:eastAsia="Arial" w:hAnsi="Arial"/>
          <w:sz w:val="20"/>
          <w:szCs w:val="20"/>
          <w:color w:val="auto"/>
        </w:rPr>
        <w:t>, is a major independent risk factor for T2DM. Approximately 90% of T2DM patients are considered either overweight with a BMI between 25.0 kg/m</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and 29.9 kg/m</w:t>
      </w:r>
      <w:r>
        <w:rPr>
          <w:rFonts w:ascii="Arial" w:cs="Arial" w:eastAsia="Arial" w:hAnsi="Arial"/>
          <w:sz w:val="25"/>
          <w:szCs w:val="25"/>
          <w:color w:val="auto"/>
          <w:vertAlign w:val="superscript"/>
        </w:rPr>
        <w:t>2</w:t>
      </w:r>
      <w:r>
        <w:rPr>
          <w:rFonts w:ascii="Arial" w:cs="Arial" w:eastAsia="Arial" w:hAnsi="Arial"/>
          <w:sz w:val="20"/>
          <w:szCs w:val="20"/>
          <w:color w:val="auto"/>
        </w:rPr>
        <w:t>, or obese with a BMI of 30 kg/m</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or greater. Worldwide obesity has nearly tripled between 1975 and 2016. As of 2020, 1.9 billion (39%) adults were overweight, including over 764 million (15%) adults who were obese. In men, being slightly overweight increased diabetes risk seven-fold and in women, being slightly overweight increased diabetes risk twelve-fold. Being obese increased the risk to 60-fold.</w:t>
      </w:r>
    </w:p>
    <w:p>
      <w:pPr>
        <w:spacing w:after="0" w:line="202"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Obesity affects nearly one third of all adults in the United States and is associated with a range of comorbidities, such as T2DM, cardiovascular disease, obstructive sleep apnea, and cancer. Importantly, even</w:t>
      </w:r>
    </w:p>
    <w:p>
      <w:pPr>
        <w:sectPr>
          <w:pgSz w:w="11880" w:h="15480" w:orient="portrait"/>
          <w:cols w:equalWidth="0" w:num="1">
            <w:col w:w="9700"/>
          </w:cols>
          <w:pgMar w:left="1080" w:top="1066" w:right="1100" w:bottom="543" w:gutter="0" w:footer="0" w:header="0"/>
        </w:sect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ectPr>
          <w:pgSz w:w="11880" w:h="15480" w:orient="portrait"/>
          <w:cols w:equalWidth="0" w:num="1">
            <w:col w:w="9700"/>
          </w:cols>
          <w:pgMar w:left="1080" w:top="1066" w:right="1100" w:bottom="543" w:gutter="0" w:footer="0" w:header="0"/>
          <w:type w:val="continuous"/>
        </w:sectPr>
      </w:pPr>
    </w:p>
    <w:bookmarkStart w:id="21" w:name="page22"/>
    <w:bookmarkEnd w:id="21"/>
    <w:p>
      <w:pPr>
        <w:ind w:right="520"/>
        <w:spacing w:after="0" w:line="249" w:lineRule="auto"/>
        <w:rPr>
          <w:sz w:val="20"/>
          <w:szCs w:val="20"/>
          <w:color w:val="auto"/>
        </w:rPr>
      </w:pPr>
      <w:r>
        <w:rPr>
          <w:rFonts w:ascii="Arial" w:cs="Arial" w:eastAsia="Arial" w:hAnsi="Arial"/>
          <w:sz w:val="20"/>
          <w:szCs w:val="20"/>
          <w:color w:val="auto"/>
        </w:rPr>
        <w:t>modest weight reduction, on the order of five to ten percent, can significantly reduce comorbidities and improve health-related outcomes and has been recently recommended by the major scientific societies (European Association of the Study of Diabetes (“EASD”) and ADA). Obesity therefore represents an immense commercial opportunity with very few approved therapies on the market. The GLP-1R agonist semaglutide, approved for use in T2DM, has also been approved for weight management for which it is marketed under the brand name Wegovy, which is estimated to reach peak sales of $6.7 billion in 2026.</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Relationship Between T2DM and Obesity</w:t>
      </w:r>
    </w:p>
    <w:p>
      <w:pPr>
        <w:spacing w:after="0" w:line="235"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T2DM and obesity are not independent conditions, as the majority of patients with T2DM are obese. Observed increases in the prevalence of T2DM are related to the increasing prevalence of obesity and multiple mechanisms have been proposed through which they may be linked pathophysiologically. Upper body and visceral fat are associated with T2DM, metabolic syndrome and cardiovascular disease. Obesity is a major contributor to poor metabolic control in patients with T2DM.</w:t>
      </w:r>
    </w:p>
    <w:p>
      <w:pPr>
        <w:spacing w:after="0" w:line="187"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color w:val="auto"/>
        </w:rPr>
        <w:t>Increasingly, weight reduction is seen as an important goal of therapy for patients with T2DM. Weight loss in the first year of treatment of T2DM has been associated with an increase in life expectancy. According to the ADA Standards of Medical Care in Diabetes—2022, management of obesity is an important factor in the treatment of diabetes since even a small degree of weight loss can improve control of blood sugar levels, resulting in a decreased need for glucose-lowering medications. Given this information, a therapy that can both lower blood glucose and help with weight management in T2DM could have near-term benefits in glycemic control and longer-term benefits in increased insulin sensitivity and reduction of cardiovascular risk.</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Current Treatments for T2DM and Obesity</w:t>
      </w:r>
    </w:p>
    <w:p>
      <w:pPr>
        <w:spacing w:after="0" w:line="235"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First-line treatment for patients with T2DM involves lifestyle modifications and metformin. If glycemic control remains inadequate, an additional oral glucose lowering medication should be added. Options include sodium-glucose transport protein 2 inhibitors, dipeptidyl peptidase-4 inhibitors, and GLP-1R agonists. Current treatment algorithms suggest that GLP- 1R agonists should be preferentially used after metformin failure in patients who are at high risk for, or who have established, atherosclerotic cardiovascular disease. Several scientific societies, including the EASD and ADA, recommend GLP-1R agonists as first line therapy in patients with established atherosclerotic cardiovascular disease or in those at high risk of developing disease. According to Global Data, Eli Lilly and Company (“Eli Lilly”), Novo Nordisk, Merck and Sanofi S.A. (“Sanofi”), have captured significant market share in the approximately $65.4 billion market for glucose-lowering agents in 2023, which is projected to grow to $115.4 billion by 2027 as depicted below.</w:t>
      </w:r>
    </w:p>
    <w:p>
      <w:pPr>
        <w:sectPr>
          <w:pgSz w:w="11880" w:h="15480" w:orient="portrait"/>
          <w:cols w:equalWidth="0" w:num="1">
            <w:col w:w="9700"/>
          </w:cols>
          <w:pgMar w:left="1080" w:top="1066" w:right="110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880" w:h="15480" w:orient="portrait"/>
          <w:cols w:equalWidth="0" w:num="1">
            <w:col w:w="9700"/>
          </w:cols>
          <w:pgMar w:left="1080" w:top="1066" w:right="1100" w:bottom="543" w:gutter="0" w:footer="0" w:header="0"/>
          <w:type w:val="continuous"/>
        </w:sectPr>
      </w:pPr>
    </w:p>
    <w:bookmarkStart w:id="22" w:name="page23"/>
    <w:bookmarkEnd w:id="22"/>
    <w:p>
      <w:pPr>
        <w:ind w:left="1100"/>
        <w:spacing w:after="0"/>
        <w:rPr>
          <w:sz w:val="20"/>
          <w:szCs w:val="20"/>
          <w:color w:val="auto"/>
        </w:rPr>
      </w:pPr>
      <w:r>
        <w:rPr>
          <w:rFonts w:ascii="Arial" w:cs="Arial" w:eastAsia="Arial" w:hAnsi="Arial"/>
          <w:sz w:val="20"/>
          <w:szCs w:val="20"/>
          <w:b w:val="1"/>
          <w:bCs w:val="1"/>
          <w:color w:val="auto"/>
        </w:rPr>
        <w:t>Historical and projected global obesity and type-2 diabetes drug sales by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164465</wp:posOffset>
            </wp:positionV>
            <wp:extent cx="4663440" cy="32613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4663440" cy="3261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Overview of GLP-1R Signaling Pathway and Target Biology</w:t>
      </w:r>
    </w:p>
    <w:p>
      <w:pPr>
        <w:spacing w:after="0" w:line="236"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 xml:space="preserve">GLP-1 is an incretin peptide secreted in the intestinal tract in response to food intake. GLP-1 stimulates insulin secretion from pancreatic </w:t>
      </w:r>
      <w:r>
        <w:rPr>
          <w:rFonts w:ascii="Arial" w:cs="Arial" w:eastAsia="Arial" w:hAnsi="Arial"/>
          <w:sz w:val="20"/>
          <w:szCs w:val="20"/>
          <w:color w:val="auto"/>
        </w:rPr>
        <w:t>β</w:t>
      </w:r>
      <w:r>
        <w:rPr>
          <w:rFonts w:ascii="Arial" w:cs="Arial" w:eastAsia="Arial" w:hAnsi="Arial"/>
          <w:sz w:val="20"/>
          <w:szCs w:val="20"/>
          <w:color w:val="auto"/>
        </w:rPr>
        <w:t xml:space="preserve">-cells and inhibits glucagon secretion from pancreatic </w:t>
      </w:r>
      <w:r>
        <w:rPr>
          <w:rFonts w:ascii="Arial" w:cs="Arial" w:eastAsia="Arial" w:hAnsi="Arial"/>
          <w:sz w:val="20"/>
          <w:szCs w:val="20"/>
          <w:color w:val="auto"/>
        </w:rPr>
        <w:t>α</w:t>
      </w:r>
      <w:r>
        <w:rPr>
          <w:rFonts w:ascii="Arial" w:cs="Arial" w:eastAsia="Arial" w:hAnsi="Arial"/>
          <w:sz w:val="20"/>
          <w:szCs w:val="20"/>
          <w:color w:val="auto"/>
        </w:rPr>
        <w:t xml:space="preserve">-cells. GLP-1 receptors are located on various cell and tissue types including pancreatic </w:t>
      </w:r>
      <w:r>
        <w:rPr>
          <w:rFonts w:ascii="Arial" w:cs="Arial" w:eastAsia="Arial" w:hAnsi="Arial"/>
          <w:sz w:val="20"/>
          <w:szCs w:val="20"/>
          <w:color w:val="auto"/>
        </w:rPr>
        <w:t>β</w:t>
      </w:r>
      <w:r>
        <w:rPr>
          <w:rFonts w:ascii="Arial" w:cs="Arial" w:eastAsia="Arial" w:hAnsi="Arial"/>
          <w:sz w:val="20"/>
          <w:szCs w:val="20"/>
          <w:color w:val="auto"/>
        </w:rPr>
        <w:t>- cells, central and peripheral neurons, cells of the intestinal tract, vascular smooth muscle and endothelial cells, coronary arteries, and the sino-atrial node of the heart. Through actions at these receptors, GLP-1 and GLP-1R agonists have demonstrated widespread therapeutic effects in patients with diabetes, including stimulating insulin secretion and lowering blood glucose levels, slowing gastric emptying, reducing caloric intake, promoting weight loss, improving lipoprotein metabolism, lowering systolic blood pressure, improving complications from arteriosclerotic cardiovascular diseases, and reducing cardiovascular disease morbidity and mortality, as illustrated below.</w:t>
      </w:r>
    </w:p>
    <w:p>
      <w:pPr>
        <w:sectPr>
          <w:pgSz w:w="11880" w:h="15480" w:orient="portrait"/>
          <w:cols w:equalWidth="0" w:num="1">
            <w:col w:w="9600"/>
          </w:cols>
          <w:pgMar w:left="1080" w:top="1063" w:right="120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21</w:t>
      </w:r>
    </w:p>
    <w:p>
      <w:pPr>
        <w:sectPr>
          <w:pgSz w:w="11880" w:h="15480" w:orient="portrait"/>
          <w:cols w:equalWidth="0" w:num="1">
            <w:col w:w="9600"/>
          </w:cols>
          <w:pgMar w:left="1080" w:top="1063" w:right="1200" w:bottom="543" w:gutter="0" w:footer="0" w:header="0"/>
          <w:type w:val="continuous"/>
        </w:sectPr>
      </w:pPr>
    </w:p>
    <w:bookmarkStart w:id="23" w:name="page24"/>
    <w:bookmarkEnd w:id="23"/>
    <w:p>
      <w:pPr>
        <w:jc w:val="center"/>
        <w:ind w:right="-39"/>
        <w:spacing w:after="0"/>
        <w:rPr>
          <w:sz w:val="20"/>
          <w:szCs w:val="20"/>
          <w:color w:val="auto"/>
        </w:rPr>
      </w:pPr>
      <w:r>
        <w:rPr>
          <w:rFonts w:ascii="Arial" w:cs="Arial" w:eastAsia="Arial" w:hAnsi="Arial"/>
          <w:sz w:val="20"/>
          <w:szCs w:val="20"/>
          <w:b w:val="1"/>
          <w:bCs w:val="1"/>
          <w:color w:val="auto"/>
        </w:rPr>
        <w:t>GLP-1R pathway and target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167640</wp:posOffset>
            </wp:positionV>
            <wp:extent cx="4632960" cy="2936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4632960" cy="293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 xml:space="preserve">Endogenous GLP-1 is rapidly degraded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by DPP-4, with a half-life of one to two minutes. The development of GLP-1R agonists for the treatment of diabetes and obesity has involved modifications to the GLP-1 peptide and/or conjugation to carrier compounds or matrices that delay degradation after subcutaneous administration.</w:t>
      </w:r>
    </w:p>
    <w:p>
      <w:pPr>
        <w:spacing w:after="0" w:line="183"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The six marketed GLP -1R and GLP-1R/GIPR agonists are synthetic peptides and include liraglutide and semaglutide marketed by Novo Nordisk; dulaglutide and tirzepatide marketed by Eli Lilly; exenatide marketed primarily by AstraZeneca plc (“AstraZeneca”); and lixisenatide marketed by Sanofi. According to Global Data, these six GLP-1R and GLP -1R/GIPR peptides approved for T2DM and obesity collectively generated approximately $65.4 billion in worldwide sales in 2023, which is projected to reach $115 billion by 2027.</w:t>
      </w:r>
    </w:p>
    <w:p>
      <w:pPr>
        <w:spacing w:after="0" w:line="187" w:lineRule="exact"/>
        <w:rPr>
          <w:sz w:val="20"/>
          <w:szCs w:val="20"/>
          <w:color w:val="auto"/>
        </w:rPr>
      </w:pPr>
    </w:p>
    <w:p>
      <w:pPr>
        <w:ind w:right="460"/>
        <w:spacing w:after="0" w:line="262" w:lineRule="auto"/>
        <w:rPr>
          <w:sz w:val="20"/>
          <w:szCs w:val="20"/>
          <w:color w:val="auto"/>
        </w:rPr>
      </w:pPr>
      <w:r>
        <w:rPr>
          <w:rFonts w:ascii="Arial" w:cs="Arial" w:eastAsia="Arial" w:hAnsi="Arial"/>
          <w:sz w:val="20"/>
          <w:szCs w:val="20"/>
          <w:color w:val="auto"/>
        </w:rPr>
        <w:t>Rybelsus is an oral formulation of semaglutide co-formulated with sodium N-8-(2-hydroxybenzoyl) amino caprylate to limit degradation and improve oral absorption. To date, there are no approved oral small molecule therapies targeting this pathway.</w:t>
      </w:r>
    </w:p>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Common side effects of GLP-1R and GLP-1R/GIPR agonists include nausea, vomiting, and diarrhea, which are most pronounced when starting therapy or increasing the dose. Generally, these effects correlate with times of maximum drug concentrations and ameliorate with continued therapy. Typically, slow up-titration to the desired dose can mitigate these side effects. However, once-weekly injectable GLP-1R and GLP-1R/GIPR agonists typically require a long titration period to achieve an optimal dose, potentially delaying therapeutic benefit. Once-daily therapy with an oral small molecule may provide flexibility in titration and allow a combined approach with other oral therapies.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Unmet Medical Need for Improved GLP-1R Therapeutics in Diabetes and Obesity</w:t>
      </w:r>
    </w:p>
    <w:p>
      <w:pPr>
        <w:spacing w:after="0" w:line="235" w:lineRule="exact"/>
        <w:rPr>
          <w:sz w:val="20"/>
          <w:szCs w:val="20"/>
          <w:color w:val="auto"/>
        </w:rPr>
      </w:pPr>
    </w:p>
    <w:p>
      <w:pPr>
        <w:ind w:right="600"/>
        <w:spacing w:after="0" w:line="255" w:lineRule="auto"/>
        <w:rPr>
          <w:sz w:val="20"/>
          <w:szCs w:val="20"/>
          <w:color w:val="auto"/>
        </w:rPr>
      </w:pPr>
      <w:r>
        <w:rPr>
          <w:rFonts w:ascii="Arial" w:cs="Arial" w:eastAsia="Arial" w:hAnsi="Arial"/>
          <w:sz w:val="20"/>
          <w:szCs w:val="20"/>
          <w:color w:val="auto"/>
        </w:rPr>
        <w:t>GLP-1R agonists provide multiple beneficial effects in patients with T2DM, including excellent glycemic control with low risk of hypoglycemia, weight loss and protection against cardiovascular and renal complications. However, we believe approved GLP-1R agonists have shortcomings in terms of patient convenience, ease of dosing, and cost.</w:t>
      </w:r>
    </w:p>
    <w:p>
      <w:pPr>
        <w:spacing w:after="0" w:line="183" w:lineRule="exact"/>
        <w:rPr>
          <w:sz w:val="20"/>
          <w:szCs w:val="20"/>
          <w:color w:val="auto"/>
        </w:rPr>
      </w:pPr>
    </w:p>
    <w:p>
      <w:pPr>
        <w:ind w:right="260"/>
        <w:spacing w:after="0" w:line="312" w:lineRule="auto"/>
        <w:rPr>
          <w:sz w:val="20"/>
          <w:szCs w:val="20"/>
          <w:color w:val="auto"/>
        </w:rPr>
      </w:pPr>
      <w:r>
        <w:rPr>
          <w:rFonts w:ascii="Arial" w:cs="Arial" w:eastAsia="Arial" w:hAnsi="Arial"/>
          <w:sz w:val="19"/>
          <w:szCs w:val="19"/>
          <w:color w:val="auto"/>
        </w:rPr>
        <w:t>Injectable peptide GLP -1R agonist peptides require patients to self-inject, require inconvenient refrigerated storage and are costly. In addition, long acting GLP-1R agonists typically require long titration periods to</w:t>
      </w:r>
    </w:p>
    <w:p>
      <w:pPr>
        <w:sectPr>
          <w:pgSz w:w="11880" w:h="15480" w:orient="portrait"/>
          <w:cols w:equalWidth="0" w:num="1">
            <w:col w:w="9680"/>
          </w:cols>
          <w:pgMar w:left="1080" w:top="1063" w:right="1120" w:bottom="543"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22</w:t>
      </w:r>
    </w:p>
    <w:p>
      <w:pPr>
        <w:sectPr>
          <w:pgSz w:w="11880" w:h="15480" w:orient="portrait"/>
          <w:cols w:equalWidth="0" w:num="1">
            <w:col w:w="9680"/>
          </w:cols>
          <w:pgMar w:left="1080" w:top="1063" w:right="1120" w:bottom="543" w:gutter="0" w:footer="0" w:header="0"/>
          <w:type w:val="continuous"/>
        </w:sectPr>
      </w:pPr>
    </w:p>
    <w:bookmarkStart w:id="24" w:name="page25"/>
    <w:bookmarkEnd w:id="24"/>
    <w:p>
      <w:pPr>
        <w:ind w:right="240"/>
        <w:spacing w:after="0" w:line="284" w:lineRule="auto"/>
        <w:rPr>
          <w:sz w:val="20"/>
          <w:szCs w:val="20"/>
          <w:color w:val="auto"/>
        </w:rPr>
      </w:pPr>
      <w:r>
        <w:rPr>
          <w:rFonts w:ascii="Arial" w:cs="Arial" w:eastAsia="Arial" w:hAnsi="Arial"/>
          <w:sz w:val="20"/>
          <w:szCs w:val="20"/>
          <w:color w:val="auto"/>
        </w:rPr>
        <w:t>reach an optimal dose for disease management in order to avoid treatment-associated gastrointestinal side effects.</w:t>
      </w:r>
    </w:p>
    <w:p>
      <w:pPr>
        <w:spacing w:after="0" w:line="157"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Oral semaglutide (Rybelsus), the first approved oral GLP-1R peptide agonist, provides an option for patients who are unable or unwilling to self-administer. However, Rybelsus requires a stringent dosing protocol and dosing with up to four ounces of water with no food or beverage within 30 minutes. Additionally, the product’s absorption enhancer may affect the absorption of other concomitantly administered oral medications.</w:t>
      </w:r>
    </w:p>
    <w:p>
      <w:pPr>
        <w:spacing w:after="0" w:line="186"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color w:val="auto"/>
        </w:rPr>
        <w:t>We believe there is an unmet medical need for orally administered GLP-1R agonists that meet or exceed efficacy and safety parameters of available drugs with less stringent preparation requirements. Such existing constraints include restrictive food or fluid dosing protocols, refrigeration, maintenance of effective concentrations throughout the dosing interval, without interfering with the absorption of concomitant medications and that offer the potential for combination products with other glucose lowering agents or other commonly co-administered therapies.</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In addition to glycemic control, weight management is increasingly viewed as important to the management of T2DM. Injectable GLP-1R agonists, liraglutide and semaglutide result in weight loss at doses approved for treatment of T2DM, while higher doses of each drug, indicated for chronic weight management, result in greater weight loss. At an appropriate dose, an oral GLP-1R agonist may play a role in managing both blood glucose and weight.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Solution: Small Molecule GLP-1R Agonist</w:t>
      </w:r>
    </w:p>
    <w:p>
      <w:pPr>
        <w:spacing w:after="0" w:line="23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GLP-1, along with GIPR, comprise the incretin family, peptide hormones secreted into the blood by enteroendocrine cells in the gut, which play a role in glycemic control. We are taking a franchise approach to our GLP-1R programs by developing next generation GLP-1 agonists and potential GIPR modulators. Leveraging the depth of our GLP-1R/GIPR structure platform, proprietary compound library and deep biology and disease insights, we are advancing multiple generations of structurally distinct GLP-1R agonist molecules through lead optimization. Each molecule is designed to have a different tissue penetration profile and other incretin activities in order to maximize the value and/or realize the full potential offered by our in-house platform.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GSBR-1290 Selective GLP-1R Agonist Program</w:t>
      </w:r>
    </w:p>
    <w:p>
      <w:pPr>
        <w:spacing w:after="0" w:line="231"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We are developing GSBR-1290, a biased orally-available small molecule GLP-1R agonist, initially as a treatment for T2DM and obesity. Due to its significant preclinical activity and oral availability, we believe that GSBR-1290 has the potential to be a differentiated treatment with no restrictions on diet or concomitant therapies.</w:t>
      </w:r>
    </w:p>
    <w:p>
      <w:pPr>
        <w:sectPr>
          <w:pgSz w:w="11880" w:h="15480" w:orient="portrait"/>
          <w:cols w:equalWidth="0" w:num="1">
            <w:col w:w="9700"/>
          </w:cols>
          <w:pgMar w:left="1080" w:top="1066" w:right="110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ectPr>
          <w:pgSz w:w="11880" w:h="15480" w:orient="portrait"/>
          <w:cols w:equalWidth="0" w:num="1">
            <w:col w:w="9700"/>
          </w:cols>
          <w:pgMar w:left="1080" w:top="1066" w:right="1100" w:bottom="543" w:gutter="0" w:footer="0" w:header="0"/>
          <w:type w:val="continuous"/>
        </w:sectPr>
      </w:pPr>
    </w:p>
    <w:bookmarkStart w:id="25" w:name="page26"/>
    <w:bookmarkEnd w:id="25"/>
    <w:p>
      <w:pPr>
        <w:jc w:val="center"/>
        <w:ind w:right="-39"/>
        <w:spacing w:after="0"/>
        <w:rPr>
          <w:sz w:val="20"/>
          <w:szCs w:val="20"/>
          <w:color w:val="auto"/>
        </w:rPr>
      </w:pPr>
      <w:r>
        <w:rPr>
          <w:rFonts w:ascii="Arial" w:cs="Arial" w:eastAsia="Arial" w:hAnsi="Arial"/>
          <w:sz w:val="20"/>
          <w:szCs w:val="20"/>
          <w:b w:val="1"/>
          <w:bCs w:val="1"/>
          <w:color w:val="auto"/>
        </w:rPr>
        <w:t>GSBR-1290 analog bound GLP-1R cryo-EM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1186180</wp:posOffset>
            </wp:positionH>
            <wp:positionV relativeFrom="paragraph">
              <wp:posOffset>167640</wp:posOffset>
            </wp:positionV>
            <wp:extent cx="3799840" cy="3180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379984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 xml:space="preserve">GSBR-1290 was designed through our internal structure-based drug discovery platform. As shown above, multiple small molecules bound to GLP-1R structures have been generated to guide iterative chemistry design efforts. GSBR-1290 is also designed to be a biased GPCR agonist, which only activates the G-protein pathway without </w:t>
      </w:r>
      <w:r>
        <w:rPr>
          <w:rFonts w:ascii="Arial" w:cs="Arial" w:eastAsia="Arial" w:hAnsi="Arial"/>
          <w:sz w:val="20"/>
          <w:szCs w:val="20"/>
          <w:color w:val="auto"/>
        </w:rPr>
        <w:t>β</w:t>
      </w:r>
      <w:r>
        <w:rPr>
          <w:rFonts w:ascii="Arial" w:cs="Arial" w:eastAsia="Arial" w:hAnsi="Arial"/>
          <w:sz w:val="20"/>
          <w:szCs w:val="20"/>
          <w:color w:val="auto"/>
        </w:rPr>
        <w:t>- arrestin signaling at therapeutic doses, thereby avoiding receptor internalization and de-sensitization. In an intravenous glucose tolerance test (“ivGTT”) in NHPs, GSBR-1290 increased glucose-dependent insulin secretion to a similar level achieved by liraglutide, an approved injectable GLP- 1R agonist. In a repeat food intake study in NHPs, GSBR-1290 showed a significant decrease in body weight relative to the placebo and surpassed that seen with liraglutide.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GSBR-1290 Preclinical Data, Pharmacology, and Biomarker Data</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In NHP ivGTT studies, glucose was injected five minutes following intravenous administration of either GSBR-1290 (0.05 mg/kg) or liraglutide (0.1 mg/kg). Plasma samples were taken at indicated timepoints to evaluate insulin and glucose levels. GSBR-1290 demonstrated statistically significant decreases in blood glucose concentration via stimulation of insulin secretion in a glucose-dependent manner, similar to liraglutide which was dosed at an equivalent approved human dose.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Robust activity in non-human primate acute ivGTT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167005</wp:posOffset>
            </wp:positionV>
            <wp:extent cx="4632960" cy="1412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4632960" cy="1412240"/>
                    </a:xfrm>
                    <a:prstGeom prst="rect">
                      <a:avLst/>
                    </a:prstGeom>
                    <a:noFill/>
                  </pic:spPr>
                </pic:pic>
              </a:graphicData>
            </a:graphic>
          </wp:anchor>
        </w:drawing>
      </w:r>
    </w:p>
    <w:p>
      <w:pPr>
        <w:sectPr>
          <w:pgSz w:w="11880" w:h="15480" w:orient="portrait"/>
          <w:cols w:equalWidth="0" w:num="1">
            <w:col w:w="9680"/>
          </w:cols>
          <w:pgMar w:left="1080" w:top="1063" w:right="112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24</w:t>
      </w:r>
    </w:p>
    <w:p>
      <w:pPr>
        <w:sectPr>
          <w:pgSz w:w="11880" w:h="15480" w:orient="portrait"/>
          <w:cols w:equalWidth="0" w:num="1">
            <w:col w:w="9680"/>
          </w:cols>
          <w:pgMar w:left="1080" w:top="1063" w:right="1120" w:bottom="543" w:gutter="0" w:footer="0" w:header="0"/>
          <w:type w:val="continuous"/>
        </w:sectPr>
      </w:pPr>
    </w:p>
    <w:bookmarkStart w:id="26" w:name="page27"/>
    <w:bookmarkEnd w:id="26"/>
    <w:p>
      <w:pPr>
        <w:jc w:val="center"/>
        <w:spacing w:after="0" w:line="276" w:lineRule="auto"/>
        <w:rPr>
          <w:sz w:val="20"/>
          <w:szCs w:val="20"/>
          <w:color w:val="auto"/>
        </w:rPr>
      </w:pPr>
      <w:r>
        <w:rPr>
          <w:rFonts w:ascii="Arial" w:cs="Arial" w:eastAsia="Arial" w:hAnsi="Arial"/>
          <w:sz w:val="20"/>
          <w:szCs w:val="20"/>
          <w:i w:val="1"/>
          <w:iCs w:val="1"/>
          <w:color w:val="auto"/>
        </w:rPr>
        <w:t>Data were presented as mean ± standard error of the mean (“SEM”); one-way ANOVA followed by Dunnett’s multiple comparisons test. *p&lt;0.05, **p&lt;0.01, ***p&lt;0.001 vs vehicle</w:t>
      </w:r>
    </w:p>
    <w:p>
      <w:pPr>
        <w:spacing w:after="0" w:line="163"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As shown below, in a seven day repeat oral dosing study in NHPs, GSBR-1290 was evaluated at once-daily oral doses of 2 mg/kg, 6 mg/kg, and 10 mg/kg and compared to placebo and liraglutide. Food intake was measured each day over the first six days of the study and reported as an average of these measurements. ivGTT and body weight were performed before dosing and on the sixth day (body weight) or seventh day (ivGTT) of post-dosing. At all doses of GSBR-1290, glucose reduction was shown to be statistically significantly different versus vehicle and comparable to liraglutide. Similarly, all doses increased insulin secretion significantly except at 6 mg/kg dose, which only achieved statistical p value at 0.055 due to a slightly greater data variability. At 6 mg/kg and 10 mg/kg, a statistically significant reduction of average food intake measured over the first six days of the study compared to vehicle was observed. At 10 mg/kg of GSBR-1290, the average food intake from Day 1 to Day 6 was only 59% relative to liraglutide group. GSBR-1290 at 6 mg/kg and 10 mg/kg also showed a significant decrease in body weight relative to placebo and surpassed liraglutide, with the highest dose of GSBR-1290 achieving more than eight percent reduction in average body weight versus baseline in one week.</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Seven day repeat oral dosing study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167005</wp:posOffset>
            </wp:positionV>
            <wp:extent cx="4572000" cy="2159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4572000"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line="276" w:lineRule="auto"/>
        <w:rPr>
          <w:sz w:val="20"/>
          <w:szCs w:val="20"/>
          <w:color w:val="auto"/>
        </w:rPr>
      </w:pPr>
      <w:r>
        <w:rPr>
          <w:rFonts w:ascii="Arial" w:cs="Arial" w:eastAsia="Arial" w:hAnsi="Arial"/>
          <w:sz w:val="20"/>
          <w:szCs w:val="20"/>
          <w:i w:val="1"/>
          <w:iCs w:val="1"/>
          <w:color w:val="auto"/>
        </w:rPr>
        <w:t>Data were presented as mean ± SEM; one-way ANOVA followed by Dunnett’s multiple comparisons test. *p&lt;0.05, **p&lt;0.01, ***p&lt;0.001 vs vehicle</w:t>
      </w:r>
    </w:p>
    <w:p>
      <w:pPr>
        <w:spacing w:after="0" w:line="172" w:lineRule="exact"/>
        <w:rPr>
          <w:sz w:val="20"/>
          <w:szCs w:val="20"/>
          <w:color w:val="auto"/>
        </w:rPr>
      </w:pPr>
    </w:p>
    <w:p>
      <w:pPr>
        <w:jc w:val="center"/>
        <w:spacing w:after="0" w:line="247" w:lineRule="auto"/>
        <w:rPr>
          <w:sz w:val="20"/>
          <w:szCs w:val="20"/>
          <w:color w:val="auto"/>
        </w:rPr>
      </w:pPr>
      <w:r>
        <w:rPr>
          <w:rFonts w:ascii="Arial" w:cs="Arial" w:eastAsia="Arial" w:hAnsi="Arial"/>
          <w:sz w:val="20"/>
          <w:szCs w:val="20"/>
          <w:i w:val="1"/>
          <w:iCs w:val="1"/>
          <w:color w:val="auto"/>
        </w:rPr>
        <w:t>In the description of our clinical trials and preclinical studies below and elsewhere in this Annual Report, n represents the number of participants in a particular group and p or p- values represent the probability that random chance caused the result (e.g., a p-value of 0.01 means that there is a 0.1% probability that the difference between the placebo group and the treatment group is purely due to random chance). A p-value of less than or equal to 0.05 is a commonly used criterion for statistical significance, and may be supportive of a finding of efficacy by regulatory authorities.</w:t>
      </w:r>
    </w:p>
    <w:p>
      <w:pPr>
        <w:spacing w:after="0" w:line="190"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 xml:space="preserve">In addition, we conducted a preclinical comparison study of GSBR-1290 and PF-06882961, a clinical stage compound in development by Pfizer. Unlike GSBR- 1290, PF-06882961 is a partially biased GLP- 1R agonist, which could lead to de-sensitization of the receptor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 In an experiment conducted in-house, GSBR-1290 demonstrated comparable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activity to PF-06882961 at a lower exposure. In the acute ivGTT studies, GSBR-1290 achieved similar activity to liraglutide at average concentration around 34 nanomolar (“nM”) (0.05 mg intravenous), comparing to a similar activity achieved by PF-06882961 in an in-house experiment at an average concentration around 442 nM (0.3 mg intravenous) . This suggests that the concentration needed to achieve full activity for GSBR-1290 is at a level much lower than that for PF-06882961. PF-06882961 has been studied in SAD and MAD studies with a maximum dose of 200 mg/BID to achieve maximum HbA1c activity and weight management.</w:t>
      </w:r>
    </w:p>
    <w:p>
      <w:pPr>
        <w:sectPr>
          <w:pgSz w:w="11880" w:h="15480" w:orient="portrait"/>
          <w:cols w:equalWidth="0" w:num="1">
            <w:col w:w="9720"/>
          </w:cols>
          <w:pgMar w:left="1080" w:top="1074" w:right="1080" w:bottom="543"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880" w:h="15480" w:orient="portrait"/>
          <w:cols w:equalWidth="0" w:num="1">
            <w:col w:w="9720"/>
          </w:cols>
          <w:pgMar w:left="1080" w:top="1074" w:right="1080" w:bottom="543" w:gutter="0" w:footer="0" w:header="0"/>
          <w:type w:val="continuous"/>
        </w:sectPr>
      </w:pPr>
    </w:p>
    <w:bookmarkStart w:id="27" w:name="page28"/>
    <w:bookmarkEnd w:id="27"/>
    <w:p>
      <w:pPr>
        <w:spacing w:after="0" w:line="250" w:lineRule="auto"/>
        <w:rPr>
          <w:sz w:val="20"/>
          <w:szCs w:val="20"/>
          <w:color w:val="auto"/>
        </w:rPr>
      </w:pPr>
      <w:r>
        <w:rPr>
          <w:rFonts w:ascii="Arial" w:cs="Arial" w:eastAsia="Arial" w:hAnsi="Arial"/>
          <w:sz w:val="20"/>
          <w:szCs w:val="20"/>
          <w:color w:val="auto"/>
        </w:rPr>
        <w:t>In-house data showed that PF-06882961 was positive in a glutathione trapping assay. GSBR-1290 was inactive in this assay, suggesting reduced risks with long-term use. In addition, GSBR-1290 also did not show activity as a time dependent inhibitor (“TDI”) for cytochrome P450 3A4 (“CYP3A4”). PF-06882961 was reported as a CYP3A4 TDI, which, if confirmed in clinical trials, suggests the potential for interactions with the 30–50% of marketed drugs metabolized through this pathway.</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GSBR-1290 Phase 1 Healthy Volunteer Trial</w:t>
      </w:r>
    </w:p>
    <w:p>
      <w:pPr>
        <w:spacing w:after="0" w:line="192"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In September 2022, we completed a first-in -human Phase 1 SAD study for GSBR-1290 in 48 healthy adult volunteers between the ages of 18 and 55. The objective was to assess drug safety, tolerability and PK. The study enrolled six cohorts of eight participants assigned to receive a single dose of GSBR-1290 or placebo in a 3:1 ratio. Doses ranged from 1 mg to 90 mg across the six cohorts. The fourth cohort received 15 mg administered either under a fed condition, which consisted of a standardized high fat breakfast, and under a fasted condition, in each case to characterize the effect of food on the PK of GSBR-1290. A schema of our Phase 1 SAD study is presented below:</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Schema of our GSBR-1290 Phase 1 SAD study in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981710</wp:posOffset>
            </wp:positionH>
            <wp:positionV relativeFrom="paragraph">
              <wp:posOffset>167005</wp:posOffset>
            </wp:positionV>
            <wp:extent cx="4210050" cy="1944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4210050" cy="194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GSBR-1290 Phase 1 PK and PD Data in Healthy Volunteers</w:t>
      </w:r>
    </w:p>
    <w:p>
      <w:pPr>
        <w:spacing w:after="0" w:line="191" w:lineRule="exact"/>
        <w:rPr>
          <w:sz w:val="20"/>
          <w:szCs w:val="20"/>
          <w:color w:val="auto"/>
        </w:rPr>
      </w:pPr>
    </w:p>
    <w:p>
      <w:pPr>
        <w:ind w:right="360"/>
        <w:spacing w:after="0" w:line="261" w:lineRule="auto"/>
        <w:rPr>
          <w:sz w:val="20"/>
          <w:szCs w:val="20"/>
          <w:color w:val="auto"/>
        </w:rPr>
      </w:pPr>
      <w:r>
        <w:rPr>
          <w:rFonts w:ascii="Arial" w:cs="Arial" w:eastAsia="Arial" w:hAnsi="Arial"/>
          <w:sz w:val="20"/>
          <w:szCs w:val="20"/>
          <w:color w:val="auto"/>
        </w:rPr>
        <w:t>In the study, PK parameters of systemic exposure, C</w:t>
      </w:r>
      <w:r>
        <w:rPr>
          <w:rFonts w:ascii="Arial" w:cs="Arial" w:eastAsia="Arial" w:hAnsi="Arial"/>
          <w:sz w:val="14"/>
          <w:szCs w:val="14"/>
          <w:color w:val="auto"/>
        </w:rPr>
        <w:t>max</w:t>
      </w:r>
      <w:r>
        <w:rPr>
          <w:rFonts w:ascii="Arial" w:cs="Arial" w:eastAsia="Arial" w:hAnsi="Arial"/>
          <w:sz w:val="20"/>
          <w:szCs w:val="20"/>
          <w:color w:val="auto"/>
        </w:rPr>
        <w:t xml:space="preserve"> and AUC, increased with doses of GSBR-1290 across the dose range from 1 mg to 90 mg GSBR-1290. GSBR-1290 exhibited supra dose proportionality from 1 mg to 30 mg followed by less than dose-proportional from 30 mg to 90 mg.</w:t>
      </w:r>
    </w:p>
    <w:p>
      <w:pPr>
        <w:spacing w:after="0" w:line="139" w:lineRule="exact"/>
        <w:rPr>
          <w:sz w:val="20"/>
          <w:szCs w:val="20"/>
          <w:color w:val="auto"/>
        </w:rPr>
      </w:pPr>
    </w:p>
    <w:p>
      <w:pPr>
        <w:jc w:val="both"/>
        <w:ind w:right="600"/>
        <w:spacing w:after="0" w:line="254" w:lineRule="auto"/>
        <w:rPr>
          <w:sz w:val="20"/>
          <w:szCs w:val="20"/>
          <w:color w:val="auto"/>
        </w:rPr>
      </w:pPr>
      <w:r>
        <w:rPr>
          <w:rFonts w:ascii="Arial" w:cs="Arial" w:eastAsia="Arial" w:hAnsi="Arial"/>
          <w:sz w:val="20"/>
          <w:szCs w:val="20"/>
          <w:color w:val="auto"/>
        </w:rPr>
        <w:t>The 30mg dose AUC provided more than double the effective AUC0-24h required for glycemic control, derived from non-human primate PK/PD data. Food intake (high fat meal) was associated with a ~36% decrease in the geometric mean C</w:t>
      </w:r>
      <w:r>
        <w:rPr>
          <w:rFonts w:ascii="Arial" w:cs="Arial" w:eastAsia="Arial" w:hAnsi="Arial"/>
          <w:sz w:val="14"/>
          <w:szCs w:val="14"/>
          <w:color w:val="auto"/>
        </w:rPr>
        <w:t>max</w:t>
      </w:r>
      <w:r>
        <w:rPr>
          <w:rFonts w:ascii="Arial" w:cs="Arial" w:eastAsia="Arial" w:hAnsi="Arial"/>
          <w:sz w:val="20"/>
          <w:szCs w:val="20"/>
          <w:color w:val="auto"/>
        </w:rPr>
        <w:t xml:space="preserve"> but no significant change in mean AUC value, with 80% relative bioavailability, based on AUC compared with the fasted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106045</wp:posOffset>
            </wp:positionV>
            <wp:extent cx="4632960" cy="1818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4632960" cy="1818005"/>
                    </a:xfrm>
                    <a:prstGeom prst="rect">
                      <a:avLst/>
                    </a:prstGeom>
                    <a:noFill/>
                  </pic:spPr>
                </pic:pic>
              </a:graphicData>
            </a:graphic>
          </wp:anchor>
        </w:drawing>
      </w:r>
    </w:p>
    <w:p>
      <w:pPr>
        <w:sectPr>
          <w:pgSz w:w="11880" w:h="15480" w:orient="portrait"/>
          <w:cols w:equalWidth="0" w:num="1">
            <w:col w:w="9680"/>
          </w:cols>
          <w:pgMar w:left="1080" w:top="1066" w:right="112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26</w:t>
      </w:r>
    </w:p>
    <w:p>
      <w:pPr>
        <w:sectPr>
          <w:pgSz w:w="11880" w:h="15480" w:orient="portrait"/>
          <w:cols w:equalWidth="0" w:num="1">
            <w:col w:w="9680"/>
          </w:cols>
          <w:pgMar w:left="1080" w:top="1066" w:right="1120" w:bottom="543" w:gutter="0" w:footer="0" w:header="0"/>
          <w:type w:val="continuous"/>
        </w:sectPr>
      </w:pPr>
    </w:p>
    <w:bookmarkStart w:id="28" w:name="page29"/>
    <w:bookmarkEnd w:id="28"/>
    <w:p>
      <w:pPr>
        <w:spacing w:after="0"/>
        <w:rPr>
          <w:sz w:val="20"/>
          <w:szCs w:val="20"/>
          <w:color w:val="auto"/>
        </w:rPr>
      </w:pPr>
      <w:r>
        <w:rPr>
          <w:rFonts w:ascii="Arial" w:cs="Arial" w:eastAsia="Arial" w:hAnsi="Arial"/>
          <w:sz w:val="20"/>
          <w:szCs w:val="20"/>
          <w:i w:val="1"/>
          <w:iCs w:val="1"/>
          <w:color w:val="auto"/>
        </w:rPr>
        <w:t>GSBR-1290 Phase 1 Safety Data in Healthy Volunteers</w:t>
      </w:r>
    </w:p>
    <w:p>
      <w:pPr>
        <w:spacing w:after="0" w:line="231" w:lineRule="exact"/>
        <w:rPr>
          <w:sz w:val="20"/>
          <w:szCs w:val="20"/>
          <w:color w:val="auto"/>
        </w:rPr>
      </w:pPr>
    </w:p>
    <w:p>
      <w:pPr>
        <w:ind w:right="360"/>
        <w:spacing w:after="0" w:line="284" w:lineRule="auto"/>
        <w:rPr>
          <w:sz w:val="20"/>
          <w:szCs w:val="20"/>
          <w:color w:val="auto"/>
        </w:rPr>
      </w:pPr>
      <w:r>
        <w:rPr>
          <w:rFonts w:ascii="Arial" w:cs="Arial" w:eastAsia="Arial" w:hAnsi="Arial"/>
          <w:sz w:val="20"/>
          <w:szCs w:val="20"/>
          <w:color w:val="auto"/>
        </w:rPr>
        <w:t>GSBR -1290 was shown to be generally well tolerated at all dose levels administrated in this Phase 1 SAD study.</w:t>
      </w:r>
    </w:p>
    <w:p>
      <w:pPr>
        <w:spacing w:after="0" w:line="155"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No SAEs and no adverse changes in laboratory tests (including hematology, chemistry and coagulation) were observed. No trial stopping criteria were met. Adverse events (“AEs”) did not result in any early terminations or subject discontinuations from participation in this study.</w:t>
      </w:r>
    </w:p>
    <w:p>
      <w:pPr>
        <w:spacing w:after="0" w:line="177" w:lineRule="exact"/>
        <w:rPr>
          <w:sz w:val="20"/>
          <w:szCs w:val="20"/>
          <w:color w:val="auto"/>
        </w:rPr>
      </w:pPr>
    </w:p>
    <w:p>
      <w:pPr>
        <w:ind w:right="360"/>
        <w:spacing w:after="0" w:line="262" w:lineRule="auto"/>
        <w:rPr>
          <w:sz w:val="20"/>
          <w:szCs w:val="20"/>
          <w:color w:val="auto"/>
        </w:rPr>
      </w:pPr>
      <w:r>
        <w:rPr>
          <w:rFonts w:ascii="Arial" w:cs="Arial" w:eastAsia="Arial" w:hAnsi="Arial"/>
          <w:sz w:val="20"/>
          <w:szCs w:val="20"/>
          <w:color w:val="auto"/>
        </w:rPr>
        <w:t>Treatment-emergent AEs (“TEAEs”) were reported for 32 of 36 participants (89%) following fasted administration of GSBR-1290 and for 7 of 12 participants (58%) following administration of placebo, with a total of 109 TEAEs.</w:t>
      </w:r>
    </w:p>
    <w:p>
      <w:pPr>
        <w:spacing w:after="0" w:line="177"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Following administration of GSBR-1290 in the fasted state, most TEAEs were classified as mild (69 of 109, or 63% of all TEAEs) in severity, with 34 TEAEs (31% of all TEAEs) classified as moderate in severity. Six TEAEs (6%) were classified as severe, including four events of vomiting, one event of nausea and one event of catheter site infection. There was an apparent dose-related trend in the severity of TEAEs following single doses of GSBR-1290, with severe TEAEs reported following the 60 mg and 90 mg doses of GSBR-1290, but not following low doses (1 mg, 10 mg, 15 mg). Occurrences in TEAEs of moderate intensity were also higher following higher dose range of GSBR-1290.</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an overall summary of TEAEs that were reported in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88900</wp:posOffset>
            </wp:positionV>
            <wp:extent cx="5791200" cy="2133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5791200" cy="213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spacing w:after="0" w:line="284" w:lineRule="auto"/>
        <w:rPr>
          <w:sz w:val="20"/>
          <w:szCs w:val="20"/>
          <w:color w:val="auto"/>
        </w:rPr>
      </w:pPr>
      <w:r>
        <w:rPr>
          <w:rFonts w:ascii="Arial" w:cs="Arial" w:eastAsia="Arial" w:hAnsi="Arial"/>
          <w:sz w:val="20"/>
          <w:szCs w:val="20"/>
          <w:color w:val="auto"/>
        </w:rPr>
        <w:t>Low dose GSBR-1290 includes 1 mg, 10 mg and 15 mg fasted and high dose GSBR-1290 includes 30 mg, 60 mg and 90 mg fasted.</w:t>
      </w:r>
    </w:p>
    <w:p>
      <w:pPr>
        <w:spacing w:after="0" w:line="155" w:lineRule="exact"/>
        <w:rPr>
          <w:sz w:val="20"/>
          <w:szCs w:val="20"/>
          <w:color w:val="auto"/>
        </w:rPr>
      </w:pPr>
    </w:p>
    <w:p>
      <w:pPr>
        <w:ind w:right="40"/>
        <w:spacing w:after="0" w:line="284" w:lineRule="auto"/>
        <w:rPr>
          <w:sz w:val="20"/>
          <w:szCs w:val="20"/>
          <w:color w:val="auto"/>
        </w:rPr>
      </w:pPr>
      <w:r>
        <w:rPr>
          <w:rFonts w:ascii="Arial" w:cs="Arial" w:eastAsia="Arial" w:hAnsi="Arial"/>
          <w:sz w:val="20"/>
          <w:szCs w:val="20"/>
          <w:color w:val="auto"/>
        </w:rPr>
        <w:t>If a participant had multiple occurrences of a TEAE, the participant was presented only once in the Participant count for a given Preferred Term. Occurrences were counted each time.</w:t>
      </w:r>
    </w:p>
    <w:p>
      <w:pPr>
        <w:spacing w:after="0" w:line="15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There was no notable difference in the overall incidence or severity of treatment-related AEs under fasted and fed administration of GSBR-1290 at a dose level of 15 mg. There was a higher incidence of related TEAEs of vomiting and headache following fasted administration (three of six participants, or 50%) compared to fed administration (one of six participants, or 17%).</w:t>
      </w:r>
    </w:p>
    <w:p>
      <w:pPr>
        <w:spacing w:after="0" w:line="187" w:lineRule="exact"/>
        <w:rPr>
          <w:sz w:val="20"/>
          <w:szCs w:val="20"/>
          <w:color w:val="auto"/>
        </w:rPr>
      </w:pPr>
    </w:p>
    <w:p>
      <w:pPr>
        <w:ind w:right="120"/>
        <w:spacing w:after="0" w:line="284" w:lineRule="auto"/>
        <w:rPr>
          <w:sz w:val="20"/>
          <w:szCs w:val="20"/>
          <w:color w:val="auto"/>
        </w:rPr>
      </w:pPr>
      <w:r>
        <w:rPr>
          <w:rFonts w:ascii="Arial" w:cs="Arial" w:eastAsia="Arial" w:hAnsi="Arial"/>
          <w:sz w:val="20"/>
          <w:szCs w:val="20"/>
          <w:color w:val="auto"/>
        </w:rPr>
        <w:t>The most common TEAEs reported in at least four of 36 participants (&gt;10%) who received GSBR-1290 were nausea, headache, vomiting, dehydration, decreased appetite, dizziness, and diarrhea.</w:t>
      </w:r>
    </w:p>
    <w:p>
      <w:pPr>
        <w:spacing w:after="0" w:line="155" w:lineRule="exact"/>
        <w:rPr>
          <w:sz w:val="20"/>
          <w:szCs w:val="20"/>
          <w:color w:val="auto"/>
        </w:rPr>
      </w:pPr>
    </w:p>
    <w:p>
      <w:pPr>
        <w:jc w:val="both"/>
        <w:ind w:right="200"/>
        <w:spacing w:after="0" w:line="282" w:lineRule="auto"/>
        <w:rPr>
          <w:sz w:val="20"/>
          <w:szCs w:val="20"/>
          <w:color w:val="auto"/>
        </w:rPr>
      </w:pPr>
      <w:r>
        <w:rPr>
          <w:rFonts w:ascii="Arial" w:cs="Arial" w:eastAsia="Arial" w:hAnsi="Arial"/>
          <w:sz w:val="19"/>
          <w:szCs w:val="19"/>
          <w:color w:val="auto"/>
        </w:rPr>
        <w:t>Across the various dose levels, there were apparent dose- related trends in the overall incidence of common TEAEs. The incidence of the TEAEs described above was notably higher following fasted administration of the high dose GSBR-1290 treatments (30 mg, 60 mg, 90 mg) than the low dose GSBR-1290 treatments (1</w:t>
      </w:r>
    </w:p>
    <w:p>
      <w:pPr>
        <w:sectPr>
          <w:pgSz w:w="11880" w:h="15480" w:orient="portrait"/>
          <w:cols w:equalWidth="0" w:num="1">
            <w:col w:w="9720"/>
          </w:cols>
          <w:pgMar w:left="1080" w:top="1075" w:right="1080" w:bottom="543"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880" w:h="15480" w:orient="portrait"/>
          <w:cols w:equalWidth="0" w:num="1">
            <w:col w:w="9720"/>
          </w:cols>
          <w:pgMar w:left="1080" w:top="1075" w:right="1080" w:bottom="543" w:gutter="0" w:footer="0" w:header="0"/>
          <w:type w:val="continuous"/>
        </w:sectPr>
      </w:pPr>
    </w:p>
    <w:bookmarkStart w:id="29" w:name="page30"/>
    <w:bookmarkEnd w:id="29"/>
    <w:p>
      <w:pPr>
        <w:ind w:right="440"/>
        <w:spacing w:after="0" w:line="284" w:lineRule="auto"/>
        <w:rPr>
          <w:sz w:val="20"/>
          <w:szCs w:val="20"/>
          <w:color w:val="auto"/>
        </w:rPr>
      </w:pPr>
      <w:r>
        <w:rPr>
          <w:rFonts w:ascii="Arial" w:cs="Arial" w:eastAsia="Arial" w:hAnsi="Arial"/>
          <w:sz w:val="20"/>
          <w:szCs w:val="20"/>
          <w:color w:val="auto"/>
        </w:rPr>
        <w:t>mg, 10 mg, 15 mg) and placebo, with a similar observation in treatment-related AEs of nausea, vomiting, dehydration, and headache of at least moderate severity.</w:t>
      </w:r>
    </w:p>
    <w:p>
      <w:pPr>
        <w:spacing w:after="0" w:line="157" w:lineRule="exact"/>
        <w:rPr>
          <w:sz w:val="20"/>
          <w:szCs w:val="20"/>
          <w:color w:val="auto"/>
        </w:rPr>
      </w:pPr>
    </w:p>
    <w:p>
      <w:pPr>
        <w:ind w:right="240"/>
        <w:spacing w:after="0" w:line="248" w:lineRule="auto"/>
        <w:rPr>
          <w:sz w:val="20"/>
          <w:szCs w:val="20"/>
          <w:color w:val="auto"/>
        </w:rPr>
      </w:pPr>
      <w:r>
        <w:rPr>
          <w:rFonts w:ascii="Arial" w:cs="Arial" w:eastAsia="Arial" w:hAnsi="Arial"/>
          <w:sz w:val="20"/>
          <w:szCs w:val="20"/>
          <w:color w:val="auto"/>
        </w:rPr>
        <w:t>We believe all TEAEs observed during the study are in line with the proposed treatment mechanism and typically derive from impacts on appetite, nausea, and vomiting. There was an apparent increasing trend in heart rate over time in both low (1 mg, 10 mg, 15 mg) and high dose (30 mg, 60 mg, 90 mg) GSBR-1290 groups. This increase appeared to peak at 12 hours post-dose and was notably larger in the high dose GSBR-1290 groups. Increases in heart rate over time were observed in the pooled placebo group but to a much lesser extent.</w:t>
      </w:r>
    </w:p>
    <w:p>
      <w:pPr>
        <w:spacing w:after="0" w:line="194"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In summary, GSBR-1290 was shown to be generally well tolerated when administered as a single dose of up to 90 mg. However, there were dose-related trends in the incidence, severity and causality of TEAEs, particularly GI related TEAEs, consistent with what has been previously reported in clinical trials involving the GLP-1RA class of drugs. There were no treatment-related AEs reported in patients who received placebo.</w:t>
      </w:r>
    </w:p>
    <w:p>
      <w:pPr>
        <w:spacing w:after="0" w:line="186"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color w:val="auto"/>
        </w:rPr>
        <w:t>PK parameters of systemic exposure increased with dose of GSBR-1290 across the dose range from 1 mg to 90 mg GSBR-1290.</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GSBR-1290 Non-clinical Safety Pharmacology and Toxicology Studies</w:t>
      </w:r>
    </w:p>
    <w:p>
      <w:pPr>
        <w:spacing w:after="0" w:line="231" w:lineRule="exact"/>
        <w:rPr>
          <w:sz w:val="20"/>
          <w:szCs w:val="20"/>
          <w:color w:val="auto"/>
        </w:rPr>
      </w:pPr>
    </w:p>
    <w:p>
      <w:pPr>
        <w:ind w:right="260"/>
        <w:spacing w:after="0" w:line="262" w:lineRule="auto"/>
        <w:rPr>
          <w:sz w:val="20"/>
          <w:szCs w:val="20"/>
          <w:color w:val="auto"/>
        </w:rPr>
      </w:pPr>
      <w:r>
        <w:rPr>
          <w:rFonts w:ascii="Arial" w:cs="Arial" w:eastAsia="Arial" w:hAnsi="Arial"/>
          <w:sz w:val="20"/>
          <w:szCs w:val="20"/>
          <w:color w:val="auto"/>
        </w:rPr>
        <w:t>A standard battery of nonclinical safety pharmacology studies (central nervous system, cardiovascular and respiratory) has been completed with GSBR -1290 with no findings anticipated to be of clinical relevance. Genotoxicity assessments demonstrated an absence of genotoxicity potential.</w:t>
      </w:r>
    </w:p>
    <w:p>
      <w:pPr>
        <w:spacing w:after="0" w:line="177"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In the 4-week and 13-week GLP toxicology study in rats, the no-observed-adverse-effect level (“NOAEL”) dose was considered to be 1000 mg/kg/day, the highest dose tested. In the 4-week and 13-week GLP toxicology study in NHPs, GSBR-1290 showed pharmacologically related events such as inappetence and bodyweight loss, which were reversible with sufficient recovery periods. There were no GSBR-1290 -related deaths during the course of study and no GSBR-1290-related changes in organ weights, gross and histopathology examinations at the end of the dosing and recovery periods. In the 13-week study, NHPs of both sexes in all dose groups, including in the control group, had minimal to moderate multifocal necrosis/infiltration in the liver. The root cause of these liver abnormalities was not determined, but these findings were considered unrelated to GSBR-1290. The FDA reviewed our 13-week GLP toxicology studies in rats and NHPs and agreed that these liver abnormalities were not considered a new non-clinical safety signal related to GSBR-1290.</w:t>
      </w:r>
    </w:p>
    <w:p>
      <w:pPr>
        <w:spacing w:after="0" w:line="198" w:lineRule="exact"/>
        <w:rPr>
          <w:sz w:val="20"/>
          <w:szCs w:val="20"/>
          <w:color w:val="auto"/>
        </w:rPr>
      </w:pPr>
    </w:p>
    <w:p>
      <w:pPr>
        <w:ind w:right="260"/>
        <w:spacing w:after="0" w:line="284" w:lineRule="auto"/>
        <w:rPr>
          <w:sz w:val="20"/>
          <w:szCs w:val="20"/>
          <w:color w:val="auto"/>
        </w:rPr>
      </w:pPr>
      <w:r>
        <w:rPr>
          <w:rFonts w:ascii="Arial" w:cs="Arial" w:eastAsia="Arial" w:hAnsi="Arial"/>
          <w:sz w:val="20"/>
          <w:szCs w:val="20"/>
          <w:color w:val="auto"/>
        </w:rPr>
        <w:t>In nonclinical animal models, GSBR-1290 demonstrated statistically significant decreases in blood glucose concentration and increases of insulin secretion.</w:t>
      </w:r>
    </w:p>
    <w:p>
      <w:pPr>
        <w:spacing w:after="0" w:line="157"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color w:val="auto"/>
        </w:rPr>
        <w:t>In a recent 6-month GLP toxicology study in rats, GSBR -1290 demonstrated a NOAEL dose at 1000 mg/kg/day, which supports an estimated more than 100 fold safety window up to 120 mg human dose. We also conducted a 9-month non-human primate (NHP) GLP toxicology study and found no test article-related change in heart rates or QTc intervals. No meaningful increases in the liver enzymes, ALT/AST, were observed in either the rat or NHP study. There were no significant findings in embryo-fetal developmental toxicology studies in rats and rabbits.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GSBR-1290 Phase 1b MAD study</w:t>
      </w:r>
    </w:p>
    <w:p>
      <w:pPr>
        <w:spacing w:after="0" w:line="111" w:lineRule="exact"/>
        <w:rPr>
          <w:sz w:val="20"/>
          <w:szCs w:val="20"/>
          <w:color w:val="auto"/>
        </w:rPr>
      </w:pPr>
    </w:p>
    <w:p>
      <w:pPr>
        <w:jc w:val="both"/>
        <w:ind w:right="300"/>
        <w:spacing w:after="0" w:line="262" w:lineRule="auto"/>
        <w:rPr>
          <w:sz w:val="20"/>
          <w:szCs w:val="20"/>
          <w:color w:val="auto"/>
        </w:rPr>
      </w:pPr>
      <w:r>
        <w:rPr>
          <w:rFonts w:ascii="Arial" w:cs="Arial" w:eastAsia="Arial" w:hAnsi="Arial"/>
          <w:sz w:val="20"/>
          <w:szCs w:val="20"/>
          <w:color w:val="auto"/>
        </w:rPr>
        <w:t>The Phase 1b MAD study focused on the safety and tolerability of GSBR-1290 in 24 healthy overweight or obese individuals. Participants were randomized 3:1 to GSBR-1290 or placebo across three dose cohorts with target doses of 30mg, 60mg or 90mg.</w:t>
      </w:r>
    </w:p>
    <w:p>
      <w:pPr>
        <w:spacing w:after="0" w:line="177" w:lineRule="exact"/>
        <w:rPr>
          <w:sz w:val="20"/>
          <w:szCs w:val="20"/>
          <w:color w:val="auto"/>
        </w:rPr>
      </w:pPr>
    </w:p>
    <w:p>
      <w:pPr>
        <w:ind w:right="220"/>
        <w:spacing w:after="0" w:line="284" w:lineRule="auto"/>
        <w:rPr>
          <w:sz w:val="20"/>
          <w:szCs w:val="20"/>
          <w:color w:val="auto"/>
        </w:rPr>
      </w:pPr>
      <w:r>
        <w:rPr>
          <w:rFonts w:ascii="Arial" w:cs="Arial" w:eastAsia="Arial" w:hAnsi="Arial"/>
          <w:sz w:val="20"/>
          <w:szCs w:val="20"/>
          <w:color w:val="auto"/>
        </w:rPr>
        <w:t>GSBR-1290 demonstrated reductions in mean body weight ranging up to 4.9 kg compared to baseline, and up to 4.9% placebo-adjusted.</w:t>
      </w:r>
    </w:p>
    <w:p>
      <w:pPr>
        <w:sectPr>
          <w:pgSz w:w="11880" w:h="15480" w:orient="portrait"/>
          <w:cols w:equalWidth="0" w:num="1">
            <w:col w:w="9680"/>
          </w:cols>
          <w:pgMar w:left="1080" w:top="1066" w:right="1120" w:bottom="543"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28</w:t>
      </w:r>
    </w:p>
    <w:p>
      <w:pPr>
        <w:sectPr>
          <w:pgSz w:w="11880" w:h="15480" w:orient="portrait"/>
          <w:cols w:equalWidth="0" w:num="1">
            <w:col w:w="9680"/>
          </w:cols>
          <w:pgMar w:left="1080" w:top="1066" w:right="1120" w:bottom="543"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1070610</wp:posOffset>
            </wp:positionH>
            <wp:positionV relativeFrom="page">
              <wp:posOffset>690245</wp:posOffset>
            </wp:positionV>
            <wp:extent cx="5479415" cy="1585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5479415"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Percent Weight Change from Baseline to Day 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1647825</wp:posOffset>
                </wp:positionH>
                <wp:positionV relativeFrom="paragraph">
                  <wp:posOffset>4445</wp:posOffset>
                </wp:positionV>
                <wp:extent cx="287528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75280" cy="4763"/>
                        </a:xfrm>
                        <a:prstGeom prst="line">
                          <a:avLst/>
                        </a:prstGeom>
                        <a:solidFill>
                          <a:srgbClr val="FFFFFF"/>
                        </a:solidFill>
                        <a:ln w="9144">
                          <a:solidFill>
                            <a:srgbClr val="030303"/>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75pt,0.35pt" to="356.15pt,0.35pt" o:allowincell="f" strokecolor="#030303" strokeweight="0.72pt"/>
            </w:pict>
          </mc:Fallback>
        </mc:AlternateConten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960" w:type="dxa"/>
            <w:vAlign w:val="bottom"/>
            <w:tcBorders>
              <w:top w:val="single" w:sz="8" w:color="auto"/>
              <w:left w:val="single" w:sz="8" w:color="auto"/>
              <w:right w:val="single" w:sz="8" w:color="auto"/>
            </w:tcBorders>
          </w:tcPr>
          <w:p>
            <w:pPr>
              <w:spacing w:after="0"/>
              <w:rPr>
                <w:sz w:val="16"/>
                <w:szCs w:val="16"/>
                <w:color w:val="auto"/>
              </w:rPr>
            </w:pPr>
          </w:p>
        </w:tc>
        <w:tc>
          <w:tcPr>
            <w:tcW w:w="1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Placebo</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GSBR-1290</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GSBR-1290</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GSBR-1290</w:t>
            </w:r>
          </w:p>
        </w:tc>
        <w:tc>
          <w:tcPr>
            <w:tcW w:w="0" w:type="dxa"/>
            <w:vAlign w:val="bottom"/>
          </w:tcPr>
          <w:p>
            <w:pPr>
              <w:spacing w:after="0"/>
              <w:rPr>
                <w:sz w:val="1"/>
                <w:szCs w:val="1"/>
                <w:color w:val="auto"/>
              </w:rPr>
            </w:pPr>
          </w:p>
        </w:tc>
      </w:tr>
      <w:tr>
        <w:trPr>
          <w:trHeight w:val="91"/>
        </w:trPr>
        <w:tc>
          <w:tcPr>
            <w:tcW w:w="1960" w:type="dxa"/>
            <w:vAlign w:val="bottom"/>
            <w:tcBorders>
              <w:left w:val="single" w:sz="8" w:color="auto"/>
              <w:right w:val="single" w:sz="8" w:color="auto"/>
            </w:tcBorders>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30 mg</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60 mg</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90 mg</w:t>
            </w:r>
          </w:p>
        </w:tc>
        <w:tc>
          <w:tcPr>
            <w:tcW w:w="0" w:type="dxa"/>
            <w:vAlign w:val="bottom"/>
          </w:tcPr>
          <w:p>
            <w:pPr>
              <w:spacing w:after="0"/>
              <w:rPr>
                <w:sz w:val="1"/>
                <w:szCs w:val="1"/>
                <w:color w:val="auto"/>
              </w:rPr>
            </w:pPr>
          </w:p>
        </w:tc>
      </w:tr>
      <w:tr>
        <w:trPr>
          <w:trHeight w:val="92"/>
        </w:trPr>
        <w:tc>
          <w:tcPr>
            <w:tcW w:w="1960" w:type="dxa"/>
            <w:vAlign w:val="bottom"/>
            <w:tcBorders>
              <w:left w:val="single" w:sz="8" w:color="auto"/>
              <w:right w:val="single" w:sz="8" w:color="auto"/>
            </w:tcBorders>
          </w:tcPr>
          <w:p>
            <w:pPr>
              <w:spacing w:after="0"/>
              <w:rPr>
                <w:sz w:val="8"/>
                <w:szCs w:val="8"/>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(n=5)</w:t>
            </w:r>
          </w:p>
        </w:tc>
        <w:tc>
          <w:tcPr>
            <w:tcW w:w="194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960" w:type="dxa"/>
            <w:vAlign w:val="bottom"/>
            <w:tcBorders>
              <w:left w:val="single" w:sz="8" w:color="auto"/>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(n=6)</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(n=6)</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(n=5)</w:t>
            </w:r>
          </w:p>
        </w:tc>
        <w:tc>
          <w:tcPr>
            <w:tcW w:w="0" w:type="dxa"/>
            <w:vAlign w:val="bottom"/>
          </w:tcPr>
          <w:p>
            <w:pPr>
              <w:spacing w:after="0"/>
              <w:rPr>
                <w:sz w:val="1"/>
                <w:szCs w:val="1"/>
                <w:color w:val="auto"/>
              </w:rPr>
            </w:pPr>
          </w:p>
        </w:tc>
      </w:tr>
      <w:tr>
        <w:trPr>
          <w:trHeight w:val="76"/>
        </w:trPr>
        <w:tc>
          <w:tcPr>
            <w:tcW w:w="1960" w:type="dxa"/>
            <w:vAlign w:val="bottom"/>
            <w:tcBorders>
              <w:left w:val="single" w:sz="8" w:color="auto"/>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960" w:type="dxa"/>
            <w:vAlign w:val="bottom"/>
            <w:tcBorders>
              <w:left w:val="single" w:sz="8" w:color="auto"/>
              <w:right w:val="single" w:sz="8" w:color="auto"/>
            </w:tcBorders>
          </w:tcPr>
          <w:p>
            <w:pPr>
              <w:jc w:val="center"/>
              <w:spacing w:after="0" w:line="200" w:lineRule="exact"/>
              <w:rPr>
                <w:sz w:val="20"/>
                <w:szCs w:val="20"/>
                <w:color w:val="auto"/>
              </w:rPr>
            </w:pPr>
            <w:r>
              <w:rPr>
                <w:rFonts w:ascii="Arial" w:cs="Arial" w:eastAsia="Arial" w:hAnsi="Arial"/>
                <w:sz w:val="20"/>
                <w:szCs w:val="20"/>
                <w:color w:val="auto"/>
                <w:w w:val="99"/>
              </w:rPr>
              <w:t>% weight change</w:t>
            </w:r>
          </w:p>
        </w:tc>
        <w:tc>
          <w:tcPr>
            <w:tcW w:w="194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from baseline</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-0.5%</w:t>
            </w:r>
          </w:p>
        </w:tc>
        <w:tc>
          <w:tcPr>
            <w:tcW w:w="1940" w:type="dxa"/>
            <w:vAlign w:val="bottom"/>
            <w:tcBorders>
              <w:bottom w:val="single" w:sz="8" w:color="auto"/>
              <w:right w:val="single" w:sz="8" w:color="auto"/>
            </w:tcBorders>
          </w:tcPr>
          <w:p>
            <w:pPr>
              <w:jc w:val="right"/>
              <w:ind w:right="649"/>
              <w:spacing w:after="0"/>
              <w:rPr>
                <w:sz w:val="20"/>
                <w:szCs w:val="20"/>
                <w:color w:val="auto"/>
              </w:rPr>
            </w:pPr>
            <w:r>
              <w:rPr>
                <w:rFonts w:ascii="Arial" w:cs="Arial" w:eastAsia="Arial" w:hAnsi="Arial"/>
                <w:sz w:val="20"/>
                <w:szCs w:val="20"/>
                <w:color w:val="auto"/>
              </w:rPr>
              <w:t>-1.6%</w:t>
            </w:r>
          </w:p>
        </w:tc>
        <w:tc>
          <w:tcPr>
            <w:tcW w:w="1940" w:type="dxa"/>
            <w:vAlign w:val="bottom"/>
            <w:tcBorders>
              <w:bottom w:val="single" w:sz="8" w:color="auto"/>
              <w:right w:val="single" w:sz="8" w:color="auto"/>
            </w:tcBorders>
          </w:tcPr>
          <w:p>
            <w:pPr>
              <w:jc w:val="right"/>
              <w:ind w:right="669"/>
              <w:spacing w:after="0"/>
              <w:rPr>
                <w:sz w:val="20"/>
                <w:szCs w:val="20"/>
                <w:color w:val="auto"/>
              </w:rPr>
            </w:pPr>
            <w:r>
              <w:rPr>
                <w:rFonts w:ascii="Arial" w:cs="Arial" w:eastAsia="Arial" w:hAnsi="Arial"/>
                <w:sz w:val="20"/>
                <w:szCs w:val="20"/>
                <w:color w:val="auto"/>
              </w:rPr>
              <w:t>-5.2%</w:t>
            </w:r>
          </w:p>
        </w:tc>
        <w:tc>
          <w:tcPr>
            <w:tcW w:w="1940" w:type="dxa"/>
            <w:vAlign w:val="bottom"/>
            <w:tcBorders>
              <w:bottom w:val="single" w:sz="8" w:color="auto"/>
              <w:right w:val="single" w:sz="8" w:color="auto"/>
            </w:tcBorders>
          </w:tcPr>
          <w:p>
            <w:pPr>
              <w:jc w:val="right"/>
              <w:ind w:right="669"/>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00"/>
        </w:trPr>
        <w:tc>
          <w:tcPr>
            <w:tcW w:w="1960" w:type="dxa"/>
            <w:vAlign w:val="bottom"/>
            <w:tcBorders>
              <w:left w:val="single" w:sz="8" w:color="auto"/>
              <w:right w:val="single" w:sz="8" w:color="auto"/>
            </w:tcBorders>
          </w:tcPr>
          <w:p>
            <w:pPr>
              <w:jc w:val="center"/>
              <w:spacing w:after="0" w:line="200" w:lineRule="exact"/>
              <w:rPr>
                <w:sz w:val="20"/>
                <w:szCs w:val="20"/>
                <w:color w:val="auto"/>
              </w:rPr>
            </w:pPr>
            <w:r>
              <w:rPr>
                <w:rFonts w:ascii="Arial" w:cs="Arial" w:eastAsia="Arial" w:hAnsi="Arial"/>
                <w:sz w:val="20"/>
                <w:szCs w:val="20"/>
                <w:color w:val="auto"/>
                <w:w w:val="99"/>
              </w:rPr>
              <w:t>% weight change</w:t>
            </w:r>
          </w:p>
        </w:tc>
        <w:tc>
          <w:tcPr>
            <w:tcW w:w="194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vMerge w:val="restart"/>
          </w:tcPr>
          <w:p>
            <w:pPr>
              <w:jc w:val="right"/>
              <w:ind w:right="629"/>
              <w:spacing w:after="0"/>
              <w:rPr>
                <w:sz w:val="20"/>
                <w:szCs w:val="20"/>
                <w:color w:val="auto"/>
              </w:rPr>
            </w:pPr>
            <w:r>
              <w:rPr>
                <w:rFonts w:ascii="Arial" w:cs="Arial" w:eastAsia="Arial" w:hAnsi="Arial"/>
                <w:sz w:val="20"/>
                <w:szCs w:val="20"/>
                <w:color w:val="auto"/>
              </w:rPr>
              <w:t>-1.1%</w:t>
            </w:r>
          </w:p>
        </w:tc>
        <w:tc>
          <w:tcPr>
            <w:tcW w:w="1940" w:type="dxa"/>
            <w:vAlign w:val="bottom"/>
            <w:tcBorders>
              <w:right w:val="single" w:sz="8" w:color="auto"/>
            </w:tcBorders>
            <w:vMerge w:val="restart"/>
          </w:tcPr>
          <w:p>
            <w:pPr>
              <w:jc w:val="right"/>
              <w:ind w:right="629"/>
              <w:spacing w:after="0"/>
              <w:rPr>
                <w:sz w:val="20"/>
                <w:szCs w:val="20"/>
                <w:color w:val="auto"/>
              </w:rPr>
            </w:pPr>
            <w:r>
              <w:rPr>
                <w:rFonts w:ascii="Arial" w:cs="Arial" w:eastAsia="Arial" w:hAnsi="Arial"/>
                <w:sz w:val="20"/>
                <w:szCs w:val="20"/>
                <w:color w:val="auto"/>
              </w:rPr>
              <w:t>-4.6%</w:t>
            </w:r>
          </w:p>
        </w:tc>
        <w:tc>
          <w:tcPr>
            <w:tcW w:w="1940" w:type="dxa"/>
            <w:vAlign w:val="bottom"/>
            <w:tcBorders>
              <w:right w:val="single" w:sz="8" w:color="auto"/>
            </w:tcBorders>
            <w:vMerge w:val="restart"/>
          </w:tcPr>
          <w:p>
            <w:pPr>
              <w:jc w:val="right"/>
              <w:ind w:right="629"/>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29"/>
        </w:trPr>
        <w:tc>
          <w:tcPr>
            <w:tcW w:w="1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placebo-adjusted</w:t>
            </w:r>
          </w:p>
        </w:tc>
        <w:tc>
          <w:tcPr>
            <w:tcW w:w="19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vMerge w:val="continue"/>
          </w:tcPr>
          <w:p>
            <w:pPr>
              <w:spacing w:after="0"/>
              <w:rPr>
                <w:sz w:val="19"/>
                <w:szCs w:val="19"/>
                <w:color w:val="auto"/>
              </w:rPr>
            </w:pPr>
          </w:p>
        </w:tc>
        <w:tc>
          <w:tcPr>
            <w:tcW w:w="1940" w:type="dxa"/>
            <w:vAlign w:val="bottom"/>
            <w:tcBorders>
              <w:right w:val="single" w:sz="8" w:color="auto"/>
            </w:tcBorders>
            <w:vMerge w:val="continue"/>
          </w:tcPr>
          <w:p>
            <w:pPr>
              <w:spacing w:after="0"/>
              <w:rPr>
                <w:sz w:val="19"/>
                <w:szCs w:val="19"/>
                <w:color w:val="auto"/>
              </w:rPr>
            </w:pPr>
          </w:p>
        </w:tc>
        <w:tc>
          <w:tcPr>
            <w:tcW w:w="194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(90% CI)</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(-3.8 to 1.7)</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(-6.6 to -2.7)</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(-7.8 to -1.9)</w:t>
            </w:r>
          </w:p>
        </w:tc>
        <w:tc>
          <w:tcPr>
            <w:tcW w:w="0" w:type="dxa"/>
            <w:vAlign w:val="bottom"/>
          </w:tcPr>
          <w:p>
            <w:pPr>
              <w:spacing w:after="0"/>
              <w:rPr>
                <w:sz w:val="1"/>
                <w:szCs w:val="1"/>
                <w:color w:val="auto"/>
              </w:rPr>
            </w:pPr>
          </w:p>
        </w:tc>
      </w:tr>
      <w:tr>
        <w:trPr>
          <w:trHeight w:val="200"/>
        </w:trPr>
        <w:tc>
          <w:tcPr>
            <w:tcW w:w="1960" w:type="dxa"/>
            <w:vAlign w:val="bottom"/>
            <w:tcBorders>
              <w:left w:val="single" w:sz="8" w:color="auto"/>
              <w:right w:val="single" w:sz="8" w:color="auto"/>
            </w:tcBorders>
          </w:tcPr>
          <w:p>
            <w:pPr>
              <w:jc w:val="center"/>
              <w:spacing w:after="0" w:line="200" w:lineRule="exact"/>
              <w:rPr>
                <w:sz w:val="20"/>
                <w:szCs w:val="20"/>
                <w:color w:val="auto"/>
              </w:rPr>
            </w:pPr>
            <w:r>
              <w:rPr>
                <w:rFonts w:ascii="Arial" w:cs="Arial" w:eastAsia="Arial" w:hAnsi="Arial"/>
                <w:sz w:val="20"/>
                <w:szCs w:val="20"/>
                <w:color w:val="auto"/>
                <w:w w:val="99"/>
              </w:rPr>
              <w:t>Exploratory p-value</w:t>
            </w:r>
          </w:p>
        </w:tc>
        <w:tc>
          <w:tcPr>
            <w:tcW w:w="194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vs. placebo</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1940" w:type="dxa"/>
            <w:vAlign w:val="bottom"/>
            <w:tcBorders>
              <w:bottom w:val="single" w:sz="8" w:color="auto"/>
              <w:right w:val="single" w:sz="8" w:color="auto"/>
            </w:tcBorders>
          </w:tcPr>
          <w:p>
            <w:pPr>
              <w:jc w:val="right"/>
              <w:ind w:right="669"/>
              <w:spacing w:after="0"/>
              <w:rPr>
                <w:sz w:val="20"/>
                <w:szCs w:val="20"/>
                <w:color w:val="auto"/>
              </w:rPr>
            </w:pPr>
            <w:r>
              <w:rPr>
                <w:rFonts w:ascii="Arial" w:cs="Arial" w:eastAsia="Arial" w:hAnsi="Arial"/>
                <w:sz w:val="20"/>
                <w:szCs w:val="20"/>
                <w:color w:val="auto"/>
              </w:rPr>
              <w:t>0.494</w:t>
            </w:r>
          </w:p>
        </w:tc>
        <w:tc>
          <w:tcPr>
            <w:tcW w:w="1940" w:type="dxa"/>
            <w:vAlign w:val="bottom"/>
            <w:tcBorders>
              <w:bottom w:val="single" w:sz="8" w:color="auto"/>
              <w:right w:val="single" w:sz="8" w:color="auto"/>
            </w:tcBorders>
          </w:tcPr>
          <w:p>
            <w:pPr>
              <w:jc w:val="right"/>
              <w:ind w:right="669"/>
              <w:spacing w:after="0"/>
              <w:rPr>
                <w:sz w:val="20"/>
                <w:szCs w:val="20"/>
                <w:color w:val="auto"/>
              </w:rPr>
            </w:pPr>
            <w:r>
              <w:rPr>
                <w:rFonts w:ascii="Arial" w:cs="Arial" w:eastAsia="Arial" w:hAnsi="Arial"/>
                <w:sz w:val="20"/>
                <w:szCs w:val="20"/>
                <w:color w:val="auto"/>
              </w:rPr>
              <w:t>0.002</w:t>
            </w:r>
          </w:p>
        </w:tc>
        <w:tc>
          <w:tcPr>
            <w:tcW w:w="1940" w:type="dxa"/>
            <w:vAlign w:val="bottom"/>
            <w:tcBorders>
              <w:bottom w:val="single" w:sz="8" w:color="auto"/>
              <w:right w:val="single" w:sz="8" w:color="auto"/>
            </w:tcBorders>
          </w:tcPr>
          <w:p>
            <w:pPr>
              <w:jc w:val="right"/>
              <w:ind w:right="669"/>
              <w:spacing w:after="0"/>
              <w:rPr>
                <w:sz w:val="20"/>
                <w:szCs w:val="20"/>
                <w:color w:val="auto"/>
              </w:rPr>
            </w:pPr>
            <w:r>
              <w:rPr>
                <w:rFonts w:ascii="Arial" w:cs="Arial" w:eastAsia="Arial" w:hAnsi="Arial"/>
                <w:sz w:val="20"/>
                <w:szCs w:val="20"/>
                <w:color w:val="auto"/>
              </w:rPr>
              <w:t>0.013</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GSBR-1290 demonstrated an encouraging safety and tolerability profile following once-daily dosing. No</w:t>
      </w:r>
    </w:p>
    <w:p>
      <w:pPr>
        <w:jc w:val="center"/>
        <w:spacing w:after="0" w:line="251" w:lineRule="auto"/>
        <w:rPr>
          <w:sz w:val="20"/>
          <w:szCs w:val="20"/>
          <w:color w:val="auto"/>
        </w:rPr>
      </w:pPr>
      <w:r>
        <w:rPr>
          <w:rFonts w:ascii="Arial" w:cs="Arial" w:eastAsia="Arial" w:hAnsi="Arial"/>
          <w:sz w:val="20"/>
          <w:szCs w:val="20"/>
          <w:color w:val="auto"/>
        </w:rPr>
        <w:t>participants discontinued the study drug due to adverse events. The majority of adverse events reported were mild, with no severe or serious adverse events observed. As expected for this class, leading adverse events were gastrointestinal-related, with the two most common gastrointestinal adverse events being nausea and diarrhea, with higher incidences observed in all three cohorts compared to placebo. There were no clinically meaningful changes in liver function tests.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Summary of Treatment Emergent Adverse Events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1611630</wp:posOffset>
                </wp:positionH>
                <wp:positionV relativeFrom="paragraph">
                  <wp:posOffset>4445</wp:posOffset>
                </wp:positionV>
                <wp:extent cx="294957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9575" cy="4763"/>
                        </a:xfrm>
                        <a:prstGeom prst="line">
                          <a:avLst/>
                        </a:prstGeom>
                        <a:solidFill>
                          <a:srgbClr val="FFFFFF"/>
                        </a:solidFill>
                        <a:ln w="9144">
                          <a:solidFill>
                            <a:srgbClr val="030303"/>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9pt,0.35pt" to="359.15pt,0.35pt" o:allowincell="f" strokecolor="#030303" strokeweight="0.72pt"/>
            </w:pict>
          </mc:Fallback>
        </mc:AlternateConten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GSBR-1290</w:t>
            </w:r>
          </w:p>
        </w:tc>
        <w:tc>
          <w:tcPr>
            <w:tcW w:w="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rPr>
              <w:t>GSBR-1290</w:t>
            </w:r>
          </w:p>
        </w:tc>
        <w:tc>
          <w:tcPr>
            <w:tcW w:w="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8"/>
              </w:rPr>
              <w:t>GSBR-1290</w:t>
            </w:r>
          </w:p>
        </w:tc>
        <w:tc>
          <w:tcPr>
            <w:tcW w:w="180" w:type="dxa"/>
            <w:vAlign w:val="bottom"/>
          </w:tcPr>
          <w:p>
            <w:pPr>
              <w:spacing w:after="0"/>
              <w:rPr>
                <w:sz w:val="16"/>
                <w:szCs w:val="16"/>
                <w:color w:val="auto"/>
              </w:rPr>
            </w:pPr>
          </w:p>
        </w:tc>
        <w:tc>
          <w:tcPr>
            <w:tcW w:w="1420" w:type="dxa"/>
            <w:vAlign w:val="bottom"/>
          </w:tcPr>
          <w:p>
            <w:pPr>
              <w:jc w:val="right"/>
              <w:ind w:right="33"/>
              <w:spacing w:after="0"/>
              <w:rPr>
                <w:sz w:val="20"/>
                <w:szCs w:val="20"/>
                <w:color w:val="auto"/>
              </w:rPr>
            </w:pPr>
            <w:r>
              <w:rPr>
                <w:rFonts w:ascii="Arial" w:cs="Arial" w:eastAsia="Arial" w:hAnsi="Arial"/>
                <w:sz w:val="16"/>
                <w:szCs w:val="16"/>
                <w:b w:val="1"/>
                <w:bCs w:val="1"/>
                <w:color w:val="auto"/>
              </w:rPr>
              <w:t>Placebo pooled</w:t>
            </w:r>
          </w:p>
        </w:tc>
        <w:tc>
          <w:tcPr>
            <w:tcW w:w="0" w:type="dxa"/>
            <w:vAlign w:val="bottom"/>
          </w:tcPr>
          <w:p>
            <w:pPr>
              <w:spacing w:after="0"/>
              <w:rPr>
                <w:sz w:val="1"/>
                <w:szCs w:val="1"/>
                <w:color w:val="auto"/>
              </w:rPr>
            </w:pPr>
          </w:p>
        </w:tc>
      </w:tr>
      <w:tr>
        <w:trPr>
          <w:trHeight w:val="203"/>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Event, N (%)</w:t>
            </w: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30 mg (n=6)</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60 mg (n=6)</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90 mg (n=6)</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(n=6)</w:t>
            </w:r>
          </w:p>
        </w:tc>
        <w:tc>
          <w:tcPr>
            <w:tcW w:w="0" w:type="dxa"/>
            <w:vAlign w:val="bottom"/>
          </w:tcPr>
          <w:p>
            <w:pPr>
              <w:spacing w:after="0"/>
              <w:rPr>
                <w:sz w:val="1"/>
                <w:szCs w:val="1"/>
                <w:color w:val="auto"/>
              </w:rPr>
            </w:pPr>
          </w:p>
        </w:tc>
      </w:tr>
      <w:tr>
        <w:trPr>
          <w:trHeight w:val="199"/>
        </w:trPr>
        <w:tc>
          <w:tcPr>
            <w:tcW w:w="3320" w:type="dxa"/>
            <w:vAlign w:val="bottom"/>
          </w:tcPr>
          <w:p>
            <w:pPr>
              <w:jc w:val="right"/>
              <w:spacing w:after="0" w:line="199" w:lineRule="exact"/>
              <w:rPr>
                <w:sz w:val="20"/>
                <w:szCs w:val="20"/>
                <w:color w:val="auto"/>
              </w:rPr>
            </w:pPr>
            <w:r>
              <w:rPr>
                <w:rFonts w:ascii="Arial" w:cs="Arial" w:eastAsia="Arial" w:hAnsi="Arial"/>
                <w:sz w:val="20"/>
                <w:szCs w:val="20"/>
                <w:color w:val="auto"/>
                <w:w w:val="98"/>
              </w:rPr>
              <w:t>Any TEAE . . . . . . . . . . . . . . . . . . . . .</w:t>
            </w:r>
          </w:p>
        </w:tc>
        <w:tc>
          <w:tcPr>
            <w:tcW w:w="200" w:type="dxa"/>
            <w:vAlign w:val="bottom"/>
          </w:tcPr>
          <w:p>
            <w:pPr>
              <w:spacing w:after="0"/>
              <w:rPr>
                <w:sz w:val="17"/>
                <w:szCs w:val="17"/>
                <w:color w:val="auto"/>
              </w:rPr>
            </w:pPr>
          </w:p>
        </w:tc>
        <w:tc>
          <w:tcPr>
            <w:tcW w:w="1400" w:type="dxa"/>
            <w:vAlign w:val="bottom"/>
          </w:tcPr>
          <w:p>
            <w:pPr>
              <w:jc w:val="center"/>
              <w:spacing w:after="0" w:line="199" w:lineRule="exact"/>
              <w:rPr>
                <w:sz w:val="20"/>
                <w:szCs w:val="20"/>
                <w:color w:val="auto"/>
              </w:rPr>
            </w:pPr>
            <w:r>
              <w:rPr>
                <w:rFonts w:ascii="Arial" w:cs="Arial" w:eastAsia="Arial" w:hAnsi="Arial"/>
                <w:sz w:val="20"/>
                <w:szCs w:val="20"/>
                <w:color w:val="auto"/>
                <w:w w:val="99"/>
              </w:rPr>
              <w:t>5 (83)</w:t>
            </w:r>
          </w:p>
        </w:tc>
        <w:tc>
          <w:tcPr>
            <w:tcW w:w="180" w:type="dxa"/>
            <w:vAlign w:val="bottom"/>
          </w:tcPr>
          <w:p>
            <w:pPr>
              <w:spacing w:after="0"/>
              <w:rPr>
                <w:sz w:val="17"/>
                <w:szCs w:val="17"/>
                <w:color w:val="auto"/>
              </w:rPr>
            </w:pPr>
          </w:p>
        </w:tc>
        <w:tc>
          <w:tcPr>
            <w:tcW w:w="1420" w:type="dxa"/>
            <w:vAlign w:val="bottom"/>
          </w:tcPr>
          <w:p>
            <w:pPr>
              <w:jc w:val="center"/>
              <w:spacing w:after="0" w:line="199" w:lineRule="exact"/>
              <w:rPr>
                <w:sz w:val="20"/>
                <w:szCs w:val="20"/>
                <w:color w:val="auto"/>
              </w:rPr>
            </w:pPr>
            <w:r>
              <w:rPr>
                <w:rFonts w:ascii="Arial" w:cs="Arial" w:eastAsia="Arial" w:hAnsi="Arial"/>
                <w:sz w:val="20"/>
                <w:szCs w:val="20"/>
                <w:color w:val="auto"/>
              </w:rPr>
              <w:t>6 (100)</w:t>
            </w:r>
          </w:p>
        </w:tc>
        <w:tc>
          <w:tcPr>
            <w:tcW w:w="180" w:type="dxa"/>
            <w:vAlign w:val="bottom"/>
          </w:tcPr>
          <w:p>
            <w:pPr>
              <w:spacing w:after="0"/>
              <w:rPr>
                <w:sz w:val="17"/>
                <w:szCs w:val="17"/>
                <w:color w:val="auto"/>
              </w:rPr>
            </w:pPr>
          </w:p>
        </w:tc>
        <w:tc>
          <w:tcPr>
            <w:tcW w:w="1420" w:type="dxa"/>
            <w:vAlign w:val="bottom"/>
          </w:tcPr>
          <w:p>
            <w:pPr>
              <w:jc w:val="center"/>
              <w:spacing w:after="0" w:line="199" w:lineRule="exact"/>
              <w:rPr>
                <w:sz w:val="20"/>
                <w:szCs w:val="20"/>
                <w:color w:val="auto"/>
              </w:rPr>
            </w:pPr>
            <w:r>
              <w:rPr>
                <w:rFonts w:ascii="Arial" w:cs="Arial" w:eastAsia="Arial" w:hAnsi="Arial"/>
                <w:sz w:val="20"/>
                <w:szCs w:val="20"/>
                <w:color w:val="auto"/>
                <w:w w:val="97"/>
              </w:rPr>
              <w:t>6 (100)</w:t>
            </w:r>
          </w:p>
        </w:tc>
        <w:tc>
          <w:tcPr>
            <w:tcW w:w="180" w:type="dxa"/>
            <w:vAlign w:val="bottom"/>
          </w:tcPr>
          <w:p>
            <w:pPr>
              <w:spacing w:after="0"/>
              <w:rPr>
                <w:sz w:val="17"/>
                <w:szCs w:val="17"/>
                <w:color w:val="auto"/>
              </w:rPr>
            </w:pPr>
          </w:p>
        </w:tc>
        <w:tc>
          <w:tcPr>
            <w:tcW w:w="1420" w:type="dxa"/>
            <w:vAlign w:val="bottom"/>
          </w:tcPr>
          <w:p>
            <w:pPr>
              <w:jc w:val="center"/>
              <w:spacing w:after="0" w:line="199" w:lineRule="exact"/>
              <w:rPr>
                <w:sz w:val="20"/>
                <w:szCs w:val="20"/>
                <w:color w:val="auto"/>
              </w:rPr>
            </w:pPr>
            <w:r>
              <w:rPr>
                <w:rFonts w:ascii="Arial" w:cs="Arial" w:eastAsia="Arial" w:hAnsi="Arial"/>
                <w:sz w:val="20"/>
                <w:szCs w:val="20"/>
                <w:color w:val="auto"/>
                <w:w w:val="99"/>
              </w:rPr>
              <w:t>4 (67)</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20"/>
                <w:szCs w:val="20"/>
                <w:color w:val="auto"/>
              </w:rPr>
              <w:t>Any TEAE by maximum severity</w:t>
            </w:r>
          </w:p>
        </w:tc>
        <w:tc>
          <w:tcPr>
            <w:tcW w:w="1600" w:type="dxa"/>
            <w:vAlign w:val="bottom"/>
            <w:gridSpan w:val="2"/>
            <w:vMerge w:val="restart"/>
          </w:tcPr>
          <w:p>
            <w:pPr>
              <w:jc w:val="center"/>
              <w:ind w:left="100"/>
              <w:spacing w:after="0"/>
              <w:rPr>
                <w:sz w:val="20"/>
                <w:szCs w:val="20"/>
                <w:color w:val="auto"/>
              </w:rPr>
            </w:pPr>
            <w:r>
              <w:rPr>
                <w:rFonts w:ascii="Arial" w:cs="Arial" w:eastAsia="Arial" w:hAnsi="Arial"/>
                <w:sz w:val="20"/>
                <w:szCs w:val="20"/>
                <w:color w:val="auto"/>
                <w:w w:val="99"/>
              </w:rPr>
              <w:t>4 (67)</w:t>
            </w:r>
          </w:p>
        </w:tc>
        <w:tc>
          <w:tcPr>
            <w:tcW w:w="1600" w:type="dxa"/>
            <w:vAlign w:val="bottom"/>
            <w:gridSpan w:val="2"/>
            <w:vMerge w:val="restart"/>
          </w:tcPr>
          <w:p>
            <w:pPr>
              <w:jc w:val="center"/>
              <w:ind w:left="100"/>
              <w:spacing w:after="0"/>
              <w:rPr>
                <w:sz w:val="20"/>
                <w:szCs w:val="20"/>
                <w:color w:val="auto"/>
              </w:rPr>
            </w:pPr>
            <w:r>
              <w:rPr>
                <w:rFonts w:ascii="Arial" w:cs="Arial" w:eastAsia="Arial" w:hAnsi="Arial"/>
                <w:sz w:val="20"/>
                <w:szCs w:val="20"/>
                <w:color w:val="auto"/>
                <w:w w:val="99"/>
              </w:rPr>
              <w:t>4 (67)</w:t>
            </w:r>
          </w:p>
        </w:tc>
        <w:tc>
          <w:tcPr>
            <w:tcW w:w="1600" w:type="dxa"/>
            <w:vAlign w:val="bottom"/>
            <w:gridSpan w:val="2"/>
            <w:vMerge w:val="restart"/>
          </w:tcPr>
          <w:p>
            <w:pPr>
              <w:jc w:val="center"/>
              <w:ind w:left="100"/>
              <w:spacing w:after="0"/>
              <w:rPr>
                <w:sz w:val="20"/>
                <w:szCs w:val="20"/>
                <w:color w:val="auto"/>
              </w:rPr>
            </w:pPr>
            <w:r>
              <w:rPr>
                <w:rFonts w:ascii="Arial" w:cs="Arial" w:eastAsia="Arial" w:hAnsi="Arial"/>
                <w:sz w:val="20"/>
                <w:szCs w:val="20"/>
                <w:color w:val="auto"/>
                <w:w w:val="99"/>
              </w:rPr>
              <w:t>3 (50)</w:t>
            </w:r>
          </w:p>
        </w:tc>
        <w:tc>
          <w:tcPr>
            <w:tcW w:w="1600" w:type="dxa"/>
            <w:vAlign w:val="bottom"/>
            <w:gridSpan w:val="2"/>
            <w:vMerge w:val="restart"/>
          </w:tcPr>
          <w:p>
            <w:pPr>
              <w:jc w:val="center"/>
              <w:ind w:left="60"/>
              <w:spacing w:after="0"/>
              <w:rPr>
                <w:sz w:val="20"/>
                <w:szCs w:val="20"/>
                <w:color w:val="auto"/>
              </w:rPr>
            </w:pPr>
            <w:r>
              <w:rPr>
                <w:rFonts w:ascii="Arial" w:cs="Arial" w:eastAsia="Arial" w:hAnsi="Arial"/>
                <w:sz w:val="20"/>
                <w:szCs w:val="20"/>
                <w:color w:val="auto"/>
                <w:w w:val="99"/>
              </w:rPr>
              <w:t>4 (67)</w:t>
            </w:r>
          </w:p>
        </w:tc>
        <w:tc>
          <w:tcPr>
            <w:tcW w:w="0" w:type="dxa"/>
            <w:vAlign w:val="bottom"/>
          </w:tcPr>
          <w:p>
            <w:pPr>
              <w:spacing w:after="0"/>
              <w:rPr>
                <w:sz w:val="1"/>
                <w:szCs w:val="1"/>
                <w:color w:val="auto"/>
              </w:rPr>
            </w:pPr>
          </w:p>
        </w:tc>
      </w:tr>
      <w:tr>
        <w:trPr>
          <w:trHeight w:val="230"/>
        </w:trPr>
        <w:tc>
          <w:tcPr>
            <w:tcW w:w="3320" w:type="dxa"/>
            <w:vAlign w:val="bottom"/>
          </w:tcPr>
          <w:p>
            <w:pPr>
              <w:jc w:val="right"/>
              <w:spacing w:after="0"/>
              <w:rPr>
                <w:sz w:val="20"/>
                <w:szCs w:val="20"/>
                <w:color w:val="auto"/>
              </w:rPr>
            </w:pPr>
            <w:r>
              <w:rPr>
                <w:rFonts w:ascii="Arial" w:cs="Arial" w:eastAsia="Arial" w:hAnsi="Arial"/>
                <w:sz w:val="20"/>
                <w:szCs w:val="20"/>
                <w:color w:val="auto"/>
              </w:rPr>
              <w:t>Mild. . . . . . . . . . . . . . . . . . . . . . . . . .</w:t>
            </w:r>
          </w:p>
        </w:tc>
        <w:tc>
          <w:tcPr>
            <w:tcW w:w="1600" w:type="dxa"/>
            <w:vAlign w:val="bottom"/>
            <w:gridSpan w:val="2"/>
            <w:vMerge w:val="continue"/>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20" w:type="dxa"/>
            <w:vAlign w:val="bottom"/>
          </w:tcPr>
          <w:p>
            <w:pPr>
              <w:jc w:val="right"/>
              <w:spacing w:after="0"/>
              <w:rPr>
                <w:sz w:val="20"/>
                <w:szCs w:val="20"/>
                <w:color w:val="auto"/>
              </w:rPr>
            </w:pPr>
            <w:r>
              <w:rPr>
                <w:rFonts w:ascii="Arial" w:cs="Arial" w:eastAsia="Arial" w:hAnsi="Arial"/>
                <w:sz w:val="20"/>
                <w:szCs w:val="20"/>
                <w:color w:val="auto"/>
              </w:rPr>
              <w:t>Moderate . . . . . . . . . . . . . . . . . . . . .</w:t>
            </w:r>
          </w:p>
        </w:tc>
        <w:tc>
          <w:tcPr>
            <w:tcW w:w="1600" w:type="dxa"/>
            <w:vAlign w:val="bottom"/>
            <w:gridSpan w:val="2"/>
          </w:tcPr>
          <w:p>
            <w:pPr>
              <w:jc w:val="center"/>
              <w:ind w:left="100"/>
              <w:spacing w:after="0"/>
              <w:rPr>
                <w:sz w:val="20"/>
                <w:szCs w:val="20"/>
                <w:color w:val="auto"/>
              </w:rPr>
            </w:pPr>
            <w:r>
              <w:rPr>
                <w:rFonts w:ascii="Arial" w:cs="Arial" w:eastAsia="Arial" w:hAnsi="Arial"/>
                <w:sz w:val="20"/>
                <w:szCs w:val="20"/>
                <w:color w:val="auto"/>
                <w:w w:val="99"/>
              </w:rPr>
              <w:t>1 (17)</w:t>
            </w:r>
          </w:p>
        </w:tc>
        <w:tc>
          <w:tcPr>
            <w:tcW w:w="1600" w:type="dxa"/>
            <w:vAlign w:val="bottom"/>
            <w:gridSpan w:val="2"/>
          </w:tcPr>
          <w:p>
            <w:pPr>
              <w:jc w:val="center"/>
              <w:ind w:left="100"/>
              <w:spacing w:after="0"/>
              <w:rPr>
                <w:sz w:val="20"/>
                <w:szCs w:val="20"/>
                <w:color w:val="auto"/>
              </w:rPr>
            </w:pPr>
            <w:r>
              <w:rPr>
                <w:rFonts w:ascii="Arial" w:cs="Arial" w:eastAsia="Arial" w:hAnsi="Arial"/>
                <w:sz w:val="20"/>
                <w:szCs w:val="20"/>
                <w:color w:val="auto"/>
                <w:w w:val="99"/>
              </w:rPr>
              <w:t>2 (33)</w:t>
            </w:r>
          </w:p>
        </w:tc>
        <w:tc>
          <w:tcPr>
            <w:tcW w:w="1600" w:type="dxa"/>
            <w:vAlign w:val="bottom"/>
            <w:gridSpan w:val="2"/>
          </w:tcPr>
          <w:p>
            <w:pPr>
              <w:jc w:val="center"/>
              <w:ind w:left="100"/>
              <w:spacing w:after="0"/>
              <w:rPr>
                <w:sz w:val="20"/>
                <w:szCs w:val="20"/>
                <w:color w:val="auto"/>
              </w:rPr>
            </w:pPr>
            <w:r>
              <w:rPr>
                <w:rFonts w:ascii="Arial" w:cs="Arial" w:eastAsia="Arial" w:hAnsi="Arial"/>
                <w:sz w:val="20"/>
                <w:szCs w:val="20"/>
                <w:color w:val="auto"/>
                <w:w w:val="99"/>
              </w:rPr>
              <w:t>3 (50)</w:t>
            </w:r>
          </w:p>
        </w:tc>
        <w:tc>
          <w:tcPr>
            <w:tcW w:w="1600" w:type="dxa"/>
            <w:vAlign w:val="bottom"/>
            <w:gridSpan w:val="2"/>
          </w:tcPr>
          <w:p>
            <w:pPr>
              <w:jc w:val="right"/>
              <w:ind w:right="593"/>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3320" w:type="dxa"/>
            <w:vAlign w:val="bottom"/>
          </w:tcPr>
          <w:p>
            <w:pPr>
              <w:jc w:val="right"/>
              <w:spacing w:after="0"/>
              <w:rPr>
                <w:sz w:val="20"/>
                <w:szCs w:val="20"/>
                <w:color w:val="auto"/>
              </w:rPr>
            </w:pPr>
            <w:r>
              <w:rPr>
                <w:rFonts w:ascii="Arial" w:cs="Arial" w:eastAsia="Arial" w:hAnsi="Arial"/>
                <w:sz w:val="20"/>
                <w:szCs w:val="20"/>
                <w:color w:val="auto"/>
                <w:w w:val="99"/>
              </w:rPr>
              <w:t>Severe. . . . . . . . . . . . . . . . . . . . . . . .</w:t>
            </w:r>
          </w:p>
        </w:tc>
        <w:tc>
          <w:tcPr>
            <w:tcW w:w="1600" w:type="dxa"/>
            <w:vAlign w:val="bottom"/>
            <w:gridSpan w:val="2"/>
          </w:tcPr>
          <w:p>
            <w:pPr>
              <w:jc w:val="center"/>
              <w:ind w:left="40"/>
              <w:spacing w:after="0"/>
              <w:rPr>
                <w:sz w:val="20"/>
                <w:szCs w:val="20"/>
                <w:color w:val="auto"/>
              </w:rPr>
            </w:pPr>
            <w:r>
              <w:rPr>
                <w:rFonts w:ascii="Arial" w:cs="Arial" w:eastAsia="Arial" w:hAnsi="Arial"/>
                <w:sz w:val="20"/>
                <w:szCs w:val="20"/>
                <w:color w:val="auto"/>
                <w:w w:val="89"/>
              </w:rPr>
              <w:t>0</w:t>
            </w:r>
          </w:p>
        </w:tc>
        <w:tc>
          <w:tcPr>
            <w:tcW w:w="1600" w:type="dxa"/>
            <w:vAlign w:val="bottom"/>
            <w:gridSpan w:val="2"/>
          </w:tcPr>
          <w:p>
            <w:pPr>
              <w:jc w:val="center"/>
              <w:ind w:left="40"/>
              <w:spacing w:after="0"/>
              <w:rPr>
                <w:sz w:val="20"/>
                <w:szCs w:val="20"/>
                <w:color w:val="auto"/>
              </w:rPr>
            </w:pPr>
            <w:r>
              <w:rPr>
                <w:rFonts w:ascii="Arial" w:cs="Arial" w:eastAsia="Arial" w:hAnsi="Arial"/>
                <w:sz w:val="20"/>
                <w:szCs w:val="20"/>
                <w:color w:val="auto"/>
                <w:w w:val="89"/>
              </w:rPr>
              <w:t>0</w:t>
            </w:r>
          </w:p>
        </w:tc>
        <w:tc>
          <w:tcPr>
            <w:tcW w:w="1600" w:type="dxa"/>
            <w:vAlign w:val="bottom"/>
            <w:gridSpan w:val="2"/>
          </w:tcPr>
          <w:p>
            <w:pPr>
              <w:jc w:val="center"/>
              <w:ind w:left="20"/>
              <w:spacing w:after="0"/>
              <w:rPr>
                <w:sz w:val="20"/>
                <w:szCs w:val="20"/>
                <w:color w:val="auto"/>
              </w:rPr>
            </w:pPr>
            <w:r>
              <w:rPr>
                <w:rFonts w:ascii="Arial" w:cs="Arial" w:eastAsia="Arial" w:hAnsi="Arial"/>
                <w:sz w:val="20"/>
                <w:szCs w:val="20"/>
                <w:color w:val="auto"/>
              </w:rPr>
              <w:t>0</w:t>
            </w:r>
          </w:p>
        </w:tc>
        <w:tc>
          <w:tcPr>
            <w:tcW w:w="1600" w:type="dxa"/>
            <w:vAlign w:val="bottom"/>
            <w:gridSpan w:val="2"/>
          </w:tcPr>
          <w:p>
            <w:pPr>
              <w:jc w:val="right"/>
              <w:ind w:right="593"/>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72"/>
        </w:trPr>
        <w:tc>
          <w:tcPr>
            <w:tcW w:w="3320" w:type="dxa"/>
            <w:vAlign w:val="bottom"/>
          </w:tcPr>
          <w:p>
            <w:pPr>
              <w:jc w:val="right"/>
              <w:spacing w:after="0"/>
              <w:rPr>
                <w:sz w:val="20"/>
                <w:szCs w:val="20"/>
                <w:color w:val="auto"/>
              </w:rPr>
            </w:pPr>
            <w:r>
              <w:rPr>
                <w:rFonts w:ascii="Arial" w:cs="Arial" w:eastAsia="Arial" w:hAnsi="Arial"/>
                <w:sz w:val="20"/>
                <w:szCs w:val="20"/>
                <w:color w:val="auto"/>
              </w:rPr>
              <w:t>Any Serious Adverse Events . . . . .</w:t>
            </w:r>
          </w:p>
        </w:tc>
        <w:tc>
          <w:tcPr>
            <w:tcW w:w="1600" w:type="dxa"/>
            <w:vAlign w:val="bottom"/>
            <w:gridSpan w:val="2"/>
          </w:tcPr>
          <w:p>
            <w:pPr>
              <w:jc w:val="center"/>
              <w:ind w:left="40"/>
              <w:spacing w:after="0"/>
              <w:rPr>
                <w:sz w:val="20"/>
                <w:szCs w:val="20"/>
                <w:color w:val="auto"/>
              </w:rPr>
            </w:pPr>
            <w:r>
              <w:rPr>
                <w:rFonts w:ascii="Arial" w:cs="Arial" w:eastAsia="Arial" w:hAnsi="Arial"/>
                <w:sz w:val="20"/>
                <w:szCs w:val="20"/>
                <w:color w:val="auto"/>
                <w:w w:val="89"/>
              </w:rPr>
              <w:t>0</w:t>
            </w:r>
          </w:p>
        </w:tc>
        <w:tc>
          <w:tcPr>
            <w:tcW w:w="1600" w:type="dxa"/>
            <w:vAlign w:val="bottom"/>
            <w:gridSpan w:val="2"/>
          </w:tcPr>
          <w:p>
            <w:pPr>
              <w:jc w:val="center"/>
              <w:ind w:left="40"/>
              <w:spacing w:after="0"/>
              <w:rPr>
                <w:sz w:val="20"/>
                <w:szCs w:val="20"/>
                <w:color w:val="auto"/>
              </w:rPr>
            </w:pPr>
            <w:r>
              <w:rPr>
                <w:rFonts w:ascii="Arial" w:cs="Arial" w:eastAsia="Arial" w:hAnsi="Arial"/>
                <w:sz w:val="20"/>
                <w:szCs w:val="20"/>
                <w:color w:val="auto"/>
                <w:w w:val="89"/>
              </w:rPr>
              <w:t>0</w:t>
            </w:r>
          </w:p>
        </w:tc>
        <w:tc>
          <w:tcPr>
            <w:tcW w:w="1600" w:type="dxa"/>
            <w:vAlign w:val="bottom"/>
            <w:gridSpan w:val="2"/>
          </w:tcPr>
          <w:p>
            <w:pPr>
              <w:jc w:val="center"/>
              <w:ind w:left="20"/>
              <w:spacing w:after="0"/>
              <w:rPr>
                <w:sz w:val="20"/>
                <w:szCs w:val="20"/>
                <w:color w:val="auto"/>
              </w:rPr>
            </w:pPr>
            <w:r>
              <w:rPr>
                <w:rFonts w:ascii="Arial" w:cs="Arial" w:eastAsia="Arial" w:hAnsi="Arial"/>
                <w:sz w:val="20"/>
                <w:szCs w:val="20"/>
                <w:color w:val="auto"/>
              </w:rPr>
              <w:t>0</w:t>
            </w:r>
          </w:p>
        </w:tc>
        <w:tc>
          <w:tcPr>
            <w:tcW w:w="1600" w:type="dxa"/>
            <w:vAlign w:val="bottom"/>
            <w:gridSpan w:val="2"/>
          </w:tcPr>
          <w:p>
            <w:pPr>
              <w:jc w:val="right"/>
              <w:ind w:right="593"/>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GSBR-1290 Phase 2a study in diabetes and obesity</w:t>
      </w:r>
    </w:p>
    <w:p>
      <w:pPr>
        <w:spacing w:after="0" w:line="231"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The randomized, double-blind, 12-week placebo-controlled Phase 2a clinical trial has enrolled a total of 94 participants to date, including 60 participants randomized to GSBR -1290. The T2DM cohort enrolled 54 participants, randomized to GSBR-1290 at 45 mg (n=10) or 90 mg (n=26), or placebo (n=18), dosed once daily. The obesity cohort initially enrolled 40 participants randomized to GSBR-1290 at 120 mg (n=24) or placebo (n=16), dosed once-daily. An additional 24 participants have been enrolled in the obesity arm as previously announced in September 2023 to replace those for whom 12- week weight data was not collected as a result of a data collection omission. These replacement participants have also been randomized 3:2 to GSBR-1290 or placebo.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880" w:h="15480" w:orient="portrait"/>
          <w:cols w:equalWidth="0" w:num="1">
            <w:col w:w="9720"/>
          </w:cols>
          <w:pgMar w:left="1080" w:top="1440" w:right="1080" w:bottom="543" w:gutter="0" w:footer="0" w:header="0"/>
        </w:sectPr>
      </w:pPr>
    </w:p>
    <w:bookmarkStart w:id="31" w:name="page32"/>
    <w:bookmarkEnd w:id="31"/>
    <w:p>
      <w:pPr>
        <w:ind w:right="280"/>
        <w:spacing w:after="0" w:line="262" w:lineRule="auto"/>
        <w:rPr>
          <w:sz w:val="20"/>
          <w:szCs w:val="20"/>
          <w:color w:val="auto"/>
        </w:rPr>
      </w:pPr>
      <w:r>
        <w:rPr>
          <w:rFonts w:ascii="Arial" w:cs="Arial" w:eastAsia="Arial" w:hAnsi="Arial"/>
          <w:sz w:val="20"/>
          <w:szCs w:val="20"/>
          <w:color w:val="auto"/>
        </w:rPr>
        <w:t>The primary endpoints of the Phase 2a study are safety and tolerability of GSBR- 1290. Key secondary endpoints include reduction in weight for both obesity and T2DM cohorts, as well as reduction in HbA1c for the T2DM cohort.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GSBR-1290 Safety and tolerability results</w:t>
      </w:r>
    </w:p>
    <w:p>
      <w:pPr>
        <w:spacing w:after="0" w:line="231" w:lineRule="exact"/>
        <w:rPr>
          <w:sz w:val="20"/>
          <w:szCs w:val="20"/>
          <w:color w:val="auto"/>
        </w:rPr>
      </w:pPr>
    </w:p>
    <w:p>
      <w:pPr>
        <w:ind w:right="80"/>
        <w:spacing w:after="0" w:line="270" w:lineRule="auto"/>
        <w:rPr>
          <w:sz w:val="20"/>
          <w:szCs w:val="20"/>
          <w:color w:val="auto"/>
        </w:rPr>
      </w:pPr>
      <w:r>
        <w:rPr>
          <w:rFonts w:ascii="Arial" w:cs="Arial" w:eastAsia="Arial" w:hAnsi="Arial"/>
          <w:sz w:val="20"/>
          <w:szCs w:val="20"/>
          <w:color w:val="auto"/>
        </w:rPr>
        <w:t>GSBR-1290 demonstrated an encouraging safety and tolerability profile following repeated, daily dosing for all doses studied (up to 120 mg) in the obesity and T2DM cohorts, with results summarized as follows:</w:t>
      </w:r>
    </w:p>
    <w:p>
      <w:pPr>
        <w:spacing w:after="0" w:line="200" w:lineRule="exact"/>
        <w:rPr>
          <w:sz w:val="20"/>
          <w:szCs w:val="20"/>
          <w:color w:val="auto"/>
        </w:rPr>
      </w:pPr>
    </w:p>
    <w:p>
      <w:pPr>
        <w:spacing w:after="0" w:line="226" w:lineRule="exact"/>
        <w:rPr>
          <w:sz w:val="20"/>
          <w:szCs w:val="20"/>
          <w:color w:val="auto"/>
        </w:rPr>
      </w:pPr>
    </w:p>
    <w:p>
      <w:pPr>
        <w:ind w:left="720" w:hanging="353"/>
        <w:spacing w:after="0"/>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majority (88 to 96%, depending on study arm) of AEs reported were mild to moderate.</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There were no SAEs related to study drug.</w:t>
      </w:r>
    </w:p>
    <w:p>
      <w:pPr>
        <w:spacing w:after="0" w:line="133" w:lineRule="exact"/>
        <w:rPr>
          <w:rFonts w:ascii="Arial" w:cs="Arial" w:eastAsia="Arial" w:hAnsi="Arial"/>
          <w:sz w:val="20"/>
          <w:szCs w:val="20"/>
          <w:color w:val="auto"/>
        </w:rPr>
      </w:pPr>
    </w:p>
    <w:p>
      <w:pPr>
        <w:ind w:left="720" w:right="380" w:hanging="353"/>
        <w:spacing w:after="0" w:line="284" w:lineRule="auto"/>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As expected for this mechanism of action, leading AEs were gastrointestinal-related. The two most common AEs were nausea and vomiting.</w:t>
      </w:r>
    </w:p>
    <w:p>
      <w:pPr>
        <w:spacing w:after="0" w:line="49" w:lineRule="exact"/>
        <w:rPr>
          <w:rFonts w:ascii="Arial" w:cs="Arial" w:eastAsia="Arial" w:hAnsi="Arial"/>
          <w:sz w:val="20"/>
          <w:szCs w:val="20"/>
          <w:color w:val="auto"/>
        </w:rPr>
      </w:pPr>
    </w:p>
    <w:p>
      <w:pPr>
        <w:ind w:left="720" w:right="140" w:hanging="353"/>
        <w:spacing w:after="0" w:line="254" w:lineRule="auto"/>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There were no cases of elevated liver enzymes in the obesity cohort. One participant in the T2DM treatment group experienced an event of elevated liver enzymes without an increase in bilirubin initially at day 8 while receiving 5 mg of study drug. This participant was diagnosed with fatty liver disease while in the study.</w:t>
      </w:r>
    </w:p>
    <w:p>
      <w:pPr>
        <w:spacing w:after="0" w:line="78" w:lineRule="exact"/>
        <w:rPr>
          <w:rFonts w:ascii="Arial" w:cs="Arial" w:eastAsia="Arial" w:hAnsi="Arial"/>
          <w:sz w:val="20"/>
          <w:szCs w:val="20"/>
          <w:color w:val="auto"/>
        </w:rPr>
      </w:pPr>
    </w:p>
    <w:p>
      <w:pPr>
        <w:ind w:left="720" w:right="20" w:hanging="353"/>
        <w:spacing w:after="0" w:line="284" w:lineRule="auto"/>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Of the 60 participants dosed with GSBR-1290, only one participant discontinued the study due to AEs related to study drug (none in the obesity cohort and one (2.8%) in the T2DM cohort).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Summary of Treatment Emergent Adverse Events (TEAEs)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0" w:type="dxa"/>
            <w:vAlign w:val="bottom"/>
            <w:gridSpan w:val="6"/>
          </w:tcPr>
          <w:p>
            <w:pPr>
              <w:jc w:val="center"/>
              <w:ind w:right="60"/>
              <w:spacing w:after="0"/>
              <w:rPr>
                <w:sz w:val="20"/>
                <w:szCs w:val="20"/>
                <w:color w:val="auto"/>
              </w:rPr>
            </w:pPr>
            <w:r>
              <w:rPr>
                <w:rFonts w:ascii="Arial" w:cs="Arial" w:eastAsia="Arial" w:hAnsi="Arial"/>
                <w:sz w:val="16"/>
                <w:szCs w:val="16"/>
                <w:b w:val="1"/>
                <w:bCs w:val="1"/>
                <w:color w:val="auto"/>
              </w:rPr>
              <w:t>Phase 2a TDM Cohort</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3"/>
          </w:tcPr>
          <w:p>
            <w:pPr>
              <w:jc w:val="center"/>
              <w:spacing w:after="0"/>
              <w:rPr>
                <w:sz w:val="20"/>
                <w:szCs w:val="20"/>
                <w:color w:val="auto"/>
              </w:rPr>
            </w:pPr>
            <w:r>
              <w:rPr>
                <w:rFonts w:ascii="Arial" w:cs="Arial" w:eastAsia="Arial" w:hAnsi="Arial"/>
                <w:sz w:val="16"/>
                <w:szCs w:val="16"/>
                <w:b w:val="1"/>
                <w:bCs w:val="1"/>
                <w:color w:val="auto"/>
              </w:rPr>
              <w:t>Phase 2a Obesity Cohort</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6"/>
                <w:szCs w:val="16"/>
                <w:b w:val="1"/>
                <w:bCs w:val="1"/>
                <w:color w:val="auto"/>
                <w:w w:val="99"/>
              </w:rPr>
              <w:t>(12-week data)</w:t>
            </w:r>
          </w:p>
        </w:tc>
        <w:tc>
          <w:tcPr>
            <w:tcW w:w="10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(12-week interim data)</w:t>
            </w:r>
          </w:p>
        </w:tc>
        <w:tc>
          <w:tcPr>
            <w:tcW w:w="0" w:type="dxa"/>
            <w:vAlign w:val="bottom"/>
          </w:tcPr>
          <w:p>
            <w:pPr>
              <w:spacing w:after="0"/>
              <w:rPr>
                <w:sz w:val="1"/>
                <w:szCs w:val="1"/>
                <w:color w:val="auto"/>
              </w:rPr>
            </w:pPr>
          </w:p>
        </w:tc>
      </w:tr>
      <w:tr>
        <w:trPr>
          <w:trHeight w:val="156"/>
        </w:trPr>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left="9"/>
              <w:spacing w:after="0" w:line="156" w:lineRule="exact"/>
              <w:rPr>
                <w:sz w:val="20"/>
                <w:szCs w:val="20"/>
                <w:color w:val="auto"/>
              </w:rPr>
            </w:pPr>
            <w:r>
              <w:rPr>
                <w:rFonts w:ascii="Arial" w:cs="Arial" w:eastAsia="Arial" w:hAnsi="Arial"/>
                <w:sz w:val="16"/>
                <w:szCs w:val="16"/>
                <w:b w:val="1"/>
                <w:bCs w:val="1"/>
                <w:color w:val="auto"/>
              </w:rPr>
              <w:t>GSBR-1290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4"/>
          </w:tcPr>
          <w:p>
            <w:pPr>
              <w:jc w:val="center"/>
              <w:ind w:right="340"/>
              <w:spacing w:after="0" w:line="156" w:lineRule="exact"/>
              <w:rPr>
                <w:sz w:val="20"/>
                <w:szCs w:val="20"/>
                <w:color w:val="auto"/>
              </w:rPr>
            </w:pPr>
            <w:r>
              <w:rPr>
                <w:rFonts w:ascii="Arial" w:cs="Arial" w:eastAsia="Arial" w:hAnsi="Arial"/>
                <w:sz w:val="16"/>
                <w:szCs w:val="16"/>
                <w:b w:val="1"/>
                <w:bCs w:val="1"/>
                <w:color w:val="auto"/>
              </w:rPr>
              <w:t>GSBR-1290</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rPr>
              <w:t>GSBR-1290</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1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Event, N (%)</w:t>
            </w:r>
          </w:p>
        </w:tc>
        <w:tc>
          <w:tcPr>
            <w:tcW w:w="1060" w:type="dxa"/>
            <w:vAlign w:val="bottom"/>
            <w:gridSpan w:val="2"/>
          </w:tcPr>
          <w:p>
            <w:pPr>
              <w:jc w:val="center"/>
              <w:ind w:left="9"/>
              <w:spacing w:after="0"/>
              <w:rPr>
                <w:sz w:val="20"/>
                <w:szCs w:val="20"/>
                <w:color w:val="auto"/>
              </w:rPr>
            </w:pPr>
            <w:r>
              <w:rPr>
                <w:rFonts w:ascii="Arial" w:cs="Arial" w:eastAsia="Arial" w:hAnsi="Arial"/>
                <w:sz w:val="16"/>
                <w:szCs w:val="16"/>
                <w:b w:val="1"/>
                <w:bCs w:val="1"/>
                <w:color w:val="auto"/>
              </w:rPr>
              <w:t>45 mg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rPr>
              <w:t>90 mg</w:t>
            </w:r>
          </w:p>
        </w:tc>
        <w:tc>
          <w:tcPr>
            <w:tcW w:w="1020" w:type="dxa"/>
            <w:vAlign w:val="bottom"/>
          </w:tcPr>
          <w:p>
            <w:pPr>
              <w:jc w:val="center"/>
              <w:ind w:right="45"/>
              <w:spacing w:after="0"/>
              <w:rPr>
                <w:sz w:val="20"/>
                <w:szCs w:val="20"/>
                <w:color w:val="auto"/>
              </w:rPr>
            </w:pPr>
            <w:r>
              <w:rPr>
                <w:rFonts w:ascii="Arial" w:cs="Arial" w:eastAsia="Arial" w:hAnsi="Arial"/>
                <w:sz w:val="16"/>
                <w:szCs w:val="16"/>
                <w:b w:val="1"/>
                <w:bCs w:val="1"/>
                <w:color w:val="auto"/>
              </w:rPr>
              <w:t>Placebo</w:t>
            </w:r>
          </w:p>
        </w:tc>
        <w:tc>
          <w:tcPr>
            <w:tcW w:w="1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120 mg</w:t>
            </w:r>
          </w:p>
        </w:tc>
        <w:tc>
          <w:tcPr>
            <w:tcW w:w="1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Placebo</w:t>
            </w:r>
          </w:p>
        </w:tc>
        <w:tc>
          <w:tcPr>
            <w:tcW w:w="0" w:type="dxa"/>
            <w:vAlign w:val="bottom"/>
          </w:tcPr>
          <w:p>
            <w:pPr>
              <w:spacing w:after="0"/>
              <w:rPr>
                <w:sz w:val="1"/>
                <w:szCs w:val="1"/>
                <w:color w:val="auto"/>
              </w:rPr>
            </w:pPr>
          </w:p>
        </w:tc>
      </w:tr>
      <w:tr>
        <w:trPr>
          <w:trHeight w:val="202"/>
        </w:trPr>
        <w:tc>
          <w:tcPr>
            <w:tcW w:w="3120" w:type="dxa"/>
            <w:vAlign w:val="bottom"/>
            <w:gridSpan w:val="2"/>
            <w:vMerge w:val="continue"/>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rPr>
              <w:t>(n=10)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rPr>
              <w:t>(n=26)</w:t>
            </w:r>
          </w:p>
        </w:tc>
        <w:tc>
          <w:tcPr>
            <w:tcW w:w="1020" w:type="dxa"/>
            <w:vAlign w:val="bottom"/>
          </w:tcPr>
          <w:p>
            <w:pPr>
              <w:jc w:val="center"/>
              <w:ind w:right="65"/>
              <w:spacing w:after="0"/>
              <w:rPr>
                <w:sz w:val="20"/>
                <w:szCs w:val="20"/>
                <w:color w:val="auto"/>
              </w:rPr>
            </w:pPr>
            <w:r>
              <w:rPr>
                <w:rFonts w:ascii="Arial" w:cs="Arial" w:eastAsia="Arial" w:hAnsi="Arial"/>
                <w:sz w:val="16"/>
                <w:szCs w:val="16"/>
                <w:b w:val="1"/>
                <w:bCs w:val="1"/>
                <w:color w:val="auto"/>
              </w:rPr>
              <w:t>(n=18)</w:t>
            </w:r>
          </w:p>
        </w:tc>
        <w:tc>
          <w:tcPr>
            <w:tcW w:w="1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(n=24)</w:t>
            </w:r>
          </w:p>
        </w:tc>
        <w:tc>
          <w:tcPr>
            <w:tcW w:w="1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(n=16)</w:t>
            </w:r>
          </w:p>
        </w:tc>
        <w:tc>
          <w:tcPr>
            <w:tcW w:w="0" w:type="dxa"/>
            <w:vAlign w:val="bottom"/>
          </w:tcPr>
          <w:p>
            <w:pPr>
              <w:spacing w:after="0"/>
              <w:rPr>
                <w:sz w:val="1"/>
                <w:szCs w:val="1"/>
                <w:color w:val="auto"/>
              </w:rPr>
            </w:pPr>
          </w:p>
        </w:tc>
      </w:tr>
      <w:tr>
        <w:trPr>
          <w:trHeight w:val="200"/>
        </w:trPr>
        <w:tc>
          <w:tcPr>
            <w:tcW w:w="2920" w:type="dxa"/>
            <w:vAlign w:val="bottom"/>
            <w:tcBorders>
              <w:top w:val="single" w:sz="8" w:color="auto"/>
            </w:tcBorders>
          </w:tcPr>
          <w:p>
            <w:pPr>
              <w:spacing w:after="0" w:line="200" w:lineRule="exact"/>
              <w:rPr>
                <w:sz w:val="20"/>
                <w:szCs w:val="20"/>
                <w:color w:val="auto"/>
              </w:rPr>
            </w:pPr>
            <w:r>
              <w:rPr>
                <w:rFonts w:ascii="Arial" w:cs="Arial" w:eastAsia="Arial" w:hAnsi="Arial"/>
                <w:sz w:val="20"/>
                <w:szCs w:val="20"/>
                <w:color w:val="auto"/>
              </w:rPr>
              <w:t>Any TEAE . . . . . . . . . . . . . . . . .</w:t>
            </w:r>
          </w:p>
        </w:tc>
        <w:tc>
          <w:tcPr>
            <w:tcW w:w="200" w:type="dxa"/>
            <w:vAlign w:val="bottom"/>
          </w:tcPr>
          <w:p>
            <w:pPr>
              <w:spacing w:after="0"/>
              <w:rPr>
                <w:sz w:val="17"/>
                <w:szCs w:val="17"/>
                <w:color w:val="auto"/>
              </w:rPr>
            </w:pPr>
          </w:p>
        </w:tc>
        <w:tc>
          <w:tcPr>
            <w:tcW w:w="4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10</w:t>
            </w:r>
          </w:p>
        </w:tc>
        <w:tc>
          <w:tcPr>
            <w:tcW w:w="600" w:type="dxa"/>
            <w:vAlign w:val="bottom"/>
            <w:tcBorders>
              <w:top w:val="single" w:sz="8" w:color="auto"/>
            </w:tcBorders>
          </w:tcPr>
          <w:p>
            <w:pPr>
              <w:ind w:left="20"/>
              <w:spacing w:after="0" w:line="200" w:lineRule="exact"/>
              <w:rPr>
                <w:sz w:val="20"/>
                <w:szCs w:val="20"/>
                <w:color w:val="auto"/>
              </w:rPr>
            </w:pPr>
            <w:r>
              <w:rPr>
                <w:rFonts w:ascii="Arial" w:cs="Arial" w:eastAsia="Arial" w:hAnsi="Arial"/>
                <w:sz w:val="20"/>
                <w:szCs w:val="20"/>
                <w:color w:val="auto"/>
              </w:rPr>
              <w:t>(100)</w:t>
            </w:r>
          </w:p>
        </w:tc>
        <w:tc>
          <w:tcPr>
            <w:tcW w:w="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25</w:t>
            </w:r>
          </w:p>
        </w:tc>
        <w:tc>
          <w:tcPr>
            <w:tcW w:w="740" w:type="dxa"/>
            <w:vAlign w:val="bottom"/>
            <w:tcBorders>
              <w:top w:val="single" w:sz="8" w:color="auto"/>
            </w:tcBorders>
          </w:tcPr>
          <w:p>
            <w:pPr>
              <w:ind w:left="40"/>
              <w:spacing w:after="0" w:line="200" w:lineRule="exact"/>
              <w:rPr>
                <w:sz w:val="20"/>
                <w:szCs w:val="20"/>
                <w:color w:val="auto"/>
              </w:rPr>
            </w:pPr>
            <w:r>
              <w:rPr>
                <w:rFonts w:ascii="Arial" w:cs="Arial" w:eastAsia="Arial" w:hAnsi="Arial"/>
                <w:sz w:val="20"/>
                <w:szCs w:val="20"/>
                <w:color w:val="auto"/>
              </w:rPr>
              <w:t>(96.2)</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65"/>
              <w:spacing w:after="0" w:line="200" w:lineRule="exact"/>
              <w:rPr>
                <w:sz w:val="20"/>
                <w:szCs w:val="20"/>
                <w:color w:val="auto"/>
              </w:rPr>
            </w:pPr>
            <w:r>
              <w:rPr>
                <w:rFonts w:ascii="Arial" w:cs="Arial" w:eastAsia="Arial" w:hAnsi="Arial"/>
                <w:sz w:val="20"/>
                <w:szCs w:val="20"/>
                <w:color w:val="auto"/>
              </w:rPr>
              <w:t>8 (44.4)</w:t>
            </w:r>
          </w:p>
        </w:tc>
        <w:tc>
          <w:tcPr>
            <w:tcW w:w="180" w:type="dxa"/>
            <w:vAlign w:val="bottom"/>
          </w:tcPr>
          <w:p>
            <w:pPr>
              <w:spacing w:after="0"/>
              <w:rPr>
                <w:sz w:val="17"/>
                <w:szCs w:val="17"/>
                <w:color w:val="auto"/>
              </w:rPr>
            </w:pPr>
          </w:p>
        </w:tc>
        <w:tc>
          <w:tcPr>
            <w:tcW w:w="118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20"/>
                <w:szCs w:val="20"/>
                <w:color w:val="auto"/>
                <w:w w:val="99"/>
              </w:rPr>
              <w:t>23 (95.8)</w:t>
            </w:r>
          </w:p>
        </w:tc>
        <w:tc>
          <w:tcPr>
            <w:tcW w:w="180" w:type="dxa"/>
            <w:vAlign w:val="bottom"/>
          </w:tcPr>
          <w:p>
            <w:pPr>
              <w:spacing w:after="0"/>
              <w:rPr>
                <w:sz w:val="17"/>
                <w:szCs w:val="17"/>
                <w:color w:val="auto"/>
              </w:rPr>
            </w:pPr>
          </w:p>
        </w:tc>
        <w:tc>
          <w:tcPr>
            <w:tcW w:w="118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20"/>
                <w:szCs w:val="20"/>
                <w:color w:val="auto"/>
                <w:w w:val="99"/>
              </w:rPr>
              <w:t>11 (68.8)</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20"/>
                <w:szCs w:val="20"/>
                <w:color w:val="auto"/>
              </w:rPr>
              <w:t>Any TEAE by maximum</w:t>
            </w: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ind w:left="160"/>
              <w:spacing w:after="0"/>
              <w:rPr>
                <w:sz w:val="20"/>
                <w:szCs w:val="20"/>
                <w:color w:val="auto"/>
              </w:rPr>
            </w:pPr>
            <w:r>
              <w:rPr>
                <w:rFonts w:ascii="Arial" w:cs="Arial" w:eastAsia="Arial" w:hAnsi="Arial"/>
                <w:sz w:val="20"/>
                <w:szCs w:val="20"/>
                <w:color w:val="auto"/>
              </w:rPr>
              <w:t>severity</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60"/>
              <w:spacing w:after="0"/>
              <w:rPr>
                <w:sz w:val="20"/>
                <w:szCs w:val="20"/>
                <w:color w:val="auto"/>
              </w:rPr>
            </w:pPr>
            <w:r>
              <w:rPr>
                <w:rFonts w:ascii="Arial" w:cs="Arial" w:eastAsia="Arial" w:hAnsi="Arial"/>
                <w:sz w:val="20"/>
                <w:szCs w:val="20"/>
                <w:color w:val="auto"/>
              </w:rPr>
              <w:t>Mild . . . . . . . . . . . . . . . . . . . .</w:t>
            </w:r>
          </w:p>
        </w:tc>
        <w:tc>
          <w:tcPr>
            <w:tcW w:w="460" w:type="dxa"/>
            <w:vAlign w:val="bottom"/>
          </w:tcPr>
          <w:p>
            <w:pPr>
              <w:jc w:val="right"/>
              <w:spacing w:after="0"/>
              <w:rPr>
                <w:sz w:val="20"/>
                <w:szCs w:val="20"/>
                <w:color w:val="auto"/>
              </w:rPr>
            </w:pPr>
            <w:r>
              <w:rPr>
                <w:rFonts w:ascii="Arial" w:cs="Arial" w:eastAsia="Arial" w:hAnsi="Arial"/>
                <w:sz w:val="20"/>
                <w:szCs w:val="20"/>
                <w:color w:val="auto"/>
              </w:rPr>
              <w:t>2</w:t>
            </w:r>
          </w:p>
        </w:tc>
        <w:tc>
          <w:tcPr>
            <w:tcW w:w="600" w:type="dxa"/>
            <w:vAlign w:val="bottom"/>
          </w:tcPr>
          <w:p>
            <w:pPr>
              <w:ind w:left="20"/>
              <w:spacing w:after="0"/>
              <w:rPr>
                <w:sz w:val="20"/>
                <w:szCs w:val="20"/>
                <w:color w:val="auto"/>
              </w:rPr>
            </w:pPr>
            <w:r>
              <w:rPr>
                <w:rFonts w:ascii="Arial" w:cs="Arial" w:eastAsia="Arial" w:hAnsi="Arial"/>
                <w:sz w:val="20"/>
                <w:szCs w:val="20"/>
                <w:color w:val="auto"/>
              </w:rPr>
              <w:t>(20)</w:t>
            </w:r>
          </w:p>
        </w:tc>
        <w:tc>
          <w:tcPr>
            <w:tcW w:w="1460" w:type="dxa"/>
            <w:vAlign w:val="bottom"/>
            <w:gridSpan w:val="4"/>
          </w:tcPr>
          <w:p>
            <w:pPr>
              <w:jc w:val="right"/>
              <w:ind w:right="140"/>
              <w:spacing w:after="0"/>
              <w:rPr>
                <w:sz w:val="20"/>
                <w:szCs w:val="20"/>
                <w:color w:val="auto"/>
              </w:rPr>
            </w:pPr>
            <w:r>
              <w:rPr>
                <w:rFonts w:ascii="Arial" w:cs="Arial" w:eastAsia="Arial" w:hAnsi="Arial"/>
                <w:sz w:val="20"/>
                <w:szCs w:val="20"/>
                <w:color w:val="auto"/>
              </w:rPr>
              <w:t>6 (23.1)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65"/>
              <w:spacing w:after="0"/>
              <w:rPr>
                <w:sz w:val="20"/>
                <w:szCs w:val="20"/>
                <w:color w:val="auto"/>
              </w:rPr>
            </w:pPr>
            <w:r>
              <w:rPr>
                <w:rFonts w:ascii="Arial" w:cs="Arial" w:eastAsia="Arial" w:hAnsi="Arial"/>
                <w:sz w:val="20"/>
                <w:szCs w:val="20"/>
                <w:color w:val="auto"/>
              </w:rPr>
              <w:t>6 (33.3)</w:t>
            </w:r>
          </w:p>
        </w:tc>
        <w:tc>
          <w:tcPr>
            <w:tcW w:w="1360" w:type="dxa"/>
            <w:vAlign w:val="bottom"/>
            <w:gridSpan w:val="2"/>
          </w:tcPr>
          <w:p>
            <w:pPr>
              <w:jc w:val="center"/>
              <w:ind w:left="100"/>
              <w:spacing w:after="0"/>
              <w:rPr>
                <w:sz w:val="20"/>
                <w:szCs w:val="20"/>
                <w:color w:val="auto"/>
              </w:rPr>
            </w:pPr>
            <w:r>
              <w:rPr>
                <w:rFonts w:ascii="Arial" w:cs="Arial" w:eastAsia="Arial" w:hAnsi="Arial"/>
                <w:sz w:val="20"/>
                <w:szCs w:val="20"/>
                <w:color w:val="auto"/>
                <w:w w:val="99"/>
              </w:rPr>
              <w:t>6 (25)</w:t>
            </w:r>
          </w:p>
        </w:tc>
        <w:tc>
          <w:tcPr>
            <w:tcW w:w="1360" w:type="dxa"/>
            <w:vAlign w:val="bottom"/>
            <w:gridSpan w:val="2"/>
          </w:tcPr>
          <w:p>
            <w:pPr>
              <w:jc w:val="center"/>
              <w:ind w:left="80"/>
              <w:spacing w:after="0"/>
              <w:rPr>
                <w:sz w:val="20"/>
                <w:szCs w:val="20"/>
                <w:color w:val="auto"/>
              </w:rPr>
            </w:pPr>
            <w:r>
              <w:rPr>
                <w:rFonts w:ascii="Arial" w:cs="Arial" w:eastAsia="Arial" w:hAnsi="Arial"/>
                <w:sz w:val="20"/>
                <w:szCs w:val="20"/>
                <w:color w:val="auto"/>
              </w:rPr>
              <w:t>9 (56.3)</w:t>
            </w:r>
          </w:p>
        </w:tc>
        <w:tc>
          <w:tcPr>
            <w:tcW w:w="0" w:type="dxa"/>
            <w:vAlign w:val="bottom"/>
          </w:tcPr>
          <w:p>
            <w:pPr>
              <w:spacing w:after="0"/>
              <w:rPr>
                <w:sz w:val="1"/>
                <w:szCs w:val="1"/>
                <w:color w:val="auto"/>
              </w:rPr>
            </w:pPr>
          </w:p>
        </w:tc>
      </w:tr>
      <w:tr>
        <w:trPr>
          <w:trHeight w:val="230"/>
        </w:trPr>
        <w:tc>
          <w:tcPr>
            <w:tcW w:w="3120" w:type="dxa"/>
            <w:vAlign w:val="bottom"/>
            <w:gridSpan w:val="2"/>
          </w:tcPr>
          <w:p>
            <w:pPr>
              <w:ind w:left="100"/>
              <w:spacing w:after="0"/>
              <w:rPr>
                <w:sz w:val="20"/>
                <w:szCs w:val="20"/>
                <w:color w:val="auto"/>
              </w:rPr>
            </w:pPr>
            <w:r>
              <w:rPr>
                <w:rFonts w:ascii="Arial" w:cs="Arial" w:eastAsia="Arial" w:hAnsi="Arial"/>
                <w:sz w:val="20"/>
                <w:szCs w:val="20"/>
                <w:color w:val="auto"/>
              </w:rPr>
              <w:t>Moderate . . . . . . . . . . . . . . . . .</w:t>
            </w:r>
          </w:p>
        </w:tc>
        <w:tc>
          <w:tcPr>
            <w:tcW w:w="460" w:type="dxa"/>
            <w:vAlign w:val="bottom"/>
          </w:tcPr>
          <w:p>
            <w:pPr>
              <w:jc w:val="right"/>
              <w:spacing w:after="0"/>
              <w:rPr>
                <w:sz w:val="20"/>
                <w:szCs w:val="20"/>
                <w:color w:val="auto"/>
              </w:rPr>
            </w:pPr>
            <w:r>
              <w:rPr>
                <w:rFonts w:ascii="Arial" w:cs="Arial" w:eastAsia="Arial" w:hAnsi="Arial"/>
                <w:sz w:val="20"/>
                <w:szCs w:val="20"/>
                <w:color w:val="auto"/>
              </w:rPr>
              <w:t>7</w:t>
            </w:r>
          </w:p>
        </w:tc>
        <w:tc>
          <w:tcPr>
            <w:tcW w:w="600" w:type="dxa"/>
            <w:vAlign w:val="bottom"/>
          </w:tcPr>
          <w:p>
            <w:pPr>
              <w:ind w:left="20"/>
              <w:spacing w:after="0"/>
              <w:rPr>
                <w:sz w:val="20"/>
                <w:szCs w:val="20"/>
                <w:color w:val="auto"/>
              </w:rPr>
            </w:pPr>
            <w:r>
              <w:rPr>
                <w:rFonts w:ascii="Arial" w:cs="Arial" w:eastAsia="Arial" w:hAnsi="Arial"/>
                <w:sz w:val="20"/>
                <w:szCs w:val="20"/>
                <w:color w:val="auto"/>
              </w:rPr>
              <w:t>(70)</w:t>
            </w:r>
          </w:p>
        </w:tc>
        <w:tc>
          <w:tcPr>
            <w:tcW w:w="720" w:type="dxa"/>
            <w:vAlign w:val="bottom"/>
            <w:gridSpan w:val="3"/>
          </w:tcPr>
          <w:p>
            <w:pPr>
              <w:jc w:val="right"/>
              <w:spacing w:after="0"/>
              <w:rPr>
                <w:sz w:val="20"/>
                <w:szCs w:val="20"/>
                <w:color w:val="auto"/>
              </w:rPr>
            </w:pPr>
            <w:r>
              <w:rPr>
                <w:rFonts w:ascii="Arial" w:cs="Arial" w:eastAsia="Arial" w:hAnsi="Arial"/>
                <w:sz w:val="20"/>
                <w:szCs w:val="20"/>
                <w:color w:val="auto"/>
              </w:rPr>
              <w:t>17</w:t>
            </w:r>
          </w:p>
        </w:tc>
        <w:tc>
          <w:tcPr>
            <w:tcW w:w="740" w:type="dxa"/>
            <w:vAlign w:val="bottom"/>
          </w:tcPr>
          <w:p>
            <w:pPr>
              <w:ind w:left="40"/>
              <w:spacing w:after="0"/>
              <w:rPr>
                <w:sz w:val="20"/>
                <w:szCs w:val="20"/>
                <w:color w:val="auto"/>
              </w:rPr>
            </w:pPr>
            <w:r>
              <w:rPr>
                <w:rFonts w:ascii="Arial" w:cs="Arial" w:eastAsia="Arial" w:hAnsi="Arial"/>
                <w:sz w:val="20"/>
                <w:szCs w:val="20"/>
                <w:color w:val="auto"/>
              </w:rPr>
              <w:t>(65.4)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65"/>
              <w:spacing w:after="0"/>
              <w:rPr>
                <w:sz w:val="20"/>
                <w:szCs w:val="20"/>
                <w:color w:val="auto"/>
              </w:rPr>
            </w:pPr>
            <w:r>
              <w:rPr>
                <w:rFonts w:ascii="Arial" w:cs="Arial" w:eastAsia="Arial" w:hAnsi="Arial"/>
                <w:sz w:val="20"/>
                <w:szCs w:val="20"/>
                <w:color w:val="auto"/>
              </w:rPr>
              <w:t>2 (11.1)</w:t>
            </w:r>
          </w:p>
        </w:tc>
        <w:tc>
          <w:tcPr>
            <w:tcW w:w="1360" w:type="dxa"/>
            <w:vAlign w:val="bottom"/>
            <w:gridSpan w:val="2"/>
          </w:tcPr>
          <w:p>
            <w:pPr>
              <w:jc w:val="center"/>
              <w:ind w:left="100"/>
              <w:spacing w:after="0"/>
              <w:rPr>
                <w:sz w:val="20"/>
                <w:szCs w:val="20"/>
                <w:color w:val="auto"/>
              </w:rPr>
            </w:pPr>
            <w:r>
              <w:rPr>
                <w:rFonts w:ascii="Arial" w:cs="Arial" w:eastAsia="Arial" w:hAnsi="Arial"/>
                <w:sz w:val="20"/>
                <w:szCs w:val="20"/>
                <w:color w:val="auto"/>
                <w:w w:val="99"/>
              </w:rPr>
              <w:t>17 (70.8)</w:t>
            </w:r>
          </w:p>
        </w:tc>
        <w:tc>
          <w:tcPr>
            <w:tcW w:w="1360" w:type="dxa"/>
            <w:vAlign w:val="bottom"/>
            <w:gridSpan w:val="2"/>
          </w:tcPr>
          <w:p>
            <w:pPr>
              <w:jc w:val="center"/>
              <w:ind w:left="80"/>
              <w:spacing w:after="0"/>
              <w:rPr>
                <w:sz w:val="20"/>
                <w:szCs w:val="20"/>
                <w:color w:val="auto"/>
              </w:rPr>
            </w:pPr>
            <w:r>
              <w:rPr>
                <w:rFonts w:ascii="Arial" w:cs="Arial" w:eastAsia="Arial" w:hAnsi="Arial"/>
                <w:sz w:val="20"/>
                <w:szCs w:val="20"/>
                <w:color w:val="auto"/>
              </w:rPr>
              <w:t>2 (12.5)</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60"/>
              <w:spacing w:after="0"/>
              <w:rPr>
                <w:sz w:val="20"/>
                <w:szCs w:val="20"/>
                <w:color w:val="auto"/>
              </w:rPr>
            </w:pPr>
            <w:r>
              <w:rPr>
                <w:rFonts w:ascii="Arial" w:cs="Arial" w:eastAsia="Arial" w:hAnsi="Arial"/>
                <w:sz w:val="20"/>
                <w:szCs w:val="20"/>
                <w:color w:val="auto"/>
              </w:rPr>
              <w:t>Severe . . . . . . . . . . . . . . . . . .</w:t>
            </w:r>
          </w:p>
        </w:tc>
        <w:tc>
          <w:tcPr>
            <w:tcW w:w="460" w:type="dxa"/>
            <w:vAlign w:val="bottom"/>
          </w:tcPr>
          <w:p>
            <w:pPr>
              <w:spacing w:after="0"/>
              <w:rPr>
                <w:sz w:val="19"/>
                <w:szCs w:val="19"/>
                <w:color w:val="auto"/>
              </w:rPr>
            </w:pPr>
          </w:p>
        </w:tc>
        <w:tc>
          <w:tcPr>
            <w:tcW w:w="600" w:type="dxa"/>
            <w:vAlign w:val="bottom"/>
          </w:tcPr>
          <w:p>
            <w:pPr>
              <w:jc w:val="center"/>
              <w:ind w:right="340"/>
              <w:spacing w:after="0"/>
              <w:rPr>
                <w:sz w:val="20"/>
                <w:szCs w:val="20"/>
                <w:color w:val="auto"/>
              </w:rPr>
            </w:pPr>
            <w:r>
              <w:rPr>
                <w:rFonts w:ascii="Arial" w:cs="Arial" w:eastAsia="Arial" w:hAnsi="Arial"/>
                <w:sz w:val="20"/>
                <w:szCs w:val="20"/>
                <w:color w:val="auto"/>
              </w:rPr>
              <w:t>0</w:t>
            </w:r>
          </w:p>
        </w:tc>
        <w:tc>
          <w:tcPr>
            <w:tcW w:w="720" w:type="dxa"/>
            <w:vAlign w:val="bottom"/>
            <w:gridSpan w:val="3"/>
          </w:tcPr>
          <w:p>
            <w:pPr>
              <w:jc w:val="right"/>
              <w:spacing w:after="0"/>
              <w:rPr>
                <w:sz w:val="20"/>
                <w:szCs w:val="20"/>
                <w:color w:val="auto"/>
              </w:rPr>
            </w:pPr>
            <w:r>
              <w:rPr>
                <w:rFonts w:ascii="Arial" w:cs="Arial" w:eastAsia="Arial" w:hAnsi="Arial"/>
                <w:sz w:val="20"/>
                <w:szCs w:val="20"/>
                <w:color w:val="auto"/>
              </w:rPr>
              <w:t>2</w:t>
            </w:r>
          </w:p>
        </w:tc>
        <w:tc>
          <w:tcPr>
            <w:tcW w:w="740" w:type="dxa"/>
            <w:vAlign w:val="bottom"/>
          </w:tcPr>
          <w:p>
            <w:pPr>
              <w:ind w:left="40"/>
              <w:spacing w:after="0"/>
              <w:rPr>
                <w:sz w:val="20"/>
                <w:szCs w:val="20"/>
                <w:color w:val="auto"/>
              </w:rPr>
            </w:pPr>
            <w:r>
              <w:rPr>
                <w:rFonts w:ascii="Arial" w:cs="Arial" w:eastAsia="Arial" w:hAnsi="Arial"/>
                <w:sz w:val="20"/>
                <w:szCs w:val="20"/>
                <w:color w:val="auto"/>
              </w:rPr>
              <w:t>(7.7)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125"/>
              <w:spacing w:after="0"/>
              <w:rPr>
                <w:sz w:val="20"/>
                <w:szCs w:val="20"/>
                <w:color w:val="auto"/>
              </w:rPr>
            </w:pPr>
            <w:r>
              <w:rPr>
                <w:rFonts w:ascii="Arial" w:cs="Arial" w:eastAsia="Arial" w:hAnsi="Arial"/>
                <w:sz w:val="20"/>
                <w:szCs w:val="20"/>
                <w:color w:val="auto"/>
              </w:rPr>
              <w:t>0</w:t>
            </w:r>
          </w:p>
        </w:tc>
        <w:tc>
          <w:tcPr>
            <w:tcW w:w="1360" w:type="dxa"/>
            <w:vAlign w:val="bottom"/>
            <w:gridSpan w:val="2"/>
          </w:tcPr>
          <w:p>
            <w:pPr>
              <w:jc w:val="center"/>
              <w:ind w:left="20"/>
              <w:spacing w:after="0"/>
              <w:rPr>
                <w:sz w:val="20"/>
                <w:szCs w:val="20"/>
                <w:color w:val="auto"/>
              </w:rPr>
            </w:pPr>
            <w:r>
              <w:rPr>
                <w:rFonts w:ascii="Arial" w:cs="Arial" w:eastAsia="Arial" w:hAnsi="Arial"/>
                <w:sz w:val="20"/>
                <w:szCs w:val="20"/>
                <w:color w:val="auto"/>
              </w:rPr>
              <w:t>0</w:t>
            </w:r>
          </w:p>
        </w:tc>
        <w:tc>
          <w:tcPr>
            <w:tcW w:w="1360" w:type="dxa"/>
            <w:vAlign w:val="bottom"/>
            <w:gridSpan w:val="2"/>
          </w:tcPr>
          <w:p>
            <w:pPr>
              <w:jc w:val="center"/>
              <w:ind w:left="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60"/>
              <w:spacing w:after="0"/>
              <w:rPr>
                <w:sz w:val="20"/>
                <w:szCs w:val="20"/>
                <w:color w:val="auto"/>
              </w:rPr>
            </w:pPr>
            <w:r>
              <w:rPr>
                <w:rFonts w:ascii="Arial" w:cs="Arial" w:eastAsia="Arial" w:hAnsi="Arial"/>
                <w:sz w:val="20"/>
                <w:szCs w:val="20"/>
                <w:color w:val="auto"/>
              </w:rPr>
              <w:t>Any SAEs . . . . . . . . . . . . . . . .</w:t>
            </w:r>
          </w:p>
        </w:tc>
        <w:tc>
          <w:tcPr>
            <w:tcW w:w="460" w:type="dxa"/>
            <w:vAlign w:val="bottom"/>
          </w:tcPr>
          <w:p>
            <w:pPr>
              <w:jc w:val="right"/>
              <w:spacing w:after="0"/>
              <w:rPr>
                <w:sz w:val="20"/>
                <w:szCs w:val="20"/>
                <w:color w:val="auto"/>
              </w:rPr>
            </w:pPr>
            <w:r>
              <w:rPr>
                <w:rFonts w:ascii="Arial" w:cs="Arial" w:eastAsia="Arial" w:hAnsi="Arial"/>
                <w:sz w:val="20"/>
                <w:szCs w:val="20"/>
                <w:color w:val="auto"/>
              </w:rPr>
              <w:t>1</w:t>
            </w:r>
          </w:p>
        </w:tc>
        <w:tc>
          <w:tcPr>
            <w:tcW w:w="600" w:type="dxa"/>
            <w:vAlign w:val="bottom"/>
          </w:tcPr>
          <w:p>
            <w:pPr>
              <w:ind w:left="20"/>
              <w:spacing w:after="0"/>
              <w:rPr>
                <w:sz w:val="20"/>
                <w:szCs w:val="20"/>
                <w:color w:val="auto"/>
              </w:rPr>
            </w:pPr>
            <w:r>
              <w:rPr>
                <w:rFonts w:ascii="Arial" w:cs="Arial" w:eastAsia="Arial" w:hAnsi="Arial"/>
                <w:sz w:val="20"/>
                <w:szCs w:val="20"/>
                <w:color w:val="auto"/>
              </w:rPr>
              <w:t>(10)</w:t>
            </w:r>
          </w:p>
        </w:tc>
        <w:tc>
          <w:tcPr>
            <w:tcW w:w="720" w:type="dxa"/>
            <w:vAlign w:val="bottom"/>
            <w:gridSpan w:val="3"/>
          </w:tcPr>
          <w:p>
            <w:pPr>
              <w:jc w:val="right"/>
              <w:spacing w:after="0"/>
              <w:rPr>
                <w:sz w:val="20"/>
                <w:szCs w:val="20"/>
                <w:color w:val="auto"/>
              </w:rPr>
            </w:pPr>
            <w:r>
              <w:rPr>
                <w:rFonts w:ascii="Arial" w:cs="Arial" w:eastAsia="Arial" w:hAnsi="Arial"/>
                <w:sz w:val="20"/>
                <w:szCs w:val="20"/>
                <w:color w:val="auto"/>
              </w:rPr>
              <w:t>1</w:t>
            </w:r>
          </w:p>
        </w:tc>
        <w:tc>
          <w:tcPr>
            <w:tcW w:w="740" w:type="dxa"/>
            <w:vAlign w:val="bottom"/>
          </w:tcPr>
          <w:p>
            <w:pPr>
              <w:ind w:left="40"/>
              <w:spacing w:after="0"/>
              <w:rPr>
                <w:sz w:val="20"/>
                <w:szCs w:val="20"/>
                <w:color w:val="auto"/>
              </w:rPr>
            </w:pPr>
            <w:r>
              <w:rPr>
                <w:rFonts w:ascii="Arial" w:cs="Arial" w:eastAsia="Arial" w:hAnsi="Arial"/>
                <w:sz w:val="20"/>
                <w:szCs w:val="20"/>
                <w:color w:val="auto"/>
              </w:rPr>
              <w:t>(3.8)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125"/>
              <w:spacing w:after="0"/>
              <w:rPr>
                <w:sz w:val="20"/>
                <w:szCs w:val="20"/>
                <w:color w:val="auto"/>
              </w:rPr>
            </w:pPr>
            <w:r>
              <w:rPr>
                <w:rFonts w:ascii="Arial" w:cs="Arial" w:eastAsia="Arial" w:hAnsi="Arial"/>
                <w:sz w:val="20"/>
                <w:szCs w:val="20"/>
                <w:color w:val="auto"/>
              </w:rPr>
              <w:t>0</w:t>
            </w:r>
          </w:p>
        </w:tc>
        <w:tc>
          <w:tcPr>
            <w:tcW w:w="1360" w:type="dxa"/>
            <w:vAlign w:val="bottom"/>
            <w:gridSpan w:val="2"/>
          </w:tcPr>
          <w:p>
            <w:pPr>
              <w:jc w:val="center"/>
              <w:ind w:left="20"/>
              <w:spacing w:after="0"/>
              <w:rPr>
                <w:sz w:val="20"/>
                <w:szCs w:val="20"/>
                <w:color w:val="auto"/>
              </w:rPr>
            </w:pPr>
            <w:r>
              <w:rPr>
                <w:rFonts w:ascii="Arial" w:cs="Arial" w:eastAsia="Arial" w:hAnsi="Arial"/>
                <w:sz w:val="20"/>
                <w:szCs w:val="20"/>
                <w:color w:val="auto"/>
              </w:rPr>
              <w:t>0</w:t>
            </w:r>
          </w:p>
        </w:tc>
        <w:tc>
          <w:tcPr>
            <w:tcW w:w="1360" w:type="dxa"/>
            <w:vAlign w:val="bottom"/>
            <w:gridSpan w:val="2"/>
          </w:tcPr>
          <w:p>
            <w:pPr>
              <w:jc w:val="center"/>
              <w:ind w:left="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20"/>
                <w:szCs w:val="20"/>
                <w:color w:val="auto"/>
              </w:rPr>
              <w:t>Any SAEs related to study</w:t>
            </w:r>
          </w:p>
        </w:tc>
        <w:tc>
          <w:tcPr>
            <w:tcW w:w="460" w:type="dxa"/>
            <w:vAlign w:val="bottom"/>
          </w:tcPr>
          <w:p>
            <w:pPr>
              <w:spacing w:after="0"/>
              <w:rPr>
                <w:sz w:val="19"/>
                <w:szCs w:val="19"/>
                <w:color w:val="auto"/>
              </w:rPr>
            </w:pPr>
          </w:p>
        </w:tc>
        <w:tc>
          <w:tcPr>
            <w:tcW w:w="600" w:type="dxa"/>
            <w:vAlign w:val="bottom"/>
            <w:vMerge w:val="restart"/>
          </w:tcPr>
          <w:p>
            <w:pPr>
              <w:jc w:val="center"/>
              <w:ind w:right="340"/>
              <w:spacing w:after="0"/>
              <w:rPr>
                <w:sz w:val="20"/>
                <w:szCs w:val="20"/>
                <w:color w:val="auto"/>
              </w:rPr>
            </w:pPr>
            <w:r>
              <w:rPr>
                <w:rFonts w:ascii="Arial" w:cs="Arial" w:eastAsia="Arial" w:hAnsi="Arial"/>
                <w:sz w:val="20"/>
                <w:szCs w:val="20"/>
                <w:color w:val="auto"/>
              </w:rPr>
              <w:t>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vMerge w:val="restart"/>
          </w:tcPr>
          <w:p>
            <w:pPr>
              <w:jc w:val="center"/>
              <w:ind w:right="400"/>
              <w:spacing w:after="0"/>
              <w:rPr>
                <w:sz w:val="20"/>
                <w:szCs w:val="20"/>
                <w:color w:val="auto"/>
              </w:rPr>
            </w:pPr>
            <w:r>
              <w:rPr>
                <w:rFonts w:ascii="Arial" w:cs="Arial" w:eastAsia="Arial" w:hAnsi="Arial"/>
                <w:sz w:val="20"/>
                <w:szCs w:val="20"/>
                <w:color w:val="auto"/>
              </w:rPr>
              <w:t>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center"/>
              <w:ind w:right="125"/>
              <w:spacing w:after="0"/>
              <w:rPr>
                <w:sz w:val="20"/>
                <w:szCs w:val="20"/>
                <w:color w:val="auto"/>
              </w:rPr>
            </w:pPr>
            <w:r>
              <w:rPr>
                <w:rFonts w:ascii="Arial" w:cs="Arial" w:eastAsia="Arial" w:hAnsi="Arial"/>
                <w:sz w:val="20"/>
                <w:szCs w:val="20"/>
                <w:color w:val="auto"/>
              </w:rPr>
              <w:t>0</w:t>
            </w:r>
          </w:p>
        </w:tc>
        <w:tc>
          <w:tcPr>
            <w:tcW w:w="1360" w:type="dxa"/>
            <w:vAlign w:val="bottom"/>
            <w:gridSpan w:val="2"/>
            <w:vMerge w:val="restart"/>
          </w:tcPr>
          <w:p>
            <w:pPr>
              <w:jc w:val="center"/>
              <w:ind w:left="20"/>
              <w:spacing w:after="0"/>
              <w:rPr>
                <w:sz w:val="20"/>
                <w:szCs w:val="20"/>
                <w:color w:val="auto"/>
              </w:rPr>
            </w:pPr>
            <w:r>
              <w:rPr>
                <w:rFonts w:ascii="Arial" w:cs="Arial" w:eastAsia="Arial" w:hAnsi="Arial"/>
                <w:sz w:val="20"/>
                <w:szCs w:val="20"/>
                <w:color w:val="auto"/>
              </w:rPr>
              <w:t>0</w:t>
            </w:r>
          </w:p>
        </w:tc>
        <w:tc>
          <w:tcPr>
            <w:tcW w:w="1360" w:type="dxa"/>
            <w:vAlign w:val="bottom"/>
            <w:gridSpan w:val="2"/>
            <w:vMerge w:val="restart"/>
          </w:tcPr>
          <w:p>
            <w:pPr>
              <w:jc w:val="center"/>
              <w:ind w:left="2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72"/>
        </w:trPr>
        <w:tc>
          <w:tcPr>
            <w:tcW w:w="3120" w:type="dxa"/>
            <w:vAlign w:val="bottom"/>
            <w:gridSpan w:val="2"/>
          </w:tcPr>
          <w:p>
            <w:pPr>
              <w:ind w:left="160"/>
              <w:spacing w:after="0"/>
              <w:rPr>
                <w:sz w:val="20"/>
                <w:szCs w:val="20"/>
                <w:color w:val="auto"/>
              </w:rPr>
            </w:pPr>
            <w:r>
              <w:rPr>
                <w:rFonts w:ascii="Arial" w:cs="Arial" w:eastAsia="Arial" w:hAnsi="Arial"/>
                <w:sz w:val="20"/>
                <w:szCs w:val="20"/>
                <w:color w:val="auto"/>
              </w:rPr>
              <w:t>drug . . . . . . . . . . . . . . . . . . . . .</w:t>
            </w:r>
          </w:p>
        </w:tc>
        <w:tc>
          <w:tcPr>
            <w:tcW w:w="46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1360" w:type="dxa"/>
            <w:vAlign w:val="bottom"/>
            <w:gridSpan w:val="2"/>
            <w:vMerge w:val="continue"/>
          </w:tcPr>
          <w:p>
            <w:pPr>
              <w:spacing w:after="0"/>
              <w:rPr>
                <w:sz w:val="23"/>
                <w:szCs w:val="23"/>
                <w:color w:val="auto"/>
              </w:rPr>
            </w:pPr>
          </w:p>
        </w:tc>
        <w:tc>
          <w:tcPr>
            <w:tcW w:w="13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GSBR-1290 Efficacy results</w:t>
      </w:r>
    </w:p>
    <w:p>
      <w:pPr>
        <w:spacing w:after="0" w:line="231" w:lineRule="exact"/>
        <w:rPr>
          <w:sz w:val="20"/>
          <w:szCs w:val="20"/>
          <w:color w:val="auto"/>
        </w:rPr>
      </w:pPr>
    </w:p>
    <w:p>
      <w:pPr>
        <w:ind w:right="700"/>
        <w:spacing w:after="0" w:line="284" w:lineRule="auto"/>
        <w:rPr>
          <w:sz w:val="20"/>
          <w:szCs w:val="20"/>
          <w:color w:val="auto"/>
        </w:rPr>
      </w:pPr>
      <w:r>
        <w:rPr>
          <w:rFonts w:ascii="Arial" w:cs="Arial" w:eastAsia="Arial" w:hAnsi="Arial"/>
          <w:sz w:val="20"/>
          <w:szCs w:val="20"/>
          <w:color w:val="auto"/>
        </w:rPr>
        <w:t>GSBR-1290 demonstrated clinically meaningful activity in both T2DM and obesity cohorts, with results summarized as follows:</w:t>
      </w:r>
    </w:p>
    <w:p>
      <w:pPr>
        <w:spacing w:after="0" w:line="170" w:lineRule="exact"/>
        <w:rPr>
          <w:sz w:val="20"/>
          <w:szCs w:val="20"/>
          <w:color w:val="auto"/>
        </w:rPr>
      </w:pPr>
    </w:p>
    <w:p>
      <w:pPr>
        <w:ind w:left="720" w:right="80" w:hanging="353"/>
        <w:spacing w:after="0" w:line="254"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 the T2DM cohort, there was a statistically significant HbA1c reduction (-1.01 to -1.02%, placebo-adjusted) at Week 12 (Table 1). The study demonstrated a statistically significant and clinically meaningful reduction in weight at Week 12 (-3.26% to -3.51%, placebo-adjusted) (Table 2). Weight loss continued to decrease through Week 12.</w:t>
      </w:r>
    </w:p>
    <w:p>
      <w:pPr>
        <w:spacing w:after="0" w:line="80" w:lineRule="exact"/>
        <w:rPr>
          <w:rFonts w:ascii="Arial" w:cs="Arial" w:eastAsia="Arial" w:hAnsi="Arial"/>
          <w:sz w:val="20"/>
          <w:szCs w:val="20"/>
          <w:color w:val="auto"/>
        </w:rPr>
      </w:pPr>
    </w:p>
    <w:p>
      <w:pPr>
        <w:ind w:left="720" w:right="220" w:hanging="353"/>
        <w:spacing w:after="0" w:line="262"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Results of the interim analysis in the obesity cohort showed a statistically significant and clinically meaningful decrease in weight at Week 8 (-4.74%, placebo-adjusted) (Table 3). Weight loss continued to decrease throughout the eight weeks of treatment.</w:t>
      </w:r>
    </w:p>
    <w:p>
      <w:pPr>
        <w:sectPr>
          <w:pgSz w:w="11880" w:h="15480" w:orient="portrait"/>
          <w:cols w:equalWidth="0" w:num="1">
            <w:col w:w="9720"/>
          </w:cols>
          <w:pgMar w:left="1080" w:top="1066"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880" w:h="15480" w:orient="portrait"/>
          <w:cols w:equalWidth="0" w:num="1">
            <w:col w:w="9720"/>
          </w:cols>
          <w:pgMar w:left="1080" w:top="1066" w:right="1080" w:bottom="543" w:gutter="0" w:footer="0" w:header="0"/>
          <w:type w:val="continuous"/>
        </w:sectPr>
      </w:pPr>
    </w:p>
    <w:bookmarkStart w:id="32" w:name="page33"/>
    <w:bookmarkEnd w:id="32"/>
    <w:p>
      <w:pPr>
        <w:jc w:val="center"/>
        <w:ind w:right="1240"/>
        <w:spacing w:after="0" w:line="299" w:lineRule="auto"/>
        <w:rPr>
          <w:sz w:val="20"/>
          <w:szCs w:val="20"/>
          <w:color w:val="auto"/>
        </w:rPr>
      </w:pPr>
      <w:r>
        <w:rPr>
          <w:rFonts w:ascii="Arial" w:cs="Arial" w:eastAsia="Arial" w:hAnsi="Arial"/>
          <w:sz w:val="20"/>
          <w:szCs w:val="20"/>
          <w:color w:val="auto"/>
        </w:rPr>
        <w:t>Table 1: Diabetes cohort least square means difference (LSM) change in HbA1c from baseline to 12 weeks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180975</wp:posOffset>
                </wp:positionH>
                <wp:positionV relativeFrom="paragraph">
                  <wp:posOffset>-212725</wp:posOffset>
                </wp:positionV>
                <wp:extent cx="503237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32375" cy="4763"/>
                        </a:xfrm>
                        <a:prstGeom prst="line">
                          <a:avLst/>
                        </a:prstGeom>
                        <a:solidFill>
                          <a:srgbClr val="FFFFFF"/>
                        </a:solidFill>
                        <a:ln w="9144">
                          <a:solidFill>
                            <a:srgbClr val="030303"/>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16.7499pt" to="410.5pt,-16.7499pt" o:allowincell="f" strokecolor="#030303" strokeweight="0.72pt"/>
            </w:pict>
          </mc:Fallback>
        </mc:AlternateContent>
        <mc:AlternateContent>
          <mc:Choice Requires="wps">
            <w:drawing>
              <wp:anchor simplePos="0" relativeHeight="251657728" behindDoc="1" locked="0" layoutInCell="0" allowOverlap="1">
                <wp:simplePos x="0" y="0"/>
                <wp:positionH relativeFrom="column">
                  <wp:posOffset>1951990</wp:posOffset>
                </wp:positionH>
                <wp:positionV relativeFrom="paragraph">
                  <wp:posOffset>-57785</wp:posOffset>
                </wp:positionV>
                <wp:extent cx="148971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9710" cy="4763"/>
                        </a:xfrm>
                        <a:prstGeom prst="line">
                          <a:avLst/>
                        </a:prstGeom>
                        <a:solidFill>
                          <a:srgbClr val="FFFFFF"/>
                        </a:solidFill>
                        <a:ln w="9144">
                          <a:solidFill>
                            <a:srgbClr val="030303"/>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7pt,-4.5499pt" to="271pt,-4.5499pt" o:allowincell="f" strokecolor="#030303" strokeweight="0.72pt"/>
            </w:pict>
          </mc:Fallback>
        </mc:AlternateConten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GSBR-1290</w:t>
            </w:r>
          </w:p>
        </w:tc>
        <w:tc>
          <w:tcPr>
            <w:tcW w:w="180" w:type="dxa"/>
            <w:vAlign w:val="bottom"/>
          </w:tcPr>
          <w:p>
            <w:pPr>
              <w:spacing w:after="0"/>
              <w:rPr>
                <w:sz w:val="16"/>
                <w:szCs w:val="16"/>
                <w:color w:val="auto"/>
              </w:rPr>
            </w:pPr>
          </w:p>
        </w:tc>
        <w:tc>
          <w:tcPr>
            <w:tcW w:w="2040" w:type="dxa"/>
            <w:vAlign w:val="bottom"/>
            <w:gridSpan w:val="3"/>
          </w:tcPr>
          <w:p>
            <w:pPr>
              <w:ind w:left="1120"/>
              <w:spacing w:after="0"/>
              <w:rPr>
                <w:sz w:val="20"/>
                <w:szCs w:val="20"/>
                <w:color w:val="auto"/>
              </w:rPr>
            </w:pPr>
            <w:r>
              <w:rPr>
                <w:rFonts w:ascii="Arial" w:cs="Arial" w:eastAsia="Arial" w:hAnsi="Arial"/>
                <w:sz w:val="16"/>
                <w:szCs w:val="16"/>
                <w:b w:val="1"/>
                <w:bCs w:val="1"/>
                <w:color w:val="auto"/>
              </w:rPr>
              <w:t>GSBR-1290</w:t>
            </w:r>
          </w:p>
        </w:tc>
        <w:tc>
          <w:tcPr>
            <w:tcW w:w="1080" w:type="dxa"/>
            <w:vAlign w:val="bottom"/>
            <w:vMerge w:val="restart"/>
          </w:tcPr>
          <w:p>
            <w:pPr>
              <w:jc w:val="center"/>
              <w:ind w:right="293"/>
              <w:spacing w:after="0"/>
              <w:rPr>
                <w:sz w:val="20"/>
                <w:szCs w:val="20"/>
                <w:color w:val="auto"/>
              </w:rPr>
            </w:pPr>
            <w:r>
              <w:rPr>
                <w:rFonts w:ascii="Arial" w:cs="Arial" w:eastAsia="Arial" w:hAnsi="Arial"/>
                <w:sz w:val="16"/>
                <w:szCs w:val="16"/>
                <w:b w:val="1"/>
                <w:bCs w:val="1"/>
                <w:color w:val="auto"/>
                <w:w w:val="94"/>
              </w:rPr>
              <w:t>Placebo</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9"/>
              </w:rPr>
              <w:t>45 mg</w:t>
            </w:r>
          </w:p>
        </w:tc>
        <w:tc>
          <w:tcPr>
            <w:tcW w:w="180" w:type="dxa"/>
            <w:vAlign w:val="bottom"/>
          </w:tcPr>
          <w:p>
            <w:pPr>
              <w:spacing w:after="0"/>
              <w:rPr>
                <w:sz w:val="15"/>
                <w:szCs w:val="15"/>
                <w:color w:val="auto"/>
              </w:rPr>
            </w:pPr>
          </w:p>
        </w:tc>
        <w:tc>
          <w:tcPr>
            <w:tcW w:w="2040" w:type="dxa"/>
            <w:vAlign w:val="bottom"/>
            <w:gridSpan w:val="3"/>
          </w:tcPr>
          <w:p>
            <w:pPr>
              <w:jc w:val="center"/>
              <w:ind w:right="580"/>
              <w:spacing w:after="0"/>
              <w:rPr>
                <w:sz w:val="20"/>
                <w:szCs w:val="20"/>
                <w:color w:val="auto"/>
              </w:rPr>
            </w:pPr>
            <w:r>
              <w:rPr>
                <w:rFonts w:ascii="Arial" w:cs="Arial" w:eastAsia="Arial" w:hAnsi="Arial"/>
                <w:sz w:val="16"/>
                <w:szCs w:val="16"/>
                <w:b w:val="1"/>
                <w:bCs w:val="1"/>
                <w:color w:val="auto"/>
                <w:w w:val="99"/>
              </w:rPr>
              <w:t>90 mg</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960" w:type="dxa"/>
            <w:vAlign w:val="bottom"/>
            <w:vMerge w:val="restart"/>
          </w:tcPr>
          <w:p>
            <w:pPr>
              <w:jc w:val="right"/>
              <w:ind w:right="1280"/>
              <w:spacing w:after="0"/>
              <w:rPr>
                <w:sz w:val="20"/>
                <w:szCs w:val="20"/>
                <w:color w:val="auto"/>
              </w:rPr>
            </w:pPr>
            <w:r>
              <w:rPr>
                <w:rFonts w:ascii="Arial" w:cs="Arial" w:eastAsia="Arial" w:hAnsi="Arial"/>
                <w:sz w:val="20"/>
                <w:szCs w:val="20"/>
                <w:color w:val="auto"/>
              </w:rPr>
              <w:t>LSM HbA1c change from baseline (%)</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(n=10)</w:t>
            </w:r>
          </w:p>
        </w:tc>
        <w:tc>
          <w:tcPr>
            <w:tcW w:w="180" w:type="dxa"/>
            <w:vAlign w:val="bottom"/>
          </w:tcPr>
          <w:p>
            <w:pPr>
              <w:spacing w:after="0"/>
              <w:rPr>
                <w:sz w:val="17"/>
                <w:szCs w:val="17"/>
                <w:color w:val="auto"/>
              </w:rPr>
            </w:pPr>
          </w:p>
        </w:tc>
        <w:tc>
          <w:tcPr>
            <w:tcW w:w="2040" w:type="dxa"/>
            <w:vAlign w:val="bottom"/>
            <w:gridSpan w:val="3"/>
          </w:tcPr>
          <w:p>
            <w:pPr>
              <w:jc w:val="center"/>
              <w:ind w:right="560"/>
              <w:spacing w:after="0"/>
              <w:rPr>
                <w:sz w:val="20"/>
                <w:szCs w:val="20"/>
                <w:color w:val="auto"/>
              </w:rPr>
            </w:pPr>
            <w:r>
              <w:rPr>
                <w:rFonts w:ascii="Arial" w:cs="Arial" w:eastAsia="Arial" w:hAnsi="Arial"/>
                <w:sz w:val="16"/>
                <w:szCs w:val="16"/>
                <w:b w:val="1"/>
                <w:bCs w:val="1"/>
                <w:color w:val="auto"/>
              </w:rPr>
              <w:t>(n=26)</w:t>
            </w:r>
          </w:p>
        </w:tc>
        <w:tc>
          <w:tcPr>
            <w:tcW w:w="1080" w:type="dxa"/>
            <w:vAlign w:val="bottom"/>
          </w:tcPr>
          <w:p>
            <w:pPr>
              <w:jc w:val="center"/>
              <w:ind w:right="313"/>
              <w:spacing w:after="0"/>
              <w:rPr>
                <w:sz w:val="20"/>
                <w:szCs w:val="20"/>
                <w:color w:val="auto"/>
              </w:rPr>
            </w:pPr>
            <w:r>
              <w:rPr>
                <w:rFonts w:ascii="Arial" w:cs="Arial" w:eastAsia="Arial" w:hAnsi="Arial"/>
                <w:sz w:val="16"/>
                <w:szCs w:val="16"/>
                <w:b w:val="1"/>
                <w:bCs w:val="1"/>
                <w:color w:val="auto"/>
              </w:rPr>
              <w:t>(n=18)</w:t>
            </w:r>
          </w:p>
        </w:tc>
        <w:tc>
          <w:tcPr>
            <w:tcW w:w="0" w:type="dxa"/>
            <w:vAlign w:val="bottom"/>
          </w:tcPr>
          <w:p>
            <w:pPr>
              <w:spacing w:after="0"/>
              <w:rPr>
                <w:sz w:val="1"/>
                <w:szCs w:val="1"/>
                <w:color w:val="auto"/>
              </w:rPr>
            </w:pPr>
          </w:p>
        </w:tc>
      </w:tr>
      <w:tr>
        <w:trPr>
          <w:trHeight w:val="200"/>
        </w:trPr>
        <w:tc>
          <w:tcPr>
            <w:tcW w:w="4960" w:type="dxa"/>
            <w:vAlign w:val="bottom"/>
            <w:vMerge w:val="continue"/>
          </w:tcPr>
          <w:p>
            <w:pPr>
              <w:jc w:val="right"/>
              <w:ind w:right="180"/>
              <w:spacing w:after="0" w:line="178" w:lineRule="exact"/>
              <w:rPr>
                <w:sz w:val="20"/>
                <w:szCs w:val="20"/>
                <w:color w:val="auto"/>
              </w:rPr>
            </w:pPr>
            <w:r>
              <w:rPr>
                <w:rFonts w:ascii="Arial" w:cs="Arial" w:eastAsia="Arial" w:hAnsi="Arial"/>
                <w:sz w:val="20"/>
                <w:szCs w:val="20"/>
                <w:color w:val="auto"/>
              </w:rPr>
              <w:t>. . . . . . . . . . .</w:t>
            </w:r>
          </w:p>
        </w:tc>
        <w:tc>
          <w:tcPr>
            <w:tcW w:w="146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20"/>
                <w:szCs w:val="20"/>
                <w:color w:val="auto"/>
              </w:rPr>
              <w:t>-0.79</w:t>
            </w:r>
          </w:p>
        </w:tc>
        <w:tc>
          <w:tcPr>
            <w:tcW w:w="180" w:type="dxa"/>
            <w:vAlign w:val="bottom"/>
          </w:tcPr>
          <w:p>
            <w:pPr>
              <w:spacing w:after="0"/>
              <w:rPr>
                <w:sz w:val="17"/>
                <w:szCs w:val="17"/>
                <w:color w:val="auto"/>
              </w:rPr>
            </w:pPr>
          </w:p>
        </w:tc>
        <w:tc>
          <w:tcPr>
            <w:tcW w:w="146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20"/>
                <w:szCs w:val="20"/>
                <w:color w:val="auto"/>
              </w:rPr>
              <w:t>-0.84</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373"/>
              <w:spacing w:after="0" w:line="200" w:lineRule="exact"/>
              <w:rPr>
                <w:sz w:val="20"/>
                <w:szCs w:val="20"/>
                <w:color w:val="auto"/>
              </w:rPr>
            </w:pPr>
            <w:r>
              <w:rPr>
                <w:rFonts w:ascii="Arial" w:cs="Arial" w:eastAsia="Arial" w:hAnsi="Arial"/>
                <w:sz w:val="20"/>
                <w:szCs w:val="20"/>
                <w:color w:val="auto"/>
                <w:w w:val="97"/>
              </w:rPr>
              <w:t>0.18</w:t>
            </w:r>
          </w:p>
        </w:tc>
        <w:tc>
          <w:tcPr>
            <w:tcW w:w="0" w:type="dxa"/>
            <w:vAlign w:val="bottom"/>
          </w:tcPr>
          <w:p>
            <w:pPr>
              <w:spacing w:after="0"/>
              <w:rPr>
                <w:sz w:val="1"/>
                <w:szCs w:val="1"/>
                <w:color w:val="auto"/>
              </w:rPr>
            </w:pPr>
          </w:p>
        </w:tc>
      </w:tr>
      <w:tr>
        <w:trPr>
          <w:trHeight w:val="230"/>
        </w:trPr>
        <w:tc>
          <w:tcPr>
            <w:tcW w:w="4960" w:type="dxa"/>
            <w:vAlign w:val="bottom"/>
          </w:tcPr>
          <w:p>
            <w:pPr>
              <w:jc w:val="right"/>
              <w:ind w:right="180"/>
              <w:spacing w:after="0"/>
              <w:rPr>
                <w:sz w:val="20"/>
                <w:szCs w:val="20"/>
                <w:color w:val="auto"/>
              </w:rPr>
            </w:pPr>
            <w:r>
              <w:rPr>
                <w:rFonts w:ascii="Arial" w:cs="Arial" w:eastAsia="Arial" w:hAnsi="Arial"/>
                <w:sz w:val="20"/>
                <w:szCs w:val="20"/>
                <w:color w:val="auto"/>
              </w:rPr>
              <w:t>% HbA1c change placebo-adjusted (LSM, . . . . . . .</w:t>
            </w:r>
          </w:p>
        </w:tc>
        <w:tc>
          <w:tcPr>
            <w:tcW w:w="1460" w:type="dxa"/>
            <w:vAlign w:val="bottom"/>
          </w:tcPr>
          <w:p>
            <w:pPr>
              <w:jc w:val="center"/>
              <w:spacing w:after="0"/>
              <w:rPr>
                <w:sz w:val="20"/>
                <w:szCs w:val="20"/>
                <w:color w:val="auto"/>
              </w:rPr>
            </w:pPr>
            <w:r>
              <w:rPr>
                <w:rFonts w:ascii="Arial" w:cs="Arial" w:eastAsia="Arial" w:hAnsi="Arial"/>
                <w:sz w:val="20"/>
                <w:szCs w:val="20"/>
                <w:color w:val="auto"/>
              </w:rPr>
              <w:t>-1.01</w:t>
            </w:r>
          </w:p>
        </w:tc>
        <w:tc>
          <w:tcPr>
            <w:tcW w:w="1640" w:type="dxa"/>
            <w:vAlign w:val="bottom"/>
            <w:gridSpan w:val="2"/>
          </w:tcPr>
          <w:p>
            <w:pPr>
              <w:jc w:val="center"/>
              <w:ind w:left="40"/>
              <w:spacing w:after="0"/>
              <w:rPr>
                <w:sz w:val="20"/>
                <w:szCs w:val="20"/>
                <w:color w:val="auto"/>
              </w:rPr>
            </w:pPr>
            <w:r>
              <w:rPr>
                <w:rFonts w:ascii="Arial" w:cs="Arial" w:eastAsia="Arial" w:hAnsi="Arial"/>
                <w:sz w:val="20"/>
                <w:szCs w:val="20"/>
                <w:color w:val="auto"/>
              </w:rPr>
              <w:t>-1.02</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60" w:type="dxa"/>
            <w:vAlign w:val="bottom"/>
          </w:tcPr>
          <w:p>
            <w:pPr>
              <w:jc w:val="right"/>
              <w:ind w:right="180"/>
              <w:spacing w:after="0"/>
              <w:rPr>
                <w:sz w:val="20"/>
                <w:szCs w:val="20"/>
                <w:color w:val="auto"/>
              </w:rPr>
            </w:pPr>
            <w:r>
              <w:rPr>
                <w:rFonts w:ascii="Arial" w:cs="Arial" w:eastAsia="Arial" w:hAnsi="Arial"/>
                <w:sz w:val="20"/>
                <w:szCs w:val="20"/>
                <w:color w:val="auto"/>
              </w:rPr>
              <w:t>95% confidence interval (CI)) . . . . . . . . . . . . . . . . . .</w:t>
            </w:r>
          </w:p>
        </w:tc>
        <w:tc>
          <w:tcPr>
            <w:tcW w:w="1460" w:type="dxa"/>
            <w:vAlign w:val="bottom"/>
          </w:tcPr>
          <w:p>
            <w:pPr>
              <w:jc w:val="right"/>
              <w:ind w:right="69"/>
              <w:spacing w:after="0"/>
              <w:rPr>
                <w:sz w:val="20"/>
                <w:szCs w:val="20"/>
                <w:color w:val="auto"/>
              </w:rPr>
            </w:pPr>
            <w:r>
              <w:rPr>
                <w:rFonts w:ascii="Arial" w:cs="Arial" w:eastAsia="Arial" w:hAnsi="Arial"/>
                <w:sz w:val="20"/>
                <w:szCs w:val="20"/>
                <w:color w:val="auto"/>
              </w:rPr>
              <w:t>(-1.73, -0.29)</w:t>
            </w:r>
          </w:p>
        </w:tc>
        <w:tc>
          <w:tcPr>
            <w:tcW w:w="1640" w:type="dxa"/>
            <w:vAlign w:val="bottom"/>
            <w:gridSpan w:val="2"/>
          </w:tcPr>
          <w:p>
            <w:pPr>
              <w:jc w:val="right"/>
              <w:ind w:right="52"/>
              <w:spacing w:after="0"/>
              <w:rPr>
                <w:sz w:val="20"/>
                <w:szCs w:val="20"/>
                <w:color w:val="auto"/>
              </w:rPr>
            </w:pPr>
            <w:r>
              <w:rPr>
                <w:rFonts w:ascii="Arial" w:cs="Arial" w:eastAsia="Arial" w:hAnsi="Arial"/>
                <w:sz w:val="20"/>
                <w:szCs w:val="20"/>
                <w:color w:val="auto"/>
              </w:rPr>
              <w:t>(-1.59, -0.44)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4960" w:type="dxa"/>
            <w:vAlign w:val="bottom"/>
          </w:tcPr>
          <w:p>
            <w:pPr>
              <w:jc w:val="right"/>
              <w:ind w:right="180"/>
              <w:spacing w:after="0"/>
              <w:rPr>
                <w:sz w:val="20"/>
                <w:szCs w:val="20"/>
                <w:color w:val="auto"/>
              </w:rPr>
            </w:pPr>
            <w:r>
              <w:rPr>
                <w:rFonts w:ascii="Arial" w:cs="Arial" w:eastAsia="Arial" w:hAnsi="Arial"/>
                <w:sz w:val="20"/>
                <w:szCs w:val="20"/>
                <w:color w:val="auto"/>
              </w:rPr>
              <w:t>P-value vs. placebo . . . . . . . . . . . . . . . . . . . . . . . . . .</w:t>
            </w:r>
          </w:p>
        </w:tc>
        <w:tc>
          <w:tcPr>
            <w:tcW w:w="1460" w:type="dxa"/>
            <w:vAlign w:val="bottom"/>
          </w:tcPr>
          <w:p>
            <w:pPr>
              <w:jc w:val="center"/>
              <w:spacing w:after="0"/>
              <w:rPr>
                <w:sz w:val="20"/>
                <w:szCs w:val="20"/>
                <w:color w:val="auto"/>
              </w:rPr>
            </w:pPr>
            <w:r>
              <w:rPr>
                <w:rFonts w:ascii="Arial" w:cs="Arial" w:eastAsia="Arial" w:hAnsi="Arial"/>
                <w:sz w:val="20"/>
                <w:szCs w:val="20"/>
                <w:color w:val="auto"/>
              </w:rPr>
              <w:t>p= 0.008</w:t>
            </w:r>
          </w:p>
        </w:tc>
        <w:tc>
          <w:tcPr>
            <w:tcW w:w="180" w:type="dxa"/>
            <w:vAlign w:val="bottom"/>
          </w:tcPr>
          <w:p>
            <w:pPr>
              <w:spacing w:after="0"/>
              <w:rPr>
                <w:sz w:val="23"/>
                <w:szCs w:val="23"/>
                <w:color w:val="auto"/>
              </w:rPr>
            </w:pPr>
          </w:p>
        </w:tc>
        <w:tc>
          <w:tcPr>
            <w:tcW w:w="2040" w:type="dxa"/>
            <w:vAlign w:val="bottom"/>
            <w:gridSpan w:val="3"/>
          </w:tcPr>
          <w:p>
            <w:pPr>
              <w:jc w:val="center"/>
              <w:ind w:right="580"/>
              <w:spacing w:after="0"/>
              <w:rPr>
                <w:sz w:val="20"/>
                <w:szCs w:val="20"/>
                <w:color w:val="auto"/>
              </w:rPr>
            </w:pPr>
            <w:r>
              <w:rPr>
                <w:rFonts w:ascii="Arial" w:cs="Arial" w:eastAsia="Arial" w:hAnsi="Arial"/>
                <w:sz w:val="20"/>
                <w:szCs w:val="20"/>
                <w:color w:val="auto"/>
              </w:rPr>
              <w:t>p= 0.001</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380" w:hanging="404"/>
        <w:spacing w:after="0"/>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LSM, CI and p-value from Mixed Model for Repeated Measures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Table 2: Diabetes cohort LSM change in weight from baseline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1144270</wp:posOffset>
                </wp:positionH>
                <wp:positionV relativeFrom="paragraph">
                  <wp:posOffset>4445</wp:posOffset>
                </wp:positionV>
                <wp:extent cx="388302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83025" cy="4763"/>
                        </a:xfrm>
                        <a:prstGeom prst="line">
                          <a:avLst/>
                        </a:prstGeom>
                        <a:solidFill>
                          <a:srgbClr val="FFFFFF"/>
                        </a:solidFill>
                        <a:ln w="9143">
                          <a:solidFill>
                            <a:srgbClr val="030303"/>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0.1pt,0.35pt" to="395.85pt,0.35pt" o:allowincell="f" strokecolor="#030303" strokeweight="0.7199pt"/>
            </w:pict>
          </mc:Fallback>
        </mc:AlternateConten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GSBR-1290</w:t>
            </w:r>
          </w:p>
        </w:tc>
        <w:tc>
          <w:tcPr>
            <w:tcW w:w="180" w:type="dxa"/>
            <w:vAlign w:val="bottom"/>
          </w:tcPr>
          <w:p>
            <w:pPr>
              <w:spacing w:after="0"/>
              <w:rPr>
                <w:sz w:val="16"/>
                <w:szCs w:val="16"/>
                <w:color w:val="auto"/>
              </w:rPr>
            </w:pPr>
          </w:p>
        </w:tc>
        <w:tc>
          <w:tcPr>
            <w:tcW w:w="2040" w:type="dxa"/>
            <w:vAlign w:val="bottom"/>
            <w:gridSpan w:val="3"/>
          </w:tcPr>
          <w:p>
            <w:pPr>
              <w:ind w:left="1120"/>
              <w:spacing w:after="0"/>
              <w:rPr>
                <w:sz w:val="20"/>
                <w:szCs w:val="20"/>
                <w:color w:val="auto"/>
              </w:rPr>
            </w:pPr>
            <w:r>
              <w:rPr>
                <w:rFonts w:ascii="Arial" w:cs="Arial" w:eastAsia="Arial" w:hAnsi="Arial"/>
                <w:sz w:val="16"/>
                <w:szCs w:val="16"/>
                <w:b w:val="1"/>
                <w:bCs w:val="1"/>
                <w:color w:val="auto"/>
              </w:rPr>
              <w:t>GSBR-1290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9"/>
              </w:rPr>
              <w:t>45 mg</w:t>
            </w:r>
          </w:p>
        </w:tc>
        <w:tc>
          <w:tcPr>
            <w:tcW w:w="180" w:type="dxa"/>
            <w:vAlign w:val="bottom"/>
          </w:tcPr>
          <w:p>
            <w:pPr>
              <w:spacing w:after="0"/>
              <w:rPr>
                <w:sz w:val="15"/>
                <w:szCs w:val="15"/>
                <w:color w:val="auto"/>
              </w:rPr>
            </w:pPr>
          </w:p>
        </w:tc>
        <w:tc>
          <w:tcPr>
            <w:tcW w:w="204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w w:val="99"/>
              </w:rPr>
              <w:t>90 mg</w:t>
            </w:r>
          </w:p>
        </w:tc>
        <w:tc>
          <w:tcPr>
            <w:tcW w:w="1080" w:type="dxa"/>
            <w:vAlign w:val="bottom"/>
          </w:tcPr>
          <w:p>
            <w:pPr>
              <w:jc w:val="center"/>
              <w:ind w:right="328"/>
              <w:spacing w:after="0"/>
              <w:rPr>
                <w:sz w:val="20"/>
                <w:szCs w:val="20"/>
                <w:color w:val="auto"/>
              </w:rPr>
            </w:pPr>
            <w:r>
              <w:rPr>
                <w:rFonts w:ascii="Arial" w:cs="Arial" w:eastAsia="Arial" w:hAnsi="Arial"/>
                <w:sz w:val="16"/>
                <w:szCs w:val="16"/>
                <w:b w:val="1"/>
                <w:bCs w:val="1"/>
                <w:color w:val="auto"/>
                <w:w w:val="94"/>
              </w:rPr>
              <w:t>Placebo</w:t>
            </w:r>
          </w:p>
        </w:tc>
        <w:tc>
          <w:tcPr>
            <w:tcW w:w="0" w:type="dxa"/>
            <w:vAlign w:val="bottom"/>
          </w:tcPr>
          <w:p>
            <w:pPr>
              <w:spacing w:after="0"/>
              <w:rPr>
                <w:sz w:val="1"/>
                <w:szCs w:val="1"/>
                <w:color w:val="auto"/>
              </w:rPr>
            </w:pPr>
          </w:p>
        </w:tc>
      </w:tr>
      <w:tr>
        <w:trPr>
          <w:trHeight w:val="203"/>
        </w:trPr>
        <w:tc>
          <w:tcPr>
            <w:tcW w:w="4960" w:type="dxa"/>
            <w:vAlign w:val="bottom"/>
            <w:vMerge w:val="restart"/>
          </w:tcPr>
          <w:p>
            <w:pPr>
              <w:jc w:val="right"/>
              <w:ind w:right="1300"/>
              <w:spacing w:after="0"/>
              <w:rPr>
                <w:sz w:val="20"/>
                <w:szCs w:val="20"/>
                <w:color w:val="auto"/>
              </w:rPr>
            </w:pPr>
            <w:r>
              <w:rPr>
                <w:rFonts w:ascii="Arial" w:cs="Arial" w:eastAsia="Arial" w:hAnsi="Arial"/>
                <w:sz w:val="20"/>
                <w:szCs w:val="20"/>
                <w:color w:val="auto"/>
              </w:rPr>
              <w:t>LSM weight change from baseline (%)</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(n=10)</w:t>
            </w:r>
          </w:p>
        </w:tc>
        <w:tc>
          <w:tcPr>
            <w:tcW w:w="180" w:type="dxa"/>
            <w:vAlign w:val="bottom"/>
          </w:tcPr>
          <w:p>
            <w:pPr>
              <w:spacing w:after="0"/>
              <w:rPr>
                <w:sz w:val="17"/>
                <w:szCs w:val="17"/>
                <w:color w:val="auto"/>
              </w:rPr>
            </w:pPr>
          </w:p>
        </w:tc>
        <w:tc>
          <w:tcPr>
            <w:tcW w:w="2040" w:type="dxa"/>
            <w:vAlign w:val="bottom"/>
            <w:gridSpan w:val="3"/>
          </w:tcPr>
          <w:p>
            <w:pPr>
              <w:jc w:val="center"/>
              <w:ind w:right="560"/>
              <w:spacing w:after="0"/>
              <w:rPr>
                <w:sz w:val="20"/>
                <w:szCs w:val="20"/>
                <w:color w:val="auto"/>
              </w:rPr>
            </w:pPr>
            <w:r>
              <w:rPr>
                <w:rFonts w:ascii="Arial" w:cs="Arial" w:eastAsia="Arial" w:hAnsi="Arial"/>
                <w:sz w:val="16"/>
                <w:szCs w:val="16"/>
                <w:b w:val="1"/>
                <w:bCs w:val="1"/>
                <w:color w:val="auto"/>
              </w:rPr>
              <w:t>(n=26)</w:t>
            </w:r>
          </w:p>
        </w:tc>
        <w:tc>
          <w:tcPr>
            <w:tcW w:w="1080" w:type="dxa"/>
            <w:vAlign w:val="bottom"/>
          </w:tcPr>
          <w:p>
            <w:pPr>
              <w:jc w:val="center"/>
              <w:ind w:right="308"/>
              <w:spacing w:after="0"/>
              <w:rPr>
                <w:sz w:val="20"/>
                <w:szCs w:val="20"/>
                <w:color w:val="auto"/>
              </w:rPr>
            </w:pPr>
            <w:r>
              <w:rPr>
                <w:rFonts w:ascii="Arial" w:cs="Arial" w:eastAsia="Arial" w:hAnsi="Arial"/>
                <w:sz w:val="16"/>
                <w:szCs w:val="16"/>
                <w:b w:val="1"/>
                <w:bCs w:val="1"/>
                <w:color w:val="auto"/>
              </w:rPr>
              <w:t>(n=18)</w:t>
            </w:r>
          </w:p>
        </w:tc>
        <w:tc>
          <w:tcPr>
            <w:tcW w:w="0" w:type="dxa"/>
            <w:vAlign w:val="bottom"/>
          </w:tcPr>
          <w:p>
            <w:pPr>
              <w:spacing w:after="0"/>
              <w:rPr>
                <w:sz w:val="1"/>
                <w:szCs w:val="1"/>
                <w:color w:val="auto"/>
              </w:rPr>
            </w:pPr>
          </w:p>
        </w:tc>
      </w:tr>
      <w:tr>
        <w:trPr>
          <w:trHeight w:val="199"/>
        </w:trPr>
        <w:tc>
          <w:tcPr>
            <w:tcW w:w="4960" w:type="dxa"/>
            <w:vAlign w:val="bottom"/>
            <w:vMerge w:val="continue"/>
          </w:tcPr>
          <w:p>
            <w:pPr>
              <w:jc w:val="right"/>
              <w:ind w:right="180"/>
              <w:spacing w:after="0" w:line="178" w:lineRule="exact"/>
              <w:rPr>
                <w:sz w:val="20"/>
                <w:szCs w:val="20"/>
                <w:color w:val="auto"/>
              </w:rPr>
            </w:pPr>
            <w:r>
              <w:rPr>
                <w:rFonts w:ascii="Arial" w:cs="Arial" w:eastAsia="Arial" w:hAnsi="Arial"/>
                <w:sz w:val="20"/>
                <w:szCs w:val="20"/>
                <w:color w:val="auto"/>
              </w:rPr>
              <w:t>. . . . . . . . . . .</w:t>
            </w:r>
          </w:p>
        </w:tc>
        <w:tc>
          <w:tcPr>
            <w:tcW w:w="146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20"/>
                <w:szCs w:val="20"/>
                <w:color w:val="auto"/>
              </w:rPr>
              <w:t>-3.32</w:t>
            </w:r>
          </w:p>
        </w:tc>
        <w:tc>
          <w:tcPr>
            <w:tcW w:w="18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20"/>
                <w:szCs w:val="20"/>
                <w:color w:val="auto"/>
              </w:rPr>
              <w:t>-3.22</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368"/>
              <w:spacing w:after="0" w:line="199" w:lineRule="exact"/>
              <w:rPr>
                <w:sz w:val="20"/>
                <w:szCs w:val="20"/>
                <w:color w:val="auto"/>
              </w:rPr>
            </w:pPr>
            <w:r>
              <w:rPr>
                <w:rFonts w:ascii="Arial" w:cs="Arial" w:eastAsia="Arial" w:hAnsi="Arial"/>
                <w:sz w:val="20"/>
                <w:szCs w:val="20"/>
                <w:color w:val="auto"/>
                <w:w w:val="97"/>
              </w:rPr>
              <w:t>0.04</w:t>
            </w:r>
          </w:p>
        </w:tc>
        <w:tc>
          <w:tcPr>
            <w:tcW w:w="0" w:type="dxa"/>
            <w:vAlign w:val="bottom"/>
          </w:tcPr>
          <w:p>
            <w:pPr>
              <w:spacing w:after="0"/>
              <w:rPr>
                <w:sz w:val="1"/>
                <w:szCs w:val="1"/>
                <w:color w:val="auto"/>
              </w:rPr>
            </w:pPr>
          </w:p>
        </w:tc>
      </w:tr>
      <w:tr>
        <w:trPr>
          <w:trHeight w:val="230"/>
        </w:trPr>
        <w:tc>
          <w:tcPr>
            <w:tcW w:w="4960" w:type="dxa"/>
            <w:vAlign w:val="bottom"/>
          </w:tcPr>
          <w:p>
            <w:pPr>
              <w:jc w:val="right"/>
              <w:ind w:right="180"/>
              <w:spacing w:after="0"/>
              <w:rPr>
                <w:sz w:val="20"/>
                <w:szCs w:val="20"/>
                <w:color w:val="auto"/>
              </w:rPr>
            </w:pPr>
            <w:r>
              <w:rPr>
                <w:rFonts w:ascii="Arial" w:cs="Arial" w:eastAsia="Arial" w:hAnsi="Arial"/>
                <w:sz w:val="20"/>
                <w:szCs w:val="20"/>
                <w:color w:val="auto"/>
              </w:rPr>
              <w:t>% weight change placebo-adjusted (LSM,. . . . . . . .</w:t>
            </w:r>
          </w:p>
        </w:tc>
        <w:tc>
          <w:tcPr>
            <w:tcW w:w="1460" w:type="dxa"/>
            <w:vAlign w:val="bottom"/>
          </w:tcPr>
          <w:p>
            <w:pPr>
              <w:jc w:val="center"/>
              <w:spacing w:after="0"/>
              <w:rPr>
                <w:sz w:val="20"/>
                <w:szCs w:val="20"/>
                <w:color w:val="auto"/>
              </w:rPr>
            </w:pPr>
            <w:r>
              <w:rPr>
                <w:rFonts w:ascii="Arial" w:cs="Arial" w:eastAsia="Arial" w:hAnsi="Arial"/>
                <w:sz w:val="20"/>
                <w:szCs w:val="20"/>
                <w:color w:val="auto"/>
              </w:rPr>
              <w:t>-3.51</w:t>
            </w:r>
          </w:p>
        </w:tc>
        <w:tc>
          <w:tcPr>
            <w:tcW w:w="1640" w:type="dxa"/>
            <w:vAlign w:val="bottom"/>
            <w:gridSpan w:val="2"/>
          </w:tcPr>
          <w:p>
            <w:pPr>
              <w:jc w:val="center"/>
              <w:ind w:left="40"/>
              <w:spacing w:after="0"/>
              <w:rPr>
                <w:sz w:val="20"/>
                <w:szCs w:val="20"/>
                <w:color w:val="auto"/>
              </w:rPr>
            </w:pPr>
            <w:r>
              <w:rPr>
                <w:rFonts w:ascii="Arial" w:cs="Arial" w:eastAsia="Arial" w:hAnsi="Arial"/>
                <w:sz w:val="20"/>
                <w:szCs w:val="20"/>
                <w:color w:val="auto"/>
              </w:rPr>
              <w:t>-3.26</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center"/>
              <w:ind w:right="348"/>
              <w:spacing w:after="0"/>
              <w:rPr>
                <w:sz w:val="20"/>
                <w:szCs w:val="20"/>
                <w:color w:val="auto"/>
              </w:rPr>
            </w:pPr>
            <w:r>
              <w:rPr>
                <w:rFonts w:ascii="Arial" w:cs="Arial" w:eastAsia="Arial" w:hAnsi="Arial"/>
                <w:sz w:val="20"/>
                <w:szCs w:val="20"/>
                <w:color w:val="auto"/>
                <w:w w:val="99"/>
              </w:rPr>
              <w:t>—</w:t>
            </w:r>
          </w:p>
        </w:tc>
        <w:tc>
          <w:tcPr>
            <w:tcW w:w="0" w:type="dxa"/>
            <w:vAlign w:val="bottom"/>
          </w:tcPr>
          <w:p>
            <w:pPr>
              <w:spacing w:after="0"/>
              <w:rPr>
                <w:sz w:val="1"/>
                <w:szCs w:val="1"/>
                <w:color w:val="auto"/>
              </w:rPr>
            </w:pPr>
          </w:p>
        </w:tc>
      </w:tr>
      <w:tr>
        <w:trPr>
          <w:trHeight w:val="230"/>
        </w:trPr>
        <w:tc>
          <w:tcPr>
            <w:tcW w:w="4960" w:type="dxa"/>
            <w:vAlign w:val="bottom"/>
          </w:tcPr>
          <w:p>
            <w:pPr>
              <w:jc w:val="right"/>
              <w:ind w:right="140"/>
              <w:spacing w:after="0"/>
              <w:rPr>
                <w:sz w:val="20"/>
                <w:szCs w:val="20"/>
                <w:color w:val="auto"/>
              </w:rPr>
            </w:pPr>
            <w:r>
              <w:rPr>
                <w:rFonts w:ascii="Arial" w:cs="Arial" w:eastAsia="Arial" w:hAnsi="Arial"/>
                <w:sz w:val="20"/>
                <w:szCs w:val="20"/>
                <w:color w:val="auto"/>
                <w:w w:val="99"/>
              </w:rPr>
              <w:t>95% CI) . . . . . . . . . . . . . . . . . . . . . . . . . . . . . . . . . . . .</w:t>
            </w:r>
          </w:p>
        </w:tc>
        <w:tc>
          <w:tcPr>
            <w:tcW w:w="1460" w:type="dxa"/>
            <w:vAlign w:val="bottom"/>
          </w:tcPr>
          <w:p>
            <w:pPr>
              <w:jc w:val="right"/>
              <w:ind w:right="69"/>
              <w:spacing w:after="0"/>
              <w:rPr>
                <w:sz w:val="20"/>
                <w:szCs w:val="20"/>
                <w:color w:val="auto"/>
              </w:rPr>
            </w:pPr>
            <w:r>
              <w:rPr>
                <w:rFonts w:ascii="Arial" w:cs="Arial" w:eastAsia="Arial" w:hAnsi="Arial"/>
                <w:sz w:val="20"/>
                <w:szCs w:val="20"/>
                <w:color w:val="auto"/>
              </w:rPr>
              <w:t>(-5.58, -1.43)</w:t>
            </w:r>
          </w:p>
        </w:tc>
        <w:tc>
          <w:tcPr>
            <w:tcW w:w="1640" w:type="dxa"/>
            <w:vAlign w:val="bottom"/>
            <w:gridSpan w:val="2"/>
          </w:tcPr>
          <w:p>
            <w:pPr>
              <w:jc w:val="right"/>
              <w:ind w:right="52"/>
              <w:spacing w:after="0"/>
              <w:rPr>
                <w:sz w:val="20"/>
                <w:szCs w:val="20"/>
                <w:color w:val="auto"/>
              </w:rPr>
            </w:pPr>
            <w:r>
              <w:rPr>
                <w:rFonts w:ascii="Arial" w:cs="Arial" w:eastAsia="Arial" w:hAnsi="Arial"/>
                <w:sz w:val="20"/>
                <w:szCs w:val="20"/>
                <w:color w:val="auto"/>
              </w:rPr>
              <w:t>(-5.17, -1.36)</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960" w:type="dxa"/>
            <w:vAlign w:val="bottom"/>
          </w:tcPr>
          <w:p>
            <w:pPr>
              <w:jc w:val="right"/>
              <w:ind w:right="180"/>
              <w:spacing w:after="0"/>
              <w:rPr>
                <w:sz w:val="20"/>
                <w:szCs w:val="20"/>
                <w:color w:val="auto"/>
              </w:rPr>
            </w:pPr>
            <w:r>
              <w:rPr>
                <w:rFonts w:ascii="Arial" w:cs="Arial" w:eastAsia="Arial" w:hAnsi="Arial"/>
                <w:sz w:val="20"/>
                <w:szCs w:val="20"/>
                <w:color w:val="auto"/>
                <w:w w:val="98"/>
              </w:rPr>
              <w:t>P-value vs. placebo . . . . . . . . . . . . . . . . . . . . . . . . . . .</w:t>
            </w:r>
          </w:p>
        </w:tc>
        <w:tc>
          <w:tcPr>
            <w:tcW w:w="1460" w:type="dxa"/>
            <w:vAlign w:val="bottom"/>
          </w:tcPr>
          <w:p>
            <w:pPr>
              <w:jc w:val="center"/>
              <w:spacing w:after="0"/>
              <w:rPr>
                <w:sz w:val="20"/>
                <w:szCs w:val="20"/>
                <w:color w:val="auto"/>
              </w:rPr>
            </w:pPr>
            <w:r>
              <w:rPr>
                <w:rFonts w:ascii="Arial" w:cs="Arial" w:eastAsia="Arial" w:hAnsi="Arial"/>
                <w:sz w:val="20"/>
                <w:szCs w:val="20"/>
                <w:color w:val="auto"/>
              </w:rPr>
              <w:t>p= 0.0019</w:t>
            </w:r>
          </w:p>
        </w:tc>
        <w:tc>
          <w:tcPr>
            <w:tcW w:w="180" w:type="dxa"/>
            <w:vAlign w:val="bottom"/>
          </w:tcPr>
          <w:p>
            <w:pPr>
              <w:spacing w:after="0"/>
              <w:rPr>
                <w:sz w:val="23"/>
                <w:szCs w:val="23"/>
                <w:color w:val="auto"/>
              </w:rPr>
            </w:pPr>
          </w:p>
        </w:tc>
        <w:tc>
          <w:tcPr>
            <w:tcW w:w="2040" w:type="dxa"/>
            <w:vAlign w:val="bottom"/>
            <w:gridSpan w:val="3"/>
          </w:tcPr>
          <w:p>
            <w:pPr>
              <w:jc w:val="center"/>
              <w:ind w:right="580"/>
              <w:spacing w:after="0"/>
              <w:rPr>
                <w:sz w:val="20"/>
                <w:szCs w:val="20"/>
                <w:color w:val="auto"/>
              </w:rPr>
            </w:pPr>
            <w:r>
              <w:rPr>
                <w:rFonts w:ascii="Arial" w:cs="Arial" w:eastAsia="Arial" w:hAnsi="Arial"/>
                <w:sz w:val="20"/>
                <w:szCs w:val="20"/>
                <w:color w:val="auto"/>
              </w:rPr>
              <w:t>p= 0.0013</w:t>
            </w:r>
          </w:p>
        </w:tc>
        <w:tc>
          <w:tcPr>
            <w:tcW w:w="1080" w:type="dxa"/>
            <w:vAlign w:val="bottom"/>
          </w:tcPr>
          <w:p>
            <w:pPr>
              <w:jc w:val="center"/>
              <w:ind w:right="348"/>
              <w:spacing w:after="0"/>
              <w:rPr>
                <w:sz w:val="20"/>
                <w:szCs w:val="20"/>
                <w:color w:val="auto"/>
              </w:rPr>
            </w:pPr>
            <w:r>
              <w:rPr>
                <w:rFonts w:ascii="Arial" w:cs="Arial" w:eastAsia="Arial" w:hAnsi="Arial"/>
                <w:sz w:val="20"/>
                <w:szCs w:val="20"/>
                <w:color w:val="auto"/>
                <w:w w:val="99"/>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380" w:hanging="404"/>
        <w:spacing w:after="0"/>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LSM, CI and p-value from Mixed Model for Repeated Measures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Table 3: Obesity Cohort LSM change in weight from baseline (%) 8 week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937260</wp:posOffset>
                </wp:positionH>
                <wp:positionV relativeFrom="paragraph">
                  <wp:posOffset>4445</wp:posOffset>
                </wp:positionV>
                <wp:extent cx="429831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8315" cy="4763"/>
                        </a:xfrm>
                        <a:prstGeom prst="line">
                          <a:avLst/>
                        </a:prstGeom>
                        <a:solidFill>
                          <a:srgbClr val="FFFFFF"/>
                        </a:solidFill>
                        <a:ln w="9144">
                          <a:solidFill>
                            <a:srgbClr val="030303"/>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8pt,0.35pt" to="412.25pt,0.35pt" o:allowincell="f" strokecolor="#030303" strokeweight="0.72pt"/>
            </w:pict>
          </mc:Fallback>
        </mc:AlternateContent>
      </w:r>
    </w:p>
    <w:p>
      <w:pPr>
        <w:jc w:val="center"/>
        <w:spacing w:after="0"/>
        <w:rPr>
          <w:sz w:val="20"/>
          <w:szCs w:val="20"/>
          <w:color w:val="auto"/>
        </w:rPr>
      </w:pPr>
      <w:r>
        <w:rPr>
          <w:rFonts w:ascii="Arial" w:cs="Arial" w:eastAsia="Arial" w:hAnsi="Arial"/>
          <w:sz w:val="20"/>
          <w:szCs w:val="20"/>
          <w:color w:val="auto"/>
        </w:rPr>
        <w:t>interim results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2671445</wp:posOffset>
                </wp:positionH>
                <wp:positionV relativeFrom="paragraph">
                  <wp:posOffset>4445</wp:posOffset>
                </wp:positionV>
                <wp:extent cx="82994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945" cy="4763"/>
                        </a:xfrm>
                        <a:prstGeom prst="line">
                          <a:avLst/>
                        </a:prstGeom>
                        <a:solidFill>
                          <a:srgbClr val="FFFFFF"/>
                        </a:solidFill>
                        <a:ln w="9144">
                          <a:solidFill>
                            <a:srgbClr val="030303"/>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35pt,0.35pt" to="275.7pt,0.35pt" o:allowincell="f" strokecolor="#030303" strokeweight="0.72pt"/>
            </w:pict>
          </mc:Fallback>
        </mc:AlternateConten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00" w:type="dxa"/>
            <w:vAlign w:val="bottom"/>
          </w:tcPr>
          <w:p>
            <w:pPr>
              <w:spacing w:after="0"/>
              <w:rPr>
                <w:sz w:val="17"/>
                <w:szCs w:val="17"/>
                <w:color w:val="auto"/>
              </w:rPr>
            </w:pPr>
          </w:p>
        </w:tc>
        <w:tc>
          <w:tcPr>
            <w:tcW w:w="2040" w:type="dxa"/>
            <w:vAlign w:val="bottom"/>
            <w:tcBorders>
              <w:bottom w:val="single" w:sz="8" w:color="auto"/>
            </w:tcBorders>
            <w:gridSpan w:val="3"/>
          </w:tcPr>
          <w:p>
            <w:pPr>
              <w:ind w:left="1140"/>
              <w:spacing w:after="0"/>
              <w:rPr>
                <w:sz w:val="20"/>
                <w:szCs w:val="20"/>
                <w:color w:val="auto"/>
              </w:rPr>
            </w:pPr>
            <w:r>
              <w:rPr>
                <w:rFonts w:ascii="Arial" w:cs="Arial" w:eastAsia="Arial" w:hAnsi="Arial"/>
                <w:sz w:val="16"/>
                <w:szCs w:val="16"/>
                <w:b w:val="1"/>
                <w:bCs w:val="1"/>
                <w:color w:val="auto"/>
              </w:rPr>
              <w:t>GSBR-1290</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2040" w:type="dxa"/>
            <w:vAlign w:val="bottom"/>
            <w:gridSpan w:val="3"/>
          </w:tcPr>
          <w:p>
            <w:pPr>
              <w:jc w:val="center"/>
              <w:ind w:right="580"/>
              <w:spacing w:after="0" w:line="156" w:lineRule="exact"/>
              <w:rPr>
                <w:sz w:val="20"/>
                <w:szCs w:val="20"/>
                <w:color w:val="auto"/>
              </w:rPr>
            </w:pPr>
            <w:r>
              <w:rPr>
                <w:rFonts w:ascii="Arial" w:cs="Arial" w:eastAsia="Arial" w:hAnsi="Arial"/>
                <w:sz w:val="16"/>
                <w:szCs w:val="16"/>
                <w:b w:val="1"/>
                <w:bCs w:val="1"/>
                <w:color w:val="auto"/>
                <w:w w:val="97"/>
              </w:rPr>
              <w:t>120 mg</w:t>
            </w:r>
          </w:p>
        </w:tc>
        <w:tc>
          <w:tcPr>
            <w:tcW w:w="1080" w:type="dxa"/>
            <w:vAlign w:val="bottom"/>
          </w:tcPr>
          <w:p>
            <w:pPr>
              <w:jc w:val="center"/>
              <w:ind w:right="293"/>
              <w:spacing w:after="0" w:line="156" w:lineRule="exact"/>
              <w:rPr>
                <w:sz w:val="20"/>
                <w:szCs w:val="20"/>
                <w:color w:val="auto"/>
              </w:rPr>
            </w:pPr>
            <w:r>
              <w:rPr>
                <w:rFonts w:ascii="Arial" w:cs="Arial" w:eastAsia="Arial" w:hAnsi="Arial"/>
                <w:sz w:val="16"/>
                <w:szCs w:val="16"/>
                <w:b w:val="1"/>
                <w:bCs w:val="1"/>
                <w:color w:val="auto"/>
                <w:w w:val="94"/>
              </w:rPr>
              <w:t>Placebo</w:t>
            </w:r>
          </w:p>
        </w:tc>
        <w:tc>
          <w:tcPr>
            <w:tcW w:w="0" w:type="dxa"/>
            <w:vAlign w:val="bottom"/>
          </w:tcPr>
          <w:p>
            <w:pPr>
              <w:spacing w:after="0"/>
              <w:rPr>
                <w:sz w:val="1"/>
                <w:szCs w:val="1"/>
                <w:color w:val="auto"/>
              </w:rPr>
            </w:pPr>
          </w:p>
        </w:tc>
      </w:tr>
      <w:tr>
        <w:trPr>
          <w:trHeight w:val="202"/>
        </w:trPr>
        <w:tc>
          <w:tcPr>
            <w:tcW w:w="6600" w:type="dxa"/>
            <w:vAlign w:val="bottom"/>
            <w:vMerge w:val="restart"/>
          </w:tcPr>
          <w:p>
            <w:pPr>
              <w:jc w:val="right"/>
              <w:ind w:right="2940"/>
              <w:spacing w:after="0"/>
              <w:rPr>
                <w:sz w:val="20"/>
                <w:szCs w:val="20"/>
                <w:color w:val="auto"/>
              </w:rPr>
            </w:pPr>
            <w:r>
              <w:rPr>
                <w:rFonts w:ascii="Arial" w:cs="Arial" w:eastAsia="Arial" w:hAnsi="Arial"/>
                <w:sz w:val="20"/>
                <w:szCs w:val="20"/>
                <w:color w:val="auto"/>
              </w:rPr>
              <w:t>LSM weight change from baseline (%)</w:t>
            </w:r>
          </w:p>
        </w:tc>
        <w:tc>
          <w:tcPr>
            <w:tcW w:w="2040" w:type="dxa"/>
            <w:vAlign w:val="bottom"/>
            <w:gridSpan w:val="3"/>
          </w:tcPr>
          <w:p>
            <w:pPr>
              <w:jc w:val="center"/>
              <w:ind w:right="560"/>
              <w:spacing w:after="0"/>
              <w:rPr>
                <w:sz w:val="20"/>
                <w:szCs w:val="20"/>
                <w:color w:val="auto"/>
              </w:rPr>
            </w:pPr>
            <w:r>
              <w:rPr>
                <w:rFonts w:ascii="Arial" w:cs="Arial" w:eastAsia="Arial" w:hAnsi="Arial"/>
                <w:sz w:val="16"/>
                <w:szCs w:val="16"/>
                <w:b w:val="1"/>
                <w:bCs w:val="1"/>
                <w:color w:val="auto"/>
              </w:rPr>
              <w:t>(n=24)</w:t>
            </w:r>
          </w:p>
        </w:tc>
        <w:tc>
          <w:tcPr>
            <w:tcW w:w="1080" w:type="dxa"/>
            <w:vAlign w:val="bottom"/>
          </w:tcPr>
          <w:p>
            <w:pPr>
              <w:jc w:val="center"/>
              <w:ind w:right="313"/>
              <w:spacing w:after="0"/>
              <w:rPr>
                <w:sz w:val="20"/>
                <w:szCs w:val="20"/>
                <w:color w:val="auto"/>
              </w:rPr>
            </w:pPr>
            <w:r>
              <w:rPr>
                <w:rFonts w:ascii="Arial" w:cs="Arial" w:eastAsia="Arial" w:hAnsi="Arial"/>
                <w:sz w:val="16"/>
                <w:szCs w:val="16"/>
                <w:b w:val="1"/>
                <w:bCs w:val="1"/>
                <w:color w:val="auto"/>
              </w:rPr>
              <w:t>(n=16)</w:t>
            </w:r>
          </w:p>
        </w:tc>
        <w:tc>
          <w:tcPr>
            <w:tcW w:w="0" w:type="dxa"/>
            <w:vAlign w:val="bottom"/>
          </w:tcPr>
          <w:p>
            <w:pPr>
              <w:spacing w:after="0"/>
              <w:rPr>
                <w:sz w:val="1"/>
                <w:szCs w:val="1"/>
                <w:color w:val="auto"/>
              </w:rPr>
            </w:pPr>
          </w:p>
        </w:tc>
      </w:tr>
      <w:tr>
        <w:trPr>
          <w:trHeight w:val="200"/>
        </w:trPr>
        <w:tc>
          <w:tcPr>
            <w:tcW w:w="6600" w:type="dxa"/>
            <w:vAlign w:val="bottom"/>
            <w:vMerge w:val="continue"/>
          </w:tcPr>
          <w:p>
            <w:pPr>
              <w:jc w:val="right"/>
              <w:ind w:right="160"/>
              <w:spacing w:after="0" w:line="178" w:lineRule="exact"/>
              <w:rPr>
                <w:sz w:val="20"/>
                <w:szCs w:val="20"/>
                <w:color w:val="auto"/>
              </w:rPr>
            </w:pPr>
            <w:r>
              <w:rPr>
                <w:rFonts w:ascii="Arial" w:cs="Arial" w:eastAsia="Arial" w:hAnsi="Arial"/>
                <w:sz w:val="20"/>
                <w:szCs w:val="20"/>
                <w:color w:val="auto"/>
              </w:rPr>
              <w:t>. . . . . . . . . . . . . . . . . . . . . . . . . . .</w:t>
            </w:r>
          </w:p>
        </w:tc>
        <w:tc>
          <w:tcPr>
            <w:tcW w:w="1460" w:type="dxa"/>
            <w:vAlign w:val="bottom"/>
            <w:tcBorders>
              <w:top w:val="single" w:sz="8" w:color="auto"/>
            </w:tcBorders>
          </w:tcPr>
          <w:p>
            <w:pPr>
              <w:jc w:val="right"/>
              <w:ind w:right="489"/>
              <w:spacing w:after="0" w:line="200" w:lineRule="exact"/>
              <w:rPr>
                <w:sz w:val="20"/>
                <w:szCs w:val="20"/>
                <w:color w:val="auto"/>
              </w:rPr>
            </w:pPr>
            <w:r>
              <w:rPr>
                <w:rFonts w:ascii="Arial" w:cs="Arial" w:eastAsia="Arial" w:hAnsi="Arial"/>
                <w:sz w:val="20"/>
                <w:szCs w:val="20"/>
                <w:color w:val="auto"/>
              </w:rPr>
              <w:t>-5.5</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373"/>
              <w:spacing w:after="0" w:line="200" w:lineRule="exact"/>
              <w:rPr>
                <w:sz w:val="20"/>
                <w:szCs w:val="20"/>
                <w:color w:val="auto"/>
              </w:rPr>
            </w:pPr>
            <w:r>
              <w:rPr>
                <w:rFonts w:ascii="Arial" w:cs="Arial" w:eastAsia="Arial" w:hAnsi="Arial"/>
                <w:sz w:val="20"/>
                <w:szCs w:val="20"/>
                <w:color w:val="auto"/>
              </w:rPr>
              <w:t>-0.82</w:t>
            </w:r>
          </w:p>
        </w:tc>
        <w:tc>
          <w:tcPr>
            <w:tcW w:w="0" w:type="dxa"/>
            <w:vAlign w:val="bottom"/>
          </w:tcPr>
          <w:p>
            <w:pPr>
              <w:spacing w:after="0"/>
              <w:rPr>
                <w:sz w:val="1"/>
                <w:szCs w:val="1"/>
                <w:color w:val="auto"/>
              </w:rPr>
            </w:pPr>
          </w:p>
        </w:tc>
      </w:tr>
      <w:tr>
        <w:trPr>
          <w:trHeight w:val="230"/>
        </w:trPr>
        <w:tc>
          <w:tcPr>
            <w:tcW w:w="6600" w:type="dxa"/>
            <w:vAlign w:val="bottom"/>
          </w:tcPr>
          <w:p>
            <w:pPr>
              <w:jc w:val="right"/>
              <w:ind w:right="160"/>
              <w:spacing w:after="0"/>
              <w:rPr>
                <w:sz w:val="20"/>
                <w:szCs w:val="20"/>
                <w:color w:val="auto"/>
              </w:rPr>
            </w:pPr>
            <w:r>
              <w:rPr>
                <w:rFonts w:ascii="Arial" w:cs="Arial" w:eastAsia="Arial" w:hAnsi="Arial"/>
                <w:sz w:val="20"/>
                <w:szCs w:val="20"/>
                <w:color w:val="auto"/>
              </w:rPr>
              <w:t>% weight change placebo-adjusted (LSM, 90% . . . . . . . . . . . . . . . . . . .</w:t>
            </w:r>
          </w:p>
        </w:tc>
        <w:tc>
          <w:tcPr>
            <w:tcW w:w="1460" w:type="dxa"/>
            <w:vAlign w:val="bottom"/>
          </w:tcPr>
          <w:p>
            <w:pPr>
              <w:jc w:val="right"/>
              <w:ind w:right="429"/>
              <w:spacing w:after="0"/>
              <w:rPr>
                <w:sz w:val="20"/>
                <w:szCs w:val="20"/>
                <w:color w:val="auto"/>
              </w:rPr>
            </w:pPr>
            <w:r>
              <w:rPr>
                <w:rFonts w:ascii="Arial" w:cs="Arial" w:eastAsia="Arial" w:hAnsi="Arial"/>
                <w:sz w:val="20"/>
                <w:szCs w:val="20"/>
                <w:color w:val="auto"/>
              </w:rPr>
              <w:t>-4.74</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0" w:type="dxa"/>
            <w:vAlign w:val="bottom"/>
          </w:tcPr>
          <w:p>
            <w:pPr>
              <w:jc w:val="right"/>
              <w:ind w:right="200"/>
              <w:spacing w:after="0"/>
              <w:rPr>
                <w:sz w:val="20"/>
                <w:szCs w:val="20"/>
                <w:color w:val="auto"/>
              </w:rPr>
            </w:pPr>
            <w:r>
              <w:rPr>
                <w:rFonts w:ascii="Arial" w:cs="Arial" w:eastAsia="Arial" w:hAnsi="Arial"/>
                <w:sz w:val="20"/>
                <w:szCs w:val="20"/>
                <w:color w:val="auto"/>
                <w:w w:val="96"/>
              </w:rPr>
              <w:t>CI) . . . . . . . . . . . . . . . . . . . . . . . . . . . . . . . . . . . . . . . . . . . . . . . . . . . . . . . .</w:t>
            </w:r>
          </w:p>
        </w:tc>
        <w:tc>
          <w:tcPr>
            <w:tcW w:w="1460" w:type="dxa"/>
            <w:vAlign w:val="bottom"/>
          </w:tcPr>
          <w:p>
            <w:pPr>
              <w:jc w:val="right"/>
              <w:ind w:right="49"/>
              <w:spacing w:after="0"/>
              <w:rPr>
                <w:sz w:val="20"/>
                <w:szCs w:val="20"/>
                <w:color w:val="auto"/>
              </w:rPr>
            </w:pPr>
            <w:r>
              <w:rPr>
                <w:rFonts w:ascii="Arial" w:cs="Arial" w:eastAsia="Arial" w:hAnsi="Arial"/>
                <w:sz w:val="20"/>
                <w:szCs w:val="20"/>
                <w:color w:val="auto"/>
              </w:rPr>
              <w:t>(-6.74, -3.10)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6600" w:type="dxa"/>
            <w:vAlign w:val="bottom"/>
          </w:tcPr>
          <w:p>
            <w:pPr>
              <w:jc w:val="right"/>
              <w:ind w:right="160"/>
              <w:spacing w:after="0"/>
              <w:rPr>
                <w:sz w:val="20"/>
                <w:szCs w:val="20"/>
                <w:color w:val="auto"/>
              </w:rPr>
            </w:pPr>
            <w:r>
              <w:rPr>
                <w:rFonts w:ascii="Arial" w:cs="Arial" w:eastAsia="Arial" w:hAnsi="Arial"/>
                <w:sz w:val="20"/>
                <w:szCs w:val="20"/>
                <w:color w:val="auto"/>
                <w:w w:val="96"/>
              </w:rPr>
              <w:t>P-value vs. placebo . . . . . . . . . . . . . . . . . . . . . . . . . . . . . . . . . . . . . . . . . . .</w:t>
            </w:r>
          </w:p>
        </w:tc>
        <w:tc>
          <w:tcPr>
            <w:tcW w:w="2040" w:type="dxa"/>
            <w:vAlign w:val="bottom"/>
            <w:gridSpan w:val="3"/>
          </w:tcPr>
          <w:p>
            <w:pPr>
              <w:jc w:val="center"/>
              <w:ind w:right="580"/>
              <w:spacing w:after="0"/>
              <w:rPr>
                <w:sz w:val="20"/>
                <w:szCs w:val="20"/>
                <w:color w:val="auto"/>
              </w:rPr>
            </w:pPr>
            <w:r>
              <w:rPr>
                <w:rFonts w:ascii="Arial" w:cs="Arial" w:eastAsia="Arial" w:hAnsi="Arial"/>
                <w:sz w:val="20"/>
                <w:szCs w:val="20"/>
                <w:color w:val="auto"/>
              </w:rPr>
              <w:t>p&lt; 0.0001</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GSBR-1290 Phase 1 Japanese Bridging Study</w:t>
      </w:r>
    </w:p>
    <w:p>
      <w:pPr>
        <w:spacing w:after="0" w:line="231"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color w:val="auto"/>
        </w:rPr>
        <w:t>The 4-week Phase 1 Japanese ethnobridging study included healthy lean Japanese participants randomized to GSBR-1290 (n=9) and placebo (n=3), and healthy lean non-Japanese participants receiving GSBR-1290 (n=6). GSBR-1290 demonstrated a substantial weight reduction in Japanese participants (-3.91% on GSBR-1290 vs - 1.67% placebo) and in non- Japanese participants (-5.13% not placebo-adjusted), with no discontinuations or dose reductions, and no SAEs. These data will be used for regulatory interactions in Japan in preparation for potential future global studies of GSBR-1290.</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GSBR-1290 Six- and Nine-Month Toxicology Studies</w:t>
      </w:r>
    </w:p>
    <w:p>
      <w:pPr>
        <w:spacing w:after="0" w:line="231" w:lineRule="exact"/>
        <w:rPr>
          <w:sz w:val="20"/>
          <w:szCs w:val="20"/>
          <w:color w:val="auto"/>
        </w:rPr>
      </w:pPr>
    </w:p>
    <w:p>
      <w:pPr>
        <w:ind w:right="300"/>
        <w:spacing w:after="0" w:line="254" w:lineRule="auto"/>
        <w:rPr>
          <w:sz w:val="20"/>
          <w:szCs w:val="20"/>
          <w:color w:val="auto"/>
        </w:rPr>
      </w:pPr>
      <w:r>
        <w:rPr>
          <w:rFonts w:ascii="Arial" w:cs="Arial" w:eastAsia="Arial" w:hAnsi="Arial"/>
          <w:sz w:val="20"/>
          <w:szCs w:val="20"/>
          <w:color w:val="auto"/>
        </w:rPr>
        <w:t>In preparation for Phase 2b development with longer durations of treatment, we have completed six-month (rodent) and nine-month (non-human primate) toxicology studies to evaluate the safety of GSBR-1290. No major findings were observed in either study, with no test article-related changes observed in the liver, including ALT/AST, at all doses, and a more than 100 fold safety window at the 120 mg therapeutic dose.</w:t>
      </w:r>
    </w:p>
    <w:p>
      <w:pPr>
        <w:sectPr>
          <w:pgSz w:w="11880" w:h="15480" w:orient="portrait"/>
          <w:cols w:equalWidth="0" w:num="1">
            <w:col w:w="9720"/>
          </w:cols>
          <w:pgMar w:left="1080" w:top="1065"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880" w:h="15480" w:orient="portrait"/>
          <w:cols w:equalWidth="0" w:num="1">
            <w:col w:w="9720"/>
          </w:cols>
          <w:pgMar w:left="1080" w:top="1065" w:right="1080" w:bottom="543" w:gutter="0" w:footer="0" w:header="0"/>
          <w:type w:val="continuous"/>
        </w:sectPr>
      </w:pPr>
    </w:p>
    <w:bookmarkStart w:id="33" w:name="page34"/>
    <w:bookmarkEnd w:id="33"/>
    <w:p>
      <w:pPr>
        <w:spacing w:after="0"/>
        <w:rPr>
          <w:sz w:val="20"/>
          <w:szCs w:val="20"/>
          <w:color w:val="auto"/>
        </w:rPr>
      </w:pPr>
      <w:r>
        <w:rPr>
          <w:rFonts w:ascii="Arial" w:cs="Arial" w:eastAsia="Arial" w:hAnsi="Arial"/>
          <w:sz w:val="20"/>
          <w:szCs w:val="20"/>
          <w:i w:val="1"/>
          <w:iCs w:val="1"/>
          <w:color w:val="auto"/>
        </w:rPr>
        <w:t>Amylin Receptor Agonist - Combination GLP-1R Program</w:t>
      </w:r>
    </w:p>
    <w:p>
      <w:pPr>
        <w:spacing w:after="0" w:line="231" w:lineRule="exact"/>
        <w:rPr>
          <w:sz w:val="20"/>
          <w:szCs w:val="20"/>
          <w:color w:val="auto"/>
        </w:rPr>
      </w:pPr>
    </w:p>
    <w:p>
      <w:pPr>
        <w:ind w:right="240"/>
        <w:spacing w:after="0" w:line="254" w:lineRule="auto"/>
        <w:rPr>
          <w:sz w:val="20"/>
          <w:szCs w:val="20"/>
          <w:color w:val="auto"/>
        </w:rPr>
      </w:pPr>
      <w:r>
        <w:rPr>
          <w:rFonts w:ascii="Arial" w:cs="Arial" w:eastAsia="Arial" w:hAnsi="Arial"/>
          <w:sz w:val="20"/>
          <w:szCs w:val="20"/>
          <w:color w:val="auto"/>
        </w:rPr>
        <w:t xml:space="preserve">Amylin is co-secreted with insulin from </w:t>
      </w:r>
      <w:r>
        <w:rPr>
          <w:rFonts w:ascii="Arial" w:cs="Arial" w:eastAsia="Arial" w:hAnsi="Arial"/>
          <w:sz w:val="20"/>
          <w:szCs w:val="20"/>
          <w:color w:val="auto"/>
        </w:rPr>
        <w:t>β</w:t>
      </w:r>
      <w:r>
        <w:rPr>
          <w:rFonts w:ascii="Arial" w:cs="Arial" w:eastAsia="Arial" w:hAnsi="Arial"/>
          <w:sz w:val="20"/>
          <w:szCs w:val="20"/>
          <w:color w:val="auto"/>
        </w:rPr>
        <w:t xml:space="preserve"> pancreatic cells upon nutrient delivery to the small intestine as a satiety signal, acts upon sub-cortical homeostatic and hedonic brain regions, slows gastric emptying, and suppresses post-prandial glucagon responses to meals. Therefore, new pharmacological amylin analogues can be used as potential anti-obesity medications in individuals who are overweight or obese.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Amylin tool compound showed add-on effects when used with semaglutide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2149475</wp:posOffset>
            </wp:positionV>
            <wp:extent cx="60960" cy="548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0960" cy="548640"/>
                    </a:xfrm>
                    <a:prstGeom prst="rect">
                      <a:avLst/>
                    </a:prstGeom>
                    <a:noFill/>
                  </pic:spPr>
                </pic:pic>
              </a:graphicData>
            </a:graphic>
          </wp:anchor>
        </w:drawing>
        <w:drawing>
          <wp:anchor simplePos="0" relativeHeight="251657728" behindDoc="1" locked="0" layoutInCell="0" allowOverlap="1">
            <wp:simplePos x="0" y="0"/>
            <wp:positionH relativeFrom="column">
              <wp:posOffset>1732915</wp:posOffset>
            </wp:positionH>
            <wp:positionV relativeFrom="paragraph">
              <wp:posOffset>2150745</wp:posOffset>
            </wp:positionV>
            <wp:extent cx="60960" cy="530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0960" cy="53022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2149475</wp:posOffset>
            </wp:positionV>
            <wp:extent cx="133985" cy="539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3985" cy="53975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2149475</wp:posOffset>
            </wp:positionV>
            <wp:extent cx="115570" cy="539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15570" cy="53975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2149475</wp:posOffset>
            </wp:positionV>
            <wp:extent cx="133985" cy="548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3985" cy="548640"/>
                    </a:xfrm>
                    <a:prstGeom prst="rect">
                      <a:avLst/>
                    </a:prstGeom>
                    <a:noFill/>
                  </pic:spPr>
                </pic:pic>
              </a:graphicData>
            </a:graphic>
          </wp:anchor>
        </w:drawing>
        <w:drawing>
          <wp:anchor simplePos="0" relativeHeight="251657728" behindDoc="1" locked="0" layoutInCell="0" allowOverlap="1">
            <wp:simplePos x="0" y="0"/>
            <wp:positionH relativeFrom="column">
              <wp:posOffset>887095</wp:posOffset>
            </wp:positionH>
            <wp:positionV relativeFrom="paragraph">
              <wp:posOffset>1986915</wp:posOffset>
            </wp:positionV>
            <wp:extent cx="133985" cy="548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3985" cy="548640"/>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1986915</wp:posOffset>
            </wp:positionV>
            <wp:extent cx="42545" cy="548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42545" cy="548640"/>
                    </a:xfrm>
                    <a:prstGeom prst="rect">
                      <a:avLst/>
                    </a:prstGeom>
                    <a:noFill/>
                  </pic:spPr>
                </pic:pic>
              </a:graphicData>
            </a:graphic>
          </wp:anchor>
        </w:drawing>
        <w:drawing>
          <wp:anchor simplePos="0" relativeHeight="251657728" behindDoc="1" locked="0" layoutInCell="0" allowOverlap="1">
            <wp:simplePos x="0" y="0"/>
            <wp:positionH relativeFrom="column">
              <wp:posOffset>887095</wp:posOffset>
            </wp:positionH>
            <wp:positionV relativeFrom="paragraph">
              <wp:posOffset>1781810</wp:posOffset>
            </wp:positionV>
            <wp:extent cx="133985" cy="548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3985" cy="548640"/>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1781810</wp:posOffset>
            </wp:positionV>
            <wp:extent cx="36830" cy="548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36830" cy="548640"/>
                    </a:xfrm>
                    <a:prstGeom prst="rect">
                      <a:avLst/>
                    </a:prstGeom>
                    <a:noFill/>
                  </pic:spPr>
                </pic:pic>
              </a:graphicData>
            </a:graphic>
          </wp:anchor>
        </w:drawing>
        <w:drawing>
          <wp:anchor simplePos="0" relativeHeight="251657728" behindDoc="1" locked="0" layoutInCell="0" allowOverlap="1">
            <wp:simplePos x="0" y="0"/>
            <wp:positionH relativeFrom="column">
              <wp:posOffset>887095</wp:posOffset>
            </wp:positionH>
            <wp:positionV relativeFrom="paragraph">
              <wp:posOffset>1577975</wp:posOffset>
            </wp:positionV>
            <wp:extent cx="133985" cy="548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3985" cy="548640"/>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1577975</wp:posOffset>
            </wp:positionV>
            <wp:extent cx="42545" cy="548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42545" cy="548640"/>
                    </a:xfrm>
                    <a:prstGeom prst="rect">
                      <a:avLst/>
                    </a:prstGeom>
                    <a:noFill/>
                  </pic:spPr>
                </pic:pic>
              </a:graphicData>
            </a:graphic>
          </wp:anchor>
        </w:drawing>
        <w:drawing>
          <wp:anchor simplePos="0" relativeHeight="251657728" behindDoc="1" locked="0" layoutInCell="0" allowOverlap="1">
            <wp:simplePos x="0" y="0"/>
            <wp:positionH relativeFrom="column">
              <wp:posOffset>887095</wp:posOffset>
            </wp:positionH>
            <wp:positionV relativeFrom="paragraph">
              <wp:posOffset>1372870</wp:posOffset>
            </wp:positionV>
            <wp:extent cx="133985" cy="548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3985" cy="548640"/>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1372870</wp:posOffset>
            </wp:positionV>
            <wp:extent cx="36830" cy="548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36830" cy="548640"/>
                    </a:xfrm>
                    <a:prstGeom prst="rect">
                      <a:avLst/>
                    </a:prstGeom>
                    <a:noFill/>
                  </pic:spPr>
                </pic:pic>
              </a:graphicData>
            </a:graphic>
          </wp:anchor>
        </w:drawing>
        <w:drawing>
          <wp:anchor simplePos="0" relativeHeight="251657728" behindDoc="1" locked="0" layoutInCell="0" allowOverlap="1">
            <wp:simplePos x="0" y="0"/>
            <wp:positionH relativeFrom="column">
              <wp:posOffset>887095</wp:posOffset>
            </wp:positionH>
            <wp:positionV relativeFrom="paragraph">
              <wp:posOffset>1167765</wp:posOffset>
            </wp:positionV>
            <wp:extent cx="133985" cy="548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3985" cy="548640"/>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1167765</wp:posOffset>
            </wp:positionV>
            <wp:extent cx="42545" cy="548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42545" cy="548640"/>
                    </a:xfrm>
                    <a:prstGeom prst="rect">
                      <a:avLst/>
                    </a:prstGeom>
                    <a:noFill/>
                  </pic:spPr>
                </pic:pic>
              </a:graphicData>
            </a:graphic>
          </wp:anchor>
        </w:drawing>
        <w:drawing>
          <wp:anchor simplePos="0" relativeHeight="251657728" behindDoc="1" locked="0" layoutInCell="0" allowOverlap="1">
            <wp:simplePos x="0" y="0"/>
            <wp:positionH relativeFrom="column">
              <wp:posOffset>887095</wp:posOffset>
            </wp:positionH>
            <wp:positionV relativeFrom="paragraph">
              <wp:posOffset>963930</wp:posOffset>
            </wp:positionV>
            <wp:extent cx="133985" cy="548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3985" cy="548640"/>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963930</wp:posOffset>
            </wp:positionV>
            <wp:extent cx="36830" cy="548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36830" cy="548640"/>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760095</wp:posOffset>
            </wp:positionV>
            <wp:extent cx="103505" cy="539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03505" cy="539750"/>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554355</wp:posOffset>
            </wp:positionV>
            <wp:extent cx="60960" cy="548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0960" cy="54864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351155</wp:posOffset>
            </wp:positionV>
            <wp:extent cx="60960" cy="539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0960" cy="539750"/>
                    </a:xfrm>
                    <a:prstGeom prst="rect">
                      <a:avLst/>
                    </a:prstGeom>
                    <a:noFill/>
                  </pic:spPr>
                </pic:pic>
              </a:graphicData>
            </a:graphic>
          </wp:anchor>
        </w:drawing>
        <w:drawing>
          <wp:anchor simplePos="0" relativeHeight="251657728" behindDoc="1" locked="0" layoutInCell="0" allowOverlap="1">
            <wp:simplePos x="0" y="0"/>
            <wp:positionH relativeFrom="column">
              <wp:posOffset>1078230</wp:posOffset>
            </wp:positionH>
            <wp:positionV relativeFrom="paragraph">
              <wp:posOffset>361950</wp:posOffset>
            </wp:positionV>
            <wp:extent cx="2576830" cy="1739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8">
                      <a:extLst>
                        <a:ext uri="{28A0092B-C50C-407E-A947-70E740481C1C}"/>
                      </a:extLst>
                    </a:blip>
                    <a:srcRect/>
                    <a:stretch>
                      <a:fillRect/>
                    </a:stretch>
                  </pic:blipFill>
                  <pic:spPr bwMode="auto">
                    <a:xfrm>
                      <a:off x="0" y="0"/>
                      <a:ext cx="2576830" cy="1739900"/>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607060</wp:posOffset>
            </wp:positionV>
            <wp:extent cx="91440" cy="808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91440" cy="80899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607060</wp:posOffset>
            </wp:positionV>
            <wp:extent cx="42545" cy="808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42545" cy="808990"/>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1416050</wp:posOffset>
            </wp:positionV>
            <wp:extent cx="91440" cy="808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91440" cy="80899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1416050</wp:posOffset>
            </wp:positionV>
            <wp:extent cx="42545" cy="808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42545" cy="808990"/>
                    </a:xfrm>
                    <a:prstGeom prst="rect">
                      <a:avLst/>
                    </a:prstGeom>
                    <a:noFill/>
                  </pic:spPr>
                </pic:pic>
              </a:graphicData>
            </a:graphic>
          </wp:anchor>
        </w:drawing>
        <w:drawing>
          <wp:anchor simplePos="0" relativeHeight="251657728" behindDoc="1" locked="0" layoutInCell="0" allowOverlap="1">
            <wp:simplePos x="0" y="0"/>
            <wp:positionH relativeFrom="column">
              <wp:posOffset>1828800</wp:posOffset>
            </wp:positionH>
            <wp:positionV relativeFrom="paragraph">
              <wp:posOffset>2302510</wp:posOffset>
            </wp:positionV>
            <wp:extent cx="792480" cy="95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92480" cy="9588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2302510</wp:posOffset>
            </wp:positionV>
            <wp:extent cx="353695" cy="95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353695" cy="95885"/>
                    </a:xfrm>
                    <a:prstGeom prst="rect">
                      <a:avLst/>
                    </a:prstGeom>
                    <a:noFill/>
                  </pic:spPr>
                </pic:pic>
              </a:graphicData>
            </a:graphic>
          </wp:anchor>
        </w:drawing>
        <w:drawing>
          <wp:anchor simplePos="0" relativeHeight="251657728" behindDoc="1" locked="0" layoutInCell="0" allowOverlap="1">
            <wp:simplePos x="0" y="0"/>
            <wp:positionH relativeFrom="column">
              <wp:posOffset>1828800</wp:posOffset>
            </wp:positionH>
            <wp:positionV relativeFrom="paragraph">
              <wp:posOffset>2398395</wp:posOffset>
            </wp:positionV>
            <wp:extent cx="792480" cy="95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92480" cy="9588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2398395</wp:posOffset>
            </wp:positionV>
            <wp:extent cx="353695" cy="95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353695" cy="9588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345440</wp:posOffset>
            </wp:positionV>
            <wp:extent cx="328930" cy="2241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328930" cy="2241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1936750</wp:posOffset>
            </wp:positionV>
            <wp:extent cx="1016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8">
                      <a:extLst>
                        <a:ext uri="{28A0092B-C50C-407E-A947-70E740481C1C}"/>
                      </a:extLst>
                    </a:blip>
                    <a:srcRect/>
                    <a:stretch>
                      <a:fillRect/>
                    </a:stretch>
                  </pic:blipFill>
                  <pic:spPr bwMode="auto">
                    <a:xfrm>
                      <a:off x="0" y="0"/>
                      <a:ext cx="1016635"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1819910</wp:posOffset>
            </wp:positionV>
            <wp:extent cx="664210" cy="114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9">
                      <a:clrChange>
                        <a:clrFrom>
                          <a:srgbClr val="000000"/>
                        </a:clrFrom>
                        <a:clrTo>
                          <a:srgbClr val="000000">
                            <a:alpha val="0"/>
                          </a:srgbClr>
                        </a:clrTo>
                      </a:clrChange>
                      <a:extLst>
                        <a:ext uri="{28A0092B-C50C-407E-A947-70E740481C1C}"/>
                      </a:extLst>
                    </a:blip>
                    <a:srcRect/>
                    <a:stretch>
                      <a:fillRect/>
                    </a:stretch>
                  </pic:blipFill>
                  <pic:spPr bwMode="auto">
                    <a:xfrm>
                      <a:off x="0" y="0"/>
                      <a:ext cx="664210" cy="114300"/>
                    </a:xfrm>
                    <a:prstGeom prst="rect">
                      <a:avLst/>
                    </a:prstGeom>
                    <a:noFill/>
                  </pic:spPr>
                </pic:pic>
              </a:graphicData>
            </a:graphic>
          </wp:anchor>
        </w:drawing>
        <w:drawing>
          <wp:anchor simplePos="0" relativeHeight="251657728" behindDoc="1" locked="0" layoutInCell="0" allowOverlap="1">
            <wp:simplePos x="0" y="0"/>
            <wp:positionH relativeFrom="column">
              <wp:posOffset>2118360</wp:posOffset>
            </wp:positionH>
            <wp:positionV relativeFrom="paragraph">
              <wp:posOffset>1819910</wp:posOffset>
            </wp:positionV>
            <wp:extent cx="128270" cy="114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0">
                      <a:clrChange>
                        <a:clrFrom>
                          <a:srgbClr val="000000"/>
                        </a:clrFrom>
                        <a:clrTo>
                          <a:srgbClr val="000000">
                            <a:alpha val="0"/>
                          </a:srgbClr>
                        </a:clrTo>
                      </a:clrChange>
                      <a:extLst>
                        <a:ext uri="{28A0092B-C50C-407E-A947-70E740481C1C}"/>
                      </a:extLst>
                    </a:blip>
                    <a:srcRect/>
                    <a:stretch>
                      <a:fillRect/>
                    </a:stretch>
                  </pic:blipFill>
                  <pic:spPr bwMode="auto">
                    <a:xfrm>
                      <a:off x="0" y="0"/>
                      <a:ext cx="128270" cy="11430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1819910</wp:posOffset>
            </wp:positionV>
            <wp:extent cx="664210" cy="1143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1">
                      <a:clrChange>
                        <a:clrFrom>
                          <a:srgbClr val="000000"/>
                        </a:clrFrom>
                        <a:clrTo>
                          <a:srgbClr val="000000">
                            <a:alpha val="0"/>
                          </a:srgbClr>
                        </a:clrTo>
                      </a:clrChange>
                      <a:extLst>
                        <a:ext uri="{28A0092B-C50C-407E-A947-70E740481C1C}"/>
                      </a:extLst>
                    </a:blip>
                    <a:srcRect/>
                    <a:stretch>
                      <a:fillRect/>
                    </a:stretch>
                  </pic:blipFill>
                  <pic:spPr bwMode="auto">
                    <a:xfrm>
                      <a:off x="0" y="0"/>
                      <a:ext cx="664210" cy="114300"/>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1819910</wp:posOffset>
            </wp:positionV>
            <wp:extent cx="219710" cy="114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2">
                      <a:clrChange>
                        <a:clrFrom>
                          <a:srgbClr val="000000"/>
                        </a:clrFrom>
                        <a:clrTo>
                          <a:srgbClr val="000000">
                            <a:alpha val="0"/>
                          </a:srgbClr>
                        </a:clrTo>
                      </a:clrChange>
                      <a:extLst>
                        <a:ext uri="{28A0092B-C50C-407E-A947-70E740481C1C}"/>
                      </a:extLst>
                    </a:blip>
                    <a:srcRect/>
                    <a:stretch>
                      <a:fillRect/>
                    </a:stretch>
                  </pic:blipFill>
                  <pic:spPr bwMode="auto">
                    <a:xfrm>
                      <a:off x="0" y="0"/>
                      <a:ext cx="219710" cy="11430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1929765</wp:posOffset>
            </wp:positionV>
            <wp:extent cx="1039495"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3">
                      <a:extLst>
                        <a:ext uri="{28A0092B-C50C-407E-A947-70E740481C1C}"/>
                      </a:extLst>
                    </a:blip>
                    <a:srcRect/>
                    <a:stretch>
                      <a:fillRect/>
                    </a:stretch>
                  </pic:blipFill>
                  <pic:spPr bwMode="auto">
                    <a:xfrm>
                      <a:off x="0" y="0"/>
                      <a:ext cx="1039495" cy="24765"/>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452120</wp:posOffset>
            </wp:positionV>
            <wp:extent cx="377825" cy="2012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377825" cy="20129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452120</wp:posOffset>
            </wp:positionV>
            <wp:extent cx="60960" cy="2012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0960" cy="201295"/>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466090</wp:posOffset>
            </wp:positionV>
            <wp:extent cx="175260" cy="749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6">
                      <a:extLst>
                        <a:ext uri="{28A0092B-C50C-407E-A947-70E740481C1C}"/>
                      </a:extLst>
                    </a:blip>
                    <a:srcRect/>
                    <a:stretch>
                      <a:fillRect/>
                    </a:stretch>
                  </pic:blipFill>
                  <pic:spPr bwMode="auto">
                    <a:xfrm>
                      <a:off x="0" y="0"/>
                      <a:ext cx="175260" cy="74930"/>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668655</wp:posOffset>
            </wp:positionV>
            <wp:extent cx="792480" cy="95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92480" cy="9588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668655</wp:posOffset>
            </wp:positionV>
            <wp:extent cx="298450" cy="95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298450" cy="95885"/>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764540</wp:posOffset>
            </wp:positionV>
            <wp:extent cx="792480" cy="95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92480" cy="9588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764540</wp:posOffset>
            </wp:positionV>
            <wp:extent cx="298450" cy="95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298450" cy="95885"/>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676910</wp:posOffset>
            </wp:positionV>
            <wp:extent cx="175260" cy="908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1">
                      <a:extLst>
                        <a:ext uri="{28A0092B-C50C-407E-A947-70E740481C1C}"/>
                      </a:extLst>
                    </a:blip>
                    <a:srcRect/>
                    <a:stretch>
                      <a:fillRect/>
                    </a:stretch>
                  </pic:blipFill>
                  <pic:spPr bwMode="auto">
                    <a:xfrm>
                      <a:off x="0" y="0"/>
                      <a:ext cx="175260" cy="9080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887730</wp:posOffset>
            </wp:positionV>
            <wp:extent cx="871855" cy="869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871855" cy="86995"/>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887730</wp:posOffset>
            </wp:positionV>
            <wp:extent cx="402590" cy="869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402590" cy="8699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974090</wp:posOffset>
            </wp:positionV>
            <wp:extent cx="871855" cy="869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871855" cy="86995"/>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974090</wp:posOffset>
            </wp:positionV>
            <wp:extent cx="402590" cy="869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402590" cy="86995"/>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894715</wp:posOffset>
            </wp:positionV>
            <wp:extent cx="175260" cy="908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6">
                      <a:extLst>
                        <a:ext uri="{28A0092B-C50C-407E-A947-70E740481C1C}"/>
                      </a:extLst>
                    </a:blip>
                    <a:srcRect/>
                    <a:stretch>
                      <a:fillRect/>
                    </a:stretch>
                  </pic:blipFill>
                  <pic:spPr bwMode="auto">
                    <a:xfrm>
                      <a:off x="0" y="0"/>
                      <a:ext cx="175260" cy="9080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1106805</wp:posOffset>
            </wp:positionV>
            <wp:extent cx="377825" cy="2012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377825" cy="20129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1106805</wp:posOffset>
            </wp:positionV>
            <wp:extent cx="60960" cy="2012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60960" cy="201295"/>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1113155</wp:posOffset>
            </wp:positionV>
            <wp:extent cx="175260" cy="908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9">
                      <a:extLst>
                        <a:ext uri="{28A0092B-C50C-407E-A947-70E740481C1C}"/>
                      </a:extLst>
                    </a:blip>
                    <a:srcRect/>
                    <a:stretch>
                      <a:fillRect/>
                    </a:stretch>
                  </pic:blipFill>
                  <pic:spPr bwMode="auto">
                    <a:xfrm>
                      <a:off x="0" y="0"/>
                      <a:ext cx="175260" cy="908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1154430</wp:posOffset>
            </wp:positionV>
            <wp:extent cx="255905" cy="255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255905" cy="255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1391920</wp:posOffset>
            </wp:positionV>
            <wp:extent cx="255905" cy="255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255905" cy="255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1780540</wp:posOffset>
            </wp:positionV>
            <wp:extent cx="255905" cy="255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2">
                      <a:clrChange>
                        <a:clrFrom>
                          <a:srgbClr val="000000"/>
                        </a:clrFrom>
                        <a:clrTo>
                          <a:srgbClr val="000000">
                            <a:alpha val="0"/>
                          </a:srgbClr>
                        </a:clrTo>
                      </a:clrChange>
                      <a:extLst>
                        <a:ext uri="{28A0092B-C50C-407E-A947-70E740481C1C}"/>
                      </a:extLst>
                    </a:blip>
                    <a:srcRect/>
                    <a:stretch>
                      <a:fillRect/>
                    </a:stretch>
                  </pic:blipFill>
                  <pic:spPr bwMode="auto">
                    <a:xfrm>
                      <a:off x="0" y="0"/>
                      <a:ext cx="255905" cy="255905"/>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1075690</wp:posOffset>
            </wp:positionV>
            <wp:extent cx="158750" cy="247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58750" cy="247015"/>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1308735</wp:posOffset>
            </wp:positionV>
            <wp:extent cx="207010" cy="247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207010" cy="24701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1701800</wp:posOffset>
            </wp:positionV>
            <wp:extent cx="207010" cy="247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5">
                      <a:clrChange>
                        <a:clrFrom>
                          <a:srgbClr val="000000"/>
                        </a:clrFrom>
                        <a:clrTo>
                          <a:srgbClr val="000000">
                            <a:alpha val="0"/>
                          </a:srgbClr>
                        </a:clrTo>
                      </a:clrChange>
                      <a:extLst>
                        <a:ext uri="{28A0092B-C50C-407E-A947-70E740481C1C}"/>
                      </a:extLst>
                    </a:blip>
                    <a:srcRect/>
                    <a:stretch>
                      <a:fillRect/>
                    </a:stretch>
                  </pic:blipFill>
                  <pic:spPr bwMode="auto">
                    <a:xfrm>
                      <a:off x="0" y="0"/>
                      <a:ext cx="207010" cy="24701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1617345</wp:posOffset>
            </wp:positionV>
            <wp:extent cx="115570" cy="4387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6">
                      <a:clrChange>
                        <a:clrFrom>
                          <a:srgbClr val="000000"/>
                        </a:clrFrom>
                        <a:clrTo>
                          <a:srgbClr val="000000">
                            <a:alpha val="0"/>
                          </a:srgbClr>
                        </a:clrTo>
                      </a:clrChange>
                      <a:extLst>
                        <a:ext uri="{28A0092B-C50C-407E-A947-70E740481C1C}"/>
                      </a:extLst>
                    </a:blip>
                    <a:srcRect/>
                    <a:stretch>
                      <a:fillRect/>
                    </a:stretch>
                  </pic:blipFill>
                  <pic:spPr bwMode="auto">
                    <a:xfrm>
                      <a:off x="0" y="0"/>
                      <a:ext cx="115570" cy="43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 xml:space="preserve">In collaboration with Schrödinger, we are taking a structure- based drug discovery approach to identify oral small molecule amylin agonists for daily use either alone or in combination with GLP -1R agonists to treat obesity and T2DM. We have identified two novel lead series with promising potency and PK profiles. We have obtained multiple high quality Cryo-EM structures and established in-house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animal models, which enable us to advance our lead optimization effort with high efficiency. In an in-house proof-of-concept study in rats, our small molecule amylin tool compound (ACCG-0184) showed additional beneficial effects when used as an add-on treatment to a GLP-1R agonist. We are planning to select a development candidate in the second half of 2024.</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GenerationGIPR Modulator - Combination GLP-1R Program</w:t>
      </w:r>
    </w:p>
    <w:p>
      <w:pPr>
        <w:spacing w:after="0" w:line="231" w:lineRule="exact"/>
        <w:rPr>
          <w:sz w:val="20"/>
          <w:szCs w:val="20"/>
          <w:color w:val="auto"/>
        </w:rPr>
      </w:pPr>
    </w:p>
    <w:p>
      <w:pPr>
        <w:ind w:right="200"/>
        <w:spacing w:after="0" w:line="262" w:lineRule="auto"/>
        <w:rPr>
          <w:sz w:val="20"/>
          <w:szCs w:val="20"/>
          <w:color w:val="auto"/>
        </w:rPr>
      </w:pPr>
      <w:r>
        <w:rPr>
          <w:rFonts w:ascii="Arial" w:cs="Arial" w:eastAsia="Arial" w:hAnsi="Arial"/>
          <w:sz w:val="20"/>
          <w:szCs w:val="20"/>
          <w:color w:val="auto"/>
        </w:rPr>
        <w:t>In our GIPR program, we have identified multiple GIPR agonist, dual GLP-1R/GIRP agonist and GIPR antagonist hits for small molecule GIPR modulation. We believe GLP-1R/GIPR modulation has the potential to provide a differentiated treatment in diabetes and obesity.</w:t>
      </w:r>
    </w:p>
    <w:p>
      <w:pPr>
        <w:spacing w:after="0" w:line="177"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Recent third-party clinical data showed tirzepatide, a GLP- 1R/GIPR modulator, was superior to semaglutide with respect to glycemic control. The glycated hemoglobin level target of less than 5.7% (normoglycemia) was met in 27 to 46% of the T2DM patients who received tirzepatide compared to 19% of those who received semaglutide. The body weight reduction and gastrointestinal related side effects were similar to the GLP- 1R agonists. In addition, many patients who received tirzepatide were noted to have improved biomarkers of insulin sensitivity.</w:t>
      </w:r>
    </w:p>
    <w:p>
      <w:pPr>
        <w:spacing w:after="0" w:line="189"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color w:val="auto"/>
        </w:rPr>
        <w:t>We have obtained both GIP and tirzepatide bound GIPR structures along with GLP-1R structures to guide our small molecular design.</w:t>
      </w:r>
    </w:p>
    <w:p>
      <w:pPr>
        <w:sectPr>
          <w:pgSz w:w="11880" w:h="15480" w:orient="portrait"/>
          <w:cols w:equalWidth="0" w:num="1">
            <w:col w:w="9720"/>
          </w:cols>
          <w:pgMar w:left="1080" w:top="1075"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880" w:h="15480" w:orient="portrait"/>
          <w:cols w:equalWidth="0" w:num="1">
            <w:col w:w="9720"/>
          </w:cols>
          <w:pgMar w:left="1080" w:top="1075" w:right="1080" w:bottom="543"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20"/>
          <w:szCs w:val="20"/>
          <w:b w:val="1"/>
          <w:bCs w:val="1"/>
          <w:color w:val="auto"/>
        </w:rPr>
        <w:t>Multiple Structures of ligand bound GLP-1R, GIPR, GCGR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167640</wp:posOffset>
            </wp:positionV>
            <wp:extent cx="5791200" cy="1955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7">
                      <a:extLst>
                        <a:ext uri="{28A0092B-C50C-407E-A947-70E740481C1C}"/>
                      </a:extLst>
                    </a:blip>
                    <a:srcRect/>
                    <a:stretch>
                      <a:fillRect/>
                    </a:stretch>
                  </pic:blipFill>
                  <pic:spPr bwMode="auto">
                    <a:xfrm>
                      <a:off x="0" y="0"/>
                      <a:ext cx="5791200" cy="195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As shown above, representative three-dimensional structures of the incretin GPCRs (</w:t>
      </w:r>
      <w:r>
        <w:rPr>
          <w:rFonts w:ascii="Arial" w:cs="Arial" w:eastAsia="Arial" w:hAnsi="Arial"/>
          <w:sz w:val="20"/>
          <w:szCs w:val="20"/>
          <w:i w:val="1"/>
          <w:iCs w:val="1"/>
          <w:color w:val="auto"/>
        </w:rPr>
        <w:t>e.g.</w:t>
      </w:r>
      <w:r>
        <w:rPr>
          <w:rFonts w:ascii="Arial" w:cs="Arial" w:eastAsia="Arial" w:hAnsi="Arial"/>
          <w:sz w:val="20"/>
          <w:szCs w:val="20"/>
          <w:color w:val="auto"/>
        </w:rPr>
        <w:t>, GIPR, GLP-1R, Glucagon receptor) are available for structure-based drug discovery. This structural data enables the ability to design dual and tri modulators of this important class of metabolic GPCRs. The GIPR model shown below suggests that one of our dual GLP-1/GIPR agonists may extend to fill the pocket (highlighted in color) occupied by our GLP-1/GIPR agonist hits. Multiple approaches were applied for hit identification, including a screen of our proprietary incretin compound library. Weak antagonists and agonists were identified. After several rounds of structure activity relationship evolution, a full potential GLP-1R/GIPR antagonist and initial dual GLP- 1R/GIPR agonist hit leading to the discovery of an optimized dual GLP-1R/GIPR agonist hit. While displaying different GIPR activity, both compounds still maintained certain levels of GLP-1R activities. We are planning to select a development candidate in the first half of 2025.</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GIPR agonist/dual agonist/antagonist hits identified for potential GLP-1R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165735</wp:posOffset>
            </wp:positionV>
            <wp:extent cx="3410585" cy="2691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8">
                      <a:extLst>
                        <a:ext uri="{28A0092B-C50C-407E-A947-70E740481C1C}"/>
                      </a:extLst>
                    </a:blip>
                    <a:srcRect/>
                    <a:stretch>
                      <a:fillRect/>
                    </a:stretch>
                  </pic:blipFill>
                  <pic:spPr bwMode="auto">
                    <a:xfrm>
                      <a:off x="0" y="0"/>
                      <a:ext cx="3410585" cy="269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LPA1R and APJR Program for the Treatment of IPF</w:t>
      </w:r>
    </w:p>
    <w:p>
      <w:pPr>
        <w:spacing w:after="0" w:line="23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We are developing LTSE-2578, an investigational oral small molecule LPA1R antagonist for the treatment of IPF. We believe LTSE-2578 is a differentiated molecule because it demonstrated potent in vitro and in vivo activity in preclinical IPF models and dose dependent inhibition of histamine release as the pharmacodynamic marker. We have completed IND-enabling studies including 28 day GLP-toxicology studies in dogs and rats.</w:t>
      </w:r>
    </w:p>
    <w:p>
      <w:pPr>
        <w:sectPr>
          <w:pgSz w:w="11880" w:h="15480" w:orient="portrait"/>
          <w:cols w:equalWidth="0" w:num="1">
            <w:col w:w="9700"/>
          </w:cols>
          <w:pgMar w:left="1080" w:top="1063" w:right="1100" w:bottom="543"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ectPr>
          <w:pgSz w:w="11880" w:h="15480" w:orient="portrait"/>
          <w:cols w:equalWidth="0" w:num="1">
            <w:col w:w="9700"/>
          </w:cols>
          <w:pgMar w:left="1080" w:top="1063" w:right="1100" w:bottom="543" w:gutter="0" w:footer="0" w:header="0"/>
          <w:type w:val="continuous"/>
        </w:sectPr>
      </w:pPr>
    </w:p>
    <w:bookmarkStart w:id="35" w:name="page36"/>
    <w:bookmarkEnd w:id="35"/>
    <w:p>
      <w:pPr>
        <w:ind w:right="480"/>
        <w:spacing w:after="0" w:line="284" w:lineRule="auto"/>
        <w:rPr>
          <w:sz w:val="20"/>
          <w:szCs w:val="20"/>
          <w:color w:val="auto"/>
        </w:rPr>
      </w:pPr>
      <w:r>
        <w:rPr>
          <w:rFonts w:ascii="Arial" w:cs="Arial" w:eastAsia="Arial" w:hAnsi="Arial"/>
          <w:sz w:val="20"/>
          <w:szCs w:val="20"/>
          <w:color w:val="auto"/>
        </w:rPr>
        <w:t>We are planning to initiate a first -in-human Phase 1 single and multiple ascending dose study in healthy volunteers in the second quarter of 2024.</w:t>
      </w:r>
    </w:p>
    <w:p>
      <w:pPr>
        <w:spacing w:after="0" w:line="157" w:lineRule="exact"/>
        <w:rPr>
          <w:sz w:val="20"/>
          <w:szCs w:val="20"/>
          <w:color w:val="auto"/>
        </w:rPr>
      </w:pPr>
    </w:p>
    <w:p>
      <w:pPr>
        <w:ind w:right="280"/>
        <w:spacing w:after="0" w:line="251" w:lineRule="auto"/>
        <w:rPr>
          <w:sz w:val="20"/>
          <w:szCs w:val="20"/>
          <w:color w:val="auto"/>
        </w:rPr>
      </w:pPr>
      <w:r>
        <w:rPr>
          <w:rFonts w:ascii="Arial" w:cs="Arial" w:eastAsia="Arial" w:hAnsi="Arial"/>
          <w:sz w:val="20"/>
          <w:szCs w:val="20"/>
          <w:color w:val="auto"/>
        </w:rPr>
        <w:t>In addition, we are developing ANPA -0073, an investigational oral small molecule APJR agonist, for the treatment of IPF. When compared to a non-biased APJR agonist (Apelin-12) in a preclinical study, ANPA-0073 avoided hypotension. In September 2022, we completed a Phase 1 SAD and MAD study evaluating ANPA-0073, in which it was generally well tolerated in healthy human volunteers. We expect to conduct additional preclinical studies and are evaluating plans to initiate a Phase 2 study in IPF.</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IPF Disease Background</w:t>
      </w:r>
    </w:p>
    <w:p>
      <w:pPr>
        <w:spacing w:after="0" w:line="232"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IPF is a life-threatening chronic interstitial lung disease characterized by progressive fibrosis of lung tissue leading to impaired blood oxygenation, progressive deterioration in lung function, and ultimately respiratory failure. IPF occurs primarily among patients between the ages of 50 and 70 years and is associated with high mortality, with median survival time between three- and five-years following diagnosis. Estimated prevalence of IPF is 13 to 20 per 100,000 people worldwide. In the United States, approximately 100,000 people are affected, and 30,000 to 40,000 new cases are diagnosed each year.</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Normal lungs (A) and lungs with IPF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167005</wp:posOffset>
            </wp:positionV>
            <wp:extent cx="4632960" cy="1666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9">
                      <a:extLst>
                        <a:ext uri="{28A0092B-C50C-407E-A947-70E740481C1C}"/>
                      </a:extLst>
                    </a:blip>
                    <a:srcRect/>
                    <a:stretch>
                      <a:fillRect/>
                    </a:stretch>
                  </pic:blipFill>
                  <pic:spPr bwMode="auto">
                    <a:xfrm>
                      <a:off x="0" y="0"/>
                      <a:ext cx="4632960" cy="166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The etiology of IPF remains unknown. IPF is a progressive disease, beginning with inflammation followed by fibrotic buildup as damaged epithelial cells surrounding the alveoli are replaced by fibroblasts, as shown above. Buildup of fibroblasts cause the lungs to thicken over time, becoming stiff and unable to properly function. In addition to complications from the disease itself, IPF can lead to other severe co-morbidities, including lung cancer, pulmonary embolisms, pneumonia or PH.</w:t>
      </w:r>
    </w:p>
    <w:p>
      <w:pPr>
        <w:spacing w:after="0" w:line="187" w:lineRule="exact"/>
        <w:rPr>
          <w:sz w:val="20"/>
          <w:szCs w:val="20"/>
          <w:color w:val="auto"/>
        </w:rPr>
      </w:pPr>
    </w:p>
    <w:p>
      <w:pPr>
        <w:jc w:val="both"/>
        <w:ind w:right="460"/>
        <w:spacing w:after="0" w:line="262" w:lineRule="auto"/>
        <w:rPr>
          <w:sz w:val="20"/>
          <w:szCs w:val="20"/>
          <w:color w:val="auto"/>
        </w:rPr>
      </w:pPr>
      <w:r>
        <w:rPr>
          <w:rFonts w:ascii="Arial" w:cs="Arial" w:eastAsia="Arial" w:hAnsi="Arial"/>
          <w:sz w:val="20"/>
          <w:szCs w:val="20"/>
          <w:color w:val="auto"/>
        </w:rPr>
        <w:t>The most common symptoms of IPF are shortness of breath, persistent cough, fatigue, and weight loss, severely impacting quality of life. Given the non-specific nature of these symptoms, IPF is challenging to diagnose, particularly in the early stages of disease.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Current Treatments for IPF and Unmet Medical Need</w:t>
      </w:r>
    </w:p>
    <w:p>
      <w:pPr>
        <w:spacing w:after="0" w:line="232" w:lineRule="exact"/>
        <w:rPr>
          <w:sz w:val="20"/>
          <w:szCs w:val="20"/>
          <w:color w:val="auto"/>
        </w:rPr>
      </w:pPr>
    </w:p>
    <w:p>
      <w:pPr>
        <w:ind w:right="740"/>
        <w:spacing w:after="0" w:line="284" w:lineRule="auto"/>
        <w:rPr>
          <w:sz w:val="20"/>
          <w:szCs w:val="20"/>
          <w:color w:val="auto"/>
        </w:rPr>
      </w:pPr>
      <w:r>
        <w:rPr>
          <w:rFonts w:ascii="Arial" w:cs="Arial" w:eastAsia="Arial" w:hAnsi="Arial"/>
          <w:sz w:val="20"/>
          <w:szCs w:val="20"/>
          <w:color w:val="auto"/>
        </w:rPr>
        <w:t>Currently, there are two FDA-approved drugs for the treatment of IPF, Esbriet (pirfenidone) and Ofev (nintedanib).</w:t>
      </w:r>
    </w:p>
    <w:p>
      <w:pPr>
        <w:spacing w:after="0" w:line="155"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Pirfenidone exhibits anti-fibrotic, anti-inflammatory and antioxidant properties through down-regulation of key pro-fibrotic growth factors including TGF-</w:t>
      </w:r>
      <w:r>
        <w:rPr>
          <w:rFonts w:ascii="Arial" w:cs="Arial" w:eastAsia="Arial" w:hAnsi="Arial"/>
          <w:sz w:val="20"/>
          <w:szCs w:val="20"/>
          <w:color w:val="auto"/>
        </w:rPr>
        <w:t>β</w:t>
      </w:r>
      <w:r>
        <w:rPr>
          <w:rFonts w:ascii="Arial" w:cs="Arial" w:eastAsia="Arial" w:hAnsi="Arial"/>
          <w:sz w:val="20"/>
          <w:szCs w:val="20"/>
          <w:color w:val="auto"/>
        </w:rPr>
        <w:t>, inhibition of inflammatory cytokines production and release and reduction of lipid peroxidation and oxidative stress. In Phase 3 trials, pirfenidone slowed disease progression and functional decline in patients with IPF and showed a reduced risk of mortality. Common adverse effects of pirfenidone include gastrointestinal intolerance such as nausea, diarrhea and dyspepsia and skin reactions, including rash and photosensitivity.</w:t>
      </w:r>
    </w:p>
    <w:p>
      <w:pPr>
        <w:sectPr>
          <w:pgSz w:w="11880" w:h="15480" w:orient="portrait"/>
          <w:cols w:equalWidth="0" w:num="1">
            <w:col w:w="9640"/>
          </w:cols>
          <w:pgMar w:left="1080" w:top="1066" w:right="116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34</w:t>
      </w:r>
    </w:p>
    <w:p>
      <w:pPr>
        <w:sectPr>
          <w:pgSz w:w="11880" w:h="15480" w:orient="portrait"/>
          <w:cols w:equalWidth="0" w:num="1">
            <w:col w:w="9640"/>
          </w:cols>
          <w:pgMar w:left="1080" w:top="1066" w:right="1160" w:bottom="543" w:gutter="0" w:footer="0" w:header="0"/>
          <w:type w:val="continuous"/>
        </w:sectPr>
      </w:pPr>
    </w:p>
    <w:bookmarkStart w:id="36" w:name="page37"/>
    <w:bookmarkEnd w:id="36"/>
    <w:p>
      <w:pPr>
        <w:ind w:right="60"/>
        <w:spacing w:after="0" w:line="249" w:lineRule="auto"/>
        <w:rPr>
          <w:sz w:val="20"/>
          <w:szCs w:val="20"/>
          <w:color w:val="auto"/>
        </w:rPr>
      </w:pPr>
      <w:r>
        <w:rPr>
          <w:rFonts w:ascii="Arial" w:cs="Arial" w:eastAsia="Arial" w:hAnsi="Arial"/>
          <w:sz w:val="20"/>
          <w:szCs w:val="20"/>
          <w:color w:val="auto"/>
        </w:rPr>
        <w:t xml:space="preserve">Nintedanib is an intracellular inhibitor that targets multiple tyrosine kinase growth factor receptors (vascular endothelial growth factor receptors 1-3, fibroblast growth factor receptors 1-3, and platelet-derived growth factor receptors </w:t>
      </w:r>
      <w:r>
        <w:rPr>
          <w:rFonts w:ascii="Arial" w:cs="Arial" w:eastAsia="Arial" w:hAnsi="Arial"/>
          <w:sz w:val="20"/>
          <w:szCs w:val="20"/>
          <w:color w:val="auto"/>
        </w:rPr>
        <w:t>α</w:t>
      </w:r>
      <w:r>
        <w:rPr>
          <w:rFonts w:ascii="Arial" w:cs="Arial" w:eastAsia="Arial" w:hAnsi="Arial"/>
          <w:sz w:val="20"/>
          <w:szCs w:val="20"/>
          <w:color w:val="auto"/>
        </w:rPr>
        <w:t xml:space="preserve"> and </w:t>
      </w:r>
      <w:r>
        <w:rPr>
          <w:rFonts w:ascii="Arial" w:cs="Arial" w:eastAsia="Arial" w:hAnsi="Arial"/>
          <w:sz w:val="20"/>
          <w:szCs w:val="20"/>
          <w:color w:val="auto"/>
        </w:rPr>
        <w:t>β</w:t>
      </w:r>
      <w:r>
        <w:rPr>
          <w:rFonts w:ascii="Arial" w:cs="Arial" w:eastAsia="Arial" w:hAnsi="Arial"/>
          <w:sz w:val="20"/>
          <w:szCs w:val="20"/>
          <w:color w:val="auto"/>
        </w:rPr>
        <w:t xml:space="preserve"> ). By inhibiting these receptors, nintedanib interferes with processes implicated in IPF pathogenesis, including proliferation and migration of lung fibroblasts, and differentiation of fibroblasts to myofibroblasts. Nintedanib may also have a mortality benefit. Its most frequent side effects are diarrhea and nausea.</w:t>
      </w:r>
    </w:p>
    <w:p>
      <w:pPr>
        <w:spacing w:after="0" w:line="189"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Both drugs are recommended by the most recent treatment guidelines from 2015. These therapeutics slow disease progression, but do not offer a cure. The two-year mortality rate is 36% and 39% after treatment of nintedanib and pirfenidone respectively. Safety and tolerability concerns, which resulted in a 20% to 30% discontinuation rate due to side effects, limit therapeutic usage and there remains an unmet medical need for IPF patients. Despite these limitations, these two drugs have generated total sales of $3.6 billion in 2020.</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Overview of LPA1R Pathway and Target Biology</w:t>
      </w:r>
    </w:p>
    <w:p>
      <w:pPr>
        <w:spacing w:after="0" w:line="235"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auto"/>
        </w:rPr>
        <w:t>Lysophosphatidic acid (“LPA”) is a bioactive lipid which exerts potent extracellular signaling through its interaction with several GPCRs, mediating important cellular responses, such as proliferation, migration, and cytoskeletal reorganization.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LPA/LPA1R in IPF pathogenesis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167005</wp:posOffset>
            </wp:positionV>
            <wp:extent cx="3474720" cy="2849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0">
                      <a:extLst>
                        <a:ext uri="{28A0092B-C50C-407E-A947-70E740481C1C}"/>
                      </a:extLst>
                    </a:blip>
                    <a:srcRect/>
                    <a:stretch>
                      <a:fillRect/>
                    </a:stretch>
                  </pic:blipFill>
                  <pic:spPr bwMode="auto">
                    <a:xfrm>
                      <a:off x="0" y="0"/>
                      <a:ext cx="3474720" cy="284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As shown above, upon injury to certain cells in the lung, LPA levels increase and activate LPA1R. In published third-party preclinical studies, LPA1R activation promoted pro-fibrotic processes, including accumulation of fibroblasts; genetic or PD inhibition of LPA1R attenuated bleomycin induced lung fibrosis by mediating fibroblast recruitment and vascular leak.</w:t>
      </w:r>
    </w:p>
    <w:p>
      <w:pPr>
        <w:spacing w:after="0" w:line="186"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We believe that LPA1R has been clinically validated as a potential target based on proof-of-concept data from a third party, randomized, double blind, placebo-controlled Phase 2 trial of an LPA1R antagonist (BMS- 986020) in patients with IPF. Patients in the 600mg BID cohort exhibited significantly slower rates of forced vital capacity decline from baseline to 26 weeks versus placebo. Although the compound was generally well tolerated, dose-related hepatobiliary toxicity in some patients led to early termination of the trial. After conducting additional toxicology investigations, BMS reported that hepatobiliary toxicity was likely caused by inhibition of bile acids efflux transporters such as Bile Salt Export Pump (“BSEP”). Second</w:t>
      </w:r>
    </w:p>
    <w:p>
      <w:pPr>
        <w:sectPr>
          <w:pgSz w:w="11880" w:h="15480" w:orient="portrait"/>
          <w:cols w:equalWidth="0" w:num="1">
            <w:col w:w="9720"/>
          </w:cols>
          <w:pgMar w:left="1080" w:top="1066"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880" w:h="15480" w:orient="portrait"/>
          <w:cols w:equalWidth="0" w:num="1">
            <w:col w:w="9720"/>
          </w:cols>
          <w:pgMar w:left="1080" w:top="1066" w:right="1080" w:bottom="543" w:gutter="0" w:footer="0" w:header="0"/>
          <w:type w:val="continuous"/>
        </w:sectPr>
      </w:pPr>
    </w:p>
    <w:bookmarkStart w:id="37" w:name="page38"/>
    <w:bookmarkEnd w:id="37"/>
    <w:p>
      <w:pPr>
        <w:ind w:right="160"/>
        <w:spacing w:after="0" w:line="284" w:lineRule="auto"/>
        <w:rPr>
          <w:sz w:val="20"/>
          <w:szCs w:val="20"/>
          <w:color w:val="auto"/>
        </w:rPr>
      </w:pPr>
      <w:r>
        <w:rPr>
          <w:rFonts w:ascii="Arial" w:cs="Arial" w:eastAsia="Arial" w:hAnsi="Arial"/>
          <w:sz w:val="20"/>
          <w:szCs w:val="20"/>
          <w:color w:val="auto"/>
        </w:rPr>
        <w:t>generation LPA1R antagonists (BMS-986278) with minimal BSEP inhibition by BMS are currently in clinical development.</w:t>
      </w:r>
    </w:p>
    <w:p>
      <w:pPr>
        <w:spacing w:after="0" w:line="157"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We believe that LPA1R can also be used to treat progressive pulmonary fibrosis (“PPF”), which is defined as the presence of at least two of the three criteria, which are worsening respiratory symptoms, functional decline, and radiological progression in patients with interstitial lung disease with radiological pulmonary fibrosis for known or unknown reasons other than IPF, within the previous year. A conditional recommendation has been made for nintedanib in the treatment of PPF, and further studies are needed for pirfenidone.</w:t>
      </w:r>
    </w:p>
    <w:p>
      <w:pPr>
        <w:spacing w:after="0" w:line="194"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As illustrated below, we utilized the available protein structural information to collaborate with Schrödinger. After validation and customization with an initial set of compounds for retrospective analysis, Schrödinger’s FEP was utilized and suggested potency in the prospective analysis. This customized model greatly expedited the iterative lead optimization process and helped us to achieve candidate selection efficiently.</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Iterative LPA1R Structure-Based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167005</wp:posOffset>
            </wp:positionV>
            <wp:extent cx="3783330" cy="254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1">
                      <a:extLst>
                        <a:ext uri="{28A0092B-C50C-407E-A947-70E740481C1C}"/>
                      </a:extLst>
                    </a:blip>
                    <a:srcRect/>
                    <a:stretch>
                      <a:fillRect/>
                    </a:stretch>
                  </pic:blipFill>
                  <pic:spPr bwMode="auto">
                    <a:xfrm>
                      <a:off x="0" y="0"/>
                      <a:ext cx="3783330" cy="254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LTSE-2578 Preclinical Data</w:t>
      </w:r>
    </w:p>
    <w:p>
      <w:pPr>
        <w:spacing w:after="0" w:line="232"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 xml:space="preserve">In an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PK and PD study, mice were orally dosed with LTSE-2578 and challenged by LPA at one hour and at 12 hours after dosing. Plasma was collected at two minutes post-LPA challenge and histamine level was measured as a pharmacodynamics biomarker. As shown below, LTSE- 2578 demonstrated reductions in histamine release at doses ≥ 0.06 mg/kg, as compared to approximately 45 ng/mL and approximately</w:t>
      </w:r>
    </w:p>
    <w:p>
      <w:pPr>
        <w:spacing w:after="0" w:line="3" w:lineRule="exact"/>
        <w:rPr>
          <w:sz w:val="20"/>
          <w:szCs w:val="20"/>
          <w:color w:val="auto"/>
        </w:rPr>
      </w:pPr>
    </w:p>
    <w:p>
      <w:pPr>
        <w:ind w:right="880" w:firstLine="8"/>
        <w:spacing w:after="0" w:line="284" w:lineRule="auto"/>
        <w:tabs>
          <w:tab w:leader="none" w:pos="389" w:val="left"/>
        </w:tabs>
        <w:numPr>
          <w:ilvl w:val="0"/>
          <w:numId w:val="17"/>
        </w:numPr>
        <w:rPr>
          <w:rFonts w:ascii="Arial" w:cs="Arial" w:eastAsia="Arial" w:hAnsi="Arial"/>
          <w:sz w:val="20"/>
          <w:szCs w:val="20"/>
          <w:color w:val="auto"/>
        </w:rPr>
      </w:pPr>
      <w:r>
        <w:rPr>
          <w:rFonts w:ascii="Arial" w:cs="Arial" w:eastAsia="Arial" w:hAnsi="Arial"/>
          <w:sz w:val="20"/>
          <w:szCs w:val="20"/>
          <w:color w:val="auto"/>
        </w:rPr>
        <w:t>ng/mL for BMS’s first generation (BMS-986020) and second generation (BMS-986278) LPA1R antagonists, respectively.</w:t>
      </w:r>
    </w:p>
    <w:p>
      <w:pPr>
        <w:sectPr>
          <w:pgSz w:w="11880" w:h="15480" w:orient="portrait"/>
          <w:cols w:equalWidth="0" w:num="1">
            <w:col w:w="9620"/>
          </w:cols>
          <w:pgMar w:left="1080" w:top="1066" w:right="11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36</w:t>
      </w:r>
    </w:p>
    <w:p>
      <w:pPr>
        <w:sectPr>
          <w:pgSz w:w="11880" w:h="15480" w:orient="portrait"/>
          <w:cols w:equalWidth="0" w:num="1">
            <w:col w:w="9620"/>
          </w:cols>
          <w:pgMar w:left="1080" w:top="1066" w:right="1180" w:bottom="543" w:gutter="0" w:footer="0" w:header="0"/>
          <w:type w:val="continuous"/>
        </w:sectPr>
      </w:pPr>
    </w:p>
    <w:bookmarkStart w:id="38" w:name="page39"/>
    <w:bookmarkEnd w:id="38"/>
    <w:p>
      <w:pPr>
        <w:jc w:val="center"/>
        <w:ind w:right="-39"/>
        <w:spacing w:after="0"/>
        <w:rPr>
          <w:sz w:val="20"/>
          <w:szCs w:val="20"/>
          <w:color w:val="auto"/>
        </w:rPr>
      </w:pPr>
      <w:r>
        <w:rPr>
          <w:rFonts w:ascii="Arial" w:cs="Arial" w:eastAsia="Arial" w:hAnsi="Arial"/>
          <w:sz w:val="20"/>
          <w:szCs w:val="20"/>
          <w:b w:val="1"/>
          <w:bCs w:val="1"/>
          <w:color w:val="auto"/>
        </w:rPr>
        <w:t>LTSE-2578 demonstrated dose dependent inhibition of histamine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167640</wp:posOffset>
            </wp:positionV>
            <wp:extent cx="4053840" cy="30137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2">
                      <a:extLst>
                        <a:ext uri="{28A0092B-C50C-407E-A947-70E740481C1C}"/>
                      </a:extLst>
                    </a:blip>
                    <a:srcRect/>
                    <a:stretch>
                      <a:fillRect/>
                    </a:stretch>
                  </pic:blipFill>
                  <pic:spPr bwMode="auto">
                    <a:xfrm>
                      <a:off x="0" y="0"/>
                      <a:ext cx="4053840" cy="301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580"/>
        <w:spacing w:after="0" w:line="284" w:lineRule="auto"/>
        <w:rPr>
          <w:sz w:val="20"/>
          <w:szCs w:val="20"/>
          <w:color w:val="auto"/>
        </w:rPr>
      </w:pPr>
      <w:r>
        <w:rPr>
          <w:rFonts w:ascii="Arial" w:cs="Arial" w:eastAsia="Arial" w:hAnsi="Arial"/>
          <w:sz w:val="20"/>
          <w:szCs w:val="20"/>
          <w:color w:val="auto"/>
        </w:rPr>
        <w:t xml:space="preserve">LTSE-2578 showed limited inhibition (IC50 &gt; 50 </w:t>
      </w:r>
      <w:r>
        <w:rPr>
          <w:rFonts w:ascii="Arial" w:cs="Arial" w:eastAsia="Arial" w:hAnsi="Arial"/>
          <w:sz w:val="20"/>
          <w:szCs w:val="20"/>
          <w:color w:val="auto"/>
        </w:rPr>
        <w:t>μ</w:t>
      </w:r>
      <w:r>
        <w:rPr>
          <w:rFonts w:ascii="Arial" w:cs="Arial" w:eastAsia="Arial" w:hAnsi="Arial"/>
          <w:sz w:val="20"/>
          <w:szCs w:val="20"/>
          <w:color w:val="auto"/>
        </w:rPr>
        <w:t xml:space="preserve"> M) of efflux transporters including BSEP, MRP3 and MRP4, potentially reducing the likelihood of hepatobiliary toxicity caused by efflux transporter inhibition.</w:t>
      </w:r>
    </w:p>
    <w:p>
      <w:pPr>
        <w:spacing w:after="0" w:line="155"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color w:val="auto"/>
        </w:rPr>
        <w:t>One month GLP toxicity studies of LTSE-2578 in rats and dogs have been completed to enable the upcoming first time in human study.</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Overview of APJR Pathway and Target Biology</w:t>
      </w:r>
    </w:p>
    <w:p>
      <w:pPr>
        <w:spacing w:after="0" w:line="235"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The apelinergic system plays a key role in the maintenance of vascular health and function through regulation of fibrosis, cell proliferation and inflammation. APJR is highly expressed in the pulmonary vascular endothelium and is upregulated on endothelial cells in IPF patients. Further, activation of the apelinergic system through APJR has been shown to protect endothelial cell survival, and is critical for regeneration of the small capillary blood vessels. These findings support the possibility that an APJR agonist may play a beneficial role in interstitial lung disease.</w:t>
      </w:r>
    </w:p>
    <w:p>
      <w:pPr>
        <w:spacing w:after="0" w:line="189" w:lineRule="exact"/>
        <w:rPr>
          <w:sz w:val="20"/>
          <w:szCs w:val="20"/>
          <w:color w:val="auto"/>
        </w:rPr>
      </w:pPr>
    </w:p>
    <w:p>
      <w:pPr>
        <w:ind w:right="160"/>
        <w:spacing w:after="0" w:line="249" w:lineRule="auto"/>
        <w:rPr>
          <w:sz w:val="20"/>
          <w:szCs w:val="20"/>
          <w:color w:val="auto"/>
        </w:rPr>
      </w:pPr>
      <w:r>
        <w:rPr>
          <w:rFonts w:ascii="Arial" w:cs="Arial" w:eastAsia="Arial" w:hAnsi="Arial"/>
          <w:sz w:val="20"/>
          <w:szCs w:val="20"/>
          <w:color w:val="auto"/>
        </w:rPr>
        <w:t xml:space="preserve">Apelin binding to APJR activates G-protein second messenger signaling and leads to reduced production of cyclic adenosine monophosphate (“cAMP”). Apelin binding to APJR also initiates a feedback loop that eventually downregulates apelin- APJR signaling by recruitment of </w:t>
      </w:r>
      <w:r>
        <w:rPr>
          <w:rFonts w:ascii="Arial" w:cs="Arial" w:eastAsia="Arial" w:hAnsi="Arial"/>
          <w:sz w:val="20"/>
          <w:szCs w:val="20"/>
          <w:color w:val="auto"/>
        </w:rPr>
        <w:t>β</w:t>
      </w:r>
      <w:r>
        <w:rPr>
          <w:rFonts w:ascii="Arial" w:cs="Arial" w:eastAsia="Arial" w:hAnsi="Arial"/>
          <w:sz w:val="20"/>
          <w:szCs w:val="20"/>
          <w:color w:val="auto"/>
        </w:rPr>
        <w:t xml:space="preserve">-arrestin and subsequent internalization of APJR. In addition, recruitment of </w:t>
      </w:r>
      <w:r>
        <w:rPr>
          <w:rFonts w:ascii="Arial" w:cs="Arial" w:eastAsia="Arial" w:hAnsi="Arial"/>
          <w:sz w:val="20"/>
          <w:szCs w:val="20"/>
          <w:color w:val="auto"/>
        </w:rPr>
        <w:t>β</w:t>
      </w:r>
      <w:r>
        <w:rPr>
          <w:rFonts w:ascii="Arial" w:cs="Arial" w:eastAsia="Arial" w:hAnsi="Arial"/>
          <w:sz w:val="20"/>
          <w:szCs w:val="20"/>
          <w:color w:val="auto"/>
        </w:rPr>
        <w:t xml:space="preserve">-arrestin triggers downstream pathways that induce vasorelaxation and cardiomyocyte hypertrophy. Therefore, the degree of activation by designed ligands of G-protein and </w:t>
      </w:r>
      <w:r>
        <w:rPr>
          <w:rFonts w:ascii="Arial" w:cs="Arial" w:eastAsia="Arial" w:hAnsi="Arial"/>
          <w:sz w:val="20"/>
          <w:szCs w:val="20"/>
          <w:color w:val="auto"/>
        </w:rPr>
        <w:t>β</w:t>
      </w:r>
      <w:r>
        <w:rPr>
          <w:rFonts w:ascii="Arial" w:cs="Arial" w:eastAsia="Arial" w:hAnsi="Arial"/>
          <w:sz w:val="20"/>
          <w:szCs w:val="20"/>
          <w:color w:val="auto"/>
        </w:rPr>
        <w:t>-arrestin signaling pathway may lead to both therapeutic benefit and undesirable effects.</w:t>
      </w:r>
    </w:p>
    <w:p>
      <w:pPr>
        <w:sectPr>
          <w:pgSz w:w="11880" w:h="15480" w:orient="portrait"/>
          <w:cols w:equalWidth="0" w:num="1">
            <w:col w:w="9700"/>
          </w:cols>
          <w:pgMar w:left="1080" w:top="1063" w:right="110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ectPr>
          <w:pgSz w:w="11880" w:h="15480" w:orient="portrait"/>
          <w:cols w:equalWidth="0" w:num="1">
            <w:col w:w="9700"/>
          </w:cols>
          <w:pgMar w:left="1080" w:top="1063" w:right="1100" w:bottom="543"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Importance of endothelial cells on pulmonary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167640</wp:posOffset>
            </wp:positionV>
            <wp:extent cx="4053840" cy="3253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3">
                      <a:extLst>
                        <a:ext uri="{28A0092B-C50C-407E-A947-70E740481C1C}"/>
                      </a:extLst>
                    </a:blip>
                    <a:srcRect/>
                    <a:stretch>
                      <a:fillRect/>
                    </a:stretch>
                  </pic:blipFill>
                  <pic:spPr bwMode="auto">
                    <a:xfrm>
                      <a:off x="0" y="0"/>
                      <a:ext cx="4053840" cy="325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40"/>
        <w:spacing w:after="0" w:line="245" w:lineRule="auto"/>
        <w:rPr>
          <w:sz w:val="20"/>
          <w:szCs w:val="20"/>
          <w:color w:val="auto"/>
        </w:rPr>
      </w:pPr>
      <w:r>
        <w:rPr>
          <w:rFonts w:ascii="Arial" w:cs="Arial" w:eastAsia="Arial" w:hAnsi="Arial"/>
          <w:sz w:val="20"/>
          <w:szCs w:val="20"/>
          <w:color w:val="auto"/>
        </w:rPr>
        <w:t>As shown above, while epithelial cell damage and the inflammatory response are known contributors to fibrosis, recent studies have highlighted the importance of endothelial cells on pulmonary fibrosis. Microvascular injuries are observed in patients with pulmonary fibrosis. Persistent vascular leak may support a pro-inflammatory and pro- fibrotic environment. Endothelial senescence is found in the lung of IPF patients. Senescent endothelial cells could secrete factors that directly stimulate fibroblast activation. Targeting apelin pathway may promote capillary regeneration, ameliorate the inflammatory environment, and reduce endothelial senescence, in this way reducing lung fibrosis. Since an APJR agonist mainly targets endothelial cells, we believe it could be easily combined with the current standard of care, pirfenidone and ninetedanib, which do not target the anti-fibrosis pathway from endothelial cells.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APJR Program for the Treatment of Obesity</w:t>
      </w:r>
    </w:p>
    <w:p>
      <w:pPr>
        <w:spacing w:after="0" w:line="236"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APJ is expressed in human and murine skeletal muscles. Apelin and APJ are widely distributed in the body and are involved in various physiological functions as blood pressure regulation. Depending on the cell type studied, APJ activation enhances extracellular signal-regulated kinases, AMPK, AKT, and p70S6 kinases and the inhibition of cyclic AMP (cAMP) production. Activation of these pathways would result in worthwhile increases in the protein content of skeletal muscles. Apelin has in fact proved beneficial in maintaining muscle and could potentially counteract age-associated atrophy.</w:t>
      </w:r>
    </w:p>
    <w:p>
      <w:pPr>
        <w:spacing w:after="0" w:line="194" w:lineRule="exact"/>
        <w:rPr>
          <w:sz w:val="20"/>
          <w:szCs w:val="20"/>
          <w:color w:val="auto"/>
        </w:rPr>
      </w:pPr>
    </w:p>
    <w:p>
      <w:pPr>
        <w:ind w:right="80"/>
        <w:spacing w:after="0" w:line="284" w:lineRule="auto"/>
        <w:rPr>
          <w:sz w:val="20"/>
          <w:szCs w:val="20"/>
          <w:color w:val="auto"/>
        </w:rPr>
      </w:pPr>
      <w:r>
        <w:rPr>
          <w:rFonts w:ascii="Arial" w:cs="Arial" w:eastAsia="Arial" w:hAnsi="Arial"/>
          <w:sz w:val="20"/>
          <w:szCs w:val="20"/>
          <w:color w:val="auto"/>
        </w:rPr>
        <w:t>We are evaluating ANPA-0073 which is Phase 2 ready, to be used in combination with weight loss medicines for selective or muscle-sparing weight loss.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ANPA-0073</w:t>
      </w:r>
    </w:p>
    <w:p>
      <w:pPr>
        <w:spacing w:after="0" w:line="231"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color w:val="auto"/>
        </w:rPr>
        <w:t xml:space="preserve">We are also developing ANPA-0073, an investigational, oral, small molecule APJR agonist, for the treatment of IPF. ANPA-0073 is designed to suppress cAMP production through activation of a G-protein-mediated signaling without significant activation of the </w:t>
      </w:r>
      <w:r>
        <w:rPr>
          <w:rFonts w:ascii="Arial" w:cs="Arial" w:eastAsia="Arial" w:hAnsi="Arial"/>
          <w:sz w:val="20"/>
          <w:szCs w:val="20"/>
          <w:color w:val="auto"/>
        </w:rPr>
        <w:t>β</w:t>
      </w:r>
      <w:r>
        <w:rPr>
          <w:rFonts w:ascii="Arial" w:cs="Arial" w:eastAsia="Arial" w:hAnsi="Arial"/>
          <w:sz w:val="20"/>
          <w:szCs w:val="20"/>
          <w:color w:val="auto"/>
        </w:rPr>
        <w:t xml:space="preserve">-arrestin pathway in order to avoid APJ internalization, and thereby potentially avoid any desensitization effects of an unbiased APJR agonist. We conducted preclinical </w:t>
      </w:r>
      <w:r>
        <w:rPr>
          <w:rFonts w:ascii="Arial" w:cs="Arial" w:eastAsia="Arial" w:hAnsi="Arial"/>
          <w:sz w:val="20"/>
          <w:szCs w:val="20"/>
          <w:i w:val="1"/>
          <w:iCs w:val="1"/>
          <w:color w:val="auto"/>
        </w:rPr>
        <w:t xml:space="preserve">in vitro </w:t>
      </w:r>
      <w:r>
        <w:rPr>
          <w:rFonts w:ascii="Arial" w:cs="Arial" w:eastAsia="Arial" w:hAnsi="Arial"/>
          <w:sz w:val="20"/>
          <w:szCs w:val="20"/>
          <w:color w:val="auto"/>
        </w:rPr>
        <w:t>studies on our compounds and third-party compounds to assess arrestin signaling and internalization.</w:t>
      </w:r>
      <w:r>
        <w:rPr>
          <w:rFonts w:ascii="Arial" w:cs="Arial" w:eastAsia="Arial" w:hAnsi="Arial"/>
          <w:sz w:val="20"/>
          <w:szCs w:val="20"/>
          <w:i w:val="1"/>
          <w:iCs w:val="1"/>
          <w:color w:val="auto"/>
        </w:rPr>
        <w:t xml:space="preserve"> </w:t>
      </w:r>
      <w:r>
        <w:rPr>
          <w:rFonts w:ascii="Arial" w:cs="Arial" w:eastAsia="Arial" w:hAnsi="Arial"/>
          <w:sz w:val="20"/>
          <w:szCs w:val="20"/>
          <w:color w:val="auto"/>
        </w:rPr>
        <w:t>As shown below, apelin peptide and clinically tested competitor compounds including AMG-986 and</w:t>
      </w:r>
    </w:p>
    <w:p>
      <w:pPr>
        <w:sectPr>
          <w:pgSz w:w="11880" w:h="15480" w:orient="portrait"/>
          <w:cols w:equalWidth="0" w:num="1">
            <w:col w:w="9720"/>
          </w:cols>
          <w:pgMar w:left="1080" w:top="1063" w:right="1080" w:bottom="543"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880" w:h="15480" w:orient="portrait"/>
          <w:cols w:equalWidth="0" w:num="1">
            <w:col w:w="9720"/>
          </w:cols>
          <w:pgMar w:left="1080" w:top="1063" w:right="1080" w:bottom="543" w:gutter="0" w:footer="0" w:header="0"/>
          <w:type w:val="continuous"/>
        </w:sectPr>
      </w:pPr>
    </w:p>
    <w:bookmarkStart w:id="40" w:name="page41"/>
    <w:bookmarkEnd w:id="40"/>
    <w:p>
      <w:pPr>
        <w:ind w:right="240"/>
        <w:spacing w:after="0" w:line="255" w:lineRule="auto"/>
        <w:rPr>
          <w:sz w:val="20"/>
          <w:szCs w:val="20"/>
          <w:color w:val="auto"/>
        </w:rPr>
      </w:pPr>
      <w:r>
        <w:rPr>
          <w:rFonts w:ascii="Arial" w:cs="Arial" w:eastAsia="Arial" w:hAnsi="Arial"/>
          <w:sz w:val="20"/>
          <w:szCs w:val="20"/>
          <w:color w:val="auto"/>
        </w:rPr>
        <w:t xml:space="preserve">BMS-986224 are all non-biased APJR agonists in these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studies, with low </w:t>
      </w:r>
      <w:r>
        <w:rPr>
          <w:rFonts w:ascii="Arial" w:cs="Arial" w:eastAsia="Arial" w:hAnsi="Arial"/>
          <w:sz w:val="20"/>
          <w:szCs w:val="20"/>
          <w:color w:val="auto"/>
        </w:rPr>
        <w:t>β</w:t>
      </w:r>
      <w:r>
        <w:rPr>
          <w:rFonts w:ascii="Arial" w:cs="Arial" w:eastAsia="Arial" w:hAnsi="Arial"/>
          <w:sz w:val="20"/>
          <w:szCs w:val="20"/>
          <w:color w:val="auto"/>
        </w:rPr>
        <w:t xml:space="preserve">-arrestin/cAMP and internalization/cAMP ratios. Our molecules, such as ANPA-0073 and ANPA-137, are designed to be biased with much higher </w:t>
      </w:r>
      <w:r>
        <w:rPr>
          <w:rFonts w:ascii="Arial" w:cs="Arial" w:eastAsia="Arial" w:hAnsi="Arial"/>
          <w:sz w:val="20"/>
          <w:szCs w:val="20"/>
          <w:color w:val="auto"/>
        </w:rPr>
        <w:t>β</w:t>
      </w:r>
      <w:r>
        <w:rPr>
          <w:rFonts w:ascii="Arial" w:cs="Arial" w:eastAsia="Arial" w:hAnsi="Arial"/>
          <w:sz w:val="20"/>
          <w:szCs w:val="20"/>
          <w:color w:val="auto"/>
        </w:rPr>
        <w:t xml:space="preserve"> -arrestin/cAMP and internalization/cAMP ratios than apelin peptide and the competitor compounds shown below.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APJR biased agonism is a potential differentiator for ANPA-0073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182880</wp:posOffset>
                </wp:positionV>
                <wp:extent cx="616267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4pt" to="485.6pt,14.4pt" o:allowincell="f" strokecolor="#000000" strokeweight="0.48pt"/>
            </w:pict>
          </mc:Fallback>
        </mc:AlternateConten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rPr>
              <w:t>BIASED SELECTIVITY</w:t>
            </w:r>
          </w:p>
        </w:tc>
      </w:tr>
      <w:tr>
        <w:trPr>
          <w:trHeight w:val="156"/>
        </w:trPr>
        <w:tc>
          <w:tcPr>
            <w:tcW w:w="5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99"/>
              </w:rPr>
              <w:t>β</w:t>
            </w:r>
            <w:r>
              <w:rPr>
                <w:rFonts w:ascii="Arial" w:cs="Arial" w:eastAsia="Arial" w:hAnsi="Arial"/>
                <w:sz w:val="16"/>
                <w:szCs w:val="16"/>
                <w:b w:val="1"/>
                <w:bCs w:val="1"/>
                <w:color w:val="auto"/>
                <w:w w:val="99"/>
              </w:rPr>
              <w:t>-ARRESTIN</w:t>
            </w:r>
          </w:p>
        </w:tc>
        <w:tc>
          <w:tcPr>
            <w:tcW w:w="22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2"/>
        </w:trPr>
        <w:tc>
          <w:tcPr>
            <w:tcW w:w="6180" w:type="dxa"/>
            <w:vAlign w:val="bottom"/>
            <w:gridSpan w:val="2"/>
          </w:tcPr>
          <w:p>
            <w:pPr>
              <w:spacing w:after="0"/>
              <w:rPr>
                <w:sz w:val="20"/>
                <w:szCs w:val="20"/>
                <w:color w:val="auto"/>
              </w:rPr>
            </w:pPr>
            <w:r>
              <w:rPr>
                <w:rFonts w:ascii="Arial" w:cs="Arial" w:eastAsia="Arial" w:hAnsi="Arial"/>
                <w:sz w:val="16"/>
                <w:szCs w:val="16"/>
                <w:b w:val="1"/>
                <w:bCs w:val="1"/>
                <w:color w:val="auto"/>
              </w:rPr>
              <w:t>COMPOUND ID</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SIGNALING/cAMP</w:t>
            </w:r>
          </w:p>
        </w:tc>
        <w:tc>
          <w:tcPr>
            <w:tcW w:w="2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6"/>
                <w:szCs w:val="16"/>
                <w:b w:val="1"/>
                <w:bCs w:val="1"/>
                <w:color w:val="auto"/>
                <w:w w:val="99"/>
              </w:rPr>
              <w:t>INTERNALIZATION/cAMP</w:t>
            </w:r>
          </w:p>
        </w:tc>
      </w:tr>
      <w:tr>
        <w:trPr>
          <w:trHeight w:val="200"/>
        </w:trPr>
        <w:tc>
          <w:tcPr>
            <w:tcW w:w="5960" w:type="dxa"/>
            <w:vAlign w:val="bottom"/>
            <w:tcBorders>
              <w:top w:val="single" w:sz="8" w:color="auto"/>
            </w:tcBorders>
          </w:tcPr>
          <w:p>
            <w:pPr>
              <w:spacing w:after="0" w:line="200" w:lineRule="exact"/>
              <w:rPr>
                <w:sz w:val="20"/>
                <w:szCs w:val="20"/>
                <w:color w:val="auto"/>
              </w:rPr>
            </w:pPr>
            <w:r>
              <w:rPr>
                <w:rFonts w:ascii="Arial" w:cs="Arial" w:eastAsia="Arial" w:hAnsi="Arial"/>
                <w:sz w:val="20"/>
                <w:szCs w:val="20"/>
                <w:color w:val="auto"/>
                <w:w w:val="94"/>
              </w:rPr>
              <w:t>Apelin Peptide . . . . . . . . . . . . . . . . . . . . . . . . . . . . . . . . . . . . . . . . . . . . .</w:t>
            </w:r>
          </w:p>
        </w:tc>
        <w:tc>
          <w:tcPr>
            <w:tcW w:w="220" w:type="dxa"/>
            <w:vAlign w:val="bottom"/>
          </w:tcPr>
          <w:p>
            <w:pPr>
              <w:spacing w:after="0"/>
              <w:rPr>
                <w:sz w:val="17"/>
                <w:szCs w:val="17"/>
                <w:color w:val="auto"/>
              </w:rPr>
            </w:pPr>
          </w:p>
        </w:tc>
        <w:tc>
          <w:tcPr>
            <w:tcW w:w="138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20"/>
                <w:szCs w:val="20"/>
                <w:color w:val="auto"/>
                <w:w w:val="97"/>
              </w:rPr>
              <w:t>1.33</w:t>
            </w:r>
          </w:p>
        </w:tc>
        <w:tc>
          <w:tcPr>
            <w:tcW w:w="220" w:type="dxa"/>
            <w:vAlign w:val="bottom"/>
          </w:tcPr>
          <w:p>
            <w:pPr>
              <w:spacing w:after="0"/>
              <w:rPr>
                <w:sz w:val="17"/>
                <w:szCs w:val="17"/>
                <w:color w:val="auto"/>
              </w:rPr>
            </w:pPr>
          </w:p>
        </w:tc>
        <w:tc>
          <w:tcPr>
            <w:tcW w:w="194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20"/>
                <w:szCs w:val="20"/>
                <w:color w:val="auto"/>
                <w:w w:val="97"/>
              </w:rPr>
              <w:t>1.47</w:t>
            </w:r>
          </w:p>
        </w:tc>
      </w:tr>
      <w:tr>
        <w:trPr>
          <w:trHeight w:val="229"/>
        </w:trPr>
        <w:tc>
          <w:tcPr>
            <w:tcW w:w="6180" w:type="dxa"/>
            <w:vAlign w:val="bottom"/>
            <w:gridSpan w:val="2"/>
          </w:tcPr>
          <w:p>
            <w:pPr>
              <w:spacing w:after="0"/>
              <w:rPr>
                <w:sz w:val="20"/>
                <w:szCs w:val="20"/>
                <w:color w:val="auto"/>
              </w:rPr>
            </w:pPr>
            <w:r>
              <w:rPr>
                <w:rFonts w:ascii="Arial" w:cs="Arial" w:eastAsia="Arial" w:hAnsi="Arial"/>
                <w:sz w:val="20"/>
                <w:szCs w:val="20"/>
                <w:color w:val="auto"/>
                <w:w w:val="97"/>
              </w:rPr>
              <w:t>AMG-986 . . . . . . . . . . . . . . . . . . . . . . . . . . . . . . . . . . . . . . . . . . . . . . . . .</w:t>
            </w:r>
          </w:p>
        </w:tc>
        <w:tc>
          <w:tcPr>
            <w:tcW w:w="1380" w:type="dxa"/>
            <w:vAlign w:val="bottom"/>
          </w:tcPr>
          <w:p>
            <w:pPr>
              <w:jc w:val="center"/>
              <w:spacing w:after="0"/>
              <w:rPr>
                <w:sz w:val="20"/>
                <w:szCs w:val="20"/>
                <w:color w:val="auto"/>
              </w:rPr>
            </w:pPr>
            <w:r>
              <w:rPr>
                <w:rFonts w:ascii="Arial" w:cs="Arial" w:eastAsia="Arial" w:hAnsi="Arial"/>
                <w:sz w:val="20"/>
                <w:szCs w:val="20"/>
                <w:color w:val="auto"/>
                <w:w w:val="97"/>
              </w:rPr>
              <w:t>0.86</w:t>
            </w:r>
          </w:p>
        </w:tc>
        <w:tc>
          <w:tcPr>
            <w:tcW w:w="2160" w:type="dxa"/>
            <w:vAlign w:val="bottom"/>
            <w:gridSpan w:val="2"/>
          </w:tcPr>
          <w:p>
            <w:pPr>
              <w:jc w:val="center"/>
              <w:ind w:left="40"/>
              <w:spacing w:after="0"/>
              <w:rPr>
                <w:sz w:val="20"/>
                <w:szCs w:val="20"/>
                <w:color w:val="auto"/>
              </w:rPr>
            </w:pPr>
            <w:r>
              <w:rPr>
                <w:rFonts w:ascii="Arial" w:cs="Arial" w:eastAsia="Arial" w:hAnsi="Arial"/>
                <w:sz w:val="20"/>
                <w:szCs w:val="20"/>
                <w:color w:val="auto"/>
                <w:w w:val="97"/>
              </w:rPr>
              <w:t>1.00</w:t>
            </w:r>
          </w:p>
        </w:tc>
      </w:tr>
      <w:tr>
        <w:trPr>
          <w:trHeight w:val="230"/>
        </w:trPr>
        <w:tc>
          <w:tcPr>
            <w:tcW w:w="6180" w:type="dxa"/>
            <w:vAlign w:val="bottom"/>
            <w:gridSpan w:val="2"/>
          </w:tcPr>
          <w:p>
            <w:pPr>
              <w:spacing w:after="0"/>
              <w:rPr>
                <w:sz w:val="20"/>
                <w:szCs w:val="20"/>
                <w:color w:val="auto"/>
              </w:rPr>
            </w:pPr>
            <w:r>
              <w:rPr>
                <w:rFonts w:ascii="Arial" w:cs="Arial" w:eastAsia="Arial" w:hAnsi="Arial"/>
                <w:sz w:val="20"/>
                <w:szCs w:val="20"/>
                <w:color w:val="auto"/>
                <w:w w:val="98"/>
              </w:rPr>
              <w:t>BMS-986224 . . . . . . . . . . . . . . . . . . . . . . . . . . . . . . . . . . . . . . . . . . . . . .</w:t>
            </w:r>
          </w:p>
        </w:tc>
        <w:tc>
          <w:tcPr>
            <w:tcW w:w="1380" w:type="dxa"/>
            <w:vAlign w:val="bottom"/>
          </w:tcPr>
          <w:p>
            <w:pPr>
              <w:jc w:val="center"/>
              <w:spacing w:after="0"/>
              <w:rPr>
                <w:sz w:val="20"/>
                <w:szCs w:val="20"/>
                <w:color w:val="auto"/>
              </w:rPr>
            </w:pPr>
            <w:r>
              <w:rPr>
                <w:rFonts w:ascii="Arial" w:cs="Arial" w:eastAsia="Arial" w:hAnsi="Arial"/>
                <w:sz w:val="20"/>
                <w:szCs w:val="20"/>
                <w:color w:val="auto"/>
                <w:w w:val="97"/>
              </w:rPr>
              <w:t>4.48</w:t>
            </w:r>
          </w:p>
        </w:tc>
        <w:tc>
          <w:tcPr>
            <w:tcW w:w="2160" w:type="dxa"/>
            <w:vAlign w:val="bottom"/>
            <w:gridSpan w:val="2"/>
          </w:tcPr>
          <w:p>
            <w:pPr>
              <w:jc w:val="center"/>
              <w:ind w:left="40"/>
              <w:spacing w:after="0"/>
              <w:rPr>
                <w:sz w:val="20"/>
                <w:szCs w:val="20"/>
                <w:color w:val="auto"/>
              </w:rPr>
            </w:pPr>
            <w:r>
              <w:rPr>
                <w:rFonts w:ascii="Arial" w:cs="Arial" w:eastAsia="Arial" w:hAnsi="Arial"/>
                <w:sz w:val="20"/>
                <w:szCs w:val="20"/>
                <w:color w:val="auto"/>
                <w:w w:val="97"/>
              </w:rPr>
              <w:t>1.94</w:t>
            </w:r>
          </w:p>
        </w:tc>
      </w:tr>
      <w:tr>
        <w:trPr>
          <w:trHeight w:val="230"/>
        </w:trPr>
        <w:tc>
          <w:tcPr>
            <w:tcW w:w="6180" w:type="dxa"/>
            <w:vAlign w:val="bottom"/>
            <w:gridSpan w:val="2"/>
          </w:tcPr>
          <w:p>
            <w:pPr>
              <w:spacing w:after="0"/>
              <w:rPr>
                <w:sz w:val="20"/>
                <w:szCs w:val="20"/>
                <w:color w:val="auto"/>
              </w:rPr>
            </w:pPr>
            <w:r>
              <w:rPr>
                <w:rFonts w:ascii="Arial" w:cs="Arial" w:eastAsia="Arial" w:hAnsi="Arial"/>
                <w:sz w:val="20"/>
                <w:szCs w:val="20"/>
                <w:color w:val="auto"/>
                <w:w w:val="98"/>
              </w:rPr>
              <w:t>ANPA-0073 . . . . . . . . . . . . . . . . . . . . . . . . . . . . . . . . . . . . . . . . . . . . . . .</w:t>
            </w:r>
          </w:p>
        </w:tc>
        <w:tc>
          <w:tcPr>
            <w:tcW w:w="1380" w:type="dxa"/>
            <w:vAlign w:val="bottom"/>
          </w:tcPr>
          <w:p>
            <w:pPr>
              <w:jc w:val="center"/>
              <w:spacing w:after="0"/>
              <w:rPr>
                <w:sz w:val="20"/>
                <w:szCs w:val="20"/>
                <w:color w:val="auto"/>
              </w:rPr>
            </w:pPr>
            <w:r>
              <w:rPr>
                <w:rFonts w:ascii="Arial" w:cs="Arial" w:eastAsia="Arial" w:hAnsi="Arial"/>
                <w:sz w:val="20"/>
                <w:szCs w:val="20"/>
                <w:color w:val="auto"/>
                <w:w w:val="99"/>
              </w:rPr>
              <w:t>18.02</w:t>
            </w:r>
          </w:p>
        </w:tc>
        <w:tc>
          <w:tcPr>
            <w:tcW w:w="2160" w:type="dxa"/>
            <w:vAlign w:val="bottom"/>
            <w:gridSpan w:val="2"/>
          </w:tcPr>
          <w:p>
            <w:pPr>
              <w:jc w:val="center"/>
              <w:ind w:left="40"/>
              <w:spacing w:after="0"/>
              <w:rPr>
                <w:sz w:val="20"/>
                <w:szCs w:val="20"/>
                <w:color w:val="auto"/>
              </w:rPr>
            </w:pPr>
            <w:r>
              <w:rPr>
                <w:rFonts w:ascii="Arial" w:cs="Arial" w:eastAsia="Arial" w:hAnsi="Arial"/>
                <w:sz w:val="20"/>
                <w:szCs w:val="20"/>
                <w:color w:val="auto"/>
                <w:w w:val="99"/>
              </w:rPr>
              <w:t>3,074</w:t>
            </w:r>
          </w:p>
        </w:tc>
      </w:tr>
      <w:tr>
        <w:trPr>
          <w:trHeight w:val="250"/>
        </w:trPr>
        <w:tc>
          <w:tcPr>
            <w:tcW w:w="6180" w:type="dxa"/>
            <w:vAlign w:val="bottom"/>
            <w:gridSpan w:val="2"/>
          </w:tcPr>
          <w:p>
            <w:pPr>
              <w:spacing w:after="0"/>
              <w:rPr>
                <w:sz w:val="20"/>
                <w:szCs w:val="20"/>
                <w:color w:val="auto"/>
              </w:rPr>
            </w:pPr>
            <w:r>
              <w:rPr>
                <w:rFonts w:ascii="Arial" w:cs="Arial" w:eastAsia="Arial" w:hAnsi="Arial"/>
                <w:sz w:val="20"/>
                <w:szCs w:val="20"/>
                <w:color w:val="auto"/>
                <w:w w:val="97"/>
              </w:rPr>
              <w:t>ANPA-137. . . . . . . . . . . . . . . . . . . . . . . . . . . . . . . . . . . . . . . . . . . . . . . . .</w:t>
            </w:r>
          </w:p>
        </w:tc>
        <w:tc>
          <w:tcPr>
            <w:tcW w:w="1380" w:type="dxa"/>
            <w:vAlign w:val="bottom"/>
          </w:tcPr>
          <w:p>
            <w:pPr>
              <w:jc w:val="center"/>
              <w:spacing w:after="0"/>
              <w:rPr>
                <w:sz w:val="20"/>
                <w:szCs w:val="20"/>
                <w:color w:val="auto"/>
              </w:rPr>
            </w:pPr>
            <w:r>
              <w:rPr>
                <w:rFonts w:ascii="Arial" w:cs="Arial" w:eastAsia="Arial" w:hAnsi="Arial"/>
                <w:sz w:val="20"/>
                <w:szCs w:val="20"/>
                <w:color w:val="auto"/>
                <w:w w:val="99"/>
              </w:rPr>
              <w:t>28.20</w:t>
            </w:r>
          </w:p>
        </w:tc>
        <w:tc>
          <w:tcPr>
            <w:tcW w:w="2160" w:type="dxa"/>
            <w:vAlign w:val="bottom"/>
            <w:gridSpan w:val="2"/>
          </w:tcPr>
          <w:p>
            <w:pPr>
              <w:jc w:val="center"/>
              <w:ind w:left="40"/>
              <w:spacing w:after="0"/>
              <w:rPr>
                <w:sz w:val="20"/>
                <w:szCs w:val="20"/>
                <w:color w:val="auto"/>
              </w:rPr>
            </w:pPr>
            <w:r>
              <w:rPr>
                <w:rFonts w:ascii="Arial" w:cs="Arial" w:eastAsia="Arial" w:hAnsi="Arial"/>
                <w:sz w:val="20"/>
                <w:szCs w:val="20"/>
                <w:color w:val="auto"/>
                <w:w w:val="99"/>
              </w:rPr>
              <w:t>1,411</w:t>
            </w:r>
          </w:p>
        </w:tc>
      </w:tr>
      <w:tr>
        <w:trPr>
          <w:trHeight w:val="220"/>
        </w:trPr>
        <w:tc>
          <w:tcPr>
            <w:tcW w:w="5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spacing w:after="0"/>
              <w:rPr>
                <w:sz w:val="19"/>
                <w:szCs w:val="19"/>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ANPA-0073 Preclinical Data</w:t>
      </w:r>
    </w:p>
    <w:p>
      <w:pPr>
        <w:spacing w:after="0" w:line="231"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 xml:space="preserve">In an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study, ANPA-0073 demonstrated high potency in suppressing cAMP production through the G-protein-mediated signaling pathway with a half maximal excitatory concentration (EC50) value of less than 10 nM (n=15), but less potency in triggering the </w:t>
      </w:r>
      <w:r>
        <w:rPr>
          <w:rFonts w:ascii="Arial" w:cs="Arial" w:eastAsia="Arial" w:hAnsi="Arial"/>
          <w:sz w:val="20"/>
          <w:szCs w:val="20"/>
          <w:color w:val="auto"/>
        </w:rPr>
        <w:t>β</w:t>
      </w:r>
      <w:r>
        <w:rPr>
          <w:rFonts w:ascii="Arial" w:cs="Arial" w:eastAsia="Arial" w:hAnsi="Arial"/>
          <w:sz w:val="20"/>
          <w:szCs w:val="20"/>
          <w:color w:val="auto"/>
        </w:rPr>
        <w:t xml:space="preserve"> -arrestin pathway and APJR internalization respectively. These data suggest ANPA-0073 is highly biased. The G-protein agonist potency of ANPA-0073 was similar across different species (rat, dog and monkey).</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Anti-fibrosis effect of an APJ agonist ANPA-0137 was evaluated in bleomycin induced lung fibrosis model. Seven days after bleomycin challenges, mice received oral ANPA-137 for two weeks. ANPA-137 significantly reduced lung fibrosis Ashcroft scores and inflammatory cells infiltration into lung as quantified by inflammatory score as shown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APJR agonist demonstrated anti-fibrosis efficacy in therapeutic IPF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167005</wp:posOffset>
            </wp:positionV>
            <wp:extent cx="5212080" cy="26517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4">
                      <a:extLst>
                        <a:ext uri="{28A0092B-C50C-407E-A947-70E740481C1C}"/>
                      </a:extLst>
                    </a:blip>
                    <a:srcRect/>
                    <a:stretch>
                      <a:fillRect/>
                    </a:stretch>
                  </pic:blipFill>
                  <pic:spPr bwMode="auto">
                    <a:xfrm>
                      <a:off x="0" y="0"/>
                      <a:ext cx="5212080" cy="265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0"/>
        <w:spacing w:after="0" w:line="284" w:lineRule="auto"/>
        <w:rPr>
          <w:sz w:val="20"/>
          <w:szCs w:val="20"/>
          <w:color w:val="auto"/>
        </w:rPr>
      </w:pPr>
      <w:r>
        <w:rPr>
          <w:rFonts w:ascii="Arial" w:cs="Arial" w:eastAsia="Arial" w:hAnsi="Arial"/>
          <w:sz w:val="20"/>
          <w:szCs w:val="20"/>
          <w:color w:val="auto"/>
        </w:rPr>
        <w:t>Furthermore, ANPA-137 also demonstrated anti-fibrotic activity in an in vivo bleomycin-induced rat lung fibrosis model. Similar to mouse bleomycin study design, seven days after bleomycin challenges, rats</w:t>
      </w:r>
    </w:p>
    <w:p>
      <w:pPr>
        <w:sectPr>
          <w:pgSz w:w="11880" w:h="15480" w:orient="portrait"/>
          <w:cols w:equalWidth="0" w:num="1">
            <w:col w:w="9720"/>
          </w:cols>
          <w:pgMar w:left="1080" w:top="1066" w:right="1080" w:bottom="543"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880" w:h="15480" w:orient="portrait"/>
          <w:cols w:equalWidth="0" w:num="1">
            <w:col w:w="9720"/>
          </w:cols>
          <w:pgMar w:left="1080" w:top="1066" w:right="1080" w:bottom="543" w:gutter="0" w:footer="0" w:header="0"/>
          <w:type w:val="continuous"/>
        </w:sectPr>
      </w:pPr>
    </w:p>
    <w:bookmarkStart w:id="41" w:name="page42"/>
    <w:bookmarkEnd w:id="41"/>
    <w:p>
      <w:pPr>
        <w:ind w:right="60"/>
        <w:spacing w:after="0" w:line="284" w:lineRule="auto"/>
        <w:rPr>
          <w:sz w:val="20"/>
          <w:szCs w:val="20"/>
          <w:color w:val="auto"/>
        </w:rPr>
      </w:pPr>
      <w:r>
        <w:rPr>
          <w:rFonts w:ascii="Arial" w:cs="Arial" w:eastAsia="Arial" w:hAnsi="Arial"/>
          <w:sz w:val="20"/>
          <w:szCs w:val="20"/>
          <w:color w:val="auto"/>
        </w:rPr>
        <w:t>received 15 mpk of oral ANPA-137 for two weeks. ANPA-137 significantly reduced lung fibrosis as quantified by Ashcroft score as shown below.</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APJR agonist demonstrated anti-fibrosis efficacy in therapeutic IPF rat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167640</wp:posOffset>
            </wp:positionV>
            <wp:extent cx="5501640" cy="2799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5">
                      <a:extLst>
                        <a:ext uri="{28A0092B-C50C-407E-A947-70E740481C1C}"/>
                      </a:extLst>
                    </a:blip>
                    <a:srcRect/>
                    <a:stretch>
                      <a:fillRect/>
                    </a:stretch>
                  </pic:blipFill>
                  <pic:spPr bwMode="auto">
                    <a:xfrm>
                      <a:off x="0" y="0"/>
                      <a:ext cx="5501640" cy="279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ANPA-0073 Phase 1 Healthy Volunteer Trial Design</w:t>
      </w:r>
    </w:p>
    <w:p>
      <w:pPr>
        <w:spacing w:after="0" w:line="23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In September 2022, we completed a two-part, 96 subject, first-in-human Phase 1 SAD and MAD study for ANPA -0073 in 48 healthy adult volunteers between the ages of 18 and 55. The objective was to assess drug safety and PK. The first part of this study was a SAD study, involving eight cohorts of eight participants assigned to receive a single dose of ANPA-0073 or placebo in a 3:1 ratio. Doses from 2 mg to 600 mg across the eight cohorts were evaluated. The second part of the trial was a MAD study, including four cohorts of eight subjects receiving sequential ascending doses of ANPA-0073 daily for seven days, increasing from 75 mg to 500 mg once daily. A schema of our Phase 1 study is presented below:</w:t>
      </w:r>
    </w:p>
    <w:p>
      <w:pPr>
        <w:spacing w:after="0" w:line="191" w:lineRule="exact"/>
        <w:rPr>
          <w:sz w:val="20"/>
          <w:szCs w:val="20"/>
          <w:color w:val="auto"/>
        </w:rPr>
      </w:pPr>
    </w:p>
    <w:p>
      <w:pPr>
        <w:ind w:right="1800" w:firstLine="1862"/>
        <w:spacing w:after="0" w:line="538" w:lineRule="auto"/>
        <w:rPr>
          <w:sz w:val="20"/>
          <w:szCs w:val="20"/>
          <w:color w:val="auto"/>
        </w:rPr>
      </w:pPr>
      <w:r>
        <w:rPr>
          <w:rFonts w:ascii="Arial" w:cs="Arial" w:eastAsia="Arial" w:hAnsi="Arial"/>
          <w:sz w:val="20"/>
          <w:szCs w:val="20"/>
          <w:b w:val="1"/>
          <w:bCs w:val="1"/>
          <w:color w:val="auto"/>
        </w:rPr>
        <w:t xml:space="preserve">Schema of our ANPA-0073 Phase 1 study in healthy volunteers </w:t>
      </w:r>
      <w:r>
        <w:rPr>
          <w:rFonts w:ascii="Arial" w:cs="Arial" w:eastAsia="Arial" w:hAnsi="Arial"/>
          <w:sz w:val="20"/>
          <w:szCs w:val="20"/>
          <w:color w:val="auto"/>
        </w:rPr>
        <w:t>ANPA-0073-01 Part A SAD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-41910</wp:posOffset>
            </wp:positionV>
            <wp:extent cx="4632960" cy="1686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6">
                      <a:extLst>
                        <a:ext uri="{28A0092B-C50C-407E-A947-70E740481C1C}"/>
                      </a:extLst>
                    </a:blip>
                    <a:srcRect/>
                    <a:stretch>
                      <a:fillRect/>
                    </a:stretch>
                  </pic:blipFill>
                  <pic:spPr bwMode="auto">
                    <a:xfrm>
                      <a:off x="0" y="0"/>
                      <a:ext cx="4632960" cy="1686560"/>
                    </a:xfrm>
                    <a:prstGeom prst="rect">
                      <a:avLst/>
                    </a:prstGeom>
                    <a:noFill/>
                  </pic:spPr>
                </pic:pic>
              </a:graphicData>
            </a:graphic>
          </wp:anchor>
        </w:drawing>
      </w:r>
    </w:p>
    <w:p>
      <w:pPr>
        <w:sectPr>
          <w:pgSz w:w="11880" w:h="15480" w:orient="portrait"/>
          <w:cols w:equalWidth="0" w:num="1">
            <w:col w:w="9660"/>
          </w:cols>
          <w:pgMar w:left="1080" w:top="1066" w:right="114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40</w:t>
      </w:r>
    </w:p>
    <w:p>
      <w:pPr>
        <w:sectPr>
          <w:pgSz w:w="11880" w:h="15480" w:orient="portrait"/>
          <w:cols w:equalWidth="0" w:num="1">
            <w:col w:w="9660"/>
          </w:cols>
          <w:pgMar w:left="1080" w:top="1066" w:right="1140" w:bottom="543" w:gutter="0" w:footer="0" w:header="0"/>
          <w:type w:val="continuous"/>
        </w:sectPr>
      </w:pPr>
    </w:p>
    <w:bookmarkStart w:id="42" w:name="page43"/>
    <w:bookmarkEnd w:id="42"/>
    <w:p>
      <w:pPr>
        <w:jc w:val="center"/>
        <w:ind w:right="-139"/>
        <w:spacing w:after="0"/>
        <w:rPr>
          <w:sz w:val="20"/>
          <w:szCs w:val="20"/>
          <w:color w:val="auto"/>
        </w:rPr>
      </w:pPr>
      <w:r>
        <w:rPr>
          <w:rFonts w:ascii="Arial" w:cs="Arial" w:eastAsia="Arial" w:hAnsi="Arial"/>
          <w:sz w:val="20"/>
          <w:szCs w:val="20"/>
          <w:b w:val="1"/>
          <w:bCs w:val="1"/>
          <w:color w:val="auto"/>
        </w:rPr>
        <w:t>ANPA-0073-01 Part B MAD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167640</wp:posOffset>
            </wp:positionV>
            <wp:extent cx="4551680" cy="16459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7">
                      <a:extLst>
                        <a:ext uri="{28A0092B-C50C-407E-A947-70E740481C1C}"/>
                      </a:extLst>
                    </a:blip>
                    <a:srcRect/>
                    <a:stretch>
                      <a:fillRect/>
                    </a:stretch>
                  </pic:blipFill>
                  <pic:spPr bwMode="auto">
                    <a:xfrm>
                      <a:off x="0" y="0"/>
                      <a:ext cx="455168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ANPA-0073 Phase 1 Safety Data in Healthy Volunteers</w:t>
      </w:r>
    </w:p>
    <w:p>
      <w:pPr>
        <w:spacing w:after="0" w:line="232" w:lineRule="exact"/>
        <w:rPr>
          <w:sz w:val="20"/>
          <w:szCs w:val="20"/>
          <w:color w:val="auto"/>
        </w:rPr>
      </w:pPr>
    </w:p>
    <w:p>
      <w:pPr>
        <w:ind w:right="220"/>
        <w:spacing w:after="0" w:line="284" w:lineRule="auto"/>
        <w:rPr>
          <w:sz w:val="20"/>
          <w:szCs w:val="20"/>
          <w:color w:val="auto"/>
        </w:rPr>
      </w:pPr>
      <w:r>
        <w:rPr>
          <w:rFonts w:ascii="Arial" w:cs="Arial" w:eastAsia="Arial" w:hAnsi="Arial"/>
          <w:sz w:val="20"/>
          <w:szCs w:val="20"/>
          <w:color w:val="auto"/>
        </w:rPr>
        <w:t>ANPA- 0073 was generally well tolerated at all dose levels administrated in the SAD and MAD parts of this Phase 1 study.</w:t>
      </w:r>
    </w:p>
    <w:p>
      <w:pPr>
        <w:spacing w:after="0" w:line="155" w:lineRule="exact"/>
        <w:rPr>
          <w:sz w:val="20"/>
          <w:szCs w:val="20"/>
          <w:color w:val="auto"/>
        </w:rPr>
      </w:pPr>
    </w:p>
    <w:p>
      <w:pPr>
        <w:ind w:right="460"/>
        <w:spacing w:after="0" w:line="284" w:lineRule="auto"/>
        <w:rPr>
          <w:sz w:val="20"/>
          <w:szCs w:val="20"/>
          <w:color w:val="auto"/>
        </w:rPr>
      </w:pPr>
      <w:r>
        <w:rPr>
          <w:rFonts w:ascii="Arial" w:cs="Arial" w:eastAsia="Arial" w:hAnsi="Arial"/>
          <w:sz w:val="20"/>
          <w:szCs w:val="20"/>
          <w:color w:val="auto"/>
        </w:rPr>
        <w:t>In the study, PK parameters of systemic exposure, C</w:t>
      </w:r>
      <w:r>
        <w:rPr>
          <w:rFonts w:ascii="Arial" w:cs="Arial" w:eastAsia="Arial" w:hAnsi="Arial"/>
          <w:sz w:val="14"/>
          <w:szCs w:val="14"/>
          <w:color w:val="auto"/>
        </w:rPr>
        <w:t>max</w:t>
      </w:r>
      <w:r>
        <w:rPr>
          <w:rFonts w:ascii="Arial" w:cs="Arial" w:eastAsia="Arial" w:hAnsi="Arial"/>
          <w:sz w:val="20"/>
          <w:szCs w:val="20"/>
          <w:color w:val="auto"/>
        </w:rPr>
        <w:t xml:space="preserve"> and AUC, increased with doses of ANPA-0073 across the dose range from 75 mg to 500 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112395</wp:posOffset>
            </wp:positionV>
            <wp:extent cx="5791200" cy="2184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8">
                      <a:extLst>
                        <a:ext uri="{28A0092B-C50C-407E-A947-70E740481C1C}"/>
                      </a:extLst>
                    </a:blip>
                    <a:srcRect/>
                    <a:stretch>
                      <a:fillRect/>
                    </a:stretch>
                  </pic:blipFill>
                  <pic:spPr bwMode="auto">
                    <a:xfrm>
                      <a:off x="0" y="0"/>
                      <a:ext cx="5791200" cy="218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 the SAD cohorts, no SAEs and no adverse changes in laboratory tests were observed. Among the AEs reported, five were considered moderate treatment emergent adverse events and the remaining were mild in severity. AEs did not result in any early terminations or subject discontinuations from participation in this study. No trial stopping criteria were met and no significant changes or trends in hematology, blood</w:t>
      </w:r>
    </w:p>
    <w:p>
      <w:pPr>
        <w:sectPr>
          <w:pgSz w:w="11880" w:h="15480" w:orient="portrait"/>
          <w:cols w:equalWidth="0" w:num="1">
            <w:col w:w="9580"/>
          </w:cols>
          <w:pgMar w:left="1080" w:top="1063" w:right="122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41</w:t>
      </w:r>
    </w:p>
    <w:p>
      <w:pPr>
        <w:sectPr>
          <w:pgSz w:w="11880" w:h="15480" w:orient="portrait"/>
          <w:cols w:equalWidth="0" w:num="1">
            <w:col w:w="9580"/>
          </w:cols>
          <w:pgMar w:left="1080" w:top="1063" w:right="1220" w:bottom="543" w:gutter="0" w:footer="0" w:header="0"/>
          <w:type w:val="continuous"/>
        </w:sectPr>
      </w:pPr>
    </w:p>
    <w:bookmarkStart w:id="43" w:name="page44"/>
    <w:bookmarkEnd w:id="43"/>
    <w:p>
      <w:pPr>
        <w:ind w:right="220"/>
        <w:spacing w:after="0" w:line="284" w:lineRule="auto"/>
        <w:rPr>
          <w:sz w:val="20"/>
          <w:szCs w:val="20"/>
          <w:color w:val="auto"/>
        </w:rPr>
      </w:pPr>
      <w:r>
        <w:rPr>
          <w:rFonts w:ascii="Arial" w:cs="Arial" w:eastAsia="Arial" w:hAnsi="Arial"/>
          <w:sz w:val="20"/>
          <w:szCs w:val="20"/>
          <w:color w:val="auto"/>
        </w:rPr>
        <w:t>chemistries, vital signs or electrocardiogram (“ECG”) measurements were noted. The following table shows all TEAEs that were reported: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ANPA-0073 Phase 1 SAD Treatment Emergent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167640</wp:posOffset>
            </wp:positionV>
            <wp:extent cx="5443220" cy="2065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9">
                      <a:extLst>
                        <a:ext uri="{28A0092B-C50C-407E-A947-70E740481C1C}"/>
                      </a:extLst>
                    </a:blip>
                    <a:srcRect/>
                    <a:stretch>
                      <a:fillRect/>
                    </a:stretch>
                  </pic:blipFill>
                  <pic:spPr bwMode="auto">
                    <a:xfrm>
                      <a:off x="0" y="0"/>
                      <a:ext cx="5443220" cy="206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In the MAD portion of the Phase 1 study, no SAEs and no adverse changes in laboratory tests were observed. Among the AEs reported, twelve were considered moderate TEAEs and the remaining were mild in severity. AEs did not result in any early terminations or subject discontinuations from participation in this study. No trial stopping criteria were met and no significant changes or trends in hematology, blood chemistries, vital signs or ECG measurements were noted. The following table shows all TEAEs that were reported: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ANPA-0073 Phase 1 MAD Treatment Emergent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167005</wp:posOffset>
            </wp:positionV>
            <wp:extent cx="5327015" cy="2044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0">
                      <a:extLst>
                        <a:ext uri="{28A0092B-C50C-407E-A947-70E740481C1C}"/>
                      </a:extLst>
                    </a:blip>
                    <a:srcRect/>
                    <a:stretch>
                      <a:fillRect/>
                    </a:stretch>
                  </pic:blipFill>
                  <pic:spPr bwMode="auto">
                    <a:xfrm>
                      <a:off x="0" y="0"/>
                      <a:ext cx="5327015" cy="2044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auto"/>
        </w:rPr>
        <w:t>We will initiate the 26-week chronic GLP-toxicology studies in rats and 39-week studies in dogs that we believe will be required by regulatory agencies to continue dosing beyond 13 weeks in Phase 2. We are also evaluating ANPA-0073 for selective or muscle-sparing weight loss.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44"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Our success depends in part on our ability to obtain and maintain proprietary protection for our product candidates and other discoveries, inventions, trade secrets and know- how that are critical to our business operations. Our success also depends in part on our ability to operate without infringing the proprietary rights of others, and in part on our ability to prevent others from infringing our proprietary rights. A comprehensive</w:t>
      </w:r>
    </w:p>
    <w:p>
      <w:pPr>
        <w:sectPr>
          <w:pgSz w:w="11880" w:h="15480" w:orient="portrait"/>
          <w:cols w:equalWidth="0" w:num="1">
            <w:col w:w="9700"/>
          </w:cols>
          <w:pgMar w:left="1080" w:top="1066" w:right="1100" w:bottom="543"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w:t>
      </w:r>
    </w:p>
    <w:p>
      <w:pPr>
        <w:sectPr>
          <w:pgSz w:w="11880" w:h="15480" w:orient="portrait"/>
          <w:cols w:equalWidth="0" w:num="1">
            <w:col w:w="9700"/>
          </w:cols>
          <w:pgMar w:left="1080" w:top="1066" w:right="1100" w:bottom="543" w:gutter="0" w:footer="0" w:header="0"/>
          <w:type w:val="continuous"/>
        </w:sectPr>
      </w:pPr>
    </w:p>
    <w:bookmarkStart w:id="44" w:name="page45"/>
    <w:bookmarkEnd w:id="44"/>
    <w:p>
      <w:pPr>
        <w:ind w:right="360"/>
        <w:spacing w:after="0" w:line="284" w:lineRule="auto"/>
        <w:rPr>
          <w:sz w:val="20"/>
          <w:szCs w:val="20"/>
          <w:color w:val="auto"/>
        </w:rPr>
      </w:pPr>
      <w:r>
        <w:rPr>
          <w:rFonts w:ascii="Arial" w:cs="Arial" w:eastAsia="Arial" w:hAnsi="Arial"/>
          <w:sz w:val="20"/>
          <w:szCs w:val="20"/>
          <w:color w:val="auto"/>
        </w:rPr>
        <w:t>discussion on risks relating to intellectual property is provided under Part I. Item 1A. “Risk Factors—Risks Related to Our Intellectual Property.”</w:t>
      </w:r>
    </w:p>
    <w:p>
      <w:pPr>
        <w:spacing w:after="0" w:line="136"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For our GLP-1R program, as of December 31, 2023, our wholly -owned subsidiary Gasherbrum Bio, Inc., is the sole owner of one granted U.S. patent and 11 pending U.S. patent applications, 14 Patent Cooperation Treaty (“PCT”), applications, and 94 pending foreign patent applications in Argentina, the African Regional Intellectual Property Organization (“ARIPO”), Australia, Brazil, Canada, Chile, the People’s Republic of China (“PRC”), Colombia, Costa Rica, Dominican Republic, Egypt, the Eurasian Patent Office (the “EAPO”), the European Patent Office (the “EPO”), Guatemala, Hong Kong, Indonesia, Israel, India, Japan, South Korea, Mexico, Malaysia, New Zealand, Panama, Peru, Philippines, Saudi Arabia, Singapore, Thailand, Taiwan, Ukraine, Vietnam, and South Africa. These patent applications, to the extent they issue (or in the case of priority applications, if issued from future non-provisional applications that we file), are expected to expire between 2041 and 2044, without accounting for potentially available patent term adjustments or extensions. These patent applications relate to compositions of matter of heterocyclic GLP-1 agonists, including GSBR-1290 and its analogs, solid forms and methods of treating conditions associated with GLP-1R activity. We intend to strengthen the patent protection of our product candidates and other discoveries, inventions, trade secrets and know-how that are critical to our business operations through additional patent application filings.</w:t>
      </w:r>
    </w:p>
    <w:p>
      <w:pPr>
        <w:spacing w:after="0" w:line="200" w:lineRule="exact"/>
        <w:rPr>
          <w:sz w:val="20"/>
          <w:szCs w:val="20"/>
          <w:color w:val="auto"/>
        </w:rPr>
      </w:pPr>
    </w:p>
    <w:p>
      <w:pPr>
        <w:spacing w:after="0" w:line="211"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For our oral small molecule APJR program, as of December 31, 2023, our wholly-owned subsidiary Annapurna Bio, Inc. is the sole owner of two granted U.S. patents and three pending U.S. patent applications, one PCT application, one granted European patent and 24 pending foreign patent applications in Argentina, Australia, Brazil, Canada, the PRC, the EAPO, the EPO, Hong Kong, Israel, India, Japan, South Korea, Mexico, New Zealand, Singapore, Taiwan, and South Africa relating to compounds and compositions of matter for treating conditions associated with Apelin receptor activity, including ANPA-0073 and its analogs, solid forms and methods of treating conditions associated with Apelin receptor activity. Any patents issuing from these patent applications (or in the case of priority applications, if issued from future non-provisional applications that we file) are expected to expire between 2039 and 2043, without accounting for potentially available patent term adjustments or extensions.</w:t>
      </w:r>
    </w:p>
    <w:p>
      <w:pPr>
        <w:spacing w:after="0" w:line="17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For our LPA1R program, as of December 31, 2023, our wholly-owned subsidiary Lhotse Bio, Inc. (“Lhotse”) is the sole owner of three pending U.S. patent applications, four PCT applications and seven pending foreign patent applications in Argentina, the PRC, the EPO, Japan, and Taiwan relating to compounds and compositions of matter for treating conditions associated with LPA receptor activity, including LTSE-2578 and its analogs, and methods of treating conditions associated with LPA receptor activity. Any patents issuing from these patent applications (or in the case of priority applications, if issued from future non-provisional applications that we file) are expected to expire between 2041 and 2044, without accounting for potentially available patent term adjustments or extensions.</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For our oral small molecule Amylin program, as of December 31, 2023, our wholly-owned subsidiary Aconcagua Bio, Inc. (“Aconcagua”) is the sole owner of two PCT applications relating to compounds and compositions of matter for treating conditions associated with Amylin receptor activity and methods of treating conditions associated with Amylin receptor activity. Any patents issuing from these patent applications (or in the case of priority applications, if issued from future non-provisional applications that we file) are expected to expire in 2044, without accounting for potentially available patent term adjustments or extensions.</w:t>
      </w:r>
    </w:p>
    <w:p>
      <w:pPr>
        <w:spacing w:after="0" w:line="174" w:lineRule="exact"/>
        <w:rPr>
          <w:sz w:val="20"/>
          <w:szCs w:val="20"/>
          <w:color w:val="auto"/>
        </w:rPr>
      </w:pPr>
    </w:p>
    <w:p>
      <w:pPr>
        <w:ind w:right="220"/>
        <w:spacing w:after="0" w:line="245" w:lineRule="auto"/>
        <w:rPr>
          <w:sz w:val="20"/>
          <w:szCs w:val="20"/>
          <w:color w:val="auto"/>
        </w:rPr>
      </w:pPr>
      <w:r>
        <w:rPr>
          <w:rFonts w:ascii="Arial" w:cs="Arial" w:eastAsia="Arial" w:hAnsi="Arial"/>
          <w:sz w:val="20"/>
          <w:szCs w:val="20"/>
          <w:color w:val="auto"/>
        </w:rPr>
        <w:t>In addition to patent protection, we also rely on trade secrets, know-how, trademarks, other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w:t>
      </w:r>
    </w:p>
    <w:p>
      <w:pPr>
        <w:sectPr>
          <w:pgSz w:w="11880" w:h="15480" w:orient="portrait"/>
          <w:cols w:equalWidth="0" w:num="1">
            <w:col w:w="9680"/>
          </w:cols>
          <w:pgMar w:left="1080" w:top="1066" w:right="1120" w:bottom="543"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43</w:t>
      </w:r>
    </w:p>
    <w:p>
      <w:pPr>
        <w:sectPr>
          <w:pgSz w:w="11880" w:h="15480" w:orient="portrait"/>
          <w:cols w:equalWidth="0" w:num="1">
            <w:col w:w="9680"/>
          </w:cols>
          <w:pgMar w:left="1080" w:top="1066" w:right="1120" w:bottom="543" w:gutter="0" w:footer="0" w:header="0"/>
          <w:type w:val="continuous"/>
        </w:sectPr>
      </w:pPr>
    </w:p>
    <w:bookmarkStart w:id="45" w:name="page46"/>
    <w:bookmarkEnd w:id="45"/>
    <w:p>
      <w:pPr>
        <w:jc w:val="both"/>
        <w:spacing w:after="0" w:line="262" w:lineRule="auto"/>
        <w:rPr>
          <w:sz w:val="20"/>
          <w:szCs w:val="20"/>
          <w:color w:val="auto"/>
        </w:rPr>
      </w:pPr>
      <w:r>
        <w:rPr>
          <w:rFonts w:ascii="Arial" w:cs="Arial" w:eastAsia="Arial" w:hAnsi="Arial"/>
          <w:sz w:val="20"/>
          <w:szCs w:val="20"/>
          <w:color w:val="auto"/>
        </w:rPr>
        <w:t>However, such confidentiality agreements can be breached, and we may not have adequate remedies for any such breach. For more information regarding the risks related to our intellectual property, see Part I. Item 1A. “Risk Factors — Risks Related to Our Intellectual Property.”</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Lhotse Collaboration Agreement with Schrödinger, LLC</w:t>
      </w:r>
    </w:p>
    <w:p>
      <w:pPr>
        <w:spacing w:after="0" w:line="204"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In October 2020, Lhotse, our wholly-owned subsidiary, entered into a collaboration agreement with Schrödinger (the “Lhotse-Schrödinger Agreement”) to discover and develop novel, orally bioavailable, small molecule inhibitors of LPA1R. Under the Lhotse-Schrödinger Agreement, Schrödinger is obligated to provide computational modeling and design support, including by using its technology platform to perform virtual screens, and Lhotse is obligated to provide day- to-day chemistry and biology support. Pursuant to the Lhotse-Schrödinger Agreement, a joint steering committee comprised of representatives from both parties oversees the research performed under the agreement. During the term of the Lhotse-Schrödinger Agreement and for a specified period thereafter while Lhotse is engaged in active development of any compound having activity against LPA1R that is discovered or developed under the Lhotse-Schrödinger Agreement, Schrödinger is obligated to work exclusively with Lhotse on the design, research, development and commercialization of compounds that inhibit LPA1R. Lhotse will solely own the research results, work product, inventions and other intellectual property generated under the Lhotse-Schrödinger Agreement that are directed to LPA1R.</w:t>
      </w:r>
    </w:p>
    <w:p>
      <w:pPr>
        <w:spacing w:after="0" w:line="164"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Under the Lhotse-Schrödinger Agreement, Lhotse is obligated to pay Schrödinger a quarterly active program payment in the low six digits for each successive three-month period during which Schrödinger continues to perform research work as agreed by the parties, and as of December 31, 2023, we have paid to Schrödinger an aggregate of $0.8 million. If Lhotse develops and commercializes a product containing a compound (“Collaboration Compound”) that is discovered or developed under the Lhotse- Schrödinger Agreement (“Collaboration Product”), Lhotse is obligated to pay Schrödinger development and regulatory milestone payments of up to an aggregate of $17.0 million, regardless of the number of Collaboration Products that reach such milestones. Lhotse will also be obligated to pay Schrödinger tiered royalties in the low single digit range on aggregate worldwide net sales of all Collaboration Products, subject to specified reductions and offsets. Lhotse’s obligation to pay royalties to Schrödinger will expire on a Collaboration Product-by-Collaboration Product and country-by-country basis on the later of (i) the expiration of the last-to-expire Lhotse owned patent claim covering the composition of matter of the Collaboration Compound contained in such Collaboration Product in such country, (ii) the expiration of regulatory, pediatric, orphan drug, or data exclusivity with respect to such Collaboration Product in such country, and (iii) ten years after the first commercial sale of such Collaboration Product in such country (“Royalty Term”).</w:t>
      </w:r>
    </w:p>
    <w:p>
      <w:pPr>
        <w:spacing w:after="0" w:line="157"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Unless terminated earlier, the Lhotse-Schrödinger Agreement will continue for three years, subject to extension by mutual written agreement of the parties. Either party may terminate the Lhotse-Schrödinger Agreement for the other party’s uncured material breach, subject to certain notice and cure periods, or for the other party’s bankruptcy or insolvency. Lhotse’s obligation to make milestone and royalty payments (subject to the Royalty Term) to Schrödinger continues after the expiration or termination of the Lhotse-Schrödinger Agreement.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Aconcagua Collaboration Agreement with Schrödinger</w:t>
      </w:r>
    </w:p>
    <w:p>
      <w:pPr>
        <w:spacing w:after="0" w:line="202"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In November 2023, Aconcagua, our wholly- owned subsidiary, entered into a collaboration agreement (the “Aconcagua-Schrödinger Agreement”) with Schrödinger to discover and develop novel, small molecule modulators of a specific target. Under the Aconcagua-Schrödinger Agreement, Schrödinger is obligated to provide computational modeling and design support, including by using its technology platform to perform virtual screens, and Aconcagua is obligated to provide day-to-day chemistry and biology support. Pursuant to the Aconcagua-Schrödinger Agreement, a joint steering committee comprised of representatives from both parties oversees the research performed under the agreement. During the term of the Aconcagua-Schrödinger Agreement or if longer, for a specified number of years after the effective date of the Aconcagua-Schrödinger Agreement, Schrödinger is obligated, subject to certain exceptions, to work exclusively with Aconcagua on the design, research, development and commercialization of compounds that inhibit the target. Aconcagua will solely own the research results, work product, inventions and other intellectual property</w:t>
      </w:r>
    </w:p>
    <w:p>
      <w:pPr>
        <w:sectPr>
          <w:pgSz w:w="11880" w:h="15480" w:orient="portrait"/>
          <w:cols w:equalWidth="0" w:num="1">
            <w:col w:w="9700"/>
          </w:cols>
          <w:pgMar w:left="1080" w:top="1066" w:right="1100" w:bottom="543"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44</w:t>
      </w:r>
    </w:p>
    <w:p>
      <w:pPr>
        <w:sectPr>
          <w:pgSz w:w="11880" w:h="15480" w:orient="portrait"/>
          <w:cols w:equalWidth="0" w:num="1">
            <w:col w:w="9700"/>
          </w:cols>
          <w:pgMar w:left="1080" w:top="1066" w:right="1100" w:bottom="543" w:gutter="0" w:footer="0" w:header="0"/>
          <w:type w:val="continuous"/>
        </w:sectPr>
      </w:pPr>
    </w:p>
    <w:bookmarkStart w:id="46" w:name="page47"/>
    <w:bookmarkEnd w:id="46"/>
    <w:p>
      <w:pPr>
        <w:ind w:right="900"/>
        <w:spacing w:after="0" w:line="284" w:lineRule="auto"/>
        <w:rPr>
          <w:sz w:val="20"/>
          <w:szCs w:val="20"/>
          <w:color w:val="auto"/>
        </w:rPr>
      </w:pPr>
      <w:r>
        <w:rPr>
          <w:rFonts w:ascii="Arial" w:cs="Arial" w:eastAsia="Arial" w:hAnsi="Arial"/>
          <w:sz w:val="20"/>
          <w:szCs w:val="20"/>
          <w:color w:val="auto"/>
        </w:rPr>
        <w:t>generated under the Aconcagua-Schrödinger Agreement other than improvements to Schrödinger’s background intellectual property.</w:t>
      </w:r>
    </w:p>
    <w:p>
      <w:pPr>
        <w:spacing w:after="0" w:line="136"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During the term of the Aconcagua-Schrödinger Agreement, Aconcagua is obligated to pay Schrödinger a monthly active program payment in the low six digits, which payment includes fees payable for certain Schrödinger software employed in the Collaboration, and as of December 31, 2023, we have paid to Schrödinger an aggregate of $0.3 million. If Aconcagua develops and commercializes a product containing a compound (“Aconcagua Collaboration Compound”) that is discovered or developed under the Aconcagua- Schrödinger Agreement or a derivative thereof (“Aconcagua Collaboration Product”), Aconcagua is obligated to pay Schrödinger development, regulatory and commercialization milestone payments of up to an aggregate of $89.0 million for the first Aconcagua Collaboration Product to achieve a particular milestone event, regardless of the number of Aconcagua Collaboration Products that reach such milestones. Aconcagua will also be obligated to pay Schrödinger tiered royalties in the low single digit range on aggregate worldwide net sales of all Aconcagua Collaboration Products, subject to specified reductions and offsets. Aconcagua’s obligation to pay royalties to Schrödinger will expire on a Aconcagua Collaboration Product-by- Aconcagua Collaboration Product and country -by- country basis on the later of (i) the expiration of the last-to-expire Aconcagua owned patent claim covering the composition of matter of the Aconcagua Collaboration Compound contained in such Aconcagua Collaboration Product in such country and (ii) ten years after the first commercial sale of such Aconcagua Collaboration Product in such country (“Aconcagua Royalty Term”).</w:t>
      </w:r>
    </w:p>
    <w:p>
      <w:pPr>
        <w:spacing w:after="0" w:line="200" w:lineRule="exact"/>
        <w:rPr>
          <w:sz w:val="20"/>
          <w:szCs w:val="20"/>
          <w:color w:val="auto"/>
        </w:rPr>
      </w:pPr>
    </w:p>
    <w:p>
      <w:pPr>
        <w:spacing w:after="0" w:line="221"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color w:val="auto"/>
        </w:rPr>
        <w:t>Unless terminated earlier, the Aconcagua-Schrödinger Agreement will continue for three years, subject to extension by mutual written agreement of the parties. Either party may terminate the Aconcagua-Schrödinger Agreement for convenience after a specified period or for the other party’s uncured material breach. Aconcagua’s obligation to make milestone and royalty payments (subject to the Aconcagua Royalty Term) to Schrödinger continues after the expiration or termination of the Aconcagua-Schrödinger Agreement, unless the Aconcagua-Schrödinger Agreement is terminated under specified circumstances.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w:t>
      </w:r>
    </w:p>
    <w:p>
      <w:pPr>
        <w:spacing w:after="0" w:line="223"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We do not own or operate manufacturing facilities for the production of our product candidates and currently have no immediate plans to build our own clinical or commercial scale manufacturing capabilities. We currently engage with third-party contract manufacturing organizations (“CMOs”) in multiple geographies for the manufacture of our product candidates. We rely on and expect to continue to engage third-party manufacturers for the production of both drug substance and finished drug product. We currently obtain our supplies from these manufacturers on a purchase order basis and do not have long-term supply arrangements in place. Should any of these manufacturers become unavailable to us for any reason, we believe that there are a number of potential replacements.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22"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The biotechnology and pharmaceutical industries are characterized by rapid evolution of technologies, fierce competition and strong defense of intellectual property. While we believe that our platform and our knowledge, experience and scientific resources provide us with competitive advantages, we face competition from major pharmaceutical and biotechnology companies, academic institutions, governmental agencies and public and private research institutions, among others.</w:t>
      </w:r>
    </w:p>
    <w:p>
      <w:pPr>
        <w:spacing w:after="0" w:line="168"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If any of our product candidates are approved for the indications for which we expect to conduct clinical trials, they will compete with the foregoing therapies and currently marketed drugs, as well as any drugs potentially in development. It is also possible that we will face competition from other pharmaceutical approaches as well as other types of therapies. The key competitive factors affecting the success of all our programs, if approved, are likely to be their efficacy, safety, convenience, price, level of generic competition, and availability of reimbursement.</w:t>
      </w:r>
    </w:p>
    <w:p>
      <w:pPr>
        <w:spacing w:after="0" w:line="174" w:lineRule="exact"/>
        <w:rPr>
          <w:sz w:val="20"/>
          <w:szCs w:val="20"/>
          <w:color w:val="auto"/>
        </w:rPr>
      </w:pPr>
    </w:p>
    <w:p>
      <w:pPr>
        <w:ind w:right="200"/>
        <w:spacing w:after="0" w:line="312" w:lineRule="auto"/>
        <w:rPr>
          <w:sz w:val="20"/>
          <w:szCs w:val="20"/>
          <w:color w:val="auto"/>
        </w:rPr>
      </w:pPr>
      <w:r>
        <w:rPr>
          <w:rFonts w:ascii="Arial" w:cs="Arial" w:eastAsia="Arial" w:hAnsi="Arial"/>
          <w:sz w:val="19"/>
          <w:szCs w:val="19"/>
          <w:color w:val="auto"/>
        </w:rPr>
        <w:t>Despite significant biopharmaceutical industry investment, no oral small molecule therapy targeting GLP- 1R has been approved for the treatment of diabetes or obesity. We are aware of GLP-1R small molecules in</w:t>
      </w:r>
    </w:p>
    <w:p>
      <w:pPr>
        <w:sectPr>
          <w:pgSz w:w="11880" w:h="15480" w:orient="portrait"/>
          <w:cols w:equalWidth="0" w:num="1">
            <w:col w:w="9720"/>
          </w:cols>
          <w:pgMar w:left="1080" w:top="1066" w:right="1080" w:bottom="543"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880" w:h="15480" w:orient="portrait"/>
          <w:cols w:equalWidth="0" w:num="1">
            <w:col w:w="9720"/>
          </w:cols>
          <w:pgMar w:left="1080" w:top="1066" w:right="1080" w:bottom="543"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color w:val="auto"/>
        </w:rPr>
        <w:t>development by Eccogene (licensed by Astrazeneca in November 2023) Carmot Therapeutics (acquired by</w:t>
      </w:r>
    </w:p>
    <w:p>
      <w:pPr>
        <w:spacing w:after="0"/>
        <w:rPr>
          <w:sz w:val="20"/>
          <w:szCs w:val="20"/>
          <w:color w:val="auto"/>
        </w:rPr>
      </w:pPr>
      <w:r>
        <w:rPr>
          <w:rFonts w:ascii="Arial" w:cs="Arial" w:eastAsia="Arial" w:hAnsi="Arial"/>
          <w:sz w:val="20"/>
          <w:szCs w:val="20"/>
          <w:color w:val="auto"/>
        </w:rPr>
        <w:t>Roche in January 2024), Terns Pharmaceuticals, Pfizer, Eli Lilly, and Qilu Regor Therapeutics Inc. There are</w:t>
      </w:r>
    </w:p>
    <w:p>
      <w:pPr>
        <w:spacing w:after="0"/>
        <w:rPr>
          <w:sz w:val="20"/>
          <w:szCs w:val="20"/>
          <w:color w:val="auto"/>
        </w:rPr>
      </w:pPr>
      <w:r>
        <w:rPr>
          <w:rFonts w:ascii="Arial" w:cs="Arial" w:eastAsia="Arial" w:hAnsi="Arial"/>
          <w:sz w:val="20"/>
          <w:szCs w:val="20"/>
          <w:color w:val="auto"/>
        </w:rPr>
        <w:t>currently approved GLP-1R peptides for the Pfizer, Eli Lilly, and Qilu Regor Therapeutics Inc. There are</w:t>
      </w:r>
    </w:p>
    <w:p>
      <w:pPr>
        <w:spacing w:after="0"/>
        <w:rPr>
          <w:sz w:val="20"/>
          <w:szCs w:val="20"/>
          <w:color w:val="auto"/>
        </w:rPr>
      </w:pPr>
      <w:r>
        <w:rPr>
          <w:rFonts w:ascii="Arial" w:cs="Arial" w:eastAsia="Arial" w:hAnsi="Arial"/>
          <w:sz w:val="20"/>
          <w:szCs w:val="20"/>
          <w:color w:val="auto"/>
        </w:rPr>
        <w:t>currently approved GLP-1R peptides for the treatment of diabetes and obesity marketed by Novo Nordisk, Eli</w:t>
      </w:r>
    </w:p>
    <w:p>
      <w:pPr>
        <w:spacing w:after="0"/>
        <w:rPr>
          <w:sz w:val="20"/>
          <w:szCs w:val="20"/>
          <w:color w:val="auto"/>
        </w:rPr>
      </w:pPr>
      <w:r>
        <w:rPr>
          <w:rFonts w:ascii="Arial" w:cs="Arial" w:eastAsia="Arial" w:hAnsi="Arial"/>
          <w:sz w:val="20"/>
          <w:szCs w:val="20"/>
          <w:color w:val="auto"/>
        </w:rPr>
        <w:t>Lilly, AstraZeneca, and Sanofi. We are aware of other GLP-1R plus dual/tri incretin targeting peptides in</w:t>
      </w:r>
    </w:p>
    <w:p>
      <w:pPr>
        <w:spacing w:after="0"/>
        <w:rPr>
          <w:sz w:val="20"/>
          <w:szCs w:val="20"/>
          <w:color w:val="auto"/>
        </w:rPr>
      </w:pPr>
      <w:r>
        <w:rPr>
          <w:rFonts w:ascii="Arial" w:cs="Arial" w:eastAsia="Arial" w:hAnsi="Arial"/>
          <w:sz w:val="20"/>
          <w:szCs w:val="20"/>
          <w:color w:val="auto"/>
        </w:rPr>
        <w:t>development by Eli Lilly, Jiangsu Hansoh Pharmaceutical Group Co., Ltd., Boehringer Ingelheim,</w:t>
      </w:r>
    </w:p>
    <w:p>
      <w:pPr>
        <w:spacing w:after="0"/>
        <w:rPr>
          <w:sz w:val="20"/>
          <w:szCs w:val="20"/>
          <w:color w:val="auto"/>
        </w:rPr>
      </w:pPr>
      <w:r>
        <w:rPr>
          <w:rFonts w:ascii="Arial" w:cs="Arial" w:eastAsia="Arial" w:hAnsi="Arial"/>
          <w:sz w:val="20"/>
          <w:szCs w:val="20"/>
          <w:color w:val="auto"/>
        </w:rPr>
        <w:t>Altimmune, Inc., Carmot Therapeutics, Inc., and Sciwind Biosciences Co., Ltd. In addition, there are a number</w:t>
      </w:r>
    </w:p>
    <w:p>
      <w:pPr>
        <w:spacing w:after="0"/>
        <w:rPr>
          <w:sz w:val="20"/>
          <w:szCs w:val="20"/>
          <w:color w:val="auto"/>
        </w:rPr>
      </w:pPr>
      <w:r>
        <w:rPr>
          <w:rFonts w:ascii="Arial" w:cs="Arial" w:eastAsia="Arial" w:hAnsi="Arial"/>
          <w:sz w:val="20"/>
          <w:szCs w:val="20"/>
          <w:color w:val="auto"/>
        </w:rPr>
        <w:t>of companies developing product candidates for diabetes and obesity utilizing approaches with different</w:t>
      </w:r>
    </w:p>
    <w:p>
      <w:pPr>
        <w:spacing w:after="0"/>
        <w:rPr>
          <w:sz w:val="20"/>
          <w:szCs w:val="20"/>
          <w:color w:val="auto"/>
        </w:rPr>
      </w:pPr>
      <w:r>
        <w:rPr>
          <w:rFonts w:ascii="Arial" w:cs="Arial" w:eastAsia="Arial" w:hAnsi="Arial"/>
          <w:sz w:val="20"/>
          <w:szCs w:val="20"/>
          <w:color w:val="auto"/>
        </w:rPr>
        <w:t>mechanisms of action, including but not limited to sodium-glucose cotransporter-2 inhibitors.</w:t>
      </w:r>
    </w:p>
    <w:p>
      <w:pPr>
        <w:spacing w:after="0" w:line="239"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We are aware of APJR targeted product candidates in development for COVID- 19 acute respiratory distress syndrome by CohBar, Inc.; IPF, systemic sclerosis interstitial lung disease, and kidney nephrotic syndrome by Apie Therapeutics; and muscle atrophy by BioAge Labs, Inc. Both Amgen and Bristol Myers Squibb (“BMS”) have APJR targeted product candidates for heart failure. In addition, there are a number of companies developing product candidates for PAH utilizing approaches with different mechanisms of action, including but not limited to FibroGen, Inc., Galapagos NV, Galecto, Inc., Pliant Therapeutics, Inc., Gilead Sciences, Inc., Roche Holding AG and Boehringer Ingelheim.</w:t>
      </w:r>
    </w:p>
    <w:p>
      <w:pPr>
        <w:spacing w:after="0" w:line="194"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We are aware of LPA1R targeted product candidates in development for IPF by BMS, Horizon Therapeutics plc (acquired by Amgen in October 2023), and DJS Antibodies Ltd; and myelin restoration and neuroinflammation by Pipeline Therapeutics. In addition, there are a number of companies developing product candidates for IPF utilizing approaches with different mechanisms of action, including Roche Holding AG and Boehringer Ingelheim.</w:t>
      </w:r>
    </w:p>
    <w:p>
      <w:pPr>
        <w:spacing w:after="0" w:line="187"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w:t>
      </w:r>
    </w:p>
    <w:p>
      <w:pPr>
        <w:spacing w:after="0" w:line="197"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applicable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and Security Laws</w:t>
      </w:r>
    </w:p>
    <w:p>
      <w:pPr>
        <w:spacing w:after="0" w:line="242"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color w:val="auto"/>
        </w:rPr>
        <w:t>Numerous state, federal and foreign laws, regulations and standards govern the collection, use, access to, confidentiality and security of health-related and other personal or sensitive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 related data. For example, the European Union General Data Protection Regulation (“EU GDPR”) imposes strict requirements for processing the personal data of individuals within</w:t>
      </w:r>
    </w:p>
    <w:p>
      <w:pPr>
        <w:sectPr>
          <w:pgSz w:w="11880" w:h="15480" w:orient="portrait"/>
          <w:cols w:equalWidth="0" w:num="1">
            <w:col w:w="9720"/>
          </w:cols>
          <w:pgMar w:left="1080" w:top="1066" w:right="1080" w:bottom="543" w:gutter="0" w:footer="0" w:header="0"/>
        </w:sect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880" w:h="15480" w:orient="portrait"/>
          <w:cols w:equalWidth="0" w:num="1">
            <w:col w:w="9720"/>
          </w:cols>
          <w:pgMar w:left="1080" w:top="1066" w:right="1080" w:bottom="543" w:gutter="0" w:footer="0" w:header="0"/>
          <w:type w:val="continuous"/>
        </w:sectPr>
      </w:pPr>
    </w:p>
    <w:bookmarkStart w:id="48" w:name="page49"/>
    <w:bookmarkEnd w:id="48"/>
    <w:p>
      <w:pPr>
        <w:ind w:right="20"/>
        <w:spacing w:after="0" w:line="245" w:lineRule="auto"/>
        <w:rPr>
          <w:sz w:val="20"/>
          <w:szCs w:val="20"/>
          <w:color w:val="auto"/>
        </w:rPr>
      </w:pPr>
      <w:r>
        <w:rPr>
          <w:rFonts w:ascii="Arial" w:cs="Arial" w:eastAsia="Arial" w:hAnsi="Arial"/>
          <w:sz w:val="20"/>
          <w:szCs w:val="20"/>
          <w:color w:val="auto"/>
        </w:rPr>
        <w:t>the European Economic Area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United Kingdom (“UK”) GDPR (“UK GDPR”) which, together with the amended UK Data Protection Act 2018, retains the GDPR in UK national law. The UK GDPR mirrors the fines under the GDPR relating to fines up to the greater of £17.5 million or 4% of global turnover.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Government Regulation of Pharmaceutical Product Development and Approval</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 Regulation of Pharmaceutical Product Development and Approval</w:t>
      </w:r>
    </w:p>
    <w:p>
      <w:pPr>
        <w:spacing w:after="0" w:line="231"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In the United States, the FDA regulates drugs under the Federal Food, Drug, and Cosmetic Act (“FDCA”) and its implementing regulations. Drugs are also subject to other federal, state and local statutes and regulations. The process of obtaining marketing approvals and the subsequent compliance with appropriate federal, state and local rules and regulations requires the expenditure of substantial time and financial resources. Our drug candidates must be approved by the FDA through the NDA process before they may be legally marketed in the United States. The process required by the FDA before a drug may be marketed in the United States generally involves the following:</w:t>
      </w:r>
    </w:p>
    <w:p>
      <w:pPr>
        <w:spacing w:after="0" w:line="207" w:lineRule="exact"/>
        <w:rPr>
          <w:sz w:val="20"/>
          <w:szCs w:val="20"/>
          <w:color w:val="auto"/>
        </w:rPr>
      </w:pPr>
    </w:p>
    <w:p>
      <w:pPr>
        <w:jc w:val="both"/>
        <w:ind w:left="720" w:hanging="353"/>
        <w:spacing w:after="0" w:line="262"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completion of extensive preclinical laboratory tests, preclinical animal studies and formulation studies all performed in compliance with applicable regulations, including the FDA’s good laboratory practices (“GLP”) regulations;</w:t>
      </w:r>
    </w:p>
    <w:p>
      <w:pPr>
        <w:spacing w:after="0" w:line="70" w:lineRule="exact"/>
        <w:rPr>
          <w:rFonts w:ascii="Arial" w:cs="Arial" w:eastAsia="Arial" w:hAnsi="Arial"/>
          <w:sz w:val="20"/>
          <w:szCs w:val="20"/>
          <w:color w:val="auto"/>
        </w:rPr>
      </w:pPr>
    </w:p>
    <w:p>
      <w:pPr>
        <w:ind w:left="720" w:right="180" w:hanging="353"/>
        <w:spacing w:after="0" w:line="284"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submission to the FDA of an Investigational IND which must become effective before human clinical trials may begin;</w:t>
      </w:r>
    </w:p>
    <w:p>
      <w:pPr>
        <w:spacing w:after="0" w:line="48" w:lineRule="exact"/>
        <w:rPr>
          <w:rFonts w:ascii="Arial" w:cs="Arial" w:eastAsia="Arial" w:hAnsi="Arial"/>
          <w:sz w:val="20"/>
          <w:szCs w:val="20"/>
          <w:color w:val="auto"/>
        </w:rPr>
      </w:pPr>
    </w:p>
    <w:p>
      <w:pPr>
        <w:ind w:left="720" w:right="300" w:hanging="353"/>
        <w:spacing w:after="0" w:line="284"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approval by an institutional review board (“IRB”) or ethics committee representing each clinical site before each clinical trial may be initiated;</w:t>
      </w:r>
    </w:p>
    <w:p>
      <w:pPr>
        <w:spacing w:after="0" w:line="49" w:lineRule="exact"/>
        <w:rPr>
          <w:rFonts w:ascii="Arial" w:cs="Arial" w:eastAsia="Arial" w:hAnsi="Arial"/>
          <w:sz w:val="20"/>
          <w:szCs w:val="20"/>
          <w:color w:val="auto"/>
        </w:rPr>
      </w:pPr>
    </w:p>
    <w:p>
      <w:pPr>
        <w:ind w:left="720" w:right="60" w:hanging="353"/>
        <w:spacing w:after="0" w:line="262"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performance of adequate and well-controlled human clinical trials in accordance with applicable good clinical practices (“GCPs”) and other clinical trial-related regulations, to establish the safety and efficacy of the proposed drug product for its proposed indication;</w:t>
      </w:r>
    </w:p>
    <w:p>
      <w:pPr>
        <w:spacing w:after="0" w:line="70" w:lineRule="exact"/>
        <w:rPr>
          <w:rFonts w:ascii="Arial" w:cs="Arial" w:eastAsia="Arial" w:hAnsi="Arial"/>
          <w:sz w:val="20"/>
          <w:szCs w:val="20"/>
          <w:color w:val="auto"/>
        </w:rPr>
      </w:pPr>
    </w:p>
    <w:p>
      <w:pPr>
        <w:ind w:left="720" w:hanging="353"/>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preparation and submission to the FDA of an NDA together with payment of user fees;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determination by the FDA within 60 days of its receipt of an NDA to file the NDA for review;</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review by an FDA advisory committee, where appropriate or if applicable;</w:t>
      </w:r>
    </w:p>
    <w:p>
      <w:pPr>
        <w:spacing w:after="0" w:line="133" w:lineRule="exact"/>
        <w:rPr>
          <w:rFonts w:ascii="Arial" w:cs="Arial" w:eastAsia="Arial" w:hAnsi="Arial"/>
          <w:sz w:val="20"/>
          <w:szCs w:val="20"/>
          <w:color w:val="auto"/>
        </w:rPr>
      </w:pPr>
    </w:p>
    <w:p>
      <w:pPr>
        <w:jc w:val="both"/>
        <w:ind w:left="720" w:right="140" w:hanging="353"/>
        <w:spacing w:after="0" w:line="262"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satisfactory completion of an FDA pre-approval inspection of the manufacturing facility or facilities at which the active pharmaceutical ingredient (“API”) and finished drug product are produced to assess compliance with the FDA’s current Good Manufacturing Practices (“cGMP”);</w:t>
      </w:r>
    </w:p>
    <w:p>
      <w:pPr>
        <w:spacing w:after="0" w:line="70" w:lineRule="exact"/>
        <w:rPr>
          <w:rFonts w:ascii="Arial" w:cs="Arial" w:eastAsia="Arial" w:hAnsi="Arial"/>
          <w:sz w:val="20"/>
          <w:szCs w:val="20"/>
          <w:color w:val="auto"/>
        </w:rPr>
      </w:pPr>
    </w:p>
    <w:p>
      <w:pPr>
        <w:ind w:left="720" w:right="60" w:hanging="353"/>
        <w:spacing w:after="0" w:line="284"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potential FDA audit of the preclinical and/or clinical trial sites that generated the data in support of the NDA; and</w:t>
      </w:r>
    </w:p>
    <w:p>
      <w:pPr>
        <w:spacing w:after="0" w:line="49" w:lineRule="exact"/>
        <w:rPr>
          <w:rFonts w:ascii="Arial" w:cs="Arial" w:eastAsia="Arial" w:hAnsi="Arial"/>
          <w:sz w:val="20"/>
          <w:szCs w:val="20"/>
          <w:color w:val="auto"/>
        </w:rPr>
      </w:pPr>
    </w:p>
    <w:p>
      <w:pPr>
        <w:ind w:left="720" w:right="440" w:hanging="353"/>
        <w:spacing w:after="0" w:line="284"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FDA review and approval of the NDA prior to any commercial marketing or sale of the drug in the United States.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Preclinical Studies and Clinical Trials</w:t>
      </w:r>
    </w:p>
    <w:p>
      <w:pPr>
        <w:spacing w:after="0" w:line="231" w:lineRule="exact"/>
        <w:rPr>
          <w:sz w:val="20"/>
          <w:szCs w:val="20"/>
          <w:color w:val="auto"/>
        </w:rPr>
      </w:pPr>
    </w:p>
    <w:p>
      <w:pPr>
        <w:ind w:right="60"/>
        <w:spacing w:after="0" w:line="284" w:lineRule="auto"/>
        <w:rPr>
          <w:sz w:val="20"/>
          <w:szCs w:val="20"/>
          <w:color w:val="auto"/>
        </w:rPr>
      </w:pPr>
      <w:r>
        <w:rPr>
          <w:rFonts w:ascii="Arial" w:cs="Arial" w:eastAsia="Arial" w:hAnsi="Arial"/>
          <w:sz w:val="20"/>
          <w:szCs w:val="20"/>
          <w:color w:val="auto"/>
        </w:rPr>
        <w:t>The preclinical development stage generally involves synthesizing the active component, developing the formulation and determining the manufacturing process, evaluating purity and stability, as well as carrying out</w:t>
      </w:r>
    </w:p>
    <w:p>
      <w:pPr>
        <w:sectPr>
          <w:pgSz w:w="11880" w:h="15480" w:orient="portrait"/>
          <w:cols w:equalWidth="0" w:num="1">
            <w:col w:w="9720"/>
          </w:cols>
          <w:pgMar w:left="1080" w:top="1066" w:right="1080" w:bottom="543"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880" w:h="15480" w:orient="portrait"/>
          <w:cols w:equalWidth="0" w:num="1">
            <w:col w:w="9720"/>
          </w:cols>
          <w:pgMar w:left="1080" w:top="1066" w:right="1080" w:bottom="543" w:gutter="0" w:footer="0" w:header="0"/>
          <w:type w:val="continuous"/>
        </w:sectPr>
      </w:pPr>
    </w:p>
    <w:bookmarkStart w:id="49" w:name="page50"/>
    <w:bookmarkEnd w:id="49"/>
    <w:p>
      <w:pPr>
        <w:ind w:right="40"/>
        <w:spacing w:after="0" w:line="243" w:lineRule="auto"/>
        <w:rPr>
          <w:sz w:val="20"/>
          <w:szCs w:val="20"/>
          <w:color w:val="auto"/>
        </w:rPr>
      </w:pPr>
      <w:r>
        <w:rPr>
          <w:rFonts w:ascii="Arial" w:cs="Arial" w:eastAsia="Arial" w:hAnsi="Arial"/>
          <w:sz w:val="20"/>
          <w:szCs w:val="20"/>
          <w:color w:val="auto"/>
        </w:rPr>
        <w:t>non-human toxicology, pharmacology and drug metabolism studies in the laboratory, which support subsequent clinical testing. The conduct of the preclinical tests must comply with federal regulations, including GLPs where applicable.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or questions before the clinical trial can begin. Some long-term preclinical testing, such as animal tests of reproductive adverse events and carcinogenicity, may continue after the IND is submitted. The FDA may also impose clinical holds on a drug candidate at any time before or during clinical trials due to safety concerns or non-compliance. Accordingly, submission of an IND does not guarantee the FDA will allow clinical trials to begin, or that, once begun, issues will not arise that could cause the trial to be suspended or terminated.</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The clinical stage of development involves the administration of the drug product to human subjects or patients under the supervision of qualified investigators, generally physicians not employed by or under the trial sponsor’s control, in accordance with GCPs, which establish standards for conducting, recording data from, and reporting the results of clinical trials, and are intended to assure that the rights, safety, and well-being of study participants are protected. GCPs also include the requirement that all research subjects provide their informed consent in writing for their participation in any clinical trial. Clinical trials are conducted under written study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A separate submission to the existing IND must be made for each successive clinical trial conducted during product development and for any subsequent protocol amendments. 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20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Further, each clinical trial must be reviewed and approved by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w:t>
      </w:r>
    </w:p>
    <w:p>
      <w:pPr>
        <w:spacing w:after="0" w:line="187"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The IRB also reviews and approves the informed consent form that must be provided to each clinical trial subject or his or her legal representative and must monitor the clinical trial until completed.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There are also requirements governing the reporting of ongoing clinical trials and completed clinical trial results to public registries.</w:t>
      </w:r>
    </w:p>
    <w:p>
      <w:pPr>
        <w:spacing w:after="0" w:line="196" w:lineRule="exact"/>
        <w:rPr>
          <w:sz w:val="20"/>
          <w:szCs w:val="20"/>
          <w:color w:val="auto"/>
        </w:rPr>
      </w:pPr>
    </w:p>
    <w:p>
      <w:pPr>
        <w:ind w:right="40"/>
        <w:spacing w:after="0" w:line="284" w:lineRule="auto"/>
        <w:rPr>
          <w:sz w:val="20"/>
          <w:szCs w:val="20"/>
          <w:color w:val="auto"/>
        </w:rPr>
      </w:pPr>
      <w:r>
        <w:rPr>
          <w:rFonts w:ascii="Arial" w:cs="Arial" w:eastAsia="Arial" w:hAnsi="Arial"/>
          <w:sz w:val="20"/>
          <w:szCs w:val="20"/>
          <w:color w:val="auto"/>
        </w:rPr>
        <w:t>Clinical trials are generally conducted in three sequential phases that may overlap or be combined, known as Phase I, Phase II and Phase III clinical trials.</w:t>
      </w:r>
    </w:p>
    <w:p>
      <w:pPr>
        <w:spacing w:after="0" w:line="170" w:lineRule="exact"/>
        <w:rPr>
          <w:sz w:val="20"/>
          <w:szCs w:val="20"/>
          <w:color w:val="auto"/>
        </w:rPr>
      </w:pPr>
    </w:p>
    <w:p>
      <w:pPr>
        <w:jc w:val="both"/>
        <w:ind w:left="720" w:right="160" w:hanging="352"/>
        <w:spacing w:after="0" w:line="284"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Phase I: </w:t>
      </w:r>
      <w:r>
        <w:rPr>
          <w:rFonts w:ascii="Arial" w:cs="Arial" w:eastAsia="Arial" w:hAnsi="Arial"/>
          <w:sz w:val="20"/>
          <w:szCs w:val="20"/>
          <w:color w:val="auto"/>
        </w:rPr>
        <w:t>The drug is initially introduced into a small number of healthy volunteers or patients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target disease or condition who are initially exposed to a single dose and then multiple doses of</w:t>
      </w:r>
    </w:p>
    <w:p>
      <w:pPr>
        <w:sectPr>
          <w:pgSz w:w="11880" w:h="15480" w:orient="portrait"/>
          <w:cols w:equalWidth="0" w:num="1">
            <w:col w:w="9680"/>
          </w:cols>
          <w:pgMar w:left="1080" w:top="1066" w:right="1120" w:bottom="543" w:gutter="0" w:footer="0" w:header="0"/>
        </w:sect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48</w:t>
      </w:r>
    </w:p>
    <w:p>
      <w:pPr>
        <w:sectPr>
          <w:pgSz w:w="11880" w:h="15480" w:orient="portrait"/>
          <w:cols w:equalWidth="0" w:num="1">
            <w:col w:w="9680"/>
          </w:cols>
          <w:pgMar w:left="1080" w:top="1066" w:right="1120" w:bottom="543" w:gutter="0" w:footer="0" w:header="0"/>
          <w:type w:val="continuous"/>
        </w:sectPr>
      </w:pPr>
    </w:p>
    <w:bookmarkStart w:id="50" w:name="page51"/>
    <w:bookmarkEnd w:id="50"/>
    <w:p>
      <w:pPr>
        <w:ind w:left="720" w:right="380"/>
        <w:spacing w:after="0" w:line="262" w:lineRule="auto"/>
        <w:rPr>
          <w:sz w:val="20"/>
          <w:szCs w:val="20"/>
          <w:color w:val="auto"/>
        </w:rPr>
      </w:pPr>
      <w:r>
        <w:rPr>
          <w:rFonts w:ascii="Arial" w:cs="Arial" w:eastAsia="Arial" w:hAnsi="Arial"/>
          <w:sz w:val="20"/>
          <w:szCs w:val="20"/>
          <w:color w:val="auto"/>
        </w:rPr>
        <w:t>the drug candidate. These studies are designed to assess the metabolism, pharmacologic action, dosage tolerance, side effects associated with increasing doses, and safety of the drug, and if possible, to gain early evidence on effectiveness.</w:t>
      </w:r>
    </w:p>
    <w:p>
      <w:pPr>
        <w:spacing w:after="0" w:line="71" w:lineRule="exact"/>
        <w:rPr>
          <w:sz w:val="20"/>
          <w:szCs w:val="20"/>
          <w:color w:val="auto"/>
        </w:rPr>
      </w:pPr>
    </w:p>
    <w:p>
      <w:pPr>
        <w:ind w:left="720" w:right="180" w:hanging="353"/>
        <w:spacing w:after="0" w:line="254"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Phase II: </w:t>
      </w:r>
      <w:r>
        <w:rPr>
          <w:rFonts w:ascii="Arial" w:cs="Arial" w:eastAsia="Arial" w:hAnsi="Arial"/>
          <w:sz w:val="20"/>
          <w:szCs w:val="20"/>
          <w:color w:val="auto"/>
        </w:rPr>
        <w:t>The drug is administered to a limited patient population with a specified disease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condition to evaluate optimal dosage and dosing schedule. At the same time, safety and further PK and PD information is collected, as well as identification of possible adverse effects and safety risks and preliminary evaluation of efficacy.</w:t>
      </w:r>
    </w:p>
    <w:p>
      <w:pPr>
        <w:spacing w:after="0" w:line="78" w:lineRule="exact"/>
        <w:rPr>
          <w:rFonts w:ascii="Arial" w:cs="Arial" w:eastAsia="Arial" w:hAnsi="Arial"/>
          <w:sz w:val="20"/>
          <w:szCs w:val="20"/>
          <w:color w:val="auto"/>
        </w:rPr>
      </w:pPr>
    </w:p>
    <w:p>
      <w:pPr>
        <w:ind w:left="720" w:right="40" w:hanging="353"/>
        <w:spacing w:after="0" w:line="251"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Phase III: </w:t>
      </w:r>
      <w:r>
        <w:rPr>
          <w:rFonts w:ascii="Arial" w:cs="Arial" w:eastAsia="Arial" w:hAnsi="Arial"/>
          <w:sz w:val="20"/>
          <w:szCs w:val="20"/>
          <w:color w:val="auto"/>
        </w:rPr>
        <w:t>The drug is administered to an expanded number of patients, generally at multiple sites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that are geographically dispersed, in well-controlled clinical trials to generate enough data to demonstrate the efficacy of the drug for its intended use, its safety profile, and to establish the overall benefit/risk profile of the drug and provide an adequate basis for drug approval and labeling of the drug product.</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Post-approval trials, sometimes referred to as Phase IV clinical trials, may be conducted after initial marketing approval. These trials are used to gain additional experience from the treatment of patients in the intended therapeutic indication. In certain instances, the FDA may mandate the performance of Phase IV clinical trials as a condition of NDA approval.</w:t>
      </w:r>
    </w:p>
    <w:p>
      <w:pPr>
        <w:spacing w:after="0" w:line="186"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FDA, the IRB,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long-term stability and quality of the final drug product. Additionally, appropriate packaging must be selected and tested and stability studies must be conducted to demonstrate that the drug candidate does not undergo unacceptable deterioration over its shelf life.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NDA Submission and FDA Review Process</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Assuming successful completion of all required testing in accordance with all applicable regulatory requirements, the results of non -clinical studies and of the clinical trials, together with other detailed information, including extensive manufacturing information and information on the composition of the drug and proposed labeling, are submitted to the FDA in the form of an NDA requesting approval to market the drug for one or more specified indications. Data can come from company-sponsored clinical studies intended to test the safety and effectiveness of a use of the product, or from a number of alternative sources, including studies initiated by independent investigators. Under the Prescription Drug User Fee Act, as amended (“PDUFA”) each NDA must be accompanied by an application user fee. The FDA adjusts the PDUFA user fees on an annual basis. PDUFA also imposes an annual prescription drug program fee for human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95"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has a goal of ten months from the filing date to complete a standard review of an NDA for a drug that is a new molecular entity. This review typically takes twelve months from the date the NDA is submitted to FDA because the FDA has approximately two months to make a “filing”</w:t>
      </w:r>
    </w:p>
    <w:p>
      <w:pPr>
        <w:sectPr>
          <w:pgSz w:w="11880" w:h="15480" w:orient="portrait"/>
          <w:cols w:equalWidth="0" w:num="1">
            <w:col w:w="9700"/>
          </w:cols>
          <w:pgMar w:left="1080" w:top="1066" w:right="1100" w:bottom="543" w:gutter="0" w:footer="0" w:header="0"/>
        </w:sect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49</w:t>
      </w:r>
    </w:p>
    <w:p>
      <w:pPr>
        <w:sectPr>
          <w:pgSz w:w="11880" w:h="15480" w:orient="portrait"/>
          <w:cols w:equalWidth="0" w:num="1">
            <w:col w:w="9700"/>
          </w:cols>
          <w:pgMar w:left="1080" w:top="1066" w:right="1100" w:bottom="543" w:gutter="0" w:footer="0" w:header="0"/>
          <w:type w:val="continuous"/>
        </w:sectPr>
      </w:pPr>
    </w:p>
    <w:bookmarkStart w:id="51" w:name="page52"/>
    <w:bookmarkEnd w:id="51"/>
    <w:p>
      <w:pPr>
        <w:ind w:right="380"/>
        <w:spacing w:after="0" w:line="255" w:lineRule="auto"/>
        <w:rPr>
          <w:sz w:val="20"/>
          <w:szCs w:val="20"/>
          <w:color w:val="auto"/>
        </w:rPr>
      </w:pPr>
      <w:r>
        <w:rPr>
          <w:rFonts w:ascii="Arial" w:cs="Arial" w:eastAsia="Arial" w:hAnsi="Arial"/>
          <w:sz w:val="20"/>
          <w:szCs w:val="20"/>
          <w:color w:val="auto"/>
        </w:rPr>
        <w:t>decision after it the application is submitted. The FDA reviews the NDA to determine, among other things, whether the proposed drug is safe and effective for its intended use, and whether the drug is being manufactured in accordance with cGMP to assure and preserve the drug’s identity, strength, quality and purity.</w:t>
      </w:r>
    </w:p>
    <w:p>
      <w:pPr>
        <w:spacing w:after="0" w:line="183"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right="240"/>
        <w:spacing w:after="0" w:line="249" w:lineRule="auto"/>
        <w:rPr>
          <w:sz w:val="20"/>
          <w:szCs w:val="20"/>
          <w:color w:val="auto"/>
        </w:rPr>
      </w:pPr>
      <w:r>
        <w:rPr>
          <w:rFonts w:ascii="Arial" w:cs="Arial" w:eastAsia="Arial" w:hAnsi="Arial"/>
          <w:sz w:val="20"/>
          <w:szCs w:val="20"/>
          <w:color w:val="auto"/>
        </w:rPr>
        <w:t>Before approving an NDA, the FDA will conduct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re-analyze clinical trial data and may also audit data from clinical trials to ensure compliance with GCP requirements.</w:t>
      </w:r>
    </w:p>
    <w:p>
      <w:pPr>
        <w:spacing w:after="0" w:line="189"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After the FDA evaluates the application, manufacturing process and manufacturing facilities where the drug product and/or its API will be produced, it may issue an approval letter or a Complete Response Letter (“CRL”) An approval letter authorizes commercial marketing of the drug with specific prescribing information for specific indications. A CRL indicates that the review cycle of the application is complete and the application is not ready for approval. A CRL usually describes all of the specific deficiencies in the NDA identified by the FDA. The CRL may require additional clinical data and/or an additional pivotal clinical trial(s), and/or other significant, expensive and time- consuming requirements related to clinical trials, preclinical studies or manufacturing. If a CRL is issued, the applicant may either resubmit the NDA, addressing all of the deficiencies identified in the letter, or withdraw the application. Even if such data and information is submitted, the FDA may ultimately decide that the NDA does not satisfy the criteria for approval.</w:t>
      </w:r>
    </w:p>
    <w:p>
      <w:pPr>
        <w:spacing w:after="0" w:line="193"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If a drug receives marketing approval, such approval will be granted for particular indications and may be significantly limited to specific diseases, dosages, or patient populations.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post-market testing or clinical trials and surveillance to monitor the effects of approved drugs. For example, the FDA may require so-called Phase IV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(“REMS”) to ensure that the benefits of a drug or biological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non-compliance with regulatory standards or if problems occur following initial marketing.</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Pediatric Trials</w:t>
      </w:r>
    </w:p>
    <w:p>
      <w:pPr>
        <w:spacing w:after="0" w:line="231"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Under the Pediatric Research Equity Act,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A sponsor who is planning to submit a marketing application for a drug that includes a new active ingredient, new indication, new dosage form, new dosing regimen or new route of administration must also submit an initial Pediatric Study Plan (“PSP”) within sixty days of an end-of-Phase II</w:t>
      </w:r>
    </w:p>
    <w:p>
      <w:pPr>
        <w:sectPr>
          <w:pgSz w:w="11880" w:h="15480" w:orient="portrait"/>
          <w:cols w:equalWidth="0" w:num="1">
            <w:col w:w="9700"/>
          </w:cols>
          <w:pgMar w:left="1080" w:top="1066" w:right="1100" w:bottom="543"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50</w:t>
      </w:r>
    </w:p>
    <w:p>
      <w:pPr>
        <w:sectPr>
          <w:pgSz w:w="11880" w:h="15480" w:orient="portrait"/>
          <w:cols w:equalWidth="0" w:num="1">
            <w:col w:w="9700"/>
          </w:cols>
          <w:pgMar w:left="1080" w:top="1066" w:right="1100" w:bottom="543" w:gutter="0" w:footer="0" w:header="0"/>
          <w:type w:val="continuous"/>
        </w:sectPr>
      </w:pPr>
    </w:p>
    <w:bookmarkStart w:id="52" w:name="page53"/>
    <w:bookmarkEnd w:id="52"/>
    <w:p>
      <w:pPr>
        <w:ind w:right="280"/>
        <w:spacing w:after="0" w:line="246" w:lineRule="auto"/>
        <w:rPr>
          <w:sz w:val="20"/>
          <w:szCs w:val="20"/>
          <w:color w:val="auto"/>
        </w:rPr>
      </w:pPr>
      <w:r>
        <w:rPr>
          <w:rFonts w:ascii="Arial" w:cs="Arial" w:eastAsia="Arial" w:hAnsi="Arial"/>
          <w:sz w:val="20"/>
          <w:szCs w:val="20"/>
          <w:color w:val="auto"/>
        </w:rPr>
        <w:t>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Orphan Drug Designation and Exclusivity</w:t>
      </w:r>
    </w:p>
    <w:p>
      <w:pPr>
        <w:spacing w:after="0" w:line="23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publicly disclose the identity of the therapeutic agent and its potential use. Orphan product designation does not convey any advantage in or shorten the duration of the regulatory review and approval process.</w:t>
      </w:r>
    </w:p>
    <w:p>
      <w:pPr>
        <w:spacing w:after="0" w:line="195"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If a product that has orphan drug designation subsequently receives the first FDA approval for a particular active ingredient for the disease for which it has such designation, the product is entitled to orphan product exclusivity, meaning that the FDA may not approve any other applications for the same product for the same indication for seven years, including a full NDA, except in certain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92" w:lineRule="exact"/>
        <w:rPr>
          <w:sz w:val="20"/>
          <w:szCs w:val="20"/>
          <w:color w:val="auto"/>
        </w:rPr>
      </w:pPr>
    </w:p>
    <w:p>
      <w:pPr>
        <w:ind w:right="280"/>
        <w:spacing w:after="0" w:line="247" w:lineRule="auto"/>
        <w:rPr>
          <w:sz w:val="20"/>
          <w:szCs w:val="20"/>
          <w:color w:val="auto"/>
        </w:rPr>
      </w:pPr>
      <w:r>
        <w:rPr>
          <w:rFonts w:ascii="Arial" w:cs="Arial" w:eastAsia="Arial" w:hAnsi="Arial"/>
          <w:sz w:val="20"/>
          <w:szCs w:val="20"/>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Post-Marketing Requirements</w:t>
      </w:r>
    </w:p>
    <w:p>
      <w:pPr>
        <w:spacing w:after="0" w:line="23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Following approval of a new drug, the NDA sponsor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applicable promotion and advertising requirements. Modifications or enhancements to the drug or its labeling or changes of the site of manufacture are often subject to the approval of the FDA and other regulators, which may or may not be received or may result in a lengthy review process.</w:t>
      </w:r>
    </w:p>
    <w:p>
      <w:pPr>
        <w:spacing w:after="0" w:line="194"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color w:val="auto"/>
        </w:rPr>
        <w:t>FDA regulations also require that approved drug products be manufactured in specific facilities identified in the approved application for marketing and in accordance with cGMP. NDA holders using contract manufacturers, laboratories or packagers are responsible for the selection and monitoring of qualified firms, and, in certain circumstances, qualified suppliers to these firms. These manufacturers must comply with cGMP regulations that require, among other things, quality control and quality assurance as well as the corresponding maintenance of records and documentation and the obligation to investigate and correct any</w:t>
      </w:r>
    </w:p>
    <w:p>
      <w:pPr>
        <w:sectPr>
          <w:pgSz w:w="11880" w:h="15480" w:orient="portrait"/>
          <w:cols w:equalWidth="0" w:num="1">
            <w:col w:w="9720"/>
          </w:cols>
          <w:pgMar w:left="1080" w:top="1066" w:right="1080" w:bottom="543"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880" w:h="15480" w:orient="portrait"/>
          <w:cols w:equalWidth="0" w:num="1">
            <w:col w:w="9720"/>
          </w:cols>
          <w:pgMar w:left="1080" w:top="1066" w:right="1080" w:bottom="543" w:gutter="0" w:footer="0" w:header="0"/>
          <w:type w:val="continuous"/>
        </w:sectPr>
      </w:pPr>
    </w:p>
    <w:bookmarkStart w:id="53" w:name="page54"/>
    <w:bookmarkEnd w:id="53"/>
    <w:p>
      <w:pPr>
        <w:spacing w:after="0" w:line="251" w:lineRule="auto"/>
        <w:rPr>
          <w:sz w:val="20"/>
          <w:szCs w:val="20"/>
          <w:color w:val="auto"/>
        </w:rPr>
      </w:pPr>
      <w:r>
        <w:rPr>
          <w:rFonts w:ascii="Arial" w:cs="Arial" w:eastAsia="Arial" w:hAnsi="Arial"/>
          <w:sz w:val="20"/>
          <w:szCs w:val="20"/>
          <w:color w:val="auto"/>
        </w:rPr>
        <w:t>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8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207" w:lineRule="exact"/>
        <w:rPr>
          <w:sz w:val="20"/>
          <w:szCs w:val="20"/>
          <w:color w:val="auto"/>
        </w:rPr>
      </w:pPr>
    </w:p>
    <w:p>
      <w:pPr>
        <w:ind w:left="720" w:right="420" w:hanging="353"/>
        <w:spacing w:after="0" w:line="284"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restrictions on the marketing or manufacturing of the product, complete withdrawal of the product from the market or product recalls;</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fines, warning letters, or untitled letters;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clinical holds on clinical trials;</w:t>
      </w:r>
    </w:p>
    <w:p>
      <w:pPr>
        <w:spacing w:after="0" w:line="133" w:lineRule="exact"/>
        <w:rPr>
          <w:rFonts w:ascii="Arial" w:cs="Arial" w:eastAsia="Arial" w:hAnsi="Arial"/>
          <w:sz w:val="20"/>
          <w:szCs w:val="20"/>
          <w:color w:val="auto"/>
        </w:rPr>
      </w:pPr>
    </w:p>
    <w:p>
      <w:pPr>
        <w:ind w:left="720" w:right="540" w:hanging="353"/>
        <w:spacing w:after="0" w:line="284"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refusal of the FDA to approve pending applications or supplements to approved applications, or suspension or revocation of product approvals;</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product seizure or detention, or refusal to permit the import or export of products;</w:t>
      </w:r>
    </w:p>
    <w:p>
      <w:pPr>
        <w:spacing w:after="0" w:line="133" w:lineRule="exact"/>
        <w:rPr>
          <w:rFonts w:ascii="Arial" w:cs="Arial" w:eastAsia="Arial" w:hAnsi="Arial"/>
          <w:sz w:val="20"/>
          <w:szCs w:val="20"/>
          <w:color w:val="auto"/>
        </w:rPr>
      </w:pPr>
    </w:p>
    <w:p>
      <w:pPr>
        <w:ind w:left="720" w:right="380" w:hanging="353"/>
        <w:spacing w:after="0" w:line="284"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consent decrees, corporate integrity agreements, debarment or exclusion from federal healthcare programs;</w:t>
      </w:r>
    </w:p>
    <w:p>
      <w:pPr>
        <w:spacing w:after="0" w:line="49" w:lineRule="exact"/>
        <w:rPr>
          <w:rFonts w:ascii="Arial" w:cs="Arial" w:eastAsia="Arial" w:hAnsi="Arial"/>
          <w:sz w:val="20"/>
          <w:szCs w:val="20"/>
          <w:color w:val="auto"/>
        </w:rPr>
      </w:pPr>
    </w:p>
    <w:p>
      <w:pPr>
        <w:ind w:left="720" w:right="920" w:hanging="353"/>
        <w:spacing w:after="0" w:line="284"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mandated modification of promotional materials and labeling and the issuance of corrective information;</w:t>
      </w:r>
    </w:p>
    <w:p>
      <w:pPr>
        <w:spacing w:after="0" w:line="48" w:lineRule="exact"/>
        <w:rPr>
          <w:rFonts w:ascii="Arial" w:cs="Arial" w:eastAsia="Arial" w:hAnsi="Arial"/>
          <w:sz w:val="20"/>
          <w:szCs w:val="20"/>
          <w:color w:val="auto"/>
        </w:rPr>
      </w:pPr>
    </w:p>
    <w:p>
      <w:pPr>
        <w:ind w:left="720" w:right="1220" w:hanging="353"/>
        <w:spacing w:after="0" w:line="284"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issuance of safety alerts, Dear Healthcare Provider letters, press releases and other communications containing warnings or other safety information about the product; or</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injunctions or the imposition of civil or criminal penalties.</w:t>
      </w:r>
    </w:p>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 -label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Marketing Exclusivity</w:t>
      </w:r>
    </w:p>
    <w:p>
      <w:pPr>
        <w:spacing w:after="0" w:line="231"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Market exclusivity provisions under the FDCA can delay the acceptance by the FDA for review, or the approval, of certain marketing applications. The FDCA provides a five-year period of non -patent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w:t>
      </w:r>
    </w:p>
    <w:p>
      <w:pPr>
        <w:sectPr>
          <w:pgSz w:w="11880" w:h="15480" w:orient="portrait"/>
          <w:cols w:equalWidth="0" w:num="1">
            <w:col w:w="9700"/>
          </w:cols>
          <w:pgMar w:left="1080" w:top="1066" w:right="1100" w:bottom="543"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52</w:t>
      </w:r>
    </w:p>
    <w:p>
      <w:pPr>
        <w:sectPr>
          <w:pgSz w:w="11880" w:h="15480" w:orient="portrait"/>
          <w:cols w:equalWidth="0" w:num="1">
            <w:col w:w="9700"/>
          </w:cols>
          <w:pgMar w:left="1080" w:top="1066" w:right="1100" w:bottom="543" w:gutter="0" w:footer="0" w:header="0"/>
          <w:type w:val="continuous"/>
        </w:sectPr>
      </w:pPr>
    </w:p>
    <w:bookmarkStart w:id="54" w:name="page55"/>
    <w:bookmarkEnd w:id="54"/>
    <w:p>
      <w:pPr>
        <w:ind w:right="40"/>
        <w:spacing w:after="0" w:line="249" w:lineRule="auto"/>
        <w:rPr>
          <w:sz w:val="20"/>
          <w:szCs w:val="20"/>
          <w:color w:val="auto"/>
        </w:rPr>
      </w:pPr>
      <w:r>
        <w:rPr>
          <w:rFonts w:ascii="Arial" w:cs="Arial" w:eastAsia="Arial" w:hAnsi="Arial"/>
          <w:sz w:val="20"/>
          <w:szCs w:val="20"/>
          <w:color w:val="auto"/>
        </w:rPr>
        <w:t>an NDA submitted under Section 505(b)(2), or 505(b)(2) NDA, submitted by another company for another drug based on the same active moiety, regardless of whether the drug is intended for the same indication as the original reference drug or for another indication, where the applicant does not own or have a legal right of reference to all the data required for approval. However, an application may be accepted for review after four years if it contains a certification of patent invalidity or non-infringement to one of the patents listed with the FDA for the reference drug.</w:t>
      </w:r>
    </w:p>
    <w:p>
      <w:pPr>
        <w:spacing w:after="0" w:line="189"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such as new indications, dosages or strengths of an existing drug. This three -year exclusivity covers only the modification for which the drug received approval on the basis of the new clinical investigations and does not prohibit the FDA from approving abbreviated NDAs or 505(b)(2) NDAs for drugs containing the active agent for the original indication or condition of use.</w:t>
      </w:r>
    </w:p>
    <w:p>
      <w:pPr>
        <w:spacing w:after="0" w:line="194"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60"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U.S. Regulatory Matters</w:t>
      </w:r>
    </w:p>
    <w:p>
      <w:pPr>
        <w:spacing w:after="0" w:line="235"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Manufacturing, sales, promotion and other activities following drug approval are also subject to regulation by numerous regulatory authorities in addition to the FDA, including, in the United States, the Centers for Medicare &amp; Medicaid Services (“CMS”), other divisions of the Department of Health and Human Services, the Consumer Product Safety Commission, the Federal Trade Commission, the Occupational Safety &amp; Health Administration, the Environmental Protection Agency and state and local governments. In the United States, the activities of pharmaceutical manufacturers are subject to federal and state laws designed to prevent fraud and abuse in the healthcare industry. The laws generally limit financial interactions between manufacturers and health care providers or other participants in the healthcare industry and/or require disclosure to the government and public of such interactions. Many of these laws and regulations contain ambiguous requirements or require administrative guidance for implementation.</w:t>
      </w:r>
    </w:p>
    <w:p>
      <w:pPr>
        <w:spacing w:after="0" w:line="193"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color w:val="auto"/>
        </w:rPr>
        <w:t>Pharmaceutical manufacturers are also required to provide discounts or rebates under government healthcare programs or to certain government and private purchasers in order to obtain coverage under federal healthcare programs such as Medicaid. Participation in such programs may require tracking and reporting of certain drug prices. Manufacturers are subject to fines and other penalties if such prices are not reported accurately.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93"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color w:val="auto"/>
        </w:rPr>
        <w:t>The distribution of pharmaceutical drugs is subject to additional requirements and regulations, including extensive record-keeping, licensing, storage and security requirements intended to prevent the unauthorized sale of pharmaceutical drugs.</w:t>
      </w:r>
    </w:p>
    <w:p>
      <w:pPr>
        <w:spacing w:after="0" w:line="177"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The failure to comply with regulatory requirements subjects manufacturers to possible legal or regulatory action. Depending on the circumstances, failure to meet applicable regulatory requirements can result in criminal prosecution, fines, civil monetary or other penalties, injunctions, recall or seizure of drugs, total or partial suspension of production, denial or withdrawal of product approvals, additional regulatory oversight and integrity monitoring, exclusion from participation in government healthcare programs or refusal to allow a firm to enter into supply contracts, including government contracts. In addition, even if a firm complies with</w:t>
      </w:r>
    </w:p>
    <w:p>
      <w:pPr>
        <w:sectPr>
          <w:pgSz w:w="11880" w:h="15480" w:orient="portrait"/>
          <w:cols w:equalWidth="0" w:num="1">
            <w:col w:w="9660"/>
          </w:cols>
          <w:pgMar w:left="1080" w:top="1066" w:right="1140" w:bottom="543" w:gutter="0" w:footer="0" w:header="0"/>
        </w:sect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53</w:t>
      </w:r>
    </w:p>
    <w:p>
      <w:pPr>
        <w:sectPr>
          <w:pgSz w:w="11880" w:h="15480" w:orient="portrait"/>
          <w:cols w:equalWidth="0" w:num="1">
            <w:col w:w="9660"/>
          </w:cols>
          <w:pgMar w:left="1080" w:top="1066" w:right="1140" w:bottom="543" w:gutter="0" w:footer="0" w:header="0"/>
          <w:type w:val="continuous"/>
        </w:sectPr>
      </w:pPr>
    </w:p>
    <w:bookmarkStart w:id="55" w:name="page56"/>
    <w:bookmarkEnd w:id="55"/>
    <w:p>
      <w:pPr>
        <w:spacing w:after="0" w:line="262" w:lineRule="auto"/>
        <w:rPr>
          <w:sz w:val="20"/>
          <w:szCs w:val="20"/>
          <w:color w:val="auto"/>
        </w:rPr>
      </w:pPr>
      <w:r>
        <w:rPr>
          <w:rFonts w:ascii="Arial" w:cs="Arial" w:eastAsia="Arial" w:hAnsi="Arial"/>
          <w:sz w:val="20"/>
          <w:szCs w:val="20"/>
          <w:color w:val="auto"/>
        </w:rPr>
        <w:t>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Chinese Regulation of Pharmaceutical Product Development and Approval</w:t>
      </w:r>
    </w:p>
    <w:p>
      <w:pPr>
        <w:spacing w:after="0" w:line="235"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Since China’s entry into the World Trade Organization in 2001, the Chinese government has made significant efforts to standardize regulations, develop its pharmaceutical regulatory system and strengthen intellectual property protection.</w:t>
      </w:r>
    </w:p>
    <w:p>
      <w:pPr>
        <w:spacing w:after="0" w:line="177"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In October 2017, China’s drug regulatory system entered a new and significant period of reform. The General Office of the State Council and the General Office of the Communist Party of China Central Committee jointly issued the Opinion on Deepening the Reform of the Regulatory Approval System to Encourage Innovation in Drugs and Medical Devices, or the Innovation Opinion, which is a mandatory plan to further reform the review and approval system and to encourage the innovation of drugs and medical devices. Under the Innovation Opinion and other recent reforms, the expedited programs and other advantages encourage drug manufacturers to seek marketing approval in China first and to develop drugs in high priority disease areas, such as oncology or rare disease.</w:t>
      </w:r>
    </w:p>
    <w:p>
      <w:pPr>
        <w:spacing w:after="0" w:line="194"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To implement the regulatory reform introduced by the Innovation Opinion, the Standing Committee of the National People’s Congress of the PRC (“SCNPC”) and the National Medical Products Administration (“NMPA”) have revised the fundamental laws, regulations and rules governing pharmaceutical products and the pharmaceutical industry, including the amendment of the framework law known as the People’s Republic of China Drug Administration Law (“PRC Drug Administration Law”), which became effective on December 1, 2019. The State Administration for Market Regulation (“SAMR”) has promulgated two key implementing regulations for the PRC Drug Administration Law: (i) the amended Administrative Measures for Drug Registration and (ii) the amended Measures on the Supervision and Administration of the Manufacture of Drugs. Both regulations took effect on July 1, 2020.</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 of the World Regulation of Pharmaceutical Product Development and Approval</w:t>
      </w:r>
    </w:p>
    <w:p>
      <w:pPr>
        <w:spacing w:after="0" w:line="236"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For other countries outside of Asia and the United States, such as countries in Europe, Latin America or other parts of Asia, the requirements governing the conduct of clinical trials, drug licensing, pricing and reimbursement vary from country to country. In all cases the clinical trials must be conducted in accordance with applicable GCP requirements and the applicable regulatory requirements and ethical principles.</w:t>
      </w:r>
    </w:p>
    <w:p>
      <w:pPr>
        <w:spacing w:after="0" w:line="186"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Healthcare Laws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U.S. Healthcare Laws</w:t>
      </w:r>
    </w:p>
    <w:p>
      <w:pPr>
        <w:spacing w:after="0" w:line="236"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We may also be subject to healthcare regulation and enforcement by the U.S. federal government and the states where we may market our drug candidates, if approved. These laws include, without limitation, state and federal anti-kickback, fraud and abuse, false claims, privacy and security and transparency laws, such as the following:</w:t>
      </w:r>
    </w:p>
    <w:p>
      <w:pPr>
        <w:spacing w:after="0" w:line="199" w:lineRule="exact"/>
        <w:rPr>
          <w:sz w:val="20"/>
          <w:szCs w:val="20"/>
          <w:color w:val="auto"/>
        </w:rPr>
      </w:pPr>
    </w:p>
    <w:p>
      <w:pPr>
        <w:ind w:left="720" w:right="60" w:hanging="352"/>
        <w:spacing w:after="0" w:line="249"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federal Anti-Kickback Statute, which prohibit, among other things, persons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A person or entity does not need to have actual knowledge of the statute or specific intent to violate it in order to have committed a violation;</w:t>
      </w:r>
    </w:p>
    <w:p>
      <w:pPr>
        <w:sectPr>
          <w:pgSz w:w="11880" w:h="15480" w:orient="portrait"/>
          <w:cols w:equalWidth="0" w:num="1">
            <w:col w:w="9720"/>
          </w:cols>
          <w:pgMar w:left="1080" w:top="1066" w:right="1080" w:bottom="543"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880" w:h="15480" w:orient="portrait"/>
          <w:cols w:equalWidth="0" w:num="1">
            <w:col w:w="9720"/>
          </w:cols>
          <w:pgMar w:left="1080" w:top="1066" w:right="1080" w:bottom="543" w:gutter="0" w:footer="0" w:header="0"/>
          <w:type w:val="continuous"/>
        </w:sectPr>
      </w:pPr>
    </w:p>
    <w:bookmarkStart w:id="56" w:name="page57"/>
    <w:bookmarkEnd w:id="56"/>
    <w:p>
      <w:pPr>
        <w:ind w:left="720" w:right="20" w:hanging="353"/>
        <w:spacing w:after="0" w:line="248"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federal false claims laws, including the False Claim Act and the Civil Monetary Penalties Law, which prohibit, among other things, individuals or entities from knowingly presenting, or causing to be presented, information or claims for payment from Medicare, Medicaid, or other third-party payors that are false or fraudulent. In addition, a claim including items or services resulting from a violation of the U.S. federal Anti-Kickback Statute constitutes a false or fraudulent claim for purposes of the federal civil False Claims Act;</w:t>
      </w:r>
    </w:p>
    <w:p>
      <w:pPr>
        <w:spacing w:after="0" w:line="87" w:lineRule="exact"/>
        <w:rPr>
          <w:rFonts w:ascii="Arial" w:cs="Arial" w:eastAsia="Arial" w:hAnsi="Arial"/>
          <w:sz w:val="20"/>
          <w:szCs w:val="20"/>
          <w:color w:val="auto"/>
        </w:rPr>
      </w:pPr>
    </w:p>
    <w:p>
      <w:pPr>
        <w:ind w:left="720" w:right="200" w:hanging="353"/>
        <w:spacing w:after="0" w:line="251"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federal Health Insurance Portability and Accountability Act of 1996 (“HIPAA”), which prohibits, among other things, executing or attempting to execute a scheme to defraud any healthcare benefit program (including private health plans)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80" w:lineRule="exact"/>
        <w:rPr>
          <w:rFonts w:ascii="Arial" w:cs="Arial" w:eastAsia="Arial" w:hAnsi="Arial"/>
          <w:sz w:val="20"/>
          <w:szCs w:val="20"/>
          <w:color w:val="auto"/>
        </w:rPr>
      </w:pPr>
    </w:p>
    <w:p>
      <w:pPr>
        <w:ind w:left="720" w:right="260" w:hanging="353"/>
        <w:spacing w:after="0" w:line="262"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Federal Food, Drug, and Cosmetic Act (“FDCA”), which among other things, strictly regulates drug product and medical device marketing, prohibits manufacturers from marketing such products prior to approval or for off-label use and regulates the distribution of samples;</w:t>
      </w:r>
    </w:p>
    <w:p>
      <w:pPr>
        <w:spacing w:after="0" w:line="71" w:lineRule="exact"/>
        <w:rPr>
          <w:rFonts w:ascii="Arial" w:cs="Arial" w:eastAsia="Arial" w:hAnsi="Arial"/>
          <w:sz w:val="20"/>
          <w:szCs w:val="20"/>
          <w:color w:val="auto"/>
        </w:rPr>
      </w:pPr>
    </w:p>
    <w:p>
      <w:pPr>
        <w:jc w:val="both"/>
        <w:ind w:left="720" w:right="140" w:hanging="353"/>
        <w:spacing w:after="0" w:line="262"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70" w:lineRule="exact"/>
        <w:rPr>
          <w:rFonts w:ascii="Arial" w:cs="Arial" w:eastAsia="Arial" w:hAnsi="Arial"/>
          <w:sz w:val="20"/>
          <w:szCs w:val="20"/>
          <w:color w:val="auto"/>
        </w:rPr>
      </w:pPr>
    </w:p>
    <w:p>
      <w:pPr>
        <w:ind w:left="720" w:right="20" w:hanging="353"/>
        <w:spacing w:after="0" w:line="247"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p>
      <w:pPr>
        <w:spacing w:after="0" w:line="85" w:lineRule="exact"/>
        <w:rPr>
          <w:rFonts w:ascii="Arial" w:cs="Arial" w:eastAsia="Arial" w:hAnsi="Arial"/>
          <w:sz w:val="20"/>
          <w:szCs w:val="20"/>
          <w:color w:val="auto"/>
        </w:rPr>
      </w:pPr>
    </w:p>
    <w:p>
      <w:pPr>
        <w:ind w:left="720" w:hanging="353"/>
        <w:spacing w:after="0" w:line="247"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HIPAA, as amended by the Health Information Technology for Economic and Clinical Health Act (“HITECH”), and their implementing regulations, imposes obligations, including mandatory contractual terms, on “covered entities,” including certain healthcare providers, health plans, healthcare clearinghouses, and their respective “business associates,” and their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87" w:lineRule="exact"/>
        <w:rPr>
          <w:rFonts w:ascii="Arial" w:cs="Arial" w:eastAsia="Arial" w:hAnsi="Arial"/>
          <w:sz w:val="20"/>
          <w:szCs w:val="20"/>
          <w:color w:val="auto"/>
        </w:rPr>
      </w:pPr>
    </w:p>
    <w:p>
      <w:pPr>
        <w:ind w:left="720" w:right="200" w:hanging="353"/>
        <w:spacing w:after="0" w:line="249"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state law equivalents of the above federal laws, such as anti-kickback and false claims laws, which may apply to items or services reimbursed by any third-party payor, including private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189" w:lineRule="exact"/>
        <w:rPr>
          <w:sz w:val="20"/>
          <w:szCs w:val="20"/>
          <w:color w:val="auto"/>
        </w:rPr>
      </w:pPr>
    </w:p>
    <w:p>
      <w:pPr>
        <w:ind w:right="220"/>
        <w:spacing w:after="0" w:line="284" w:lineRule="auto"/>
        <w:rPr>
          <w:sz w:val="20"/>
          <w:szCs w:val="20"/>
          <w:color w:val="auto"/>
        </w:rPr>
      </w:pPr>
      <w:r>
        <w:rPr>
          <w:rFonts w:ascii="Arial" w:cs="Arial" w:eastAsia="Arial" w:hAnsi="Arial"/>
          <w:sz w:val="20"/>
          <w:szCs w:val="20"/>
          <w:color w:val="auto"/>
        </w:rPr>
        <w:t>We may also be subject to federal consumer protection and unfair competition laws, which broadly regulate marketplace activities and activities that potentially harm consumers.</w:t>
      </w:r>
    </w:p>
    <w:p>
      <w:pPr>
        <w:spacing w:after="0" w:line="155"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Efforts to ensure that our activities comply with applicable healthcare laws may involve substantial costs. Many of these laws and their implementing regulations contain ambiguous requirements or require administrative guidance for implementation. Given the lack of clarity in laws and their implementation, our activities could be subject to challenge. If our operations were found to be in violation of any of these laws or any other governmental regulations that may apply to us, we could be subject to significant civil, criminal and administrative penalties, including, without limitation, damages, fines, imprisonment, additional regulatory oversight and integrity monitoring, exclusion from participation in government healthcare programs, such as Medicare and Medicaid, and the curtailment or restructuring of our operations.</w:t>
      </w:r>
    </w:p>
    <w:p>
      <w:pPr>
        <w:sectPr>
          <w:pgSz w:w="11880" w:h="15480" w:orient="portrait"/>
          <w:cols w:equalWidth="0" w:num="1">
            <w:col w:w="9700"/>
          </w:cols>
          <w:pgMar w:left="1080" w:top="1080" w:right="110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55</w:t>
      </w:r>
    </w:p>
    <w:p>
      <w:pPr>
        <w:sectPr>
          <w:pgSz w:w="11880" w:h="15480" w:orient="portrait"/>
          <w:cols w:equalWidth="0" w:num="1">
            <w:col w:w="9700"/>
          </w:cols>
          <w:pgMar w:left="1080" w:top="1080" w:right="1100" w:bottom="543"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Coverage and Reimbursement</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 Coverage and Reimbursement</w:t>
      </w:r>
    </w:p>
    <w:p>
      <w:pPr>
        <w:spacing w:after="0" w:line="23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Successful sales of our drug candidates in the U.S. market, if approved, will depend, in part, on the extent to which our drugs will be covered by third-party payors, such as government health programs or private health insurance (including managed care plans). Patients who are provided with prescriptions as part of their medical treatment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for coverage).</w:t>
      </w:r>
    </w:p>
    <w:p>
      <w:pPr>
        <w:spacing w:after="0" w:line="19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or expansion of price controls and cost-containment measures could further limit our net revenue and results. Decreases in third -party reimbursement for our drug candidates, if approved, or a decision by a third-party payor to not cover our drug candidates could have a material adverse effect on our sales, results of operations and financial condition.</w:t>
      </w:r>
    </w:p>
    <w:p>
      <w:pPr>
        <w:spacing w:after="0" w:line="194"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General legislative cost control measures may also affect reimbursement for our products. If we obtain approval to market a drug candidate in the United States, we may be subject to spending reductions affecting Medicare, Medicaid or other publicly funded or subsidized health programs and/or any significant taxes or fees.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 Health Care Reform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United States government, state legislatures, and foreign governments have shown significant interest in</w:t>
      </w:r>
    </w:p>
    <w:p>
      <w:pPr>
        <w:spacing w:after="0"/>
        <w:rPr>
          <w:sz w:val="20"/>
          <w:szCs w:val="20"/>
          <w:color w:val="auto"/>
        </w:rPr>
      </w:pPr>
      <w:r>
        <w:rPr>
          <w:rFonts w:ascii="Arial" w:cs="Arial" w:eastAsia="Arial" w:hAnsi="Arial"/>
          <w:sz w:val="20"/>
          <w:szCs w:val="20"/>
          <w:color w:val="auto"/>
        </w:rPr>
        <w:t>implementing cost containment programs to limit the growth of government-paid healthcare costs, including</w:t>
      </w:r>
    </w:p>
    <w:p>
      <w:pPr>
        <w:spacing w:after="0"/>
        <w:rPr>
          <w:sz w:val="20"/>
          <w:szCs w:val="20"/>
          <w:color w:val="auto"/>
        </w:rPr>
      </w:pPr>
      <w:r>
        <w:rPr>
          <w:rFonts w:ascii="Arial" w:cs="Arial" w:eastAsia="Arial" w:hAnsi="Arial"/>
          <w:sz w:val="20"/>
          <w:szCs w:val="20"/>
          <w:color w:val="auto"/>
        </w:rPr>
        <w:t>price-controls, restrictions on reimbursement, and requirements for substitution of generic products for</w:t>
      </w:r>
    </w:p>
    <w:p>
      <w:pPr>
        <w:spacing w:after="0"/>
        <w:rPr>
          <w:sz w:val="20"/>
          <w:szCs w:val="20"/>
          <w:color w:val="auto"/>
        </w:rPr>
      </w:pPr>
      <w:r>
        <w:rPr>
          <w:rFonts w:ascii="Arial" w:cs="Arial" w:eastAsia="Arial" w:hAnsi="Arial"/>
          <w:sz w:val="20"/>
          <w:szCs w:val="20"/>
          <w:color w:val="auto"/>
        </w:rPr>
        <w:t>branded prescription drugs. For example, in March 2010, the Affordable Care Act (“ACA”) was passed which</w:t>
      </w:r>
    </w:p>
    <w:p>
      <w:pPr>
        <w:spacing w:after="0"/>
        <w:rPr>
          <w:sz w:val="20"/>
          <w:szCs w:val="20"/>
          <w:color w:val="auto"/>
        </w:rPr>
      </w:pPr>
      <w:r>
        <w:rPr>
          <w:rFonts w:ascii="Arial" w:cs="Arial" w:eastAsia="Arial" w:hAnsi="Arial"/>
          <w:sz w:val="20"/>
          <w:szCs w:val="20"/>
          <w:color w:val="auto"/>
        </w:rPr>
        <w:t>substantially changed the way healthcare is financed by both the government and private insurers and</w:t>
      </w:r>
    </w:p>
    <w:p>
      <w:pPr>
        <w:spacing w:after="0"/>
        <w:rPr>
          <w:sz w:val="20"/>
          <w:szCs w:val="20"/>
          <w:color w:val="auto"/>
        </w:rPr>
      </w:pPr>
      <w:r>
        <w:rPr>
          <w:rFonts w:ascii="Arial" w:cs="Arial" w:eastAsia="Arial" w:hAnsi="Arial"/>
          <w:sz w:val="20"/>
          <w:szCs w:val="20"/>
          <w:color w:val="auto"/>
        </w:rPr>
        <w:t>continues to significantly impact the U.S. pharmaceutical industry. The ACA contains provisions that may</w:t>
      </w:r>
    </w:p>
    <w:p>
      <w:pPr>
        <w:spacing w:after="0"/>
        <w:rPr>
          <w:sz w:val="20"/>
          <w:szCs w:val="20"/>
          <w:color w:val="auto"/>
        </w:rPr>
      </w:pPr>
      <w:r>
        <w:rPr>
          <w:rFonts w:ascii="Arial" w:cs="Arial" w:eastAsia="Arial" w:hAnsi="Arial"/>
          <w:sz w:val="20"/>
          <w:szCs w:val="20"/>
          <w:color w:val="auto"/>
        </w:rPr>
        <w:t>reduce the profitability of drug products through increased rebates for drugs reimbursed by Medicaid</w:t>
      </w:r>
    </w:p>
    <w:p>
      <w:pPr>
        <w:spacing w:after="0"/>
        <w:rPr>
          <w:sz w:val="20"/>
          <w:szCs w:val="20"/>
          <w:color w:val="auto"/>
        </w:rPr>
      </w:pPr>
      <w:r>
        <w:rPr>
          <w:rFonts w:ascii="Arial" w:cs="Arial" w:eastAsia="Arial" w:hAnsi="Arial"/>
          <w:sz w:val="20"/>
          <w:szCs w:val="20"/>
          <w:color w:val="auto"/>
        </w:rPr>
        <w:t>programs, extension of Medicaid rebates to Medicaid managed care plans, mandatory discounts for certain</w:t>
      </w:r>
    </w:p>
    <w:p>
      <w:pPr>
        <w:spacing w:after="0"/>
        <w:rPr>
          <w:sz w:val="20"/>
          <w:szCs w:val="20"/>
          <w:color w:val="auto"/>
        </w:rPr>
      </w:pPr>
      <w:r>
        <w:rPr>
          <w:rFonts w:ascii="Arial" w:cs="Arial" w:eastAsia="Arial" w:hAnsi="Arial"/>
          <w:sz w:val="20"/>
          <w:szCs w:val="20"/>
          <w:color w:val="auto"/>
        </w:rPr>
        <w:t>Medicare Part D beneficiaries and annual fees based on pharmaceutical companies’ share of sales to federal</w:t>
      </w:r>
    </w:p>
    <w:p>
      <w:pPr>
        <w:spacing w:after="0"/>
        <w:rPr>
          <w:sz w:val="20"/>
          <w:szCs w:val="20"/>
          <w:color w:val="auto"/>
        </w:rPr>
      </w:pPr>
      <w:r>
        <w:rPr>
          <w:rFonts w:ascii="Arial" w:cs="Arial" w:eastAsia="Arial" w:hAnsi="Arial"/>
          <w:sz w:val="20"/>
          <w:szCs w:val="20"/>
          <w:color w:val="auto"/>
        </w:rPr>
        <w:t>health care programs. There have been judicial, Congressional and executive branch challenges to certain</w:t>
      </w:r>
    </w:p>
    <w:p>
      <w:pPr>
        <w:spacing w:after="0"/>
        <w:rPr>
          <w:sz w:val="20"/>
          <w:szCs w:val="20"/>
          <w:color w:val="auto"/>
        </w:rPr>
      </w:pPr>
      <w:r>
        <w:rPr>
          <w:rFonts w:ascii="Arial" w:cs="Arial" w:eastAsia="Arial" w:hAnsi="Arial"/>
          <w:sz w:val="20"/>
          <w:szCs w:val="20"/>
          <w:color w:val="auto"/>
        </w:rPr>
        <w:t>aspects of the ACA, including efforts to repeal or replace certain aspects of the ACA. For example, on</w:t>
      </w:r>
    </w:p>
    <w:p>
      <w:pPr>
        <w:spacing w:after="0"/>
        <w:rPr>
          <w:sz w:val="20"/>
          <w:szCs w:val="20"/>
          <w:color w:val="auto"/>
        </w:rPr>
      </w:pPr>
      <w:r>
        <w:rPr>
          <w:rFonts w:ascii="Arial" w:cs="Arial" w:eastAsia="Arial" w:hAnsi="Arial"/>
          <w:sz w:val="20"/>
          <w:szCs w:val="20"/>
          <w:color w:val="auto"/>
        </w:rPr>
        <w:t>June 17, 2021 the U.S. Supreme Court dismissed a challenge on procedural grounds that argued the ACA is</w:t>
      </w:r>
    </w:p>
    <w:p>
      <w:pPr>
        <w:spacing w:after="0"/>
        <w:rPr>
          <w:sz w:val="20"/>
          <w:szCs w:val="20"/>
          <w:color w:val="auto"/>
        </w:rPr>
      </w:pPr>
      <w:r>
        <w:rPr>
          <w:rFonts w:ascii="Arial" w:cs="Arial" w:eastAsia="Arial" w:hAnsi="Arial"/>
          <w:sz w:val="20"/>
          <w:szCs w:val="20"/>
          <w:color w:val="auto"/>
        </w:rPr>
        <w:t>unconstitutional in its entirety because the individual mandate was repealed by Congress. In addition, on</w:t>
      </w:r>
    </w:p>
    <w:p>
      <w:pPr>
        <w:spacing w:after="0"/>
        <w:rPr>
          <w:sz w:val="20"/>
          <w:szCs w:val="20"/>
          <w:color w:val="auto"/>
        </w:rPr>
      </w:pPr>
      <w:r>
        <w:rPr>
          <w:rFonts w:ascii="Arial" w:cs="Arial" w:eastAsia="Arial" w:hAnsi="Arial"/>
          <w:sz w:val="20"/>
          <w:szCs w:val="20"/>
          <w:color w:val="auto"/>
        </w:rPr>
        <w:t>August 16, 2022, President Biden signed the Inflation Reduction Act of 2022 (“IRA”) into law, which among</w:t>
      </w:r>
    </w:p>
    <w:p>
      <w:pPr>
        <w:spacing w:after="0"/>
        <w:rPr>
          <w:sz w:val="20"/>
          <w:szCs w:val="20"/>
          <w:color w:val="auto"/>
        </w:rPr>
      </w:pPr>
      <w:r>
        <w:rPr>
          <w:rFonts w:ascii="Arial" w:cs="Arial" w:eastAsia="Arial" w:hAnsi="Arial"/>
          <w:sz w:val="20"/>
          <w:szCs w:val="20"/>
          <w:color w:val="auto"/>
        </w:rPr>
        <w:t>other things, extends enhanced subsidies for individuals purchasing health insurance coverage in ACA</w:t>
      </w:r>
    </w:p>
    <w:p>
      <w:pPr>
        <w:spacing w:after="0"/>
        <w:rPr>
          <w:sz w:val="20"/>
          <w:szCs w:val="20"/>
          <w:color w:val="auto"/>
        </w:rPr>
      </w:pPr>
      <w:r>
        <w:rPr>
          <w:rFonts w:ascii="Arial" w:cs="Arial" w:eastAsia="Arial" w:hAnsi="Arial"/>
          <w:sz w:val="20"/>
          <w:szCs w:val="20"/>
          <w:color w:val="auto"/>
        </w:rPr>
        <w:t>marketplaces through plan year 2025. The IRA also eliminates the “donut hole” under the Medicare Part D</w:t>
      </w:r>
    </w:p>
    <w:p>
      <w:pPr>
        <w:spacing w:after="0"/>
        <w:rPr>
          <w:sz w:val="20"/>
          <w:szCs w:val="20"/>
          <w:color w:val="auto"/>
        </w:rPr>
      </w:pPr>
      <w:r>
        <w:rPr>
          <w:rFonts w:ascii="Arial" w:cs="Arial" w:eastAsia="Arial" w:hAnsi="Arial"/>
          <w:sz w:val="20"/>
          <w:szCs w:val="20"/>
          <w:color w:val="auto"/>
        </w:rPr>
        <w:t>program beginning in 2025 by significantly lowering the beneficiary maximum out-of-pocket cost and through</w:t>
      </w:r>
    </w:p>
    <w:p>
      <w:pPr>
        <w:spacing w:after="0"/>
        <w:rPr>
          <w:sz w:val="20"/>
          <w:szCs w:val="20"/>
          <w:color w:val="auto"/>
        </w:rPr>
      </w:pPr>
      <w:r>
        <w:rPr>
          <w:rFonts w:ascii="Arial" w:cs="Arial" w:eastAsia="Arial" w:hAnsi="Arial"/>
          <w:sz w:val="20"/>
          <w:szCs w:val="20"/>
          <w:color w:val="auto"/>
        </w:rPr>
        <w:t>a newly established manufacturer discount program.</w:t>
      </w:r>
    </w:p>
    <w:p>
      <w:pPr>
        <w:spacing w:after="0" w:line="240"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color w:val="auto"/>
        </w:rPr>
        <w:t>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w:t>
      </w:r>
    </w:p>
    <w:p>
      <w:pPr>
        <w:sectPr>
          <w:pgSz w:w="11880" w:h="15480" w:orient="portrait"/>
          <w:cols w:equalWidth="0" w:num="1">
            <w:col w:w="9720"/>
          </w:cols>
          <w:pgMar w:left="1080" w:top="1063" w:right="1080" w:bottom="543"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880" w:h="15480" w:orient="portrait"/>
          <w:cols w:equalWidth="0" w:num="1">
            <w:col w:w="9720"/>
          </w:cols>
          <w:pgMar w:left="1080" w:top="1063" w:right="1080" w:bottom="543" w:gutter="0" w:footer="0" w:header="0"/>
          <w:type w:val="continuous"/>
        </w:sectPr>
      </w:pPr>
    </w:p>
    <w:bookmarkStart w:id="58" w:name="page59"/>
    <w:bookmarkEnd w:id="58"/>
    <w:p>
      <w:pPr>
        <w:ind w:right="20"/>
        <w:spacing w:after="0"/>
        <w:rPr>
          <w:sz w:val="20"/>
          <w:szCs w:val="20"/>
          <w:color w:val="auto"/>
        </w:rPr>
      </w:pPr>
      <w:r>
        <w:rPr>
          <w:rFonts w:ascii="Arial" w:cs="Arial" w:eastAsia="Arial" w:hAnsi="Arial"/>
          <w:sz w:val="20"/>
          <w:szCs w:val="20"/>
          <w:color w:val="auto"/>
        </w:rPr>
        <w:t>legislation designed to, among other things, bring more transparency to product pricing, review the relationship between pricing and manufacturer patient programs, and reform government program reimbursement methodologies for products. For example, in July 2021, the Biden administration released an executive order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to advance these principles. In addition, the IRA, among other things, (1) directs the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On August 29, 2023, HHS announced the list of the first ten drugs that will be subject to price negotiations, although the Medicare drug price negotiation program is currently subject to legal challenges. In response to the Biden administration’s October 2022 executive order, on</w:t>
      </w:r>
    </w:p>
    <w:p>
      <w:pPr>
        <w:spacing w:after="0" w:line="1" w:lineRule="exact"/>
        <w:rPr>
          <w:sz w:val="20"/>
          <w:szCs w:val="20"/>
          <w:color w:val="auto"/>
        </w:rPr>
      </w:pPr>
    </w:p>
    <w:p>
      <w:pPr>
        <w:ind w:right="200"/>
        <w:spacing w:after="0" w:line="245" w:lineRule="auto"/>
        <w:rPr>
          <w:sz w:val="20"/>
          <w:szCs w:val="20"/>
          <w:color w:val="auto"/>
        </w:rPr>
      </w:pPr>
      <w:r>
        <w:rPr>
          <w:rFonts w:ascii="Arial" w:cs="Arial" w:eastAsia="Arial" w:hAnsi="Arial"/>
          <w:sz w:val="20"/>
          <w:szCs w:val="20"/>
          <w:color w:val="auto"/>
        </w:rPr>
        <w:t>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94" w:lineRule="exact"/>
        <w:rPr>
          <w:sz w:val="20"/>
          <w:szCs w:val="20"/>
          <w:color w:val="auto"/>
        </w:rPr>
      </w:pPr>
    </w:p>
    <w:p>
      <w:pPr>
        <w:ind w:right="2060"/>
        <w:spacing w:after="0" w:line="491" w:lineRule="auto"/>
        <w:rPr>
          <w:sz w:val="20"/>
          <w:szCs w:val="20"/>
          <w:color w:val="auto"/>
        </w:rPr>
      </w:pPr>
      <w:r>
        <w:rPr>
          <w:rFonts w:ascii="Arial" w:cs="Arial" w:eastAsia="Arial" w:hAnsi="Arial"/>
          <w:sz w:val="20"/>
          <w:szCs w:val="20"/>
          <w:b w:val="1"/>
          <w:bCs w:val="1"/>
          <w:color w:val="auto"/>
        </w:rPr>
        <w:t xml:space="preserve">Other Significant Chinese Regulation Affecting Our Business Activities in China </w:t>
      </w:r>
      <w:r>
        <w:rPr>
          <w:rFonts w:ascii="Arial" w:cs="Arial" w:eastAsia="Arial" w:hAnsi="Arial"/>
          <w:sz w:val="20"/>
          <w:szCs w:val="20"/>
          <w:b w:val="1"/>
          <w:bCs w:val="1"/>
          <w:i w:val="1"/>
          <w:iCs w:val="1"/>
          <w:color w:val="auto"/>
        </w:rPr>
        <w:t>Chinese Regulation of Foreign Investment</w:t>
      </w:r>
    </w:p>
    <w:p>
      <w:pPr>
        <w:spacing w:after="0" w:line="2"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The establishment, operation and management of corporate entities in China are governed by the Company Law of the People’s Republic of China (the “PRC Company Law”), which was adopted by the SCNPC in December 1993, implemented in July 1994, and subsequently amended in December 1999, August 2004, October 2005, December 2013 and October 2018. Under the PRC Company Law, companies are generally classified into two categories: limited liability companies and companies limited by shares. The PRC Company Law also applies to foreign-invested limited liability companies. Pursuant to the PRC Company Law, where laws on foreign investment have other stipulations, such stipulations shall prevail. The most recent amendment of the PRC Company Law was adopted in December 2023 and will come into effect on July 1, 2024, which introduced multiple updates to the current PRC Company Law with regard to, among others, the capital contribution liability, corporate governance structure and responsibilities of directors, supervisors, senior managers, controlling shareholders and actual controllers.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Investment activities in China by foreign investors are governed by the Guiding Foreign Investment Direction, which was promulgated by the State Council on February 11, 2002 and came into effect on April 1, 2002, and the latest Special Administrative Measures (Negative List) for Foreign Investment Access (2021) (the “Negative List”), which was promulgated by the Ministry of Commerce of the People’s Republic of China (“MOFCOM”), and National Development and Reform Commission (“NDRC”), on December 27, 2021 and took effect on January 1, 2022. The Negative List set out in a unified manner the restrictive measures, such as the requirements on shareholding percentages and management, for the access of foreign investments, and the industries that are prohibited for foreign investment. The Negative List covers 12 industries, and any field not falling in the Negative List shall be administered under the principle of equal treatment to domestic and foreign investment.</w:t>
      </w:r>
    </w:p>
    <w:p>
      <w:pPr>
        <w:spacing w:after="0" w:line="193"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The Foreign Investment Law of the People’s Republic of China (the “Foreign Investment Law”) was promulgated by the National People’s Congress (“NPC”) in March 2019 and became effective in January 2020. After the Foreign Investment Law came into force, the Law on Wholly Foreign- Owned Enterprises of the People’s Republic of China, the Law on Sino-foreign Equity Joint Ventures of the People’s Republic of China and the Law on Sino-foreign Contractual Joint Ventures of the People’s Republic of China</w:t>
      </w:r>
    </w:p>
    <w:p>
      <w:pPr>
        <w:sectPr>
          <w:pgSz w:w="11880" w:h="15480" w:orient="portrait"/>
          <w:cols w:equalWidth="0" w:num="1">
            <w:col w:w="9660"/>
          </w:cols>
          <w:pgMar w:left="1080" w:top="1066" w:right="1140" w:bottom="543" w:gutter="0" w:footer="0" w:header="0"/>
        </w:sect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57</w:t>
      </w:r>
    </w:p>
    <w:p>
      <w:pPr>
        <w:sectPr>
          <w:pgSz w:w="11880" w:h="15480" w:orient="portrait"/>
          <w:cols w:equalWidth="0" w:num="1">
            <w:col w:w="9660"/>
          </w:cols>
          <w:pgMar w:left="1080" w:top="1066" w:right="1140" w:bottom="543" w:gutter="0" w:footer="0" w:header="0"/>
          <w:type w:val="continuous"/>
        </w:sectPr>
      </w:pPr>
    </w:p>
    <w:bookmarkStart w:id="59" w:name="page60"/>
    <w:bookmarkEnd w:id="59"/>
    <w:p>
      <w:pPr>
        <w:ind w:right="100"/>
        <w:spacing w:after="0" w:line="252" w:lineRule="auto"/>
        <w:rPr>
          <w:sz w:val="20"/>
          <w:szCs w:val="20"/>
          <w:color w:val="auto"/>
        </w:rPr>
      </w:pPr>
      <w:r>
        <w:rPr>
          <w:rFonts w:ascii="Arial" w:cs="Arial" w:eastAsia="Arial" w:hAnsi="Arial"/>
          <w:sz w:val="19"/>
          <w:szCs w:val="19"/>
          <w:color w:val="auto"/>
        </w:rPr>
        <w:t>have been repealed simultaneously. The investment activities of foreign natural persons, enterprises or other organizations (hereinafter referred to as foreign investors) directly or indirectly within the territory of China shall comply with and be governed by the Foreign Investment Law, including: (i) establishing by foreign investors of foreign- invested enterprises in China alone or jointly with other investors; (ii) acquiring by foreign investors of shares, equity, property shares, or other similar interests of Chinese domestic enterprises;</w:t>
      </w:r>
    </w:p>
    <w:p>
      <w:pPr>
        <w:spacing w:after="0" w:line="4" w:lineRule="exact"/>
        <w:rPr>
          <w:sz w:val="20"/>
          <w:szCs w:val="20"/>
          <w:color w:val="auto"/>
        </w:rPr>
      </w:pPr>
    </w:p>
    <w:p>
      <w:pPr>
        <w:ind w:right="60" w:firstLine="7"/>
        <w:spacing w:after="0" w:line="284" w:lineRule="auto"/>
        <w:tabs>
          <w:tab w:leader="none" w:pos="322"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investing by foreign investors in new projects in China alone or jointly with other investors; (iv) other forms of investment prescribed by laws, administrative regulations or the State Council.</w:t>
      </w:r>
    </w:p>
    <w:p>
      <w:pPr>
        <w:spacing w:after="0" w:line="155" w:lineRule="exact"/>
        <w:rPr>
          <w:sz w:val="20"/>
          <w:szCs w:val="20"/>
          <w:color w:val="auto"/>
        </w:rPr>
      </w:pPr>
    </w:p>
    <w:p>
      <w:pPr>
        <w:ind w:right="180"/>
        <w:spacing w:after="0" w:line="249" w:lineRule="auto"/>
        <w:rPr>
          <w:sz w:val="20"/>
          <w:szCs w:val="20"/>
          <w:color w:val="auto"/>
        </w:rPr>
      </w:pPr>
      <w:r>
        <w:rPr>
          <w:rFonts w:ascii="Arial" w:cs="Arial" w:eastAsia="Arial" w:hAnsi="Arial"/>
          <w:sz w:val="20"/>
          <w:szCs w:val="20"/>
          <w:color w:val="auto"/>
        </w:rPr>
        <w:t>In December 2019, the State Council issued the Regulations on Implementing the Foreign Investment Law, which came into effect in January 2020. After the Regulations on Implementing the Foreign Investment Law came into effect, the Regulation on Implementing the Sino-Foreign Equity Joint Venture Enterprise Law, Provisional Regulations on the Duration of Sino-Foreign Equity Joint Venture Enterprise, the Regulations on Implementing the Wholly Foreign-Owned Enterprise Law and the Regulations on Implementing the Sino-Foreign Cooperative Joint Venture Enterprise Law have been repealed simultaneously.</w:t>
      </w:r>
    </w:p>
    <w:p>
      <w:pPr>
        <w:spacing w:after="0" w:line="189" w:lineRule="exact"/>
        <w:rPr>
          <w:sz w:val="20"/>
          <w:szCs w:val="20"/>
          <w:color w:val="auto"/>
        </w:rPr>
      </w:pPr>
    </w:p>
    <w:p>
      <w:pPr>
        <w:ind w:right="500"/>
        <w:spacing w:after="0" w:line="247" w:lineRule="auto"/>
        <w:rPr>
          <w:sz w:val="20"/>
          <w:szCs w:val="20"/>
          <w:color w:val="auto"/>
        </w:rPr>
      </w:pPr>
      <w:r>
        <w:rPr>
          <w:rFonts w:ascii="Arial" w:cs="Arial" w:eastAsia="Arial" w:hAnsi="Arial"/>
          <w:sz w:val="20"/>
          <w:szCs w:val="20"/>
          <w:color w:val="auto"/>
        </w:rPr>
        <w:t>In December 2019, the MOFCOM and the SAMR issued the Measures for the Reporting of Foreign Investment Information, which came into effect in January 2020. After the Measures for the Reporting of Foreign Investment Information came into effect, the Interim Measures on the Administration of Filing for Establishment and Change of Foreign Investment Enterprises has been repealed simultaneously. Since January 1, 2020, for foreign investors carrying out investment activities directly or indirectly in China, the foreign investors or foreign-invested enterprises shall submit investment information to the relevant commerce administrative authorities pursuant to these measures.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Chinese Regulation of Commercial Bribery</w:t>
      </w:r>
    </w:p>
    <w:p>
      <w:pPr>
        <w:spacing w:after="0" w:line="235"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Pursuant to specific provisions in the amended People’s Republic of China Anti-Unfair Competition Law, commercial bribery is prohibited. Both the bribe giver and bribe recipient are subject to civil and criminal liability. Further, pharmaceutical companies involved in a criminal investigation or administrative proceedings related to bribery are listed in the Adverse Records of Commercial Briberies by its provincial health and family planning administrative department. Pursuant to the Provisions on the Establishment of Adverse Records of Commercial Briberies in the Medicine Purchase and Sales Industry, which became effective on March 1, 2014, provincial health and family planning administrative departments formulate the implementing measures for the establishment of Adverse Records of Commercial Briberies. If a pharmaceutical company is listed in the Adverse Records of Commercial Briberies for the first time, their production is not required to be purchased by public medical institutions. A pharmaceutical company will not be penalized by the relevant Chinese government authorities merely by virtue of having contractual relationships with distributors or third-party promoters who are engaged in bribery activities, so long as such pharmaceutical company and its employees are not utilizing the distributors or third-party promoters for the implementation of, or acting in conjunction with them in, the prohibited bribery activities. In addition, a pharmaceutical company is under no legal obligation to monitor the operating activities of its distributors and third-party promoters, and it will not be subject to penalties or sanctions by relevant Chinese government authorities as a result of failure to monitor their operating activities.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Chinese Regulation of Product Liability</w:t>
      </w:r>
    </w:p>
    <w:p>
      <w:pPr>
        <w:spacing w:after="0" w:line="235"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In addition to the strict new drug approval process, certain Chinese laws have been promulgated to protect the rights of consumers and to strengthen the control of medical products in China. Under current Chinese law, manufacturers and vendors of defective products in China may incur liability for loss and injury caused by such products. Pursuant to the General Principles of the Civil Law of the People’s Republic of China (“PRC Civil Law”) promulgated on April 12, 1986 and amended on August 27, 2009, a defective product which causes property damage or physical injury to any person may subject the manufacturer or vendor of such product to civil liability for such damage or injury. The Civil Code of the People’s Republic of China (“PRC Civil Code”), which was promulgated in May 2020 and became effective on January 1, 2021, amalgamates and replaces a series of specialized laws in civil law area, including the PRC Civil Law. The rules on product liability in the PRC Civil Code remain consistent with the rules in the PRC Civil Law.</w:t>
      </w:r>
    </w:p>
    <w:p>
      <w:pPr>
        <w:sectPr>
          <w:pgSz w:w="11880" w:h="15480" w:orient="portrait"/>
          <w:cols w:equalWidth="0" w:num="1">
            <w:col w:w="9720"/>
          </w:cols>
          <w:pgMar w:left="1080" w:top="1066" w:right="1080" w:bottom="543"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880" w:h="15480" w:orient="portrait"/>
          <w:cols w:equalWidth="0" w:num="1">
            <w:col w:w="9720"/>
          </w:cols>
          <w:pgMar w:left="1080" w:top="1066" w:right="1080" w:bottom="543" w:gutter="0" w:footer="0" w:header="0"/>
          <w:type w:val="continuous"/>
        </w:sectPr>
      </w:pPr>
    </w:p>
    <w:bookmarkStart w:id="60" w:name="page61"/>
    <w:bookmarkEnd w:id="60"/>
    <w:p>
      <w:pPr>
        <w:ind w:right="80"/>
        <w:spacing w:after="0" w:line="249" w:lineRule="auto"/>
        <w:rPr>
          <w:sz w:val="20"/>
          <w:szCs w:val="20"/>
          <w:color w:val="auto"/>
        </w:rPr>
      </w:pPr>
      <w:r>
        <w:rPr>
          <w:rFonts w:ascii="Arial" w:cs="Arial" w:eastAsia="Arial" w:hAnsi="Arial"/>
          <w:sz w:val="20"/>
          <w:szCs w:val="20"/>
          <w:color w:val="auto"/>
        </w:rPr>
        <w:t>On February 22, 1993, the Product Quality Law of the People’s Republic of China (“Product Quality Law”) was promulgated to supplement the PRC Civil Law aiming to protect the legitimate rights and interests of the end-users and consumers and to strengthen the supervision and control of the quality of products. The Product Quality Law was revised on July 8, 2000, August 27, 2009 and December 29, 2018 respectively. Pursuant to the revised Product Quality Law, manufacturers who produce defective products may be subject to civil or criminal liability and have their business licenses revoked.</w:t>
      </w:r>
    </w:p>
    <w:p>
      <w:pPr>
        <w:spacing w:after="0" w:line="189"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The Law of the People’s Republic of China on the Protection of the Rights and Interests of Consumers was promulgated on October 31, 1993 and was amended on August 27, 2009 and October 25, 2013 to protect consumers’ rights when they purchase or use goods and accept services. According to which, all business operators must comply with this law when they manufacture or sell goods and/or provide services to customers. Under the amendment on October 25, 2013, all business operators shall pay high attention to protect the customers’ privacy and strictly keep confidential any consumer information they obtain during the business operation. In addition, in extreme situations, pharmaceutical product manufacturers and operators may be subject to criminal liability if their goods or services lead to the death or injuries of customers or other third parties.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Chinese Tort Law</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Under the Tort Law of the People’s Republic of China (“Tort Law”), which became effective on July 1, 2010, if damages to other persons are caused by defective products due to the fault of a third party, such as the parties providing transportation or warehousing, the producers and the sellers of the products have the right to recover their respective losses from such third parties. If defective products are identified after they have been put into circulation, the producers or the sellers shall take remedial measures such as the issuance of a warning, or the recall of products in a timely manner. The producers or the sellers shall be liable under tort if they fail to take remedial measures in a timely manner or have not made efforts to take remedial measures, thus causing damages. If the products are produced or sold with known defects, causing deaths or severe adverse health issues, the infringed party has the right to claim punitive damages in addition to compensatory damages. The PRC Civil Code amalgamated and replaced the Tort Law effective January 1, 2021. The rules on tort in the PRC Civil Code are generally consistent with the Tort Law.</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Chinese Regulation of Intellectual Property Rights</w:t>
      </w:r>
    </w:p>
    <w:p>
      <w:pPr>
        <w:spacing w:after="0" w:line="236" w:lineRule="exact"/>
        <w:rPr>
          <w:sz w:val="20"/>
          <w:szCs w:val="20"/>
          <w:color w:val="auto"/>
        </w:rPr>
      </w:pPr>
    </w:p>
    <w:p>
      <w:pPr>
        <w:ind w:right="140"/>
        <w:spacing w:after="0" w:line="284" w:lineRule="auto"/>
        <w:rPr>
          <w:sz w:val="20"/>
          <w:szCs w:val="20"/>
          <w:color w:val="auto"/>
        </w:rPr>
      </w:pPr>
      <w:r>
        <w:rPr>
          <w:rFonts w:ascii="Arial" w:cs="Arial" w:eastAsia="Arial" w:hAnsi="Arial"/>
          <w:sz w:val="20"/>
          <w:szCs w:val="20"/>
          <w:color w:val="auto"/>
        </w:rPr>
        <w:t>China has made substantial efforts to adopt comprehensive legislation governing intellectual property rights, including patents, trademarks, copyrights and domain names.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Patents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Pursuant to the Patent Law of the People’s Republic of China (the “PRC Patent Law”), most recently amended in December 2008 and October 2020, and its implementation rules, most recently amended in January 2024, patents in China fall into three categories: invention, utility model and design. An invention patent is granted to a new technical solution proposed in respect of a product or method or an improvement of a product or method. A utility model is granted to a new technical solution that is practicable for application and proposed in respect of the shape, structure or a combination of both of a product. A design patent is granted to the new design of a certain product in shape, pattern or a combination of both and in color, shape and pattern combinations aesthetically suitable for industrial application. Under the PRC Patent Law, the term of patent protection starts from the date of application. Patents relating to invention are effective for</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twenty years, and utility models and designs are effective for ten and fifteen years, respectively, from the date of application. The PRC Patent Law adopts the principle of “first-to-file” system, which provides that where more than one person files a patent application for the same invention, a patent will be granted to the person who files the application first.</w:t>
      </w:r>
    </w:p>
    <w:p>
      <w:pPr>
        <w:spacing w:after="0" w:line="186" w:lineRule="exact"/>
        <w:rPr>
          <w:sz w:val="20"/>
          <w:szCs w:val="20"/>
          <w:color w:val="auto"/>
        </w:rPr>
      </w:pPr>
    </w:p>
    <w:p>
      <w:pPr>
        <w:jc w:val="both"/>
        <w:ind w:right="40"/>
        <w:spacing w:after="0" w:line="262" w:lineRule="auto"/>
        <w:rPr>
          <w:sz w:val="20"/>
          <w:szCs w:val="20"/>
          <w:color w:val="auto"/>
        </w:rPr>
      </w:pPr>
      <w:r>
        <w:rPr>
          <w:rFonts w:ascii="Arial" w:cs="Arial" w:eastAsia="Arial" w:hAnsi="Arial"/>
          <w:sz w:val="20"/>
          <w:szCs w:val="20"/>
          <w:color w:val="auto"/>
        </w:rPr>
        <w:t>Existing patents can become narrowed, invalid or unenforceable due to a variety of grounds, including lack of novelty, creativity, and deficiencies in patent application. In China, a patent must have novelty, creativity and practical applicability. Under the PRC Patent Law, novelty means that before a patent application is filed, no</w:t>
      </w:r>
    </w:p>
    <w:p>
      <w:pPr>
        <w:sectPr>
          <w:pgSz w:w="11880" w:h="15480" w:orient="portrait"/>
          <w:cols w:equalWidth="0" w:num="1">
            <w:col w:w="9680"/>
          </w:cols>
          <w:pgMar w:left="1080" w:top="1066" w:right="1120" w:bottom="543" w:gutter="0" w:footer="0" w:header="0"/>
        </w:sect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59</w:t>
      </w:r>
    </w:p>
    <w:p>
      <w:pPr>
        <w:sectPr>
          <w:pgSz w:w="11880" w:h="15480" w:orient="portrait"/>
          <w:cols w:equalWidth="0" w:num="1">
            <w:col w:w="9680"/>
          </w:cols>
          <w:pgMar w:left="1080" w:top="1066" w:right="1120" w:bottom="543" w:gutter="0" w:footer="0" w:header="0"/>
          <w:type w:val="continuous"/>
        </w:sectPr>
      </w:pPr>
    </w:p>
    <w:bookmarkStart w:id="61" w:name="page62"/>
    <w:bookmarkEnd w:id="61"/>
    <w:p>
      <w:pPr>
        <w:ind w:right="120"/>
        <w:spacing w:after="0" w:line="244" w:lineRule="auto"/>
        <w:rPr>
          <w:sz w:val="20"/>
          <w:szCs w:val="20"/>
          <w:color w:val="auto"/>
        </w:rPr>
      </w:pPr>
      <w:r>
        <w:rPr>
          <w:rFonts w:ascii="Arial" w:cs="Arial" w:eastAsia="Arial" w:hAnsi="Arial"/>
          <w:sz w:val="20"/>
          <w:szCs w:val="20"/>
          <w:color w:val="auto"/>
        </w:rPr>
        <w:t>identical invention or utility model has been publicly disclosed in any publication in China or overseas or has been publicly used or made known to the public by any other means, whether in or outside of China, nor has any other person filed with the patent authority an application that describes an identical invention or utility model and is recorded in patent application documents or patent documents published after the filing date. Creativity means that, compared with existing technology, an invention has prominent substantial features and represents notable progress, and a utility model has substantial features and represents any progress. Practical applicability means an invention or utility model can be manufactured or used and may produce positive results. Patents in China are filed with the China National Intellectual Property Administration (“CNIPA”). Normally, the CNIPA publishes an application for an invention patent within 18 months after the filing date, which may be shortened at the request of applicant. The applicant must apply to the CNIPA for a substantive examination within three years from the date of application.</w:t>
      </w:r>
    </w:p>
    <w:p>
      <w:pPr>
        <w:spacing w:after="0" w:line="199" w:lineRule="exact"/>
        <w:rPr>
          <w:sz w:val="20"/>
          <w:szCs w:val="20"/>
          <w:color w:val="auto"/>
        </w:rPr>
      </w:pPr>
    </w:p>
    <w:p>
      <w:pPr>
        <w:ind w:right="340"/>
        <w:spacing w:after="0" w:line="251" w:lineRule="auto"/>
        <w:rPr>
          <w:sz w:val="20"/>
          <w:szCs w:val="20"/>
          <w:color w:val="auto"/>
        </w:rPr>
      </w:pPr>
      <w:r>
        <w:rPr>
          <w:rFonts w:ascii="Arial" w:cs="Arial" w:eastAsia="Arial" w:hAnsi="Arial"/>
          <w:sz w:val="20"/>
          <w:szCs w:val="20"/>
          <w:color w:val="auto"/>
        </w:rPr>
        <w:t>Article 19 of the PRC Patent Law provides that, for an invention or utility model completed in China, any applicant (not just Chinese companies and individuals), before filing a patent application outside of China, must first submit it to the CNIPA for a confidential examination. Failure to comply with this requirement will result in the denial of any Chinese patent for the relevant invention. The PRC Patent Law also sets up the framework and adds the provisions for patent linkage and patent term extension.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Patent Enforcement</w:t>
      </w:r>
    </w:p>
    <w:p>
      <w:pPr>
        <w:spacing w:after="0" w:line="232"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Unauthorized use of patents without consent from owners of patents, forgery of the patents belonging to other persons, or engagement in other patent infringement acts, will subject the infringers to infringement liability. Serious offenses such as forgery of patents may be subject to criminal penalties.</w:t>
      </w:r>
    </w:p>
    <w:p>
      <w:pPr>
        <w:spacing w:after="0" w:line="176"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When a dispute arises out of infringement of the patent owner’s patent right, Chinese law requires that the parties first attempt to settle the dispute through mutual consultation. However, if the dispute cannot be settled through mutual consultation, the patent owner, or an interested party who believes the patent is being infringed, may either file a civil legal suit or file an administrative complaint with the relevant patent administration authority. A Chinese court may issue a preliminary injunction upon the patent owner’s or an interested party’s request before instituting any legal proceedings or during the proceedings. Damages for infringement are calculated as the loss suffered by the patent holder arising from the infringement, or the benefit gained by the infringer from the infringement. If it is difficult to ascertain damages in this manner, damages may be determined by using a reasonable multiple of the license fee under a contractual license. Statutory damages may be awarded in the circumstances where the damages cannot be determined by the calculation standards referenced above. The damage calculation methods shall be applied in the aforementioned order. Generally, the patent owner has the burden of proving that the patent is being infringed. However, if the owner of an invention patent for manufacturing process of a new product alleges infringement of its patent, the alleged infringer has the burden of proof.</w:t>
      </w:r>
    </w:p>
    <w:p>
      <w:pPr>
        <w:spacing w:after="0" w:line="202"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most recent amendment to the PRC Patent Law, which was promulgated by the SCNPC in October 2020 and became effective in June 2021, describes the general principles of linking generic drug applications to pharmaceutical patent protection, also known as Patent Linkage. In July 2021, the NMPA and the CNIPA jointly published the Measures for Implementing an Early-Stage Resolution Mechanism for Pharmaceutical Patent Disputes (Tentative) (“Measures on Patent Linkage”), providing an operating mechanism for Patent Linkage. Upon notification of generic applications and certifications, if the patentee or the interested person disagrees, the patentee or the interested person will need to file a claim with the court or the CNIPA within 45 days after the Center for Drug Evaluation (“CDE’s”) publication and must submit a copy of the case acceptance notification to the CDE within 15 working days after the case acceptance date. Otherwise, the NMPA can proceed with the technical review and approval. For chemical drugs, the NMPA would initiate a nine-month approval stay period upon notification. If the patentee or the interested person cannot secure a favorable court judgment or a decision from the CNIPA within the nine-month period, the NMPA can grant marketing authorization to the generic applicant after the nine-month period expires.</w:t>
      </w:r>
    </w:p>
    <w:p>
      <w:pPr>
        <w:sectPr>
          <w:pgSz w:w="11880" w:h="15480" w:orient="portrait"/>
          <w:cols w:equalWidth="0" w:num="1">
            <w:col w:w="9700"/>
          </w:cols>
          <w:pgMar w:left="1080" w:top="1066" w:right="110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60</w:t>
      </w:r>
    </w:p>
    <w:p>
      <w:pPr>
        <w:sectPr>
          <w:pgSz w:w="11880" w:h="15480" w:orient="portrait"/>
          <w:cols w:equalWidth="0" w:num="1">
            <w:col w:w="9700"/>
          </w:cols>
          <w:pgMar w:left="1080" w:top="1066" w:right="1100" w:bottom="543" w:gutter="0" w:footer="0" w:header="0"/>
          <w:type w:val="continuous"/>
        </w:sectPr>
      </w:pPr>
    </w:p>
    <w:bookmarkStart w:id="62" w:name="page63"/>
    <w:bookmarkEnd w:id="62"/>
    <w:p>
      <w:pPr>
        <w:spacing w:after="0"/>
        <w:rPr>
          <w:sz w:val="20"/>
          <w:szCs w:val="20"/>
          <w:color w:val="auto"/>
        </w:rPr>
      </w:pPr>
      <w:r>
        <w:rPr>
          <w:rFonts w:ascii="Arial" w:cs="Arial" w:eastAsia="Arial" w:hAnsi="Arial"/>
          <w:sz w:val="20"/>
          <w:szCs w:val="20"/>
          <w:i w:val="1"/>
          <w:iCs w:val="1"/>
          <w:color w:val="auto"/>
        </w:rPr>
        <w:t>Medical Patent Compulsory License</w:t>
      </w:r>
    </w:p>
    <w:p>
      <w:pPr>
        <w:spacing w:after="0" w:line="231"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color w:val="auto"/>
        </w:rPr>
        <w:t>According to the PRC Patent Law, for the purpose of public health, the CNIPA may grant a compulsory license for manufacturing patented drugs and exporting them to countries or regions covered under relevant international treaties to which China has acceded.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Exemptions for Unlicensed Manufacture, Use, Sale or Import of Patented Products</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PRC Patent Law provides five exceptions permitting the unauthorized manufacture, use, sale or import of patented products. None of following circumstances are deemed an infringement of the patent rights, and any person may manufacture, use, sell or import patented products without authorization granted by the patent owner as follows:</w:t>
      </w:r>
    </w:p>
    <w:p>
      <w:pPr>
        <w:spacing w:after="0" w:line="200" w:lineRule="exact"/>
        <w:rPr>
          <w:sz w:val="20"/>
          <w:szCs w:val="20"/>
          <w:color w:val="auto"/>
        </w:rPr>
      </w:pPr>
    </w:p>
    <w:p>
      <w:pPr>
        <w:ind w:left="720" w:right="180" w:hanging="353"/>
        <w:spacing w:after="0" w:line="262"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person who uses, promises to sell, sells or imports any patented product or product directly obtained in accordance with the patented methods after such product is sold by the patent owner or by its licensed entity or individual;</w:t>
      </w:r>
    </w:p>
    <w:p>
      <w:pPr>
        <w:spacing w:after="0" w:line="70" w:lineRule="exact"/>
        <w:rPr>
          <w:rFonts w:ascii="Arial" w:cs="Arial" w:eastAsia="Arial" w:hAnsi="Arial"/>
          <w:sz w:val="20"/>
          <w:szCs w:val="20"/>
          <w:color w:val="auto"/>
        </w:rPr>
      </w:pPr>
    </w:p>
    <w:p>
      <w:pPr>
        <w:ind w:left="720" w:hanging="353"/>
        <w:spacing w:after="0" w:line="262"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person who has manufactured an identical product, has used an identical method or has made necessary preparations for manufacture or use prior to the date of patent application and continues to manufacture such product or use such method only within the original scope;</w:t>
      </w:r>
    </w:p>
    <w:p>
      <w:pPr>
        <w:spacing w:after="0" w:line="70" w:lineRule="exact"/>
        <w:rPr>
          <w:rFonts w:ascii="Arial" w:cs="Arial" w:eastAsia="Arial" w:hAnsi="Arial"/>
          <w:sz w:val="20"/>
          <w:szCs w:val="20"/>
          <w:color w:val="auto"/>
        </w:rPr>
      </w:pPr>
    </w:p>
    <w:p>
      <w:pPr>
        <w:ind w:left="720" w:right="120" w:hanging="353"/>
        <w:spacing w:after="0" w:line="251"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foreign transportation facility that temporarily passes through the territory, territorial waters or territorial airspace of China and uses the relevant patents in its devices and installations for its own needs in accordance with any agreement concluded between China and that country to which the foreign transportation facility belongs, or any international treaty to which both countries are party, or on the basis of the principle of reciprocity;</w:t>
      </w:r>
    </w:p>
    <w:p>
      <w:pPr>
        <w:spacing w:after="0" w:line="80" w:lineRule="exact"/>
        <w:rPr>
          <w:rFonts w:ascii="Arial" w:cs="Arial" w:eastAsia="Arial" w:hAnsi="Arial"/>
          <w:sz w:val="20"/>
          <w:szCs w:val="20"/>
          <w:color w:val="auto"/>
        </w:rPr>
      </w:pPr>
    </w:p>
    <w:p>
      <w:pPr>
        <w:ind w:left="720" w:right="920" w:hanging="353"/>
        <w:spacing w:after="0" w:line="284"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person who uses the relevant patents solely for the purposes of scientific research and experimentation; or</w:t>
      </w:r>
    </w:p>
    <w:p>
      <w:pPr>
        <w:spacing w:after="0" w:line="49" w:lineRule="exact"/>
        <w:rPr>
          <w:rFonts w:ascii="Arial" w:cs="Arial" w:eastAsia="Arial" w:hAnsi="Arial"/>
          <w:sz w:val="20"/>
          <w:szCs w:val="20"/>
          <w:color w:val="auto"/>
        </w:rPr>
      </w:pPr>
    </w:p>
    <w:p>
      <w:pPr>
        <w:ind w:left="720" w:right="80" w:hanging="353"/>
        <w:spacing w:after="0" w:line="262"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person who manufactures, uses or imports patented drug or patented medical equipment for the purpose of providing information required for administrative approval, or manufactures, uses or imports patented drugs or patented medical equipment for the abovementioned person.</w:t>
      </w:r>
    </w:p>
    <w:p>
      <w:pPr>
        <w:spacing w:after="0" w:line="177"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However, if patented drugs are utilized on the ground of exemptions for unauthorized manufacture, use, sale or import of patented drugs prescribed in PRC Patent Law, such patented drugs cannot be manufactured, used, sold or imported for any commercial purposes without authorization granted by the patent owner.</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Trade Secrets</w:t>
      </w:r>
    </w:p>
    <w:p>
      <w:pPr>
        <w:spacing w:after="0" w:line="231" w:lineRule="exact"/>
        <w:rPr>
          <w:sz w:val="20"/>
          <w:szCs w:val="20"/>
          <w:color w:val="auto"/>
        </w:rPr>
      </w:pPr>
    </w:p>
    <w:p>
      <w:pPr>
        <w:ind w:right="380"/>
        <w:spacing w:after="0" w:line="251" w:lineRule="auto"/>
        <w:rPr>
          <w:sz w:val="20"/>
          <w:szCs w:val="20"/>
          <w:color w:val="auto"/>
        </w:rPr>
      </w:pPr>
      <w:r>
        <w:rPr>
          <w:rFonts w:ascii="Arial" w:cs="Arial" w:eastAsia="Arial" w:hAnsi="Arial"/>
          <w:sz w:val="20"/>
          <w:szCs w:val="20"/>
          <w:color w:val="auto"/>
        </w:rPr>
        <w:t>According to the People’s Republic of China Anti-Unfair Competition Law promulgated by the SCNPC on September 2, 1993, as amended on November 4, 2017 and on April 23, 2019 (collectively, the “PRC Anti-Unfair Competition Law”), the term “trade secrets” refers to technical and business information that is unknown to the public that has utility and may create business interests or profits for its legal owners or holders, and is maintained as a secret by its legal owners or holders.</w:t>
      </w:r>
    </w:p>
    <w:p>
      <w:pPr>
        <w:spacing w:after="0" w:line="188"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Under the PRC Anti-Unfair Competition Law, business persons are prohibited from infringing others’ trade secrets by: (i) obtaining the trade secrets from the legal owners or holders by any unfair methods such as theft, bribery, fraud, coercion, electronic intrusion, or any other illicit means; (ii) disclosing, using or permitting others to use the trade secrets obtained illegally under item (i) above; (iii) disclosing, using or permitting others to use the trade secrets, in violation of any contractual agreements or any requirements of the legal owners or holders to keep such trade secrets in confidence; or (iv) instigating, inducing or assisting others to violate confidentiality obligation or to violate a rights holder’s requirements on keeping confidentiality of trade secrets, disclosing, using or permitting others to use the trade secrets of the rights holder. If a third party knows or should have known of such illegal conduct but nevertheless obtains, uses or discloses trade secrets of others trade secrets, the third party may be deemed to have committed a misappropriation of the others’ trade secrets.</w:t>
      </w:r>
    </w:p>
    <w:p>
      <w:pPr>
        <w:sectPr>
          <w:pgSz w:w="11880" w:h="15480" w:orient="portrait"/>
          <w:cols w:equalWidth="0" w:num="1">
            <w:col w:w="9700"/>
          </w:cols>
          <w:pgMar w:left="1080" w:top="1075" w:right="1100" w:bottom="543"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61</w:t>
      </w:r>
    </w:p>
    <w:p>
      <w:pPr>
        <w:sectPr>
          <w:pgSz w:w="11880" w:h="15480" w:orient="portrait"/>
          <w:cols w:equalWidth="0" w:num="1">
            <w:col w:w="9700"/>
          </w:cols>
          <w:pgMar w:left="1080" w:top="1075" w:right="1100" w:bottom="543"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i w:val="1"/>
          <w:iCs w:val="1"/>
          <w:color w:val="auto"/>
        </w:rPr>
        <w:t>Trademarks and Domain Names</w:t>
      </w:r>
    </w:p>
    <w:p>
      <w:pPr>
        <w:spacing w:after="0" w:line="231"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i w:val="1"/>
          <w:iCs w:val="1"/>
          <w:color w:val="auto"/>
        </w:rPr>
        <w:t xml:space="preserve">Trademarks. </w:t>
      </w:r>
      <w:r>
        <w:rPr>
          <w:rFonts w:ascii="Arial" w:cs="Arial" w:eastAsia="Arial" w:hAnsi="Arial"/>
          <w:sz w:val="20"/>
          <w:szCs w:val="20"/>
          <w:color w:val="auto"/>
        </w:rPr>
        <w:t>According to the Trademark Law of the People’s Republic of China, promulgated by the</w:t>
      </w:r>
      <w:r>
        <w:rPr>
          <w:rFonts w:ascii="Arial" w:cs="Arial" w:eastAsia="Arial" w:hAnsi="Arial"/>
          <w:sz w:val="20"/>
          <w:szCs w:val="20"/>
          <w:i w:val="1"/>
          <w:iCs w:val="1"/>
          <w:color w:val="auto"/>
        </w:rPr>
        <w:t xml:space="preserve"> </w:t>
      </w:r>
      <w:r>
        <w:rPr>
          <w:rFonts w:ascii="Arial" w:cs="Arial" w:eastAsia="Arial" w:hAnsi="Arial"/>
          <w:sz w:val="20"/>
          <w:szCs w:val="20"/>
          <w:color w:val="auto"/>
        </w:rPr>
        <w:t>SCNPC in August 1982, as amended in February 1993, October 2001, August 2013 and April 2019 and its implementation rules (collectively, the “Trademark Law”), the Trademark Office of the National Intellectual Property Administration is responsible for the registration and administration of trademarks throughout China. The Trademark Law has adopted a “first-to-file” principle with respect to trademark registration.</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i w:val="1"/>
          <w:iCs w:val="1"/>
          <w:color w:val="auto"/>
        </w:rPr>
        <w:t xml:space="preserve">Domain Names. </w:t>
      </w:r>
      <w:r>
        <w:rPr>
          <w:rFonts w:ascii="Arial" w:cs="Arial" w:eastAsia="Arial" w:hAnsi="Arial"/>
          <w:sz w:val="20"/>
          <w:szCs w:val="20"/>
          <w:color w:val="auto"/>
        </w:rPr>
        <w:t>Domain names are protected under the Administrative Measures on the Internet Domain</w:t>
      </w:r>
      <w:r>
        <w:rPr>
          <w:rFonts w:ascii="Arial" w:cs="Arial" w:eastAsia="Arial" w:hAnsi="Arial"/>
          <w:sz w:val="20"/>
          <w:szCs w:val="20"/>
          <w:i w:val="1"/>
          <w:iCs w:val="1"/>
          <w:color w:val="auto"/>
        </w:rPr>
        <w:t xml:space="preserve"> </w:t>
      </w:r>
      <w:r>
        <w:rPr>
          <w:rFonts w:ascii="Arial" w:cs="Arial" w:eastAsia="Arial" w:hAnsi="Arial"/>
          <w:sz w:val="20"/>
          <w:szCs w:val="20"/>
          <w:color w:val="auto"/>
        </w:rPr>
        <w:t>Names promulgated by the Ministry of Industry and Information Technology in August 2017 and effective November 2017. The Ministry of Industry and Information Technology is the main regulatory body responsible for the administration of Chinese internet domain names.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Chinese Regulation of Labor Protection</w:t>
      </w:r>
    </w:p>
    <w:p>
      <w:pPr>
        <w:spacing w:after="0" w:line="236" w:lineRule="exact"/>
        <w:rPr>
          <w:sz w:val="20"/>
          <w:szCs w:val="20"/>
          <w:color w:val="auto"/>
        </w:rPr>
      </w:pPr>
    </w:p>
    <w:p>
      <w:pPr>
        <w:ind w:right="180"/>
        <w:spacing w:after="0" w:line="245" w:lineRule="auto"/>
        <w:rPr>
          <w:sz w:val="20"/>
          <w:szCs w:val="20"/>
          <w:color w:val="auto"/>
        </w:rPr>
      </w:pPr>
      <w:r>
        <w:rPr>
          <w:rFonts w:ascii="Arial" w:cs="Arial" w:eastAsia="Arial" w:hAnsi="Arial"/>
          <w:sz w:val="20"/>
          <w:szCs w:val="20"/>
          <w:color w:val="auto"/>
        </w:rPr>
        <w:t>Under the Labor Law of the People’s Republic of China, effective on January 1, 1995 and subsequently amended on August 27, 2009 and December 29, 2018, the Employment Contract Law of the People’s Republic of China, effective on January 1, 2008 and subsequently amended on December 28, 2012 and the Implementing Regulations of the Employment Contract Law, effective on September 18, 2008, employers must establish a comprehensive management system to protect the rights of their employees, including a system governing occupational health and safety to provide employees with occupational training to prevent occupational injury, and employers are required to truthfully inform prospective employees of the job description, working conditions, location, occupational hazards and status of safe production as well as remuneration and other conditions as requested by the Labor Contract Law of the People’s Republic of China.</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Pursuant to the Law of Manufacturing Safety of the People’s Republic of China effective on</w:t>
      </w:r>
    </w:p>
    <w:p>
      <w:pPr>
        <w:ind w:right="20"/>
        <w:spacing w:after="0" w:line="254" w:lineRule="auto"/>
        <w:rPr>
          <w:sz w:val="20"/>
          <w:szCs w:val="20"/>
          <w:color w:val="auto"/>
        </w:rPr>
      </w:pPr>
      <w:r>
        <w:rPr>
          <w:rFonts w:ascii="Arial" w:cs="Arial" w:eastAsia="Arial" w:hAnsi="Arial"/>
          <w:sz w:val="20"/>
          <w:szCs w:val="20"/>
          <w:color w:val="auto"/>
        </w:rPr>
        <w:t>November 1, 2002 and amended on August 27, 2009, August 31, 2014 and June 10, 2021, manufacturers must establish a comprehensive management system to ensure manufacturing safety in accordance with applicable laws, regulations, national standards, and industrial standards. Manufacturers not meeting relevant legal requirements are not permitted to commence their manufacturing activities.</w:t>
      </w:r>
    </w:p>
    <w:p>
      <w:pPr>
        <w:spacing w:after="0" w:line="186" w:lineRule="exact"/>
        <w:rPr>
          <w:sz w:val="20"/>
          <w:szCs w:val="20"/>
          <w:color w:val="auto"/>
        </w:rPr>
      </w:pPr>
    </w:p>
    <w:p>
      <w:pPr>
        <w:ind w:right="180"/>
        <w:spacing w:after="0" w:line="255" w:lineRule="auto"/>
        <w:rPr>
          <w:sz w:val="20"/>
          <w:szCs w:val="20"/>
          <w:color w:val="auto"/>
        </w:rPr>
      </w:pPr>
      <w:r>
        <w:rPr>
          <w:rFonts w:ascii="Arial" w:cs="Arial" w:eastAsia="Arial" w:hAnsi="Arial"/>
          <w:sz w:val="20"/>
          <w:szCs w:val="20"/>
          <w:color w:val="auto"/>
        </w:rPr>
        <w:t>Pursuant to the Administrative Measures Governing the Production Quality of Pharmaceutical Products effective on March 1, 2011, manufacturers of pharmaceutical products are required to establish production safety and labor protection measures in connection with the operation of their manufacturing equipment and manufacturing process.</w:t>
      </w:r>
    </w:p>
    <w:p>
      <w:pPr>
        <w:spacing w:after="0" w:line="18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Pursuant to applicable Chinese laws, rules and regulations, including the Social Insurance Law which became effective on July 1, 2011 and amended on December 29, 2018, the Interim Regulations on the Collection and Payment of Social Security Funds, which became effective on January 22, 1999 and amended on March 24, 2019, Interim Measures concerning the Maternity Insurance of Employees, which became effective on January 1, 1995, and the Regulations on Work-related Injury Insurance, which became effective on January 1, 2004 and was subsequently amended on December 20, 2010, employers are required to contribute, on behalf of their employees, to a number of social security funds, including funds for basic pension insurance, unemployment insurance, basic medical insurance, work-related injury insurance and maternity insurance. If an employer fails to make social insurance contributions timely and in full, the social insurance collecting authority will order the employer to make up outstanding contributions within the prescribed time period and impose a late payment fee at the rate of 0.05% per day from the date on which the contribution becomes due. If such employer fails to make the overdue contributions within such time limit, the relevant administrative department may impose a fine equivalent to one to three times the overdue amount.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Regulations Relating to Foreign Exchange Registration of Offshore Investment by Chinese Residents</w:t>
      </w:r>
    </w:p>
    <w:p>
      <w:pPr>
        <w:spacing w:after="0" w:line="235" w:lineRule="exact"/>
        <w:rPr>
          <w:sz w:val="20"/>
          <w:szCs w:val="20"/>
          <w:color w:val="auto"/>
        </w:rPr>
      </w:pPr>
    </w:p>
    <w:p>
      <w:pPr>
        <w:ind w:right="500"/>
        <w:spacing w:after="0" w:line="284" w:lineRule="auto"/>
        <w:rPr>
          <w:sz w:val="20"/>
          <w:szCs w:val="20"/>
          <w:color w:val="auto"/>
        </w:rPr>
      </w:pPr>
      <w:r>
        <w:rPr>
          <w:rFonts w:ascii="Arial" w:cs="Arial" w:eastAsia="Arial" w:hAnsi="Arial"/>
          <w:sz w:val="20"/>
          <w:szCs w:val="20"/>
          <w:color w:val="auto"/>
        </w:rPr>
        <w:t>In July 2014, the State Administration of Foreign Exchange (“SAFE”), issued SAFE Circular 37 and its implementation guidelines. Pursuant to SAFE Circular 37 and its implementation guidelines, residents of</w:t>
      </w:r>
    </w:p>
    <w:p>
      <w:pPr>
        <w:sectPr>
          <w:pgSz w:w="11880" w:h="15480" w:orient="portrait"/>
          <w:cols w:equalWidth="0" w:num="1">
            <w:col w:w="9720"/>
          </w:cols>
          <w:pgMar w:left="1080" w:top="1075" w:right="1080" w:bottom="543"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880" w:h="15480" w:orient="portrait"/>
          <w:cols w:equalWidth="0" w:num="1">
            <w:col w:w="9720"/>
          </w:cols>
          <w:pgMar w:left="1080" w:top="1075" w:right="1080" w:bottom="543" w:gutter="0" w:footer="0" w:header="0"/>
          <w:type w:val="continuous"/>
        </w:sectPr>
      </w:pPr>
    </w:p>
    <w:bookmarkStart w:id="64" w:name="page65"/>
    <w:bookmarkEnd w:id="64"/>
    <w:p>
      <w:pPr>
        <w:spacing w:after="0" w:line="243" w:lineRule="auto"/>
        <w:rPr>
          <w:sz w:val="20"/>
          <w:szCs w:val="20"/>
          <w:color w:val="auto"/>
        </w:rPr>
      </w:pPr>
      <w:r>
        <w:rPr>
          <w:rFonts w:ascii="Arial" w:cs="Arial" w:eastAsia="Arial" w:hAnsi="Arial"/>
          <w:sz w:val="20"/>
          <w:szCs w:val="20"/>
          <w:color w:val="auto"/>
        </w:rPr>
        <w:t>China (including Chinese institutions and individuals) must register with local branches of SAFE in connection with their direct or indirect offshore investment in an overseas special purpose vehicle (“SPV”), directly established or indirectly controlled by Chinese residents for the purposes of offshore investment and financing with their legally owned assets or interests in domestic enterprises, or their legally owned offshore assets or interests. Such Chinese residents are also required to amend their registrations with SAFE when there is a change to the basic information of the SPV, such as changes of a Chinese resident individual shareholder, the name or operating period of the SPV, or when there is a significant change to the SPV, such as changes of the Chinese individual resident’s increase or decrease of its capital contribution in the SPV, or any share transfer or exchange, merger, division of the SPV. Failure to comply with the registration procedures set forth in the SAFE Circular 37 may result in restrictions being imposed on the foreign exchange activities of the relevant onshore company, including the payment of dividends and other distributions to its offshore parent or affiliate, the capital inflow from the offshore entities and settlement of foreign exchange capital, and may also subject relevant onshore companies or Chinese residents to penalties under Chinese foreign exchange administration regulations.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Regulations Relating to Employee Stock Incentive Plan</w:t>
      </w:r>
    </w:p>
    <w:p>
      <w:pPr>
        <w:spacing w:after="0" w:line="235" w:lineRule="exact"/>
        <w:rPr>
          <w:sz w:val="20"/>
          <w:szCs w:val="20"/>
          <w:color w:val="auto"/>
        </w:rPr>
      </w:pPr>
    </w:p>
    <w:p>
      <w:pPr>
        <w:ind w:firstLine="1"/>
        <w:spacing w:after="0"/>
        <w:rPr>
          <w:sz w:val="20"/>
          <w:szCs w:val="20"/>
          <w:color w:val="auto"/>
        </w:rPr>
      </w:pPr>
      <w:r>
        <w:rPr>
          <w:rFonts w:ascii="Arial" w:cs="Arial" w:eastAsia="Arial" w:hAnsi="Arial"/>
          <w:sz w:val="20"/>
          <w:szCs w:val="20"/>
          <w:color w:val="auto"/>
        </w:rPr>
        <w:t>In February 2012, SAFE promulgated the Notices on Issues Concerning the Foreign Exchange Administration for Domestic Individuals Participating in Stock Incentive Plans of Overseas Publicly Listed Companies (the “Stock Option Rules”). In accordance with the Stock Option Rules and relevant rules and regulations, Chinese citizens or non-Chinese citizens residing in China for a continuous period of not less than one year, who participate in any stock incentive plan of an overseas publicly listed company, subject to a few exceptions, are required to register with SAFE through a domestic qualified agent, which could be a Chinese subsidiary of such overseas listed company, and complete certain procedures. We and our employees who are Chinese citizens or who reside in China for a continuous period of not less than one year and who participate in our stock incentive plan are subject to such regulation. In addition, the State Taxation Administration of the PRC, or SAT, has issued circulars concerning employee stock options or restricted shares. Under these circulars, employees working in China who exercise stock options, or whose restricted shares vest, will be subject to Chinese individual income tax (“IIT”) . The Chinese subsidiaries of an overseas listed company have obligations to file documents related to employee stock options or restricted shares with relevant tax authorities and to withhold IIT of those employees related to their stock options or restricted shares. If the employees fail to pay, or the Chinese subsidiaries fail to withhold, their IIT according to relevant laws,</w:t>
      </w:r>
    </w:p>
    <w:p>
      <w:pPr>
        <w:spacing w:after="0" w:line="1" w:lineRule="exact"/>
        <w:rPr>
          <w:sz w:val="20"/>
          <w:szCs w:val="20"/>
          <w:color w:val="auto"/>
        </w:rPr>
      </w:pPr>
    </w:p>
    <w:p>
      <w:pPr>
        <w:ind w:right="340"/>
        <w:spacing w:after="0" w:line="284" w:lineRule="auto"/>
        <w:rPr>
          <w:sz w:val="20"/>
          <w:szCs w:val="20"/>
          <w:color w:val="auto"/>
        </w:rPr>
      </w:pPr>
      <w:r>
        <w:rPr>
          <w:rFonts w:ascii="Arial" w:cs="Arial" w:eastAsia="Arial" w:hAnsi="Arial"/>
          <w:sz w:val="20"/>
          <w:szCs w:val="20"/>
          <w:color w:val="auto"/>
        </w:rPr>
        <w:t>rules and regulations, the Chinese subsidiaries may face sanctions imposed by the tax authorities or other Chinese government authorities.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Regulations Relating to Dividend Distribution</w:t>
      </w:r>
    </w:p>
    <w:p>
      <w:pPr>
        <w:spacing w:after="0" w:line="235"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Pursuant to the PRC Company Law and Foreign Investment Law, and Regulations on Implementing the Foreign Investment Law of the People’s Republic of China, foreign investors may freely remit into or out of China, in RMB or any other foreign currency, their capital contributions, profits, capital gains, income from asset disposal, intellectual property royalties, lawfully acquired compensation, indemnity or liquidation income and so on within the territory of China.</w:t>
      </w:r>
    </w:p>
    <w:p>
      <w:pPr>
        <w:spacing w:after="0" w:line="187"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color w:val="auto"/>
        </w:rPr>
        <w:t>In January 2017, SAFE issued the Notice on Improving the Check of Authenticity and Compliance to Further Promote Foreign Exchange Control, which stipulates several capital control measures with respect to outbound remittance of profits from domestic entities to offshore entities, including the following: (i) under the principle of genuine transaction, banks shall check board resolutions regarding profit distribution, the original version of tax filing records and audited financial statements; and (ii) domestic entities shall hold income to account for previous years’ losses before remitting the profits. Moreover, domestic entities shall provide detailed explanations of the sources of capital and the utilization arrangements and board resolutions, contracts and other proof when completing the registration procedures in connection with an outbound investment.</w:t>
      </w:r>
    </w:p>
    <w:p>
      <w:pPr>
        <w:sectPr>
          <w:pgSz w:w="11880" w:h="15480" w:orient="portrait"/>
          <w:cols w:equalWidth="0" w:num="1">
            <w:col w:w="9720"/>
          </w:cols>
          <w:pgMar w:left="1080" w:top="1066"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880" w:h="15480" w:orient="portrait"/>
          <w:cols w:equalWidth="0" w:num="1">
            <w:col w:w="9720"/>
          </w:cols>
          <w:pgMar w:left="1080" w:top="1066" w:right="1080" w:bottom="543" w:gutter="0" w:footer="0" w:header="0"/>
          <w:type w:val="continuous"/>
        </w:sectPr>
      </w:pPr>
    </w:p>
    <w:bookmarkStart w:id="65" w:name="page66"/>
    <w:bookmarkEnd w:id="65"/>
    <w:p>
      <w:pPr>
        <w:spacing w:after="0"/>
        <w:rPr>
          <w:sz w:val="20"/>
          <w:szCs w:val="20"/>
          <w:color w:val="auto"/>
        </w:rPr>
      </w:pPr>
      <w:r>
        <w:rPr>
          <w:rFonts w:ascii="Arial" w:cs="Arial" w:eastAsia="Arial" w:hAnsi="Arial"/>
          <w:sz w:val="20"/>
          <w:szCs w:val="20"/>
          <w:b w:val="1"/>
          <w:bCs w:val="1"/>
          <w:i w:val="1"/>
          <w:iCs w:val="1"/>
          <w:color w:val="auto"/>
        </w:rPr>
        <w:t>Regulations Relating to Foreign Exchange</w:t>
      </w:r>
    </w:p>
    <w:p>
      <w:pPr>
        <w:spacing w:after="0" w:line="235"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The principal regulations governing foreign currency exchange in China are the Foreign Exchange Administration Regulations, most recently amended in August 2008. Under the Foreign Exchange Administration Regulations, payments of current account items, such as profit distributions and trade and service-related foreign exchange transactions can be made in foreign currencies without prior approval from SAFE by complying with certain procedural requirements. However, approval from or registration with appropriate government authorities is required where RMB is to be converted into foreign currency and remitted out of China to pay capital expenses such as the repayment of foreign currency-denominated loans.</w:t>
      </w:r>
    </w:p>
    <w:p>
      <w:pPr>
        <w:spacing w:after="0" w:line="181"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In August 2008, SAFE issued the Circular on the Relevant Operating Issues Concerning the Improvement of the Administration of the Payment and Settlement of Foreign Currency Capital of Foreign-Invested Enterprises (“SAFE Circular 142”), regulating the conversion by a foreign-invested enterprise of foreign currency -registered capital into RMB by restricting how the converted RMB may be used. SAFE Circular 142 provides that the RMB capital converted from foreign currency registered capital of a foreign-invested enterprise may only be used for purposes within the business scope approved by the applicable government authority and may not be used for equity investments within China. SAFE also strengthened its oversight of the flow and use of the RMB capital converted from foreign currency registered capital of foreign-invested enterprises. The use of such RMB capital may not be changed without SAFE’s approval, and such RMB capital may not in any case be used to repay RMB loans if the proceeds of such loans have not been used. In March 2015, SAFE issued the Circular of the State Administration of Foreign Exchange on Reforming the Management Approach regarding the Settlement of Foreign Exchange Capital of Foreign-invested Enterprises (“SAFE Circular 19”), which became effective and replaced SAFE Circular 142 on June 1, 2015. Although SAFE Circular 19 allows for the use of RMB converted from the foreign currency- denominated capital for equity investments in China, the restrictions continue to apply as to foreign-invested enterprises’ use of the converted RMB for purposes beyond the business scope, for entrusted loans or for inter-company RMB loans. SAFE promulgated the Notice of the State Administration of Foreign Exchange on Reforming and Standardizing the Foreign Exchange Settlement Management Policy of Capital Account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unassociated enterprises. On December 4, 2023, SAFE promulgated the Notice of the State Administration of Foreign Exchange on Further Deepening the Reform and Promoting Facilitation of Cross-border Trade and Investment (“SAFE Circular 28”), which further updates the restrictions on use of RMB converted from the foreign currency- denominated capital. Violations of SAFE Circular 19, SAFE Circular 16 or SAFE Circular 28 could result in administrative penalties.</w:t>
      </w:r>
    </w:p>
    <w:p>
      <w:pPr>
        <w:spacing w:after="0" w:line="217"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The Circular of Further Improving and Adjusting Foreign Exchange Administration Policies on Foreign Direct Investment was promulgated by SAFE in November 2012 and amended in May 2015, which substantially amends and simplifies the current foreign exchange procedure. Pursuant to this circular, the opening of various special purpose foreign exchange accounts (</w:t>
      </w:r>
      <w:r>
        <w:rPr>
          <w:rFonts w:ascii="Arial" w:cs="Arial" w:eastAsia="Arial" w:hAnsi="Arial"/>
          <w:sz w:val="20"/>
          <w:szCs w:val="20"/>
          <w:i w:val="1"/>
          <w:iCs w:val="1"/>
          <w:color w:val="auto"/>
        </w:rPr>
        <w:t>e.g.</w:t>
      </w:r>
      <w:r>
        <w:rPr>
          <w:rFonts w:ascii="Arial" w:cs="Arial" w:eastAsia="Arial" w:hAnsi="Arial"/>
          <w:sz w:val="20"/>
          <w:szCs w:val="20"/>
          <w:color w:val="auto"/>
        </w:rPr>
        <w:t xml:space="preserve">, pre-establishment expenses accounts, foreign exchange capital accounts and guarantee accounts), the reinvestment of lawful incomes derived by foreign investors in China ( </w:t>
      </w:r>
      <w:r>
        <w:rPr>
          <w:rFonts w:ascii="Arial" w:cs="Arial" w:eastAsia="Arial" w:hAnsi="Arial"/>
          <w:sz w:val="20"/>
          <w:szCs w:val="20"/>
          <w:i w:val="1"/>
          <w:iCs w:val="1"/>
          <w:color w:val="auto"/>
        </w:rPr>
        <w:t>e.g.</w:t>
      </w:r>
      <w:r>
        <w:rPr>
          <w:rFonts w:ascii="Arial" w:cs="Arial" w:eastAsia="Arial" w:hAnsi="Arial"/>
          <w:sz w:val="20"/>
          <w:szCs w:val="20"/>
          <w:color w:val="auto"/>
        </w:rPr>
        <w:t>, profit, proceeds of equity transfer, capital reduction, liquidation and early repatriation of investment), and purchase and remittance of foreign exchange as a result of capital reduction, liquidation, early repatriation or share transfer in a foreign-invested enterprise no longer require SAFE approval, and multiple capital accounts for the same entity may be opened in different provinces, which was not possible before. In addition, SAFE promulgated the Circular on Printing and Distributing the Provisions on Foreign Exchange Administration over Domestic Direct Investment by Foreign Investors and the Supporting Documents in May 2013, which specifies that the administration by SAFE or its local branches over direct investment by foreign investors in China shall be conducted by way of registration and banks shall process foreign exchange business relating to the direct investment in China based on the registration information provided by SAFE and its branches.</w:t>
      </w:r>
    </w:p>
    <w:p>
      <w:pPr>
        <w:spacing w:after="0" w:line="197" w:lineRule="exact"/>
        <w:rPr>
          <w:sz w:val="20"/>
          <w:szCs w:val="20"/>
          <w:color w:val="auto"/>
        </w:rPr>
      </w:pPr>
    </w:p>
    <w:p>
      <w:pPr>
        <w:ind w:right="660"/>
        <w:spacing w:after="0" w:line="284" w:lineRule="auto"/>
        <w:rPr>
          <w:sz w:val="20"/>
          <w:szCs w:val="20"/>
          <w:color w:val="auto"/>
        </w:rPr>
      </w:pPr>
      <w:r>
        <w:rPr>
          <w:rFonts w:ascii="Arial" w:cs="Arial" w:eastAsia="Arial" w:hAnsi="Arial"/>
          <w:sz w:val="20"/>
          <w:szCs w:val="20"/>
          <w:color w:val="auto"/>
        </w:rPr>
        <w:t>In February 2015, SAFE promulgated the Circular on Further Simplifying and Improving the Policies Concerning Foreign Exchange Control on Direct Investment (“SAFE Circular 13”), which took effect on</w:t>
      </w:r>
    </w:p>
    <w:p>
      <w:pPr>
        <w:sectPr>
          <w:pgSz w:w="11880" w:h="15480" w:orient="portrait"/>
          <w:cols w:equalWidth="0" w:num="1">
            <w:col w:w="9700"/>
          </w:cols>
          <w:pgMar w:left="1080" w:top="1071" w:right="1100" w:bottom="543"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64</w:t>
      </w:r>
    </w:p>
    <w:p>
      <w:pPr>
        <w:sectPr>
          <w:pgSz w:w="11880" w:h="15480" w:orient="portrait"/>
          <w:cols w:equalWidth="0" w:num="1">
            <w:col w:w="9700"/>
          </w:cols>
          <w:pgMar w:left="1080" w:top="1071" w:right="1100" w:bottom="543" w:gutter="0" w:footer="0" w:header="0"/>
          <w:type w:val="continuous"/>
        </w:sectPr>
      </w:pPr>
    </w:p>
    <w:bookmarkStart w:id="66" w:name="page67"/>
    <w:bookmarkEnd w:id="66"/>
    <w:p>
      <w:pPr>
        <w:ind w:right="120"/>
        <w:spacing w:after="0" w:line="255" w:lineRule="auto"/>
        <w:rPr>
          <w:sz w:val="20"/>
          <w:szCs w:val="20"/>
          <w:color w:val="auto"/>
        </w:rPr>
      </w:pPr>
      <w:r>
        <w:rPr>
          <w:rFonts w:ascii="Arial" w:cs="Arial" w:eastAsia="Arial" w:hAnsi="Arial"/>
          <w:sz w:val="20"/>
          <w:szCs w:val="20"/>
          <w:color w:val="auto"/>
        </w:rPr>
        <w:t>June 1, 2015. SAFE Circular 13 delegates the authority to enforce the foreign exchange registration in connection with the inbound and outbound direct investment under relevant SAFE rules to certain banks and therefore further simplifies the foreign exchange registration procedures for inbound and outbound direct investment.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Regulations on Securities Offering and Listing Outside of China</w:t>
      </w: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On February 17, 2023, the CSRC promulgated a new set of regulations consisting of the Trial Administrative Measures of Overseas Securities Offering and Listing by Domestic Companies (the “Trial Measures”) and five supporting guidelines which came into effect on March 31, 2023 to regulate overseas securities offering and listing activities by domestic companies either in direct or indirect form.</w:t>
      </w:r>
    </w:p>
    <w:p>
      <w:pPr>
        <w:spacing w:after="0" w:line="186"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Trial Measures and supporting guidelines apply to overseas offerings by domestic companies of equity shares, depositary receipts, convertible corporate bonds, or other equity-like securities, and overseas listing of the securities for trading. Both direct and indirect overseas securities offering and listing by domestic companies would be regulated, of which the former refers to securities offering and listing in an overseas market made by a joint-stock company incorporated domestically, and the latter refers to securities offering and listing in an overseas market made in the name of an offshore entity, while based on the underlying equity, assets, earnings or other similar rights of a domestic company which operates its main business domestically. According to the Trial Measures, if an issuer meets the following conditions, the offering and listing shall be determined as an indirect overseas offering and listing by a domestic company: (i) the total assets, net assets, revenues or gross profits of the domestic company(ies) of the issuer in the most recent financial year account for more than 50% of the corresponding figure in the issuer’s audited consolidated financial statements over the same period; (ii) the majority of the senior management in charge of business operation and management of the issuer are Chinese citizens or habitually reside in China, or its main places of business operation are located in China or main parts of its business activities are conducted in China.</w:t>
      </w:r>
    </w:p>
    <w:p>
      <w:pPr>
        <w:spacing w:after="0" w:line="200"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Under the Trial Measures and supporting guidelines, a filing-based regulatory system was implemented covering both direct and indirect overseas offering and listing. For an indirect initial public offering and listing in an overseas market, the issuer shall designate a major domestic operating entity to submit the filing documents to the CSRC, including but not limited to the prospectus within three working days after such application of overseas offering and listing is submitted. The CSRC would, within 20 working days if filing documents are complete and in compliance with the stipulated requirements, complete the filing and publish the filing information on the CSRC’s official website. While for confidential filings of overseas offering and listing application documents, the designated filing entity may apply for an extension of the publication of such filing. The issuer shall report to the CSRC within three working days after the overseas offering and listing application documents become public. In addition, subsequent securities offerings of an issuer in the same overseas market where it has previously offered and listed securities shall be filed with the CSRC within three working days after the offering is completed.</w:t>
      </w:r>
    </w:p>
    <w:p>
      <w:pPr>
        <w:spacing w:after="0" w:line="195"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Meanwhile, overseas offering and listing would be prohibited under certain circumstances, including but not limited to that (i) the offering and listing are expressly forbidden by the Chinese laws, regulations and relevant rules; (ii) the intended overseas securities offering and listing may endanger national security as reviewed and determined by competent authorities under the State Council in accordance with laws or (iii) there are material disputes with regard to the ownership of the equity held by the domestic company’s controlling shareholder or by other shareholders that are controlled by the controlling shareholder and/or actual controller. If a domestic company falls into the circumstances where overseas offering and listing is prohibited prior to the overseas offering and listing, the domestic company shall postpone or terminate the intended overseas offering and listing, and report to the CSRC and competent authorities under the State Council in a timely manner.</w:t>
      </w:r>
    </w:p>
    <w:p>
      <w:pPr>
        <w:spacing w:after="0" w:line="193" w:lineRule="exact"/>
        <w:rPr>
          <w:sz w:val="20"/>
          <w:szCs w:val="20"/>
          <w:color w:val="auto"/>
        </w:rPr>
      </w:pPr>
    </w:p>
    <w:p>
      <w:pPr>
        <w:jc w:val="both"/>
        <w:ind w:right="480"/>
        <w:spacing w:after="0" w:line="262" w:lineRule="auto"/>
        <w:rPr>
          <w:sz w:val="20"/>
          <w:szCs w:val="20"/>
          <w:color w:val="auto"/>
        </w:rPr>
      </w:pPr>
      <w:r>
        <w:rPr>
          <w:rFonts w:ascii="Arial" w:cs="Arial" w:eastAsia="Arial" w:hAnsi="Arial"/>
          <w:sz w:val="20"/>
          <w:szCs w:val="20"/>
          <w:color w:val="auto"/>
        </w:rPr>
        <w:t>If domestic companies fail to fulfill the above-mentioned filing procedures or offer and list in an overseas market against the prohibited circumstances, they would be warned and fined up to RMB 10 million. The controlling shareholders and actual controllers of such domestic companies that organize or instruct the</w:t>
      </w:r>
    </w:p>
    <w:p>
      <w:pPr>
        <w:sectPr>
          <w:pgSz w:w="11880" w:h="15480" w:orient="portrait"/>
          <w:cols w:equalWidth="0" w:num="1">
            <w:col w:w="9700"/>
          </w:cols>
          <w:pgMar w:left="1080" w:top="1066" w:right="1100" w:bottom="543"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65</w:t>
      </w:r>
    </w:p>
    <w:p>
      <w:pPr>
        <w:sectPr>
          <w:pgSz w:w="11880" w:h="15480" w:orient="portrait"/>
          <w:cols w:equalWidth="0" w:num="1">
            <w:col w:w="9700"/>
          </w:cols>
          <w:pgMar w:left="1080" w:top="1066" w:right="1100" w:bottom="543" w:gutter="0" w:footer="0" w:header="0"/>
          <w:type w:val="continuous"/>
        </w:sectPr>
      </w:pPr>
    </w:p>
    <w:bookmarkStart w:id="67" w:name="page68"/>
    <w:bookmarkEnd w:id="67"/>
    <w:p>
      <w:pPr>
        <w:ind w:right="60"/>
        <w:spacing w:after="0" w:line="284" w:lineRule="auto"/>
        <w:rPr>
          <w:sz w:val="20"/>
          <w:szCs w:val="20"/>
          <w:color w:val="auto"/>
        </w:rPr>
      </w:pPr>
      <w:r>
        <w:rPr>
          <w:rFonts w:ascii="Arial" w:cs="Arial" w:eastAsia="Arial" w:hAnsi="Arial"/>
          <w:sz w:val="20"/>
          <w:szCs w:val="20"/>
          <w:color w:val="auto"/>
        </w:rPr>
        <w:t>aforementioned violations would be fined up to RMB10 million and directly liable persons-in-charge and other directly liable persons would be each fined up to RMB 5 million.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Chinese National- and Provincial-Level Laws and Regulations</w:t>
      </w:r>
    </w:p>
    <w:p>
      <w:pPr>
        <w:spacing w:after="0" w:line="235"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We are subject to changing regulations under many other laws and regulations administered by governmental authorities at the national, provincial and municipal levels, some of which are or may become applicable to our business. For example, regulations control the confidentiality of patients’ medical information and the circumstances under which patient medical information may be released for inclusion in our databases, or released by us to third parties. These laws and regulations governing both the disclosure and the use of confidential patient medical information may become more restrictive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 and Human Capital Resources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2023, we had 93 full-time employees, 35 of whom have a Ph.D. or M.D. Of these</w:t>
      </w:r>
    </w:p>
    <w:p>
      <w:pPr>
        <w:ind w:right="100"/>
        <w:spacing w:after="0" w:line="267" w:lineRule="auto"/>
        <w:rPr>
          <w:sz w:val="20"/>
          <w:szCs w:val="20"/>
          <w:color w:val="auto"/>
        </w:rPr>
      </w:pPr>
      <w:r>
        <w:rPr>
          <w:rFonts w:ascii="Arial" w:cs="Arial" w:eastAsia="Arial" w:hAnsi="Arial"/>
          <w:sz w:val="19"/>
          <w:szCs w:val="19"/>
          <w:color w:val="auto"/>
        </w:rPr>
        <w:t>93 employees, 66 were engaged in research and development activities and 27 were engaged in business development, finance, information systems, facilities, human resources or administrative support. Four of the non-research and development- based employees were based in Shanghai, China and one based in the UK, while the other 22 resided in the United States. None of our employees are represented by labor unions or covered by collective bargaining agreements. We consider our relationship with our employees to be good.</w:t>
      </w:r>
    </w:p>
    <w:p>
      <w:pPr>
        <w:spacing w:after="0" w:line="174" w:lineRule="exact"/>
        <w:rPr>
          <w:sz w:val="20"/>
          <w:szCs w:val="20"/>
          <w:color w:val="auto"/>
        </w:rPr>
      </w:pPr>
    </w:p>
    <w:p>
      <w:pPr>
        <w:ind w:right="180"/>
        <w:spacing w:after="0" w:line="251" w:lineRule="auto"/>
        <w:rPr>
          <w:sz w:val="20"/>
          <w:szCs w:val="20"/>
          <w:color w:val="auto"/>
        </w:rPr>
      </w:pPr>
      <w:r>
        <w:rPr>
          <w:rFonts w:ascii="Arial" w:cs="Arial" w:eastAsia="Arial" w:hAnsi="Arial"/>
          <w:sz w:val="20"/>
          <w:szCs w:val="20"/>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Information</w:t>
      </w:r>
    </w:p>
    <w:p>
      <w:pPr>
        <w:spacing w:after="0" w:line="244"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We are a Cayman Islands exempted company incorporated with limited liability. We were initially formed as a Delaware corporation in 2016 under the name ShouTi Inc., and reorganized as a Cayman Islands exempted company in 2019. We completed our IPO on February 7, 2023, and our ADS began trading on the Nasdaq Global Market on February 3, 2023.</w:t>
      </w:r>
    </w:p>
    <w:p>
      <w:pPr>
        <w:spacing w:after="0" w:line="186" w:lineRule="exact"/>
        <w:rPr>
          <w:sz w:val="20"/>
          <w:szCs w:val="20"/>
          <w:color w:val="auto"/>
        </w:rPr>
      </w:pPr>
    </w:p>
    <w:p>
      <w:pPr>
        <w:ind w:right="340"/>
        <w:spacing w:after="0" w:line="247" w:lineRule="auto"/>
        <w:rPr>
          <w:sz w:val="20"/>
          <w:szCs w:val="20"/>
          <w:color w:val="auto"/>
        </w:rPr>
      </w:pPr>
      <w:r>
        <w:rPr>
          <w:rFonts w:ascii="Arial" w:cs="Arial" w:eastAsia="Arial" w:hAnsi="Arial"/>
          <w:sz w:val="20"/>
          <w:szCs w:val="20"/>
          <w:color w:val="auto"/>
        </w:rPr>
        <w:t>Our principal executive office is located at 601 Gateway Blvd., Suite 900, South San Francisco, California 94080 and our telephone number is (628) 229-9277. The principal executive office of our research and development operations is located at Unit 01, 11th floor, Lane 2889, Jinke Road, Pudong New Area, Shanghai, People’s Republic of China, 201203. Our telephone number at this address is 86 21 61215839. Our current registered office in the Cayman Islands is located at the offices of International Corporation Services Ltd., P.O, Box 472, 2nd Floor, Harbour Place, 103 South Church Street, George Town, Grand Cayman KY1-1106, Cayman Islands.</w:t>
      </w:r>
    </w:p>
    <w:p>
      <w:pPr>
        <w:spacing w:after="0" w:line="194" w:lineRule="exact"/>
        <w:rPr>
          <w:sz w:val="20"/>
          <w:szCs w:val="20"/>
          <w:color w:val="auto"/>
        </w:rPr>
      </w:pPr>
    </w:p>
    <w:p>
      <w:pPr>
        <w:jc w:val="both"/>
        <w:ind w:right="260"/>
        <w:spacing w:after="0" w:line="262" w:lineRule="auto"/>
        <w:rPr>
          <w:sz w:val="20"/>
          <w:szCs w:val="20"/>
          <w:color w:val="auto"/>
        </w:rPr>
      </w:pPr>
      <w:r>
        <w:rPr>
          <w:rFonts w:ascii="Arial" w:cs="Arial" w:eastAsia="Arial" w:hAnsi="Arial"/>
          <w:sz w:val="20"/>
          <w:szCs w:val="20"/>
          <w:color w:val="auto"/>
        </w:rPr>
        <w:t>Our website is www.structuretx.com. Information contained on, or accessible through, our website shall not be deemed incorporated into, and is not a part of, this Annual Report. We have included our website in this Annual Report solely as an inactive textual reference.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44"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Our Annual Report on Form 10-K, Quarterly Reports on Form 10-Q and Current Reports on Form 8- K and amendments to those reports filed or furnished pursuant to Sections 13(a) or 15(d) of the Exchange Act are available on our website, free of charge, as soon as reasonably practicable after the reports are electronically filed or furnished to the Securities and Exchange Commission, or SEC. The SEC maintains a website at www.sec.gov that contains reports, proxy and information statements, and other information that we file with the SEC electronically.</w:t>
      </w:r>
    </w:p>
    <w:p>
      <w:pPr>
        <w:sectPr>
          <w:pgSz w:w="11880" w:h="15480" w:orient="portrait"/>
          <w:cols w:equalWidth="0" w:num="1">
            <w:col w:w="9700"/>
          </w:cols>
          <w:pgMar w:left="1080" w:top="1066" w:right="1100" w:bottom="543"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66</w:t>
      </w:r>
    </w:p>
    <w:p>
      <w:pPr>
        <w:sectPr>
          <w:pgSz w:w="11880" w:h="15480" w:orient="portrait"/>
          <w:cols w:equalWidth="0" w:num="1">
            <w:col w:w="9700"/>
          </w:cols>
          <w:pgMar w:left="1080" w:top="1066" w:right="1100" w:bottom="543"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b w:val="1"/>
          <w:bCs w:val="1"/>
          <w:color w:val="auto"/>
        </w:rPr>
        <w:t>Item 1A. Risk Factors.</w:t>
      </w:r>
    </w:p>
    <w:p>
      <w:pPr>
        <w:spacing w:after="0" w:line="251" w:lineRule="exact"/>
        <w:rPr>
          <w:sz w:val="20"/>
          <w:szCs w:val="20"/>
          <w:color w:val="auto"/>
        </w:rPr>
      </w:pPr>
    </w:p>
    <w:p>
      <w:pPr>
        <w:spacing w:after="0" w:line="244" w:lineRule="auto"/>
        <w:rPr>
          <w:sz w:val="20"/>
          <w:szCs w:val="20"/>
          <w:color w:val="auto"/>
        </w:rPr>
      </w:pPr>
      <w:r>
        <w:rPr>
          <w:rFonts w:ascii="Arial" w:cs="Arial" w:eastAsia="Arial" w:hAnsi="Arial"/>
          <w:sz w:val="20"/>
          <w:szCs w:val="20"/>
          <w:i w:val="1"/>
          <w:iCs w:val="1"/>
          <w:color w:val="auto"/>
        </w:rPr>
        <w:t>Investing in our securities, involves a high degree of risk. You should carefully consider the risks and uncertainties described below, together with all of the other information contained in this Annual Report, including our consolidated financial statements and their related notes included elsewhere in this Annual Report and Part II. Item 7. “Management’s Discussion and Analysis of Financial Condition and Results of Operations” before making an investment decision. If any of the following risks actually occurs, our business, prospects, operating results and financial condition could suffer materially, the trading price of our ADSs could decline and you could lose all or part of your investment. The risks and uncertainties described below are not the only ones we face. Additional risks and uncertainties not presently known to us or that we currently believe to be immaterial also may materially and adversely affect our business, prospects, operating results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Limited Operating History, Financial Position and Capital Requirements</w:t>
      </w:r>
    </w:p>
    <w:p>
      <w:pPr>
        <w:spacing w:after="0" w:line="247" w:lineRule="exact"/>
        <w:rPr>
          <w:sz w:val="20"/>
          <w:szCs w:val="20"/>
          <w:color w:val="auto"/>
        </w:rPr>
      </w:pPr>
    </w:p>
    <w:p>
      <w:pPr>
        <w:ind w:right="340"/>
        <w:spacing w:after="0" w:line="290" w:lineRule="auto"/>
        <w:rPr>
          <w:sz w:val="20"/>
          <w:szCs w:val="20"/>
          <w:color w:val="auto"/>
        </w:rPr>
      </w:pPr>
      <w:r>
        <w:rPr>
          <w:rFonts w:ascii="Arial" w:cs="Arial" w:eastAsia="Arial" w:hAnsi="Arial"/>
          <w:sz w:val="20"/>
          <w:szCs w:val="20"/>
          <w:b w:val="1"/>
          <w:bCs w:val="1"/>
          <w:i w:val="1"/>
          <w:iCs w:val="1"/>
          <w:color w:val="auto"/>
        </w:rPr>
        <w:t>We have a limited operating history, have incurred significant operating losses since our inception and expect to incur significant losses for the foreseeable future.</w:t>
      </w:r>
    </w:p>
    <w:p>
      <w:pPr>
        <w:spacing w:after="0" w:line="141"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Biopharmaceutical product development is a highly speculative undertaking and involves a substantial degree of risk. We are a clinical- stage biopharmaceutical company with a limited operating histor</w:t>
      </w:r>
      <w:r>
        <w:rPr>
          <w:rFonts w:ascii="Arial" w:cs="Arial" w:eastAsia="Arial" w:hAnsi="Arial"/>
          <w:sz w:val="20"/>
          <w:szCs w:val="20"/>
          <w:i w:val="1"/>
          <w:iCs w:val="1"/>
          <w:color w:val="auto"/>
        </w:rPr>
        <w:t>y,</w:t>
      </w:r>
      <w:r>
        <w:rPr>
          <w:rFonts w:ascii="Arial" w:cs="Arial" w:eastAsia="Arial" w:hAnsi="Arial"/>
          <w:sz w:val="20"/>
          <w:szCs w:val="20"/>
          <w:color w:val="auto"/>
        </w:rPr>
        <w:t xml:space="preserve"> which may make it difficult to evaluate the success of our business to date and assess our future viability. Since our inception in 2016, we have focused primarily on organizing and staffing our company, business planning, establishing our intellectual property portfolio, raising capital, developing our structure-based drug discovery platform, identifying and developing our product candidates, conducting preclinical studies and, more recently, clinical trials, and providing general and administrative support for these operations. Our approach to the discovery and development of product candidates based on our structure-based drug discovery platform is unproven, and we do not know whether we will be able to develop any product candidates that succeed in clinical development or commercially. Further, GSBR-1290, our product candidate for T2DM and obesity, and ANPA-0073, our product candidate for IPF, are in early clinical development and our other product candidates and programs are in preclinical development or discovery stages. Accordingly, we have not yet demonstrated an ability to successfully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208"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We have no products approved for commercial sale and have not generated any revenue to date, and we continue to incur significant research and development and other expenses related to our ongoing operations. As a result, we are not profitable and have incurred significant losses since our inception and expect to continue to incur significant and increasing operating losses for at least the next several years. Our net losses were $89.6 million and $51.3 million for the years ended December 31, 2023 and 2022, respectively. As of December 31, 2023, we had an accumulated deficit of $206.6 million. Substantially all of our losses have resulted from expenses incurred in connection with our research and development programs and from general and administrative costs associated with our operations. All of our product candidates will require substantial additional development time and resources before we would be able to apply for or receive marketing approvals and begin generating revenue from product sales. We expect to continue to incur losses for the foreseeable future, and we anticipate that our expenses will increase substantially as we continue our development of, seek marketing approval for and potentially commercialize any of our product candidates, recruit and maintain key personnel and seek to identify, assess, acquire, in-license or develop additional product candidates.</w:t>
      </w:r>
    </w:p>
    <w:p>
      <w:pPr>
        <w:spacing w:after="0" w:line="201"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Even if we succeed in developing and obtaining marketing approval for one or more product candidates, we may never generate revenue that is significant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w:t>
      </w:r>
    </w:p>
    <w:p>
      <w:pPr>
        <w:sectPr>
          <w:pgSz w:w="11880" w:h="15480" w:orient="portrait"/>
          <w:cols w:equalWidth="0" w:num="1">
            <w:col w:w="9720"/>
          </w:cols>
          <w:pgMar w:left="1080" w:top="1063" w:right="1080" w:bottom="543" w:gutter="0" w:footer="0" w:header="0"/>
        </w:sect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880" w:h="15480" w:orient="portrait"/>
          <w:cols w:equalWidth="0" w:num="1">
            <w:col w:w="9720"/>
          </w:cols>
          <w:pgMar w:left="1080" w:top="1063" w:right="1080" w:bottom="543" w:gutter="0" w:footer="0" w:header="0"/>
          <w:type w:val="continuous"/>
        </w:sectPr>
      </w:pPr>
    </w:p>
    <w:bookmarkStart w:id="69" w:name="page70"/>
    <w:bookmarkEnd w:id="69"/>
    <w:p>
      <w:pPr>
        <w:ind w:right="20"/>
        <w:spacing w:after="0" w:line="262" w:lineRule="auto"/>
        <w:rPr>
          <w:sz w:val="20"/>
          <w:szCs w:val="20"/>
          <w:color w:val="auto"/>
        </w:rPr>
      </w:pPr>
      <w:r>
        <w:rPr>
          <w:rFonts w:ascii="Arial" w:cs="Arial" w:eastAsia="Arial" w:hAnsi="Arial"/>
          <w:sz w:val="20"/>
          <w:szCs w:val="20"/>
          <w:color w:val="auto"/>
        </w:rPr>
        <w:t>candidates. Our failure to become and remain profitable could decrease the value of our ADSs and impair our ability to raise capital, maintain our research and development efforts, expand our business or continue our operations.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i w:val="1"/>
          <w:iCs w:val="1"/>
          <w:color w:val="auto"/>
        </w:rPr>
        <w:t>We will require substantial additional capital to finance our operations, which may not be available on acceptable terms, or at all. Failure to obtain this necessary capital when needed may force us to delay, limit or terminate certain of our product development programs, commercialization efforts or other operations.</w:t>
      </w:r>
    </w:p>
    <w:p>
      <w:pPr>
        <w:spacing w:after="0" w:line="17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development of biopharmaceutical product candidates is capital-intensive. We expect our expenses to increase substantially in connection with our ongoing and planned activities, particularly as we conduct our ongoing and planned preclinical studies and clinical trials of GSBR-1290, ANPA-0073, LTSE-2578 and any future product candidates we may develop. Our expenses will increase substantially if our product candidates successfully complete early clinical and other studies, and also could increase beyond expectations if the FDA or foreign authorities require us to perform clinical and other studies in addition to those that we currently anticipate. Because the outcome of any clinical trial or preclinical study is highly uncertain, we cannot reasonably estimate the actual amounts necessary to successfully complete the development and commercialization of our product candidates. In addition, we have and expect to continue to incur additional costs associated with operating as a public company. Furthermore, if we obtain marketing approval for our product candidates, we expect to incur significant expenses related to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Based on our current operating plan, we believe that our cash, cash equivalents and short-term investments as of December 31, 2023 will be sufficient to fund our operating expenses and capital expenditure requirements through at least 2026. We have based these estimates on assumptions that may prove to be wrong, and we could use our capital resources sooner than we currently expect. Our operating plan may change as a result of many factors currently unknown to us, and we may need to seek additional funds sooner than planned, through equity offerings, debt financings or other capital sources, including potentially grants, collaborations, licenses and other similar arrangements. Even if we believe we have sufficient capital for our current or future operating plans, we may seek additional capital if market conditions are favorable or if we have specific strategic considerations.</w:t>
      </w:r>
    </w:p>
    <w:p>
      <w:pPr>
        <w:spacing w:after="0" w:line="197"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Any additional capital raising efforts may divert our management from their day-to-day activities, which may adversely affect our ability to develop and, if approved, commercialize our current and any future product candidates. Additional funding may not be available on acceptable terms, or at all. As a result of actual or anticipated changes in interest rates and economic inflation and the impact of the Russia/Ukraine conflict and Israel-Hamas war,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If the equity and credit markets deteriorate, including as a result of future bank failures, it may make any necessary debt or equity financing more difficult to obtain in a timely manner or on favorable terms, more costly or more dilutive.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Our future funding requirements will depend on many factors, including:</w:t>
      </w:r>
    </w:p>
    <w:p>
      <w:pPr>
        <w:spacing w:after="0" w:line="252" w:lineRule="exact"/>
        <w:rPr>
          <w:sz w:val="20"/>
          <w:szCs w:val="20"/>
          <w:color w:val="auto"/>
        </w:rPr>
      </w:pPr>
    </w:p>
    <w:p>
      <w:pPr>
        <w:ind w:left="720" w:right="180" w:hanging="353"/>
        <w:spacing w:after="0" w:line="284"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progress, costs, design, results of and timing of our planned and ongoing preclinical studies and clinical trials;</w:t>
      </w:r>
    </w:p>
    <w:p>
      <w:pPr>
        <w:spacing w:after="0" w:line="49" w:lineRule="exact"/>
        <w:rPr>
          <w:rFonts w:ascii="Arial" w:cs="Arial" w:eastAsia="Arial" w:hAnsi="Arial"/>
          <w:sz w:val="20"/>
          <w:szCs w:val="20"/>
          <w:color w:val="auto"/>
        </w:rPr>
      </w:pPr>
    </w:p>
    <w:p>
      <w:pPr>
        <w:ind w:left="720" w:right="40" w:hanging="353"/>
        <w:spacing w:after="0" w:line="262"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willingness of the FDA or applicable foreign authorities to accept our clinical trials, as well as data from our planned and ongoing preclinical studies and clinical trials and other work, as the basis for review and approval of our product candidates;</w:t>
      </w:r>
    </w:p>
    <w:p>
      <w:pPr>
        <w:sectPr>
          <w:pgSz w:w="11880" w:h="15480" w:orient="portrait"/>
          <w:cols w:equalWidth="0" w:num="1">
            <w:col w:w="9700"/>
          </w:cols>
          <w:pgMar w:left="1080" w:top="1066" w:right="110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68</w:t>
      </w:r>
    </w:p>
    <w:p>
      <w:pPr>
        <w:sectPr>
          <w:pgSz w:w="11880" w:h="15480" w:orient="portrait"/>
          <w:cols w:equalWidth="0" w:num="1">
            <w:col w:w="9700"/>
          </w:cols>
          <w:pgMar w:left="1080" w:top="1066" w:right="1100" w:bottom="543" w:gutter="0" w:footer="0" w:header="0"/>
          <w:type w:val="continuous"/>
        </w:sectPr>
      </w:pPr>
    </w:p>
    <w:bookmarkStart w:id="70" w:name="page71"/>
    <w:bookmarkEnd w:id="70"/>
    <w:p>
      <w:pPr>
        <w:ind w:left="720" w:right="640" w:hanging="353"/>
        <w:spacing w:after="0" w:line="284"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outcome, costs and timing of seeking and obtaining FDA and applicable foreign regulatory approvals;</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number and characteristics of product candidates that we pursue;</w:t>
      </w:r>
    </w:p>
    <w:p>
      <w:pPr>
        <w:spacing w:after="0" w:line="133" w:lineRule="exact"/>
        <w:rPr>
          <w:rFonts w:ascii="Arial" w:cs="Arial" w:eastAsia="Arial" w:hAnsi="Arial"/>
          <w:sz w:val="20"/>
          <w:szCs w:val="20"/>
          <w:color w:val="auto"/>
        </w:rPr>
      </w:pPr>
    </w:p>
    <w:p>
      <w:pPr>
        <w:ind w:left="720" w:right="100" w:hanging="353"/>
        <w:spacing w:after="0" w:line="284"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need to expand our research and development capabilities, including further development of our structure-based drug discovery platform or in-licensing of complementary technologies;</w:t>
      </w:r>
    </w:p>
    <w:p>
      <w:pPr>
        <w:spacing w:after="0" w:line="49" w:lineRule="exact"/>
        <w:rPr>
          <w:rFonts w:ascii="Arial" w:cs="Arial" w:eastAsia="Arial" w:hAnsi="Arial"/>
          <w:sz w:val="20"/>
          <w:szCs w:val="20"/>
          <w:color w:val="auto"/>
        </w:rPr>
      </w:pPr>
    </w:p>
    <w:p>
      <w:pPr>
        <w:ind w:left="720" w:right="760" w:hanging="353"/>
        <w:spacing w:after="0" w:line="284"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costs and timing associated with manufacturing our product candidates, and establishing commercial supplies and sales, marketing, and distribution capabilities;</w:t>
      </w:r>
    </w:p>
    <w:p>
      <w:pPr>
        <w:spacing w:after="0" w:line="48" w:lineRule="exact"/>
        <w:rPr>
          <w:rFonts w:ascii="Arial" w:cs="Arial" w:eastAsia="Arial" w:hAnsi="Arial"/>
          <w:sz w:val="20"/>
          <w:szCs w:val="20"/>
          <w:color w:val="auto"/>
        </w:rPr>
      </w:pPr>
    </w:p>
    <w:p>
      <w:pPr>
        <w:ind w:left="720" w:right="180" w:hanging="353"/>
        <w:spacing w:after="0" w:line="254"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efforts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80" w:lineRule="exact"/>
        <w:rPr>
          <w:rFonts w:ascii="Arial" w:cs="Arial" w:eastAsia="Arial" w:hAnsi="Arial"/>
          <w:sz w:val="20"/>
          <w:szCs w:val="20"/>
          <w:color w:val="auto"/>
        </w:rPr>
      </w:pPr>
    </w:p>
    <w:p>
      <w:pPr>
        <w:ind w:left="720" w:right="220" w:hanging="353"/>
        <w:spacing w:after="0" w:line="284"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need and ability to retain key management and hire scientific, technical, business, and medical personnel;</w:t>
      </w:r>
    </w:p>
    <w:p>
      <w:pPr>
        <w:spacing w:after="0" w:line="49" w:lineRule="exact"/>
        <w:rPr>
          <w:rFonts w:ascii="Arial" w:cs="Arial" w:eastAsia="Arial" w:hAnsi="Arial"/>
          <w:sz w:val="20"/>
          <w:szCs w:val="20"/>
          <w:color w:val="auto"/>
        </w:rPr>
      </w:pPr>
    </w:p>
    <w:p>
      <w:pPr>
        <w:ind w:left="720" w:hanging="353"/>
        <w:spacing w:after="0" w:line="284"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need to implement additional internal systems and infrastructure, including financial and reporting systems;</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costs associated with operating as a public company;</w:t>
      </w:r>
    </w:p>
    <w:p>
      <w:pPr>
        <w:spacing w:after="0" w:line="133" w:lineRule="exact"/>
        <w:rPr>
          <w:rFonts w:ascii="Arial" w:cs="Arial" w:eastAsia="Arial" w:hAnsi="Arial"/>
          <w:sz w:val="20"/>
          <w:szCs w:val="20"/>
          <w:color w:val="auto"/>
        </w:rPr>
      </w:pPr>
    </w:p>
    <w:p>
      <w:pPr>
        <w:ind w:left="720" w:right="420" w:hanging="353"/>
        <w:spacing w:after="0" w:line="284"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economic and other terms, timing of and success of our current and any future collaboration, licensing or other arrangements which we may enter in the future; and</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timing, receipt, and amount of sales from our potential products, if approved.</w:t>
      </w:r>
    </w:p>
    <w:p>
      <w:pPr>
        <w:spacing w:after="0" w:line="234" w:lineRule="exact"/>
        <w:rPr>
          <w:sz w:val="20"/>
          <w:szCs w:val="20"/>
          <w:color w:val="auto"/>
        </w:rPr>
      </w:pPr>
    </w:p>
    <w:p>
      <w:pPr>
        <w:ind w:right="160"/>
        <w:spacing w:after="0" w:line="251" w:lineRule="auto"/>
        <w:rPr>
          <w:sz w:val="20"/>
          <w:szCs w:val="20"/>
          <w:color w:val="auto"/>
        </w:rPr>
      </w:pPr>
      <w:r>
        <w:rPr>
          <w:rFonts w:ascii="Arial" w:cs="Arial" w:eastAsia="Arial" w:hAnsi="Arial"/>
          <w:sz w:val="20"/>
          <w:szCs w:val="20"/>
          <w:color w:val="auto"/>
        </w:rPr>
        <w:t>If we are unable to raise additional capital when needed, we may be required to delay, limit, reduce or terminate our product development or future commercialization efforts or grant rights to develop and market product candidates that we would otherwise prefer to develop and market ourselves, and our ability to grow and support our business and to respond to market challenges could be significantly limited, which could have a material adverse effect on our business, financial condition and results of operations.</w:t>
      </w:r>
    </w:p>
    <w:p>
      <w:pPr>
        <w:spacing w:after="0" w:line="192" w:lineRule="exact"/>
        <w:rPr>
          <w:sz w:val="20"/>
          <w:szCs w:val="20"/>
          <w:color w:val="auto"/>
        </w:rPr>
      </w:pPr>
    </w:p>
    <w:p>
      <w:pPr>
        <w:ind w:right="220"/>
        <w:spacing w:after="0" w:line="290" w:lineRule="auto"/>
        <w:rPr>
          <w:sz w:val="20"/>
          <w:szCs w:val="20"/>
          <w:color w:val="auto"/>
        </w:rPr>
      </w:pPr>
      <w:r>
        <w:rPr>
          <w:rFonts w:ascii="Arial" w:cs="Arial" w:eastAsia="Arial" w:hAnsi="Arial"/>
          <w:sz w:val="20"/>
          <w:szCs w:val="20"/>
          <w:b w:val="1"/>
          <w:bCs w:val="1"/>
          <w:i w:val="1"/>
          <w:iCs w:val="1"/>
          <w:color w:val="auto"/>
        </w:rPr>
        <w:t>Raising additional capital may cause dilution to our shareholders, restrict our operations or require us to relinquish rights to our technologies or product candidates.</w:t>
      </w:r>
    </w:p>
    <w:p>
      <w:pPr>
        <w:spacing w:after="0" w:line="141"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Until such time, if ever, as we can generate substantial product revenue, we expect to finance our operations through equity offerings, debt financings or other capital sources, including potentially grants, collaborations, licenses or other similar arrangements. For example, in October 2023, we issued and sold an aggregate of 21,617,295 ordinary shares and 2,401,920 newly designated non-voting ordinary shares in the Private Placement. To the extent that we raise additional capital through the sale of equity or convertible debt securities, the ownership interest of our shareholders will be diluted, and the terms of these securities may include liquidation or other preferences that adversely affect the rights of our ADS holders. Debt financing, if available, may involve agreements that include covenants limiting or restricting our ability to take specific actions, such as limitations on our ability to incur additional debt, make capital expenditures or declare dividends. If we raise funds through collaborations or licensing arrangements with third parties, we may be required to relinquish valuable rights to our technologies, future revenue streams, research programs or product candidates or grant licenses on terms that may not be favorable to us.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Discovery, Development and Regulatory Approval of Product Candidates</w:t>
      </w:r>
    </w:p>
    <w:p>
      <w:pPr>
        <w:spacing w:after="0" w:line="247" w:lineRule="exact"/>
        <w:rPr>
          <w:sz w:val="20"/>
          <w:szCs w:val="20"/>
          <w:color w:val="auto"/>
        </w:rPr>
      </w:pPr>
    </w:p>
    <w:p>
      <w:pPr>
        <w:ind w:right="80"/>
        <w:spacing w:after="0" w:line="318" w:lineRule="auto"/>
        <w:rPr>
          <w:sz w:val="20"/>
          <w:szCs w:val="20"/>
          <w:color w:val="auto"/>
        </w:rPr>
      </w:pPr>
      <w:r>
        <w:rPr>
          <w:rFonts w:ascii="Arial" w:cs="Arial" w:eastAsia="Arial" w:hAnsi="Arial"/>
          <w:sz w:val="19"/>
          <w:szCs w:val="19"/>
          <w:b w:val="1"/>
          <w:bCs w:val="1"/>
          <w:i w:val="1"/>
          <w:iCs w:val="1"/>
          <w:color w:val="auto"/>
        </w:rPr>
        <w:t>Our approach to the discovery of product candidates based on our technology platform is unproven, and we do not know whether we will be able to develop any products of commercial value.</w:t>
      </w:r>
    </w:p>
    <w:p>
      <w:pPr>
        <w:spacing w:after="0" w:line="116"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The success of our business depends primarily upon our ability to identify novel product candidates based on our structure-based drug discovery platform and to successfully develop and commercialize those product candidates. While we have had favorable preclinical study results for certain of our development programs,</w:t>
      </w:r>
    </w:p>
    <w:p>
      <w:pPr>
        <w:sectPr>
          <w:pgSz w:w="11880" w:h="15480" w:orient="portrait"/>
          <w:cols w:equalWidth="0" w:num="1">
            <w:col w:w="9660"/>
          </w:cols>
          <w:pgMar w:left="1080" w:top="1080" w:right="1140" w:bottom="543" w:gutter="0" w:footer="0" w:header="0"/>
        </w:sect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69</w:t>
      </w:r>
    </w:p>
    <w:p>
      <w:pPr>
        <w:sectPr>
          <w:pgSz w:w="11880" w:h="15480" w:orient="portrait"/>
          <w:cols w:equalWidth="0" w:num="1">
            <w:col w:w="9660"/>
          </w:cols>
          <w:pgMar w:left="1080" w:top="1080" w:right="1140" w:bottom="543" w:gutter="0" w:footer="0" w:header="0"/>
          <w:type w:val="continuous"/>
        </w:sectPr>
      </w:pPr>
    </w:p>
    <w:bookmarkStart w:id="71" w:name="page72"/>
    <w:bookmarkEnd w:id="71"/>
    <w:p>
      <w:pPr>
        <w:ind w:right="20"/>
        <w:spacing w:after="0" w:line="244" w:lineRule="auto"/>
        <w:rPr>
          <w:sz w:val="20"/>
          <w:szCs w:val="20"/>
          <w:color w:val="auto"/>
        </w:rPr>
      </w:pPr>
      <w:r>
        <w:rPr>
          <w:rFonts w:ascii="Arial" w:cs="Arial" w:eastAsia="Arial" w:hAnsi="Arial"/>
          <w:sz w:val="20"/>
          <w:szCs w:val="20"/>
          <w:color w:val="auto"/>
        </w:rPr>
        <w:t>we have not yet succeeded and may not succeed in demonstrating efficacy and safety for any product candidates in clinical trials or in obtaining marketing approvals or in commercializing such product candidates. We also may be unsuccessful in identifying additional product candidates using our platform, and any of our product candidates may be shown to have harmful side effects or may have other characteristics that may necessitate additional clinical testing, or make the product candidates unmarketable or unlikely to receive marketing approval. In particular, because all of our product candidates have been derived from our structure-based drug discovery platform, any failure of one of our development programs could create a perception that our other programs are less likely to succeed or that our discovery platform is not viable. Similarly, adverse developments with respect to other companies that attempt to use a similar approach to our approach may adversely impact the actual or perceived value and potential of our discovery platform and resulting product candidates.</w:t>
      </w:r>
    </w:p>
    <w:p>
      <w:pPr>
        <w:spacing w:after="0" w:line="159" w:lineRule="exact"/>
        <w:rPr>
          <w:sz w:val="20"/>
          <w:szCs w:val="20"/>
          <w:color w:val="auto"/>
        </w:rPr>
      </w:pPr>
    </w:p>
    <w:p>
      <w:pPr>
        <w:ind w:right="500"/>
        <w:spacing w:after="0" w:line="283" w:lineRule="auto"/>
        <w:rPr>
          <w:sz w:val="20"/>
          <w:szCs w:val="20"/>
          <w:color w:val="auto"/>
        </w:rPr>
      </w:pPr>
      <w:r>
        <w:rPr>
          <w:rFonts w:ascii="Arial" w:cs="Arial" w:eastAsia="Arial" w:hAnsi="Arial"/>
          <w:sz w:val="20"/>
          <w:szCs w:val="20"/>
          <w:color w:val="auto"/>
        </w:rPr>
        <w:t>If any of these events occur, our ability to successfully discover, develop and commercialize any product candidates may be impaired and the value of our company could decline significantly.</w:t>
      </w:r>
    </w:p>
    <w:p>
      <w:pPr>
        <w:spacing w:after="0" w:line="122" w:lineRule="exact"/>
        <w:rPr>
          <w:sz w:val="20"/>
          <w:szCs w:val="20"/>
          <w:color w:val="auto"/>
        </w:rPr>
      </w:pPr>
    </w:p>
    <w:p>
      <w:pPr>
        <w:ind w:right="420"/>
        <w:spacing w:after="0" w:line="252" w:lineRule="auto"/>
        <w:rPr>
          <w:sz w:val="20"/>
          <w:szCs w:val="20"/>
          <w:color w:val="auto"/>
        </w:rPr>
      </w:pPr>
      <w:r>
        <w:rPr>
          <w:rFonts w:ascii="Arial" w:cs="Arial" w:eastAsia="Arial" w:hAnsi="Arial"/>
          <w:sz w:val="20"/>
          <w:szCs w:val="20"/>
          <w:b w:val="1"/>
          <w:bCs w:val="1"/>
          <w:i w:val="1"/>
          <w:iCs w:val="1"/>
          <w:color w:val="auto"/>
        </w:rPr>
        <w:t>We are early in our development efforts and only have two product candidates, GSBR -1290 and ANPA-0073, in early clinical development. All of our other development programs are in the preclinical or discovery stage. If we are unable to advance our product candidates in clinical development, obtain regulatory approval and ultimately commercialize our product candidates, or experience significant delays in doing so, our business will be materially harmed.</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We are in the early stages of our development efforts and have two product candidates, GSBR -1290 and ANPA-0073, in early clinical development. We completed a Phase 1 SAD study of GSBR- 1290 in healthy volunteers in September 2022 for T2DM and obesity. Furthermore, we initiated the Phase 1b MAD study in January 2023 and completed dosing in otherwise healthy overweight subjects in March 2023. We also initiated the dosing of the Phase 2a study in May 2023. We reported topline data for the 28-day Phase 1b MAD study in September 2023, in which GSBR-1290 was generally well -tolerated with no adverse event-related discontinuations and demonstrated an encouraging safety profile and significant weight loss up to 4.9% placebo- adjusted, supporting once -daily dosing. We also reported topline data for the 12-week Phase 2a clinical trial in December 2023, in which GSBR-1290 was generally well-tolerated with no treatment-related SAEs, no AE -related discontinuation in obesity and only one adverse event-related discontinuation in T2DM. Furthermore, GSBR -1290 demonstrated significant reductions in HbA1c and weight at 12 weeks in T2DM. We further reported interim Phase 2a obesity cohort data, in which GSBR-1290 demonstrated significant reductions in weight at 8 weeks. We expect to report the full 12-week obesity data in the latter half of the second quarter of 2024. We also reported results from a Japanese ethno-bridging study and findings from</w:t>
      </w:r>
    </w:p>
    <w:p>
      <w:pPr>
        <w:spacing w:after="0" w:line="1"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6- and 9-month toxicology studies demonstrating encouraging safety to support advancing into Phase 2b development. The additional formulation bridging study to evaluate a tablet formulation of GSBR-1290 is expected to be completed in the latter half of the second quarter of 2024. Pending supportive data from this bridging study, the tablet formulation would be used in future GSBR-1290 studies starting with the Phase 2b study for obesity and an additional Phase 2 study for T2DM, which we expect to initiate both in the second half of 2024. Additionally, we completed our Phase 1 SAD and MAD study for ANPA -0073 in healthy volunteers for IPF in September 2022. We expect to conduct additional preclinical studies of ANPA-0073 for its effects in selective weight loss. Our other product candidates are still in the preclinical or discovery stages. We will need to progress early product candidates through preclinical studies and submit INDs to the FDA or appropriate regulatory documents to applicable foreign authorities prior to initiating their clinical development.</w:t>
      </w:r>
    </w:p>
    <w:p>
      <w:pPr>
        <w:spacing w:after="0" w:line="159" w:lineRule="exact"/>
        <w:rPr>
          <w:sz w:val="20"/>
          <w:szCs w:val="20"/>
          <w:color w:val="auto"/>
        </w:rPr>
      </w:pPr>
    </w:p>
    <w:p>
      <w:pPr>
        <w:ind w:right="340"/>
        <w:spacing w:after="0" w:line="262" w:lineRule="auto"/>
        <w:rPr>
          <w:sz w:val="20"/>
          <w:szCs w:val="20"/>
          <w:color w:val="auto"/>
        </w:rPr>
      </w:pPr>
      <w:r>
        <w:rPr>
          <w:rFonts w:ascii="Arial" w:cs="Arial" w:eastAsia="Arial" w:hAnsi="Arial"/>
          <w:sz w:val="20"/>
          <w:szCs w:val="20"/>
          <w:color w:val="auto"/>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151" w:lineRule="exact"/>
        <w:rPr>
          <w:sz w:val="20"/>
          <w:szCs w:val="20"/>
          <w:color w:val="auto"/>
        </w:rPr>
      </w:pPr>
    </w:p>
    <w:p>
      <w:pPr>
        <w:ind w:left="720" w:hanging="353"/>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completion of preclinical studies with favorable results;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successful enrollment in, and completion of, clinical trials;</w:t>
      </w:r>
    </w:p>
    <w:p>
      <w:pPr>
        <w:spacing w:after="0" w:line="133" w:lineRule="exact"/>
        <w:rPr>
          <w:rFonts w:ascii="Arial" w:cs="Arial" w:eastAsia="Arial" w:hAnsi="Arial"/>
          <w:sz w:val="20"/>
          <w:szCs w:val="20"/>
          <w:color w:val="auto"/>
        </w:rPr>
      </w:pPr>
    </w:p>
    <w:p>
      <w:pPr>
        <w:ind w:left="720" w:right="460" w:hanging="353"/>
        <w:spacing w:after="0" w:line="284"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sufficiency of our financial and other resources to complete the necessary preclinical studies and clinical trials;</w:t>
      </w:r>
    </w:p>
    <w:p>
      <w:pPr>
        <w:sectPr>
          <w:pgSz w:w="11880" w:h="15480" w:orient="portrait"/>
          <w:cols w:equalWidth="0" w:num="1">
            <w:col w:w="9720"/>
          </w:cols>
          <w:pgMar w:left="1080" w:top="1066" w:right="1080" w:bottom="543"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880" w:h="15480" w:orient="portrait"/>
          <w:cols w:equalWidth="0" w:num="1">
            <w:col w:w="9720"/>
          </w:cols>
          <w:pgMar w:left="1080" w:top="1066" w:right="1080" w:bottom="543" w:gutter="0" w:footer="0" w:header="0"/>
          <w:type w:val="continuous"/>
        </w:sectPr>
      </w:pPr>
    </w:p>
    <w:bookmarkStart w:id="72" w:name="page73"/>
    <w:bookmarkEnd w:id="72"/>
    <w:p>
      <w:pPr>
        <w:jc w:val="both"/>
        <w:ind w:left="720" w:right="1000" w:hanging="353"/>
        <w:spacing w:after="0" w:line="262"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allowance to proceed with clinical trials under INDs by the FDA or under similar regulatory submissions by applicable foreign authorities for the conduct of clinical trials of our product candidates and our proposed design of future clinical trials;</w:t>
      </w:r>
    </w:p>
    <w:p>
      <w:pPr>
        <w:spacing w:after="0" w:line="70" w:lineRule="exact"/>
        <w:rPr>
          <w:rFonts w:ascii="Arial" w:cs="Arial" w:eastAsia="Arial" w:hAnsi="Arial"/>
          <w:sz w:val="20"/>
          <w:szCs w:val="20"/>
          <w:color w:val="auto"/>
        </w:rPr>
      </w:pPr>
    </w:p>
    <w:p>
      <w:pPr>
        <w:ind w:left="720" w:right="580" w:hanging="353"/>
        <w:spacing w:after="0" w:line="284"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demonstrating the safety and efficacy of our product candidates to the satisfaction of applicable regulatory authorities;</w:t>
      </w:r>
    </w:p>
    <w:p>
      <w:pPr>
        <w:spacing w:after="0" w:line="48" w:lineRule="exact"/>
        <w:rPr>
          <w:rFonts w:ascii="Arial" w:cs="Arial" w:eastAsia="Arial" w:hAnsi="Arial"/>
          <w:sz w:val="20"/>
          <w:szCs w:val="20"/>
          <w:color w:val="auto"/>
        </w:rPr>
      </w:pPr>
    </w:p>
    <w:p>
      <w:pPr>
        <w:ind w:left="720" w:right="240" w:hanging="353"/>
        <w:spacing w:after="0" w:line="284"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receipt of regulatory approvals from applicable regulatory authorities, including NDAs from the FDA and maintaining such approvals;</w:t>
      </w:r>
    </w:p>
    <w:p>
      <w:pPr>
        <w:spacing w:after="0" w:line="49" w:lineRule="exact"/>
        <w:rPr>
          <w:rFonts w:ascii="Arial" w:cs="Arial" w:eastAsia="Arial" w:hAnsi="Arial"/>
          <w:sz w:val="20"/>
          <w:szCs w:val="20"/>
          <w:color w:val="auto"/>
        </w:rPr>
      </w:pPr>
    </w:p>
    <w:p>
      <w:pPr>
        <w:ind w:left="720" w:right="840" w:hanging="353"/>
        <w:spacing w:after="0" w:line="284"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making arrangements with third-party manufacturers, or establishing clinical and commercial manufacturing capabilities for our product candidates;</w:t>
      </w:r>
    </w:p>
    <w:p>
      <w:pPr>
        <w:spacing w:after="0" w:line="48" w:lineRule="exact"/>
        <w:rPr>
          <w:rFonts w:ascii="Arial" w:cs="Arial" w:eastAsia="Arial" w:hAnsi="Arial"/>
          <w:sz w:val="20"/>
          <w:szCs w:val="20"/>
          <w:color w:val="auto"/>
        </w:rPr>
      </w:pPr>
    </w:p>
    <w:p>
      <w:pPr>
        <w:ind w:left="720" w:right="500" w:hanging="353"/>
        <w:spacing w:after="0" w:line="284"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establishing sales, marketing and distribution capabilities and launching commercial sales of our products, if and when approved, whether alone or in collaboration with others;</w:t>
      </w:r>
    </w:p>
    <w:p>
      <w:pPr>
        <w:spacing w:after="0" w:line="49" w:lineRule="exact"/>
        <w:rPr>
          <w:rFonts w:ascii="Arial" w:cs="Arial" w:eastAsia="Arial" w:hAnsi="Arial"/>
          <w:sz w:val="20"/>
          <w:szCs w:val="20"/>
          <w:color w:val="auto"/>
        </w:rPr>
      </w:pPr>
    </w:p>
    <w:p>
      <w:pPr>
        <w:ind w:left="720" w:right="640" w:hanging="353"/>
        <w:spacing w:after="0" w:line="284"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establishing and maintaining patent and trade secret protection or regulatory exclusivity for our product candidates;</w:t>
      </w:r>
    </w:p>
    <w:p>
      <w:pPr>
        <w:spacing w:after="0" w:line="49" w:lineRule="exact"/>
        <w:rPr>
          <w:rFonts w:ascii="Arial" w:cs="Arial" w:eastAsia="Arial" w:hAnsi="Arial"/>
          <w:sz w:val="20"/>
          <w:szCs w:val="20"/>
          <w:color w:val="auto"/>
        </w:rPr>
      </w:pPr>
    </w:p>
    <w:p>
      <w:pPr>
        <w:ind w:left="720" w:right="680" w:hanging="353"/>
        <w:spacing w:after="0" w:line="284"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acceptance of any products we develop and their benefits and uses, if and when approved, by patients, the medical community and third-party payors;</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effectively competing with other therapies;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obtaining and maintaining healthcare coverage and adequate reimbursement from third-party payors;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maintaining an acceptable safety profile of our products following approval; and</w:t>
      </w:r>
    </w:p>
    <w:p>
      <w:pPr>
        <w:spacing w:after="0" w:line="133" w:lineRule="exact"/>
        <w:rPr>
          <w:rFonts w:ascii="Arial" w:cs="Arial" w:eastAsia="Arial" w:hAnsi="Arial"/>
          <w:sz w:val="20"/>
          <w:szCs w:val="20"/>
          <w:color w:val="auto"/>
        </w:rPr>
      </w:pPr>
    </w:p>
    <w:p>
      <w:pPr>
        <w:ind w:left="720" w:right="780" w:hanging="353"/>
        <w:spacing w:after="0" w:line="284"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building and maintaining an organization of people who can successfully develop our product candidates.</w:t>
      </w:r>
    </w:p>
    <w:p>
      <w:pPr>
        <w:spacing w:after="0" w:line="155"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We have not yet succeeded and may not succeed in demonstrating efficacy and safety for any product candidates in clinical trials or in obtaining marketing approval thereafter. Given our early stage of development, it will take several years before we can demonstrate the safety and efficacy of a product candidate sufficient to warrant approval for commercialization, if we can do so at all. If we are unable to develop, or obtain marketing approval for, or, if approved, successfully commercialize our product candidates, we may not be able to generate sufficient revenue to continue our business.</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b w:val="1"/>
          <w:bCs w:val="1"/>
          <w:i w:val="1"/>
          <w:iCs w:val="1"/>
          <w:color w:val="auto"/>
        </w:rPr>
        <w:t>Clinical and preclinical drug development involves a lengthy and expensive process with uncertain timelines and outcomes. The results of prior clinical trials and preclinical studies are not necessarily predictive of future results, and may not be favorable, or receive regulatory approval on a timely basis, if at all.</w:t>
      </w:r>
    </w:p>
    <w:p>
      <w:pPr>
        <w:spacing w:after="0" w:line="175"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Clinical drug development is expensive and can take many years to complete, and its outcome is inherently uncertain. Our clinical trials may not be conducted as planned or completed on schedule, if at all, and failure can occur at any time during the preclinical study or clinical trial process. For example, we depend on the availability of non-human primates (“NHP”) to conduct certain preclinical studies that we are required to complete prior to submitting an IND and initiating clinical development. There is currently a global shortage of NHPs available for drug development. This has caused the cost of obtaining NHPs for our preclinical studies to increase dramatically and, if the shortage continues, could also result in delays to our development timelines. Despite promising preclinical or clinical results, any product candidate can unexpectedly fail at any stage of preclinical or clinical development. The historical failure rate for product candidates in our industry is high. Furthermore, the results from clinical trials or preclinical studies of a product candidate may not predict the results of later clinical trials of the product candidate, and interim results of a clinical trial are not necessarily indicative of final results. For example, in December 2023, we reported topline data from our 12-week Phase 2a clinical trial, which focused on safety and tolerability of GSBR-1290 in a total of 94 participants to date, including 60 participants randomized to GSBR-1290. The results showed GSBR-1290 was generally well-tolerated with no treatment-related SAEs, no adverse event-related discontinuation in obesity and only one adverse event-related discontinuation in T2DM. Furthermore, GSBR-1290 demonstrated</w:t>
      </w:r>
    </w:p>
    <w:p>
      <w:pPr>
        <w:sectPr>
          <w:pgSz w:w="11880" w:h="15480" w:orient="portrait"/>
          <w:cols w:equalWidth="0" w:num="1">
            <w:col w:w="9720"/>
          </w:cols>
          <w:pgMar w:left="1080" w:top="1080" w:right="1080" w:bottom="543"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880" w:h="15480" w:orient="portrait"/>
          <w:cols w:equalWidth="0" w:num="1">
            <w:col w:w="9720"/>
          </w:cols>
          <w:pgMar w:left="1080" w:top="1080" w:right="1080" w:bottom="543" w:gutter="0" w:footer="0" w:header="0"/>
          <w:type w:val="continuous"/>
        </w:sectPr>
      </w:pPr>
    </w:p>
    <w:bookmarkStart w:id="73" w:name="page74"/>
    <w:bookmarkEnd w:id="73"/>
    <w:p>
      <w:pPr>
        <w:ind w:right="60"/>
        <w:spacing w:after="0" w:line="245" w:lineRule="auto"/>
        <w:rPr>
          <w:sz w:val="20"/>
          <w:szCs w:val="20"/>
          <w:color w:val="auto"/>
        </w:rPr>
      </w:pPr>
      <w:r>
        <w:rPr>
          <w:rFonts w:ascii="Arial" w:cs="Arial" w:eastAsia="Arial" w:hAnsi="Arial"/>
          <w:sz w:val="20"/>
          <w:szCs w:val="20"/>
          <w:color w:val="auto"/>
        </w:rPr>
        <w:t>significant reductions in hemoglobin A1c and weight at 12 weeks in T2DM. We further reported interim Phase 2a obesity cohort data, in which GSBR-1290 demonstrated significant reduction in weight at 8 weeks. Due to the preliminary nature of these results and the length of the study and sample size, these results are not necessarily indicative of the final results for our clinical trials for GSBR -1290. Product candidates in later stages of clinical trials may fail to show the desired safety and efficacy characteristics despite having progressed through preclinical studies and initial clinical trials. In particular, while we have conducted, or are conducting certain preclinical studies of our product candidates, the predictive value of these studies with respect to future testing in humans is limited, particularly in indications where animal models are less developed.</w:t>
      </w:r>
    </w:p>
    <w:p>
      <w:pPr>
        <w:spacing w:after="0" w:line="197"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Even if our clinical trials are completed, the results may not be sufficient to obtain marketing approval for our product candidates. In clinical trials that are based on preclinical studies and early clinical trials, it is not uncommon to observe unexpected results, and many product candidates fail in clinical development despite very promising early results. Moreover, preclinical and clinical data may be susceptible to varying interpretations and analyses. A number of companies in the biopharmaceutical industry have suffered significant setbacks in clinical development even after achieving promising results in earlier studies. In addition, in some cases, external experts or regulatory authorities disagreed with such companies’ views and interpretations of the data and results from earlier preclinical studies or clinical trials. As we investigate GSBR-1290 for T2DM and obesity and ANPA-0073 for IPF, we may encounter new and unforeseen difficulties. Similarly any future product candidates we may develop may not be able to progress from preclinical to Phase 1 clinical development. For the foregoing reasons, we cannot be certain that our ongoing and planned clinical trials and preclinical studies will be successful. Any of the foregoing occurrences may harm our business, financial condition and prospects significantly.</w:t>
      </w:r>
    </w:p>
    <w:p>
      <w:pPr>
        <w:spacing w:after="0" w:line="208" w:lineRule="exact"/>
        <w:rPr>
          <w:sz w:val="20"/>
          <w:szCs w:val="20"/>
          <w:color w:val="auto"/>
        </w:rPr>
      </w:pPr>
    </w:p>
    <w:p>
      <w:pPr>
        <w:ind w:right="240"/>
        <w:spacing w:after="0" w:line="264" w:lineRule="auto"/>
        <w:rPr>
          <w:sz w:val="20"/>
          <w:szCs w:val="20"/>
          <w:color w:val="auto"/>
        </w:rPr>
      </w:pPr>
      <w:r>
        <w:rPr>
          <w:rFonts w:ascii="Arial" w:cs="Arial" w:eastAsia="Arial" w:hAnsi="Arial"/>
          <w:sz w:val="20"/>
          <w:szCs w:val="20"/>
          <w:b w:val="1"/>
          <w:bCs w:val="1"/>
          <w:i w:val="1"/>
          <w:iCs w:val="1"/>
          <w:color w:val="auto"/>
        </w:rPr>
        <w:t>Any difficulties or delays in the commencement or completion, or termination or suspension, of our planned clinical trials could result in increased costs to us, delay or limit our ability to generate revenue and adversely affect our commercial prospects.</w:t>
      </w:r>
    </w:p>
    <w:p>
      <w:pPr>
        <w:spacing w:after="0" w:line="167"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In order to obtain FDA approval to market our product candidates, we must demonstrate the safety and efficacy of our product candidates in humans to the satisfaction of the FDA. To meet these requirements, we will have to conduct adequate and well-controlled clinical trials. Clinical testing is expensive, time-consuming and subject to uncertainty. Conducting preclinical studies and clinical trials represents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w:t>
      </w:r>
    </w:p>
    <w:p>
      <w:pPr>
        <w:spacing w:after="0" w:line="194"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Clinical trials may not be conducted as planned or completed on schedule, if at all. For example, in September 2023 we reported that a data collection omission had occurred at a clinical site that impacted the obesity cohort (120 mg dose level) of the Phase 2a study for GSBR-1290, where weight was not collected at the final (week 12) visit for 24 of the 40 enrolled participants. Other safety and laboratory assessments were measured at all visits, including the week 12 visit as per protocol. We have completed the enrollment of additional participants in the Phase 2a obesity cohort to replace those for whom 12 -week weight data was not collected. The replacement participants will follow the same study protocol, without changes in the titration schema or target dose (120 mg at once-daily dosing). However, as a result of this data collection omission, we reported interim Phase 2a obesity cohort data in December 2023, and we expect to report the full 12-week obesity data in the latter half of the second quarter of 2024.</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Events that may prevent successful or timely completion of clinical development include:</w:t>
      </w:r>
    </w:p>
    <w:p>
      <w:pPr>
        <w:spacing w:after="0" w:line="252" w:lineRule="exact"/>
        <w:rPr>
          <w:sz w:val="20"/>
          <w:szCs w:val="20"/>
          <w:color w:val="auto"/>
        </w:rPr>
      </w:pPr>
    </w:p>
    <w:p>
      <w:pPr>
        <w:ind w:left="720" w:right="1380" w:hanging="352"/>
        <w:spacing w:after="0" w:line="284"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delays in reaching a consensus with applicable regulatory authorities on trial design or implementation;</w:t>
      </w:r>
    </w:p>
    <w:p>
      <w:pPr>
        <w:spacing w:after="0" w:line="49" w:lineRule="exact"/>
        <w:rPr>
          <w:rFonts w:ascii="Arial" w:cs="Arial" w:eastAsia="Arial" w:hAnsi="Arial"/>
          <w:sz w:val="20"/>
          <w:szCs w:val="20"/>
          <w:color w:val="auto"/>
        </w:rPr>
      </w:pPr>
    </w:p>
    <w:p>
      <w:pPr>
        <w:ind w:left="720" w:hanging="352"/>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delays in obtaining regulatory authorization to commence a clinical trial;</w:t>
      </w:r>
    </w:p>
    <w:p>
      <w:pPr>
        <w:sectPr>
          <w:pgSz w:w="11880" w:h="15480" w:orient="portrait"/>
          <w:cols w:equalWidth="0" w:num="1">
            <w:col w:w="9720"/>
          </w:cols>
          <w:pgMar w:left="1080" w:top="1066"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880" w:h="15480" w:orient="portrait"/>
          <w:cols w:equalWidth="0" w:num="1">
            <w:col w:w="9720"/>
          </w:cols>
          <w:pgMar w:left="1080" w:top="1066" w:right="1080" w:bottom="543" w:gutter="0" w:footer="0" w:header="0"/>
          <w:type w:val="continuous"/>
        </w:sectPr>
      </w:pPr>
    </w:p>
    <w:bookmarkStart w:id="74" w:name="page75"/>
    <w:bookmarkEnd w:id="74"/>
    <w:p>
      <w:pPr>
        <w:ind w:left="720" w:right="260" w:hanging="353"/>
        <w:spacing w:after="0" w:line="262"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delays in reaching agreement on acceptable terms with prospective clinical research organizations (“CROs”), other vendors, or clinical trial sites, the terms of which can be subject to extensive negotiation and may vary significantly among different vendors and trial sites;</w:t>
      </w:r>
    </w:p>
    <w:p>
      <w:pPr>
        <w:spacing w:after="0" w:line="70" w:lineRule="exact"/>
        <w:rPr>
          <w:rFonts w:ascii="Arial" w:cs="Arial" w:eastAsia="Arial" w:hAnsi="Arial"/>
          <w:sz w:val="20"/>
          <w:szCs w:val="20"/>
          <w:color w:val="auto"/>
        </w:rPr>
      </w:pPr>
    </w:p>
    <w:p>
      <w:pPr>
        <w:ind w:left="720" w:right="60" w:hanging="353"/>
        <w:spacing w:after="0" w:line="262"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delays in obtaining approval from one or more institutional review boards (“IRB”) refusing to approve, suspending or terminating the trial at an investigational site, precluding enrollment of additional participants, or withdrawing their approval of the trial;</w:t>
      </w:r>
    </w:p>
    <w:p>
      <w:pPr>
        <w:spacing w:after="0" w:line="70" w:lineRule="exact"/>
        <w:rPr>
          <w:rFonts w:ascii="Arial" w:cs="Arial" w:eastAsia="Arial" w:hAnsi="Arial"/>
          <w:sz w:val="20"/>
          <w:szCs w:val="20"/>
          <w:color w:val="auto"/>
        </w:rPr>
      </w:pPr>
    </w:p>
    <w:p>
      <w:pPr>
        <w:ind w:left="720" w:hanging="353"/>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delays in recruiting suitable patients to participate in our ongoing and planned clinical trials;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changes to the clinical trial protocol;</w:t>
      </w:r>
    </w:p>
    <w:p>
      <w:pPr>
        <w:spacing w:after="0" w:line="133" w:lineRule="exact"/>
        <w:rPr>
          <w:rFonts w:ascii="Arial" w:cs="Arial" w:eastAsia="Arial" w:hAnsi="Arial"/>
          <w:sz w:val="20"/>
          <w:szCs w:val="20"/>
          <w:color w:val="auto"/>
        </w:rPr>
      </w:pPr>
    </w:p>
    <w:p>
      <w:pPr>
        <w:ind w:left="720" w:right="340" w:hanging="353"/>
        <w:spacing w:after="0" w:line="284"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clinical sites deviating from trial protocol such as the data collection omission we experienced at a clinical site as discussed above or dropping out of a trial;</w:t>
      </w:r>
    </w:p>
    <w:p>
      <w:pPr>
        <w:spacing w:after="0" w:line="48" w:lineRule="exact"/>
        <w:rPr>
          <w:rFonts w:ascii="Arial" w:cs="Arial" w:eastAsia="Arial" w:hAnsi="Arial"/>
          <w:sz w:val="20"/>
          <w:szCs w:val="20"/>
          <w:color w:val="auto"/>
        </w:rPr>
      </w:pPr>
    </w:p>
    <w:p>
      <w:pPr>
        <w:ind w:left="720" w:right="340" w:hanging="353"/>
        <w:spacing w:after="0" w:line="262"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delays in manufacturing sufficient quantities of our product candidates for use in clinical trials, or delays in sufficiently developing, characterizing or controlling a manufacturing process suitable for clinical trials;</w:t>
      </w:r>
    </w:p>
    <w:p>
      <w:pPr>
        <w:spacing w:after="0" w:line="71" w:lineRule="exact"/>
        <w:rPr>
          <w:rFonts w:ascii="Arial" w:cs="Arial" w:eastAsia="Arial" w:hAnsi="Arial"/>
          <w:sz w:val="20"/>
          <w:szCs w:val="20"/>
          <w:color w:val="auto"/>
        </w:rPr>
      </w:pPr>
    </w:p>
    <w:p>
      <w:pPr>
        <w:ind w:left="720" w:hanging="353"/>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delays in having patients complete participation in a trial or return for post-treatment follow-up;</w:t>
      </w:r>
    </w:p>
    <w:p>
      <w:pPr>
        <w:spacing w:after="0" w:line="132" w:lineRule="exact"/>
        <w:rPr>
          <w:rFonts w:ascii="Arial" w:cs="Arial" w:eastAsia="Arial" w:hAnsi="Arial"/>
          <w:sz w:val="20"/>
          <w:szCs w:val="20"/>
          <w:color w:val="auto"/>
        </w:rPr>
      </w:pPr>
    </w:p>
    <w:p>
      <w:pPr>
        <w:ind w:left="720" w:right="540" w:hanging="353"/>
        <w:spacing w:after="0" w:line="284"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participants choosing an alternative treatment for the indication for which we are developing our product candidates, or participating in competing clinical trials;</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lack of adequate funding to continue a clinical trial;</w:t>
      </w:r>
    </w:p>
    <w:p>
      <w:pPr>
        <w:spacing w:after="0" w:line="133" w:lineRule="exact"/>
        <w:rPr>
          <w:rFonts w:ascii="Arial" w:cs="Arial" w:eastAsia="Arial" w:hAnsi="Arial"/>
          <w:sz w:val="20"/>
          <w:szCs w:val="20"/>
          <w:color w:val="auto"/>
        </w:rPr>
      </w:pPr>
    </w:p>
    <w:p>
      <w:pPr>
        <w:ind w:left="720" w:right="400" w:hanging="353"/>
        <w:spacing w:after="0" w:line="284"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occurrence of AEs or SAEs associated with the product candidate that are viewed to outweigh its potential benefits;</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occurrence of SAEs in clinical trials of the same class of agents conducted by other companies;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imposition of a temporary or permanent clinical hold by regulatory authorities;</w:t>
      </w:r>
    </w:p>
    <w:p>
      <w:pPr>
        <w:spacing w:after="0" w:line="133" w:lineRule="exact"/>
        <w:rPr>
          <w:rFonts w:ascii="Arial" w:cs="Arial" w:eastAsia="Arial" w:hAnsi="Arial"/>
          <w:sz w:val="20"/>
          <w:szCs w:val="20"/>
          <w:color w:val="auto"/>
        </w:rPr>
      </w:pPr>
    </w:p>
    <w:p>
      <w:pPr>
        <w:ind w:left="720" w:right="20" w:hanging="353"/>
        <w:spacing w:after="0" w:line="284"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selection of clinical trial end points that require prolonged periods of clinical observation or analysis of the resulting data;</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clinical trials producing negative or inconclusive results;</w:t>
      </w:r>
    </w:p>
    <w:p>
      <w:pPr>
        <w:spacing w:after="0" w:line="133" w:lineRule="exact"/>
        <w:rPr>
          <w:rFonts w:ascii="Arial" w:cs="Arial" w:eastAsia="Arial" w:hAnsi="Arial"/>
          <w:sz w:val="20"/>
          <w:szCs w:val="20"/>
          <w:color w:val="auto"/>
        </w:rPr>
      </w:pPr>
    </w:p>
    <w:p>
      <w:pPr>
        <w:ind w:left="720" w:right="20" w:hanging="353"/>
        <w:spacing w:after="0" w:line="254"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facility manufacturing our product candidates or any of their components being ordered by the FDA or applicable foreign authorities to temporarily or permanently shut down due to violations of current good manufacturing practice (“cGMP”) regulations or other applicable requirements, or contamination or cross-contaminations of product candidates in the manufacturing process;</w:t>
      </w:r>
    </w:p>
    <w:p>
      <w:pPr>
        <w:spacing w:after="0" w:line="78" w:lineRule="exact"/>
        <w:rPr>
          <w:rFonts w:ascii="Arial" w:cs="Arial" w:eastAsia="Arial" w:hAnsi="Arial"/>
          <w:sz w:val="20"/>
          <w:szCs w:val="20"/>
          <w:color w:val="auto"/>
        </w:rPr>
      </w:pPr>
    </w:p>
    <w:p>
      <w:pPr>
        <w:ind w:left="720" w:right="140" w:hanging="353"/>
        <w:spacing w:after="0" w:line="262"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third-party clinical investigators losing the licenses or permits necessary to perform our clinical trials, not performing our clinical trials on our anticipated schedule or consistent with the clinical trial protocol or other regulatory requirements or committing fraud; or</w:t>
      </w:r>
    </w:p>
    <w:p>
      <w:pPr>
        <w:spacing w:after="0" w:line="71" w:lineRule="exact"/>
        <w:rPr>
          <w:rFonts w:ascii="Arial" w:cs="Arial" w:eastAsia="Arial" w:hAnsi="Arial"/>
          <w:sz w:val="20"/>
          <w:szCs w:val="20"/>
          <w:color w:val="auto"/>
        </w:rPr>
      </w:pPr>
    </w:p>
    <w:p>
      <w:pPr>
        <w:ind w:left="720" w:right="160" w:hanging="353"/>
        <w:spacing w:after="0" w:line="284"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changes in regulatory requirements, guidance, or feedback from regulatory agencies that require amending or submitting new clinical protocols or otherwise modifying the design of our clinical trials.</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could also encounter delays if a clinical trial is suspended or terminated by us, by the IRBs of the institutions in which such trials are being conducted, by a Data Safety Monitoring Board for such trial or by the FDA or applicable foreign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applicable foreign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and approval, which may impact the costs, timing or successful completion of a clinical trial.</w:t>
      </w:r>
    </w:p>
    <w:p>
      <w:pPr>
        <w:sectPr>
          <w:pgSz w:w="11880" w:h="15480" w:orient="portrait"/>
          <w:cols w:equalWidth="0" w:num="1">
            <w:col w:w="9700"/>
          </w:cols>
          <w:pgMar w:left="1080" w:top="1080" w:right="1100" w:bottom="543"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73</w:t>
      </w:r>
    </w:p>
    <w:p>
      <w:pPr>
        <w:sectPr>
          <w:pgSz w:w="11880" w:h="15480" w:orient="portrait"/>
          <w:cols w:equalWidth="0" w:num="1">
            <w:col w:w="9700"/>
          </w:cols>
          <w:pgMar w:left="1080" w:top="1080" w:right="1100" w:bottom="543" w:gutter="0" w:footer="0" w:header="0"/>
          <w:type w:val="continuous"/>
        </w:sectPr>
      </w:pPr>
    </w:p>
    <w:bookmarkStart w:id="75" w:name="page76"/>
    <w:bookmarkEnd w:id="75"/>
    <w:p>
      <w:pPr>
        <w:ind w:right="20"/>
        <w:spacing w:after="0" w:line="242" w:lineRule="auto"/>
        <w:rPr>
          <w:sz w:val="20"/>
          <w:szCs w:val="20"/>
          <w:color w:val="auto"/>
        </w:rPr>
      </w:pPr>
      <w:r>
        <w:rPr>
          <w:rFonts w:ascii="Arial" w:cs="Arial" w:eastAsia="Arial" w:hAnsi="Arial"/>
          <w:sz w:val="20"/>
          <w:szCs w:val="20"/>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requirements, as well as political, currency exchange and other economic risks relevant to such foreign countries. Investigators and patients may not be able to comply with clinical trial protocols if quarantines impede patient movement or interrupt healthcare services. Similarly, our ability to recruit and retain patients and principal investigators and site staff which in turn could adversely impact our clinical trial operations. Additionally, we may experience interruption of key clinical trial activities, such as clinical trial site monitoring, due to limitations on travel, quarantines or social distancing protocols imposed or recommended by federal or state governments, employers and others in connection with public health concerns. We have faced and may continue to face delays in meeting our anticipated timelines for our ongoing and planned clinical trials. We experienced delays in our patient enrollment and our supply chain as a direct result of COVID-19 on our suppliers’ ability to timely manufacture and ship certain supplies such as reagents and other lab consumables and due to the data collection omission at a clinical site as discussed above. These delays have previously impacted and could in the future adversely affect our business, financial condition, results of operations and growth prospects.</w:t>
      </w:r>
    </w:p>
    <w:p>
      <w:pPr>
        <w:spacing w:after="0" w:line="20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Any inability to successfully complete preclinical and clinical development could result in additional costs to us or impair our ability to generate revenue from future product sales and regulatory and commercialization milestones. In addition, if we make manufacturing or formulation changes to our product candidates, we may need to conduct additional testing to bridge our modified product candidate to earlier versions. For example, to facilitate potential commercial-scale manufacturing, we expect to transition from capsule formulations of our product candidates used for early clinical trials to tablet formulations, including the addition of excipients, in later stage clinical trials. While these formulation transitions are common for small molecule drug candidates, we cannot guarantee that we will not encounter delays or unexpected results in bridging studies or implementing necessary changes to the manufacturing process. Clinical trial delays could also shorten any periods during which we may have the exclusive right to commercialize our product candidates, if approved, or allow our competitors to bring comparable products to market before we do, which could impair our ability to successfully commercialize our product candidates and may harm our business, financial condition, results of operations and prospects.</w:t>
      </w:r>
    </w:p>
    <w:p>
      <w:pPr>
        <w:spacing w:after="0" w:line="207" w:lineRule="exact"/>
        <w:rPr>
          <w:sz w:val="20"/>
          <w:szCs w:val="20"/>
          <w:color w:val="auto"/>
        </w:rPr>
      </w:pPr>
    </w:p>
    <w:p>
      <w:pPr>
        <w:ind w:right="400"/>
        <w:spacing w:after="0" w:line="265" w:lineRule="auto"/>
        <w:rPr>
          <w:sz w:val="20"/>
          <w:szCs w:val="20"/>
          <w:color w:val="auto"/>
        </w:rPr>
      </w:pPr>
      <w:r>
        <w:rPr>
          <w:rFonts w:ascii="Arial" w:cs="Arial" w:eastAsia="Arial" w:hAnsi="Arial"/>
          <w:sz w:val="20"/>
          <w:szCs w:val="20"/>
          <w:b w:val="1"/>
          <w:bCs w:val="1"/>
          <w:i w:val="1"/>
          <w:iCs w:val="1"/>
          <w:color w:val="auto"/>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p>
    <w:p>
      <w:pPr>
        <w:spacing w:after="0" w:line="16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Patient enrollment is a significant factor impacting the duration of our clinical trials, along with treatment duration and completion of required follow-up periods. Clinical trials may be prolonged, or we may not be able to initiate or continue clinical trials for our product candidates if we are unable to locate and enroll a sufficient number of eligible patients to participate as required by the FDA or applicable foreign authorities. For certain of our product candidates, including ANPA-0073, the conditions which we may evaluate include rare diseases with limited patient pools from which to draw. In some cases, patient populations for rare diseases are located at specific academic sites focused on such indications, often with multiple competing clinical trials. Potential patients for any planned clinical trials may not be adequately diagnosed or identified with the diseases which we are targeting or may not meet the entry criteria for such trials. We also may encounter difficulties in identifying and enrolling patients with a stage of disease appropriate for our planned clinical trials and monitoring such patients adequately during and after treatment. As noted above, other pharmaceutical companies targeting these same diseases are recruiting clinical trial patients from these patient populations, which may make it more difficult to fully enroll our clinical trials. In addition, the process of finding and diagnosing patients may prove costly.</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The eligibility criteria of our clinical trials, once established, may further limit the pool of available trial participants. If the actual number of patients with these diseases is smaller than we anticipate, we may encounter difficulties in enrolling patients in our clinical trials, thereby delaying or preventing development and</w:t>
      </w:r>
    </w:p>
    <w:p>
      <w:pPr>
        <w:sectPr>
          <w:pgSz w:w="11880" w:h="15480" w:orient="portrait"/>
          <w:cols w:equalWidth="0" w:num="1">
            <w:col w:w="9700"/>
          </w:cols>
          <w:pgMar w:left="1080" w:top="1066" w:right="1100" w:bottom="543"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74</w:t>
      </w:r>
    </w:p>
    <w:p>
      <w:pPr>
        <w:sectPr>
          <w:pgSz w:w="11880" w:h="15480" w:orient="portrait"/>
          <w:cols w:equalWidth="0" w:num="1">
            <w:col w:w="9700"/>
          </w:cols>
          <w:pgMar w:left="1080" w:top="1066" w:right="1100" w:bottom="543" w:gutter="0" w:footer="0" w:header="0"/>
          <w:type w:val="continuous"/>
        </w:sectPr>
      </w:pPr>
    </w:p>
    <w:bookmarkStart w:id="76" w:name="page77"/>
    <w:bookmarkEnd w:id="76"/>
    <w:p>
      <w:pPr>
        <w:ind w:right="320"/>
        <w:spacing w:after="0" w:line="284" w:lineRule="auto"/>
        <w:rPr>
          <w:sz w:val="20"/>
          <w:szCs w:val="20"/>
          <w:color w:val="auto"/>
        </w:rPr>
      </w:pPr>
      <w:r>
        <w:rPr>
          <w:rFonts w:ascii="Arial" w:cs="Arial" w:eastAsia="Arial" w:hAnsi="Arial"/>
          <w:sz w:val="20"/>
          <w:szCs w:val="20"/>
          <w:color w:val="auto"/>
        </w:rPr>
        <w:t>approval of our product candidates. Even once enrolled we may be unable to retain a sufficient number of patients to complete any of our trials.</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or retention in our clinical trials for a variety of reasons. Patient enrollment and retention in clinical trials depends on many factors, including:</w:t>
      </w:r>
    </w:p>
    <w:p>
      <w:pPr>
        <w:spacing w:after="0" w:line="200" w:lineRule="exact"/>
        <w:rPr>
          <w:sz w:val="20"/>
          <w:szCs w:val="20"/>
          <w:color w:val="auto"/>
        </w:rPr>
      </w:pPr>
    </w:p>
    <w:p>
      <w:pPr>
        <w:ind w:left="720" w:hanging="353"/>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size and nature of the patient population;</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severity of the disease under investigation;</w:t>
      </w:r>
    </w:p>
    <w:p>
      <w:pPr>
        <w:spacing w:after="0" w:line="132" w:lineRule="exact"/>
        <w:rPr>
          <w:rFonts w:ascii="Arial" w:cs="Arial" w:eastAsia="Arial" w:hAnsi="Arial"/>
          <w:sz w:val="20"/>
          <w:szCs w:val="20"/>
          <w:color w:val="auto"/>
        </w:rPr>
      </w:pPr>
    </w:p>
    <w:p>
      <w:pPr>
        <w:ind w:left="720" w:hanging="353"/>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design of the trial protocol;</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existing body of safety and efficacy data for the product candidate;</w:t>
      </w:r>
    </w:p>
    <w:p>
      <w:pPr>
        <w:spacing w:after="0" w:line="133" w:lineRule="exact"/>
        <w:rPr>
          <w:rFonts w:ascii="Arial" w:cs="Arial" w:eastAsia="Arial" w:hAnsi="Arial"/>
          <w:sz w:val="20"/>
          <w:szCs w:val="20"/>
          <w:color w:val="auto"/>
        </w:rPr>
      </w:pPr>
    </w:p>
    <w:p>
      <w:pPr>
        <w:ind w:left="720" w:right="40" w:hanging="353"/>
        <w:spacing w:after="0" w:line="284" w:lineRule="auto"/>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number and nature of competing treatments and ongoing clinical trials of competing therapies for the same indication;</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proximity of patients to clinical sites;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eligibility criteria for the trial;</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ability to recruit clinical trial investigators with the appropriate competencies and experience;</w:t>
      </w:r>
    </w:p>
    <w:p>
      <w:pPr>
        <w:spacing w:after="0" w:line="132" w:lineRule="exact"/>
        <w:rPr>
          <w:rFonts w:ascii="Arial" w:cs="Arial" w:eastAsia="Arial" w:hAnsi="Arial"/>
          <w:sz w:val="20"/>
          <w:szCs w:val="20"/>
          <w:color w:val="auto"/>
        </w:rPr>
      </w:pPr>
    </w:p>
    <w:p>
      <w:pPr>
        <w:ind w:left="720" w:right="120" w:hanging="353"/>
        <w:spacing w:after="0" w:line="284" w:lineRule="auto"/>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ability to adequately monitor patients during a trial, clinicians’ and patients’ perceptions as to the potential advantages of the product candidate being studied;</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risk that patients will drop out of a trial before completing all site visits; and</w:t>
      </w:r>
    </w:p>
    <w:p>
      <w:pPr>
        <w:spacing w:after="0" w:line="133" w:lineRule="exact"/>
        <w:rPr>
          <w:rFonts w:ascii="Arial" w:cs="Arial" w:eastAsia="Arial" w:hAnsi="Arial"/>
          <w:sz w:val="20"/>
          <w:szCs w:val="20"/>
          <w:color w:val="auto"/>
        </w:rPr>
      </w:pPr>
    </w:p>
    <w:p>
      <w:pPr>
        <w:ind w:left="720" w:right="600" w:hanging="353"/>
        <w:spacing w:after="0" w:line="284" w:lineRule="auto"/>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clinicians’ and patients’ perceptions as to the potential advantages of the drug being studied in relation to other available therapies.</w:t>
      </w:r>
    </w:p>
    <w:p>
      <w:pPr>
        <w:spacing w:after="0" w:line="155"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Furthermore, our efforts to build relationships with patient communities may not succeed, which could result in delays in patient enrollment in our clinical trials. If we encounter any delays in enrolling such additional participants, this may further delay our clinical trial. In addition, any negative results we may report in clinical trials of our product candidate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epidemics may delay or prevent patients from enrolling or from receiving treatment in accordance with the protocol and the required timelines, which could delay our clinical trials, or prevent us or our partners from completing our clinical trials at all, and harm our ability to obtain approval for such product candidate. Further, if patients drop out of our clinical trials, miss scheduled doses or follow-up visits, or otherwise fail to follow clinical trial protocols, the integrity of data from our clinical trials may be compromised or not accepted by the FDA or applicable foreign authorities, which would represent a significant setback for the applicable program. In addition, we may rely on CROs and clinical trial sites to ensure proper and timely conduct of our future clinical trials and, while we intend to enter into agreements governing their services, we will be limited in our ability to compel their actual performance. Such delays or failures could adversely affect our business, operating results and prospects.</w:t>
      </w:r>
    </w:p>
    <w:p>
      <w:pPr>
        <w:spacing w:after="0" w:line="213" w:lineRule="exact"/>
        <w:rPr>
          <w:sz w:val="20"/>
          <w:szCs w:val="20"/>
          <w:color w:val="auto"/>
        </w:rPr>
      </w:pPr>
    </w:p>
    <w:p>
      <w:pPr>
        <w:ind w:right="300"/>
        <w:spacing w:after="0" w:line="256" w:lineRule="auto"/>
        <w:rPr>
          <w:sz w:val="20"/>
          <w:szCs w:val="20"/>
          <w:color w:val="auto"/>
        </w:rPr>
      </w:pPr>
      <w:r>
        <w:rPr>
          <w:rFonts w:ascii="Arial" w:cs="Arial" w:eastAsia="Arial" w:hAnsi="Arial"/>
          <w:sz w:val="20"/>
          <w:szCs w:val="20"/>
          <w:b w:val="1"/>
          <w:bCs w:val="1"/>
          <w:i w:val="1"/>
          <w:i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w:t>
      </w:r>
    </w:p>
    <w:p>
      <w:pPr>
        <w:sectPr>
          <w:pgSz w:w="11880" w:h="15480" w:orient="portrait"/>
          <w:cols w:equalWidth="0" w:num="1">
            <w:col w:w="9660"/>
          </w:cols>
          <w:pgMar w:left="1080" w:top="1066" w:right="114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75</w:t>
      </w:r>
    </w:p>
    <w:p>
      <w:pPr>
        <w:sectPr>
          <w:pgSz w:w="11880" w:h="15480" w:orient="portrait"/>
          <w:cols w:equalWidth="0" w:num="1">
            <w:col w:w="9660"/>
          </w:cols>
          <w:pgMar w:left="1080" w:top="1066" w:right="1140" w:bottom="543" w:gutter="0" w:footer="0" w:header="0"/>
          <w:type w:val="continuous"/>
        </w:sectPr>
      </w:pPr>
    </w:p>
    <w:bookmarkStart w:id="77" w:name="page78"/>
    <w:bookmarkEnd w:id="77"/>
    <w:p>
      <w:pPr>
        <w:ind w:right="680"/>
        <w:spacing w:after="0" w:line="290" w:lineRule="auto"/>
        <w:rPr>
          <w:sz w:val="20"/>
          <w:szCs w:val="20"/>
          <w:color w:val="auto"/>
        </w:rPr>
      </w:pPr>
      <w:r>
        <w:rPr>
          <w:rFonts w:ascii="Arial" w:cs="Arial" w:eastAsia="Arial" w:hAnsi="Arial"/>
          <w:sz w:val="20"/>
          <w:szCs w:val="20"/>
          <w:b w:val="1"/>
          <w:bCs w:val="1"/>
          <w:i w:val="1"/>
          <w:iCs w:val="1"/>
          <w:color w:val="auto"/>
        </w:rPr>
        <w:t>authorizations or limitations on the use of our product candidates, any of which would limit the commercial potential of such product candidate.</w:t>
      </w:r>
    </w:p>
    <w:p>
      <w:pPr>
        <w:spacing w:after="0" w:line="141" w:lineRule="exact"/>
        <w:rPr>
          <w:sz w:val="20"/>
          <w:szCs w:val="20"/>
          <w:color w:val="auto"/>
        </w:rPr>
      </w:pPr>
    </w:p>
    <w:p>
      <w:pPr>
        <w:ind w:right="40" w:firstLine="1"/>
        <w:spacing w:after="0" w:line="242" w:lineRule="auto"/>
        <w:rPr>
          <w:sz w:val="20"/>
          <w:szCs w:val="20"/>
          <w:color w:val="auto"/>
        </w:rPr>
      </w:pPr>
      <w:r>
        <w:rPr>
          <w:rFonts w:ascii="Arial" w:cs="Arial" w:eastAsia="Arial" w:hAnsi="Arial"/>
          <w:sz w:val="20"/>
          <w:szCs w:val="20"/>
          <w:color w:val="auto"/>
        </w:rPr>
        <w:t>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In addition, it is possible that as we test our product candidates in larger, longer and more extensive clinical trials with a broader group of patients, or as use of these product candidates becomes more widespread if they receive marketing approval, illnesses, injuries, discomforts and other AEs that were observed in earlier trials, as well as conditions that did not occur or went undetected in previous trials, will be reported by participants. Many times, side effects are only detectable after investigational product candidates are tested in large-scale, Phase III trials or, in some cases, after they are made available to patients on a commercial scale after approval. If additional clinical experience indicates that any of our current product candidates and any future product candidates has serious or life-threatening side effects or other side effects that outweigh the potential therapeutic benefit, the development of the product candidate may fail or be delayed, or, if the product candidate has received marketing approval, such approval may be revoked, which would harm our business, prospects, operating results and financial condition. In particular, because we are developing our product candidates for chronic indications, the FDA and applicable foreign authorities will likely require that our product candidates demonstrate a higher level of safety over a longer period of time than would be the case for product candidates intended for short-term use. Moreover, if we elect, or are required, to delay, suspend or terminate any clinical trial of our product candidates, the commercial prospects of our product candidates may be harmed and our ability to generate revenue through their sale may be delayed or eliminated. Any of these occurrences may harm our business, financial condition and prospects significantly.</w:t>
      </w:r>
    </w:p>
    <w:p>
      <w:pPr>
        <w:spacing w:after="0" w:line="200" w:lineRule="exact"/>
        <w:rPr>
          <w:sz w:val="20"/>
          <w:szCs w:val="20"/>
          <w:color w:val="auto"/>
        </w:rPr>
      </w:pPr>
    </w:p>
    <w:p>
      <w:pPr>
        <w:ind w:right="80"/>
        <w:spacing w:after="0"/>
        <w:rPr>
          <w:sz w:val="20"/>
          <w:szCs w:val="20"/>
          <w:color w:val="auto"/>
        </w:rPr>
      </w:pPr>
      <w:r>
        <w:rPr>
          <w:rFonts w:ascii="Arial" w:cs="Arial" w:eastAsia="Arial" w:hAnsi="Arial"/>
          <w:sz w:val="20"/>
          <w:szCs w:val="20"/>
          <w:color w:val="auto"/>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value for the product candidate if approved. We may also be required to modify our trial plans based on findings in our ongoing clinical trials. In our completed Phase 1 SAD and Phase 1b MAD study of GSBR-1290, the following adverse events occurred and were considered probably or possibly related to the study drug: nausea, headache, vomiting, dehydration, decreased appetite, dizziness, and diarrhea. In our completed Phase 2a study of GSBR-1290, the following adverse events occurred and were considered probably or possibly related to the study drug: nausea, headache, vomiting, decreased appetite, dyspepsia, and diarrhea. In our completed Phase 1 SAD and MAD study of ANPA- 0073, the following adverse events occurred and were considered probably or possibly related to the study drug: blood creatine phosphokinase increase, dizziness, electrocardiogram T wave inversion, diarrhea, headache, lethargy, nausea, vomiting, chills, palpitations, and sinus tachycardia. However, further analysis may reveal AEs inconsistent with the safety results observed.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spacing w:after="0" w:line="2"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In addition, if any of our product candidates receive marketing approval, the FDA could require us to include a black box warning in our label or adopt a REMS, to ensure that the benefits outweigh its risks, which may include, among other things, a medication guide outlining the risks of the drug for distribution to patients and a communication plan to health care practitioners. For example, the FDA has required that the product labels of approved drugs targeting GLP-1R include a black box warning related to the risk of thyroid C-cell tumors based on rodent carcinogenicity studies. While we have not yet conducted carcinogenicity studies for GSBR-1290, because it also targets GLP-1R, it is possible that absent compelling data to the contrary, the FDA and applicable foreign authorities will similarly require a black box warning for GSBR- 1290 if it is approved for marketing. Furthermore, if we or others later identify undesirable side effects caused by our product candidates, several other potentially significant negative consequences could result, including:</w:t>
      </w:r>
    </w:p>
    <w:p>
      <w:pPr>
        <w:spacing w:after="0" w:line="205" w:lineRule="exact"/>
        <w:rPr>
          <w:sz w:val="20"/>
          <w:szCs w:val="20"/>
          <w:color w:val="auto"/>
        </w:rPr>
      </w:pPr>
    </w:p>
    <w:p>
      <w:pPr>
        <w:ind w:left="720" w:hanging="352"/>
        <w:spacing w:after="0"/>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regulatory authorities may suspend or withdraw approvals of such product candidate;</w:t>
      </w:r>
    </w:p>
    <w:p>
      <w:pPr>
        <w:sectPr>
          <w:pgSz w:w="11880" w:h="15480" w:orient="portrait"/>
          <w:cols w:equalWidth="0" w:num="1">
            <w:col w:w="9720"/>
          </w:cols>
          <w:pgMar w:left="1080" w:top="1070"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880" w:h="15480" w:orient="portrait"/>
          <w:cols w:equalWidth="0" w:num="1">
            <w:col w:w="9720"/>
          </w:cols>
          <w:pgMar w:left="1080" w:top="1070" w:right="1080" w:bottom="543" w:gutter="0" w:footer="0" w:header="0"/>
          <w:type w:val="continuous"/>
        </w:sectPr>
      </w:pPr>
    </w:p>
    <w:bookmarkStart w:id="78" w:name="page79"/>
    <w:bookmarkEnd w:id="78"/>
    <w:p>
      <w:pPr>
        <w:ind w:left="720" w:right="380" w:hanging="353"/>
        <w:spacing w:after="0" w:line="262" w:lineRule="auto"/>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70" w:lineRule="exact"/>
        <w:rPr>
          <w:rFonts w:ascii="Arial" w:cs="Arial" w:eastAsia="Arial" w:hAnsi="Arial"/>
          <w:sz w:val="20"/>
          <w:szCs w:val="20"/>
          <w:color w:val="auto"/>
        </w:rPr>
      </w:pPr>
    </w:p>
    <w:p>
      <w:pPr>
        <w:ind w:left="720" w:right="440" w:hanging="353"/>
        <w:spacing w:after="0" w:line="284" w:lineRule="auto"/>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we may be required to change the way a product candidate is administered or conduct additional clinical trials;</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we could be sued and held liable for harm caused to patients;</w:t>
      </w:r>
    </w:p>
    <w:p>
      <w:pPr>
        <w:spacing w:after="0" w:line="132" w:lineRule="exact"/>
        <w:rPr>
          <w:rFonts w:ascii="Arial" w:cs="Arial" w:eastAsia="Arial" w:hAnsi="Arial"/>
          <w:sz w:val="20"/>
          <w:szCs w:val="20"/>
          <w:color w:val="auto"/>
        </w:rPr>
      </w:pPr>
    </w:p>
    <w:p>
      <w:pPr>
        <w:ind w:left="720" w:hanging="353"/>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we could be subject to fines, injunctions, or the imposition of criminal or civil penalties;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we may need to conduct a recall;</w:t>
      </w:r>
    </w:p>
    <w:p>
      <w:pPr>
        <w:spacing w:after="0" w:line="133" w:lineRule="exact"/>
        <w:rPr>
          <w:rFonts w:ascii="Arial" w:cs="Arial" w:eastAsia="Arial" w:hAnsi="Arial"/>
          <w:sz w:val="20"/>
          <w:szCs w:val="20"/>
          <w:color w:val="auto"/>
        </w:rPr>
      </w:pPr>
    </w:p>
    <w:p>
      <w:pPr>
        <w:ind w:left="720" w:right="380" w:hanging="353"/>
        <w:spacing w:after="0" w:line="284" w:lineRule="auto"/>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we may be forced to suspend marketing of that product, or decide to remove the product from the marketplace; and</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product may become less competitive, and our reputation may suffer.</w:t>
      </w:r>
    </w:p>
    <w:p>
      <w:pPr>
        <w:spacing w:after="0" w:line="239" w:lineRule="exact"/>
        <w:rPr>
          <w:sz w:val="20"/>
          <w:szCs w:val="20"/>
          <w:color w:val="auto"/>
        </w:rPr>
      </w:pPr>
    </w:p>
    <w:p>
      <w:pPr>
        <w:ind w:right="60"/>
        <w:spacing w:after="0" w:line="312" w:lineRule="auto"/>
        <w:rPr>
          <w:sz w:val="20"/>
          <w:szCs w:val="20"/>
          <w:color w:val="auto"/>
        </w:rPr>
      </w:pPr>
      <w:r>
        <w:rPr>
          <w:rFonts w:ascii="Arial" w:cs="Arial" w:eastAsia="Arial" w:hAnsi="Arial"/>
          <w:sz w:val="19"/>
          <w:szCs w:val="19"/>
          <w:color w:val="auto"/>
        </w:rPr>
        <w:t>Any of these events could prevent us from achieving or maintaining market acceptance of our product candidates and could significantly harm our business, prospects, financial condition and results of operations.</w:t>
      </w:r>
    </w:p>
    <w:p>
      <w:pPr>
        <w:spacing w:after="0" w:line="137" w:lineRule="exact"/>
        <w:rPr>
          <w:sz w:val="20"/>
          <w:szCs w:val="20"/>
          <w:color w:val="auto"/>
        </w:rPr>
      </w:pPr>
    </w:p>
    <w:p>
      <w:pPr>
        <w:ind w:right="80"/>
        <w:spacing w:after="0" w:line="290" w:lineRule="auto"/>
        <w:rPr>
          <w:sz w:val="20"/>
          <w:szCs w:val="20"/>
          <w:color w:val="auto"/>
        </w:rPr>
      </w:pPr>
      <w:r>
        <w:rPr>
          <w:rFonts w:ascii="Arial" w:cs="Arial" w:eastAsia="Arial" w:hAnsi="Arial"/>
          <w:sz w:val="20"/>
          <w:szCs w:val="20"/>
          <w:b w:val="1"/>
          <w:bCs w:val="1"/>
          <w:i w:val="1"/>
          <w:iCs w:val="1"/>
          <w:color w:val="auto"/>
        </w:rPr>
        <w:t>As an organization, we have never conducted later-stage clinical trials or submitted an NDA, and may be unable to do so for any of our product candidates.</w:t>
      </w:r>
    </w:p>
    <w:p>
      <w:pPr>
        <w:spacing w:after="0" w:line="139"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We are early in our development efforts for our product candidates, and we will need to successfully complete pivotal clinical trials in order to seek FDA or applicable foreign authority approval to market GSBR-1290, ANPA-0073 and any future product candidates we may develop. Carrying out clinical trials and the submission of NDAs is complicated. We completed a Phase 1 SAD study for GSBR-1290 in healthy volunteers in September 2022. We reported topline data for the Phase 1b MAD study in September 2023. We also reported topline data for the 12-week Phase 2a clinical trial in December 2023. We further reported interim Phase 2a obesity cohort data, in which GSBR-1290 demonstrated significant reductions in weight at 8 weeks. We expect to report the full 12-week obesity data in the latter half of the second quarter of 2024. We also reported results from a Japanese ethno- bridging study and findings from 6- and 9-month toxicology studies demonstrating encouraging safety to support advancing into Phase 2b development. The additional formulation bridging study to evaluate a tablet formulation of GSBR- 1290 is expected to be completed in the latter half of the second quarter of 2024. Additionally, we completed our Phase 1 SAD and MAD study for ANPA- 0073 in healthy volunteers for IPF in September 2022. We have not conducted any later stage or pivotal clinical trials, have limited experience as a company in preparing, submitting and prosecuting regulatory filings and have not previously submitted an NDA or other applicable foreign regulatory submission for any product candidate. We also plan to conduct a number of clinical trials for multiple product candidates in parallel over the next several years. This may be a difficult process to manage with our limited resources and may divert the attention of management. In addition, we have had no interactions with the FDA or applicable foreign authorities and cannot be certain how many clinical trials of our product candidates will be required or how such trials will have to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marketing approvals of product candidates that we develop. Failure to commence or complete, or delays in, our planned clinical trials, could prevent us from or delay us in submitting NDAs for and commercializing our product candidates.</w:t>
      </w:r>
    </w:p>
    <w:p>
      <w:pPr>
        <w:spacing w:after="0" w:line="222" w:lineRule="exact"/>
        <w:rPr>
          <w:sz w:val="20"/>
          <w:szCs w:val="20"/>
          <w:color w:val="auto"/>
        </w:rPr>
      </w:pPr>
    </w:p>
    <w:p>
      <w:pPr>
        <w:ind w:right="440"/>
        <w:spacing w:after="0" w:line="265" w:lineRule="auto"/>
        <w:rPr>
          <w:sz w:val="20"/>
          <w:szCs w:val="20"/>
          <w:color w:val="auto"/>
        </w:rPr>
      </w:pPr>
      <w:r>
        <w:rPr>
          <w:rFonts w:ascii="Arial" w:cs="Arial" w:eastAsia="Arial" w:hAnsi="Arial"/>
          <w:sz w:val="20"/>
          <w:szCs w:val="20"/>
          <w:b w:val="1"/>
          <w:bCs w:val="1"/>
          <w:i w:val="1"/>
          <w:iCs w:val="1"/>
          <w:color w:val="auto"/>
        </w:rPr>
        <w:t>The marketing approval processes of the FDA and applicable foreign authorities are lengthy, time consuming, expensive and inherently unpredictable, and if we are ultimately unable to obtain marketing approval for our product candidates, our business will be substantially harmed.</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time required to reach approval by the FDA and applicable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w:t>
      </w:r>
    </w:p>
    <w:p>
      <w:pPr>
        <w:sectPr>
          <w:pgSz w:w="11880" w:h="15480" w:orient="portrait"/>
          <w:cols w:equalWidth="0" w:num="1">
            <w:col w:w="9720"/>
          </w:cols>
          <w:pgMar w:left="1080" w:top="1080" w:right="1080" w:bottom="543"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880" w:h="15480" w:orient="portrait"/>
          <w:cols w:equalWidth="0" w:num="1">
            <w:col w:w="9720"/>
          </w:cols>
          <w:pgMar w:left="1080" w:top="1080" w:right="1080" w:bottom="543" w:gutter="0" w:footer="0" w:header="0"/>
          <w:type w:val="continuous"/>
        </w:sectPr>
      </w:pPr>
    </w:p>
    <w:bookmarkStart w:id="79" w:name="page80"/>
    <w:bookmarkEnd w:id="79"/>
    <w:p>
      <w:pPr>
        <w:spacing w:after="0" w:line="255" w:lineRule="auto"/>
        <w:rPr>
          <w:sz w:val="20"/>
          <w:szCs w:val="20"/>
          <w:color w:val="auto"/>
        </w:rPr>
      </w:pPr>
      <w:r>
        <w:rPr>
          <w:rFonts w:ascii="Arial" w:cs="Arial" w:eastAsia="Arial" w:hAnsi="Arial"/>
          <w:sz w:val="20"/>
          <w:szCs w:val="20"/>
          <w:color w:val="auto"/>
        </w:rPr>
        <w:t>candidate’s clinical development and may vary among jurisdictions. We have not obtained marketing approval for any product candidate and it is possible that any product candidates we may seek to develop in the future will never obtain marketing approval. Neither we nor any future collaborator is permitted to market any of our product candidates in the United States until we receive FDA marketing approval of an NDA.</w:t>
      </w:r>
    </w:p>
    <w:p>
      <w:pPr>
        <w:spacing w:after="0" w:line="183"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Prior to obtaining approval to commercialize a product candidate in the United States or abroad, we or our collaborators must demonstrate with substantial evidence from well-controlled clinical trials, and to the satisfaction of the FDA or applicable foreign authorities, that such product candidates are safe and effective for their intended uses. The number of nonclinical studies and clinical trials that will be required for FDA approval varies depending on the product candidate, the disease or condition that the product candidate is designed to address, and the regulations applicable to any particular product candidate.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The FDA and applicable foreign authorities may also require us to conduct additional preclinical studies or clinical trials for our product candidates either prior to or post-approval, or could object to elements of our clinical development program.</w:t>
      </w:r>
    </w:p>
    <w:p>
      <w:pPr>
        <w:spacing w:after="0" w:line="198" w:lineRule="exact"/>
        <w:rPr>
          <w:sz w:val="20"/>
          <w:szCs w:val="20"/>
          <w:color w:val="auto"/>
        </w:rPr>
      </w:pPr>
    </w:p>
    <w:p>
      <w:pPr>
        <w:jc w:val="both"/>
        <w:ind w:right="540"/>
        <w:spacing w:after="0" w:line="262" w:lineRule="auto"/>
        <w:rPr>
          <w:sz w:val="20"/>
          <w:szCs w:val="20"/>
          <w:color w:val="auto"/>
        </w:rPr>
      </w:pPr>
      <w:r>
        <w:rPr>
          <w:rFonts w:ascii="Arial" w:cs="Arial" w:eastAsia="Arial" w:hAnsi="Arial"/>
          <w:sz w:val="20"/>
          <w:szCs w:val="20"/>
          <w:color w:val="auto"/>
        </w:rPr>
        <w:t>The FDA or applicable foreign authorities can delay, limit or deny approval of our product candidates or require us to conduct additional nonclinical or clinical testing or abandon a program for various reasons, including the following:</w:t>
      </w:r>
    </w:p>
    <w:p>
      <w:pPr>
        <w:spacing w:after="0" w:line="190" w:lineRule="exact"/>
        <w:rPr>
          <w:sz w:val="20"/>
          <w:szCs w:val="20"/>
          <w:color w:val="auto"/>
        </w:rPr>
      </w:pPr>
    </w:p>
    <w:p>
      <w:pPr>
        <w:ind w:left="720" w:right="540" w:hanging="353"/>
        <w:spacing w:after="0" w:line="284"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FDA or applicable foreign authorities may disagree with the design or implementation of our clinical trials;</w:t>
      </w:r>
    </w:p>
    <w:p>
      <w:pPr>
        <w:spacing w:after="0" w:line="49" w:lineRule="exact"/>
        <w:rPr>
          <w:rFonts w:ascii="Arial" w:cs="Arial" w:eastAsia="Arial" w:hAnsi="Arial"/>
          <w:sz w:val="20"/>
          <w:szCs w:val="20"/>
          <w:color w:val="auto"/>
        </w:rPr>
      </w:pPr>
    </w:p>
    <w:p>
      <w:pPr>
        <w:ind w:left="720" w:right="120" w:hanging="353"/>
        <w:spacing w:after="0" w:line="284"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we may be unable to demonstrate to the satisfaction of the FDA or applicable foreign authorities that a product candidate is safe and effective for its proposed indication;</w:t>
      </w:r>
    </w:p>
    <w:p>
      <w:pPr>
        <w:spacing w:after="0" w:line="48" w:lineRule="exact"/>
        <w:rPr>
          <w:rFonts w:ascii="Arial" w:cs="Arial" w:eastAsia="Arial" w:hAnsi="Arial"/>
          <w:sz w:val="20"/>
          <w:szCs w:val="20"/>
          <w:color w:val="auto"/>
        </w:rPr>
      </w:pPr>
    </w:p>
    <w:p>
      <w:pPr>
        <w:ind w:left="720" w:right="340" w:hanging="353"/>
        <w:spacing w:after="0" w:line="284"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results of clinical trials may not meet the level of statistical significance required by the FDA or applicable foreign authorities for approval;</w:t>
      </w:r>
    </w:p>
    <w:p>
      <w:pPr>
        <w:spacing w:after="0" w:line="49" w:lineRule="exact"/>
        <w:rPr>
          <w:rFonts w:ascii="Arial" w:cs="Arial" w:eastAsia="Arial" w:hAnsi="Arial"/>
          <w:sz w:val="20"/>
          <w:szCs w:val="20"/>
          <w:color w:val="auto"/>
        </w:rPr>
      </w:pPr>
    </w:p>
    <w:p>
      <w:pPr>
        <w:ind w:left="720" w:right="240" w:hanging="353"/>
        <w:spacing w:after="0" w:line="284"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serious and unexpected drug-related side effects experienced by participants in our clinical trials or by individuals using drugs similar to our product candidates;</w:t>
      </w:r>
    </w:p>
    <w:p>
      <w:pPr>
        <w:spacing w:after="0" w:line="49" w:lineRule="exact"/>
        <w:rPr>
          <w:rFonts w:ascii="Arial" w:cs="Arial" w:eastAsia="Arial" w:hAnsi="Arial"/>
          <w:sz w:val="20"/>
          <w:szCs w:val="20"/>
          <w:color w:val="auto"/>
        </w:rPr>
      </w:pPr>
    </w:p>
    <w:p>
      <w:pPr>
        <w:ind w:left="720" w:right="180" w:hanging="353"/>
        <w:spacing w:after="0" w:line="284"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we may be unable to demonstrate that a product candidate’s clinical and other benefits outweigh its safety risks;</w:t>
      </w:r>
    </w:p>
    <w:p>
      <w:pPr>
        <w:spacing w:after="0" w:line="48" w:lineRule="exact"/>
        <w:rPr>
          <w:rFonts w:ascii="Arial" w:cs="Arial" w:eastAsia="Arial" w:hAnsi="Arial"/>
          <w:sz w:val="20"/>
          <w:szCs w:val="20"/>
          <w:color w:val="auto"/>
        </w:rPr>
      </w:pPr>
    </w:p>
    <w:p>
      <w:pPr>
        <w:ind w:left="720" w:right="100" w:hanging="353"/>
        <w:spacing w:after="0" w:line="284"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FDA or applicable foreign authorities may disagree with our interpretation of data from preclinical studies or clinical trials;</w:t>
      </w:r>
    </w:p>
    <w:p>
      <w:pPr>
        <w:spacing w:after="0" w:line="49" w:lineRule="exact"/>
        <w:rPr>
          <w:rFonts w:ascii="Arial" w:cs="Arial" w:eastAsia="Arial" w:hAnsi="Arial"/>
          <w:sz w:val="20"/>
          <w:szCs w:val="20"/>
          <w:color w:val="auto"/>
        </w:rPr>
      </w:pPr>
    </w:p>
    <w:p>
      <w:pPr>
        <w:jc w:val="both"/>
        <w:ind w:left="720" w:right="140" w:hanging="353"/>
        <w:spacing w:after="0" w:line="262"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data collected from clinical trials of our product candidates may not be acceptable or sufficient to support the submission of an NDA or other submission or to obtain marketing approval in the United States or elsewhere, and we may be required to conduct additional clinical trials;</w:t>
      </w:r>
    </w:p>
    <w:p>
      <w:pPr>
        <w:spacing w:after="0" w:line="70" w:lineRule="exact"/>
        <w:rPr>
          <w:rFonts w:ascii="Arial" w:cs="Arial" w:eastAsia="Arial" w:hAnsi="Arial"/>
          <w:sz w:val="20"/>
          <w:szCs w:val="20"/>
          <w:color w:val="auto"/>
        </w:rPr>
      </w:pPr>
    </w:p>
    <w:p>
      <w:pPr>
        <w:ind w:left="720" w:right="40" w:hanging="353"/>
        <w:spacing w:after="0" w:line="284"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FDA’s or the applicable foreign authority’s requirement for additional nonclinical studies or clinical trials;</w:t>
      </w:r>
    </w:p>
    <w:p>
      <w:pPr>
        <w:spacing w:after="0" w:line="48" w:lineRule="exact"/>
        <w:rPr>
          <w:rFonts w:ascii="Arial" w:cs="Arial" w:eastAsia="Arial" w:hAnsi="Arial"/>
          <w:sz w:val="20"/>
          <w:szCs w:val="20"/>
          <w:color w:val="auto"/>
        </w:rPr>
      </w:pPr>
    </w:p>
    <w:p>
      <w:pPr>
        <w:ind w:left="720" w:right="280" w:hanging="353"/>
        <w:spacing w:after="0" w:line="284"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FDA or the applicable foreign authority may disagree regarding the formulation, labeling and/or the specifications of our product candidates;</w:t>
      </w:r>
    </w:p>
    <w:p>
      <w:pPr>
        <w:spacing w:after="0" w:line="49" w:lineRule="exact"/>
        <w:rPr>
          <w:rFonts w:ascii="Arial" w:cs="Arial" w:eastAsia="Arial" w:hAnsi="Arial"/>
          <w:sz w:val="20"/>
          <w:szCs w:val="20"/>
          <w:color w:val="auto"/>
        </w:rPr>
      </w:pPr>
    </w:p>
    <w:p>
      <w:pPr>
        <w:ind w:left="720" w:right="40" w:hanging="353"/>
        <w:spacing w:after="0" w:line="284"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FDA or applicable foreign authorities may fail to approve the manufacturing processes or facilities of third-party manufacturers with which we contract for clinical and commercial supplies; and</w:t>
      </w:r>
    </w:p>
    <w:p>
      <w:pPr>
        <w:spacing w:after="0" w:line="48" w:lineRule="exact"/>
        <w:rPr>
          <w:rFonts w:ascii="Arial" w:cs="Arial" w:eastAsia="Arial" w:hAnsi="Arial"/>
          <w:sz w:val="20"/>
          <w:szCs w:val="20"/>
          <w:color w:val="auto"/>
        </w:rPr>
      </w:pPr>
    </w:p>
    <w:p>
      <w:pPr>
        <w:ind w:left="720" w:right="520" w:hanging="353"/>
        <w:spacing w:after="0" w:line="284"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approval policies or regulations of the FDA or applicable foreign authorities may significantly change in a manner rendering our clinical data insufficient for approval.</w:t>
      </w:r>
    </w:p>
    <w:p>
      <w:pPr>
        <w:spacing w:after="0" w:line="157"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Of the large number of products in development, only a small percentage successfully complete the FDA or foreign marketing approval processes and are commercialized. The lengthy approval process as well as the unpredictability of future clinical trial results may result in our failing to obtain marketing approval to market our product candidates, which would significantly harm our business, results of operations and prospects.</w:t>
      </w:r>
    </w:p>
    <w:p>
      <w:pPr>
        <w:sectPr>
          <w:pgSz w:w="11880" w:h="15480" w:orient="portrait"/>
          <w:cols w:equalWidth="0" w:num="1">
            <w:col w:w="9700"/>
          </w:cols>
          <w:pgMar w:left="1080" w:top="1066" w:right="1100" w:bottom="543"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78</w:t>
      </w:r>
    </w:p>
    <w:p>
      <w:pPr>
        <w:sectPr>
          <w:pgSz w:w="11880" w:h="15480" w:orient="portrait"/>
          <w:cols w:equalWidth="0" w:num="1">
            <w:col w:w="9700"/>
          </w:cols>
          <w:pgMar w:left="1080" w:top="1066" w:right="1100" w:bottom="543" w:gutter="0" w:footer="0" w:header="0"/>
          <w:type w:val="continuous"/>
        </w:sectPr>
      </w:pPr>
    </w:p>
    <w:bookmarkStart w:id="80" w:name="page81"/>
    <w:bookmarkEnd w:id="80"/>
    <w:p>
      <w:pPr>
        <w:ind w:right="240"/>
        <w:spacing w:after="0" w:line="265" w:lineRule="auto"/>
        <w:rPr>
          <w:sz w:val="20"/>
          <w:szCs w:val="20"/>
          <w:color w:val="auto"/>
        </w:rPr>
      </w:pPr>
      <w:r>
        <w:rPr>
          <w:rFonts w:ascii="Arial" w:cs="Arial" w:eastAsia="Arial" w:hAnsi="Arial"/>
          <w:sz w:val="20"/>
          <w:szCs w:val="20"/>
          <w:b w:val="1"/>
          <w:bCs w:val="1"/>
          <w:i w:val="1"/>
          <w:iCs w:val="1"/>
          <w:color w:val="auto"/>
        </w:rPr>
        <w:t>We may expend our limited resources to pursue a particular product candidate and fail to capitalize on product candidates or indications that may be more profitable or for which there is a greater likelihood of success.</w:t>
      </w:r>
    </w:p>
    <w:p>
      <w:pPr>
        <w:spacing w:after="0" w:line="164"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Because we have limited financial and managerial resources, we focus on specific product candidates, indications and discovery programs. Correctly prioritizing our research and development activities is particularly important for us due to the breadth of potential product candidates and indications that we believe could be pursued using our platform technologies. As a result, we may forgo or delay pursuit of opportunities with other product candidates that could have had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In addition, in recent years, a number of companies have entered the drug discovery industry utilizing different AI approaches. The success of other such AI approaches to drug discovery could create more competition for us. We believe that we must continue to invest a significant amount of time and resources in our platform technologies to maintain and improve our competitive position.</w:t>
      </w:r>
    </w:p>
    <w:p>
      <w:pPr>
        <w:spacing w:after="0" w:line="202" w:lineRule="exact"/>
        <w:rPr>
          <w:sz w:val="20"/>
          <w:szCs w:val="20"/>
          <w:color w:val="auto"/>
        </w:rPr>
      </w:pPr>
    </w:p>
    <w:p>
      <w:pPr>
        <w:ind w:right="440"/>
        <w:spacing w:after="0" w:line="290" w:lineRule="auto"/>
        <w:rPr>
          <w:sz w:val="20"/>
          <w:szCs w:val="20"/>
          <w:color w:val="auto"/>
        </w:rPr>
      </w:pPr>
      <w:r>
        <w:rPr>
          <w:rFonts w:ascii="Arial" w:cs="Arial" w:eastAsia="Arial" w:hAnsi="Arial"/>
          <w:sz w:val="20"/>
          <w:szCs w:val="20"/>
          <w:b w:val="1"/>
          <w:bCs w:val="1"/>
          <w:i w:val="1"/>
          <w:iCs w:val="1"/>
          <w:color w:val="auto"/>
        </w:rPr>
        <w:t>We may not be able to obtain or maintain orphan drug designations or exclusivity for our product candidates, which could limit the potential profitability of our product candidates.</w:t>
      </w:r>
    </w:p>
    <w:p>
      <w:pPr>
        <w:spacing w:after="0" w:line="139" w:lineRule="exact"/>
        <w:rPr>
          <w:sz w:val="20"/>
          <w:szCs w:val="20"/>
          <w:color w:val="auto"/>
        </w:rPr>
      </w:pPr>
    </w:p>
    <w:p>
      <w:pPr>
        <w:ind w:firstLine="1"/>
        <w:spacing w:after="0" w:line="242" w:lineRule="auto"/>
        <w:rPr>
          <w:sz w:val="20"/>
          <w:szCs w:val="20"/>
          <w:color w:val="auto"/>
        </w:rPr>
      </w:pPr>
      <w:r>
        <w:rPr>
          <w:rFonts w:ascii="Arial" w:cs="Arial" w:eastAsia="Arial" w:hAnsi="Arial"/>
          <w:sz w:val="20"/>
          <w:szCs w:val="20"/>
          <w:color w:val="auto"/>
        </w:rPr>
        <w:t>Regulatory authorities in some jurisdictions, including the United States, may designate drugs for relatively small patient populations as orphan drugs. Under the Orphan Drug Act of 1983, the FDA may designate a drug as an orphan drug if it is a drug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alone.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Orphan drug designation, however, neither shortens the development time or regulatory review time of a drug nor gives the drug any advantage in the regulatory review or approval process. Generally, if a drug with an orphan drug designation subsequently receives the first marketing approval for the targeted indication, then the drug is entitled to a seven -year period of marketing exclusivity that precludes the applicable regulatory authority from approving another marketing application for the same chemical entity for the same indication for the exclusivity period except in limited situations, such as a showing of clinical superiority to the product with orphan drug exclusivity or where the manufacturer is unable to assure sufficient product quantity. For purposes of small molecule drugs, the FDA defines “same drug” as a drug that contains the same active moiety and is intended for the same use as the drug in question. A designated orphan drug may not receive orphan drug exclusivity if it is approved for a use that is broader than the indication for which it received orphan drug designation.</w:t>
      </w:r>
    </w:p>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intend to pursue orphan drug designation for one or more of our product candidates, as well as for potential other future product candidates. Obtaining orphan drug designations is important to our business strategy; however, obtaining an orphan drug designation can be difficult and we may not be successful in doing so.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later determines that the request for designation was materially defective or if the manufacturer is unable to assure sufficient quantity of the drug to meet the needs of patients with the rare disease or</w:t>
      </w:r>
    </w:p>
    <w:p>
      <w:pPr>
        <w:sectPr>
          <w:pgSz w:w="11880" w:h="15480" w:orient="portrait"/>
          <w:cols w:equalWidth="0" w:num="1">
            <w:col w:w="9700"/>
          </w:cols>
          <w:pgMar w:left="1080" w:top="1070" w:right="1100" w:bottom="543"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79</w:t>
      </w:r>
    </w:p>
    <w:p>
      <w:pPr>
        <w:sectPr>
          <w:pgSz w:w="11880" w:h="15480" w:orient="portrait"/>
          <w:cols w:equalWidth="0" w:num="1">
            <w:col w:w="9700"/>
          </w:cols>
          <w:pgMar w:left="1080" w:top="1070" w:right="1100" w:bottom="543" w:gutter="0" w:footer="0" w:header="0"/>
          <w:type w:val="continuous"/>
        </w:sectPr>
      </w:pPr>
    </w:p>
    <w:bookmarkStart w:id="81" w:name="page82"/>
    <w:bookmarkEnd w:id="81"/>
    <w:p>
      <w:pPr>
        <w:ind w:right="220"/>
        <w:spacing w:after="0" w:line="251" w:lineRule="auto"/>
        <w:rPr>
          <w:sz w:val="20"/>
          <w:szCs w:val="20"/>
          <w:color w:val="auto"/>
        </w:rPr>
      </w:pPr>
      <w:r>
        <w:rPr>
          <w:rFonts w:ascii="Arial" w:cs="Arial" w:eastAsia="Arial" w:hAnsi="Arial"/>
          <w:sz w:val="20"/>
          <w:szCs w:val="20"/>
          <w:color w:val="auto"/>
        </w:rPr>
        <w:t>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b w:val="1"/>
          <w:bCs w:val="1"/>
          <w:i w:val="1"/>
          <w:iCs w:val="1"/>
          <w:color w:val="auto"/>
        </w:rPr>
        <w:t>We have conducted, or plan to conduct, our initial clinical studies for GSBR-1290, ANPA-0073, LTSE -2578 and our other product candidates outside of the United States. However, the FDA and other foreign equivalents may not accept data from such trials, in which case our development plans will be delayed, which could materially harm our business.</w:t>
      </w:r>
    </w:p>
    <w:p>
      <w:pPr>
        <w:spacing w:after="0" w:line="174"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We have conducted our initial clinical studies for GSBR-1290 and ANPA-0073 in Australia, and will likely conduct our Phase 1 studies for other drug candidates in Australia. The acceptance of study data from clinical trials conducted outside the United States or another jurisdiction by the FDA or applicable foreign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(“GCP”) regulations; and (iii) the data may be considered valid without the need for an on- 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 -designed and well-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applicable foreign authority will accept data from trials conducted outside of the United States or the applicable jurisdiction. If the FDA or any applicable foreign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201"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We believe that clinical data generated in Australia will be accepted by the FDA and its foreign equivalents outside of Australia; however, there can be no assurance the FDA or applicable foreign authorities will accept data from any other clinical studies that we may conduct in Australia. If the FDA or applicable foreign authorities do not accept any such data, we would likely be required to conduct additional Phase 1 clinical studies, which would be costly and time consuming, and delay aspects of our development plan, which could harm our business.</w:t>
      </w:r>
    </w:p>
    <w:p>
      <w:pPr>
        <w:spacing w:after="0" w:line="189" w:lineRule="exact"/>
        <w:rPr>
          <w:sz w:val="20"/>
          <w:szCs w:val="20"/>
          <w:color w:val="auto"/>
        </w:rPr>
      </w:pPr>
    </w:p>
    <w:p>
      <w:pPr>
        <w:ind w:right="220"/>
        <w:spacing w:after="0" w:line="284" w:lineRule="auto"/>
        <w:rPr>
          <w:sz w:val="20"/>
          <w:szCs w:val="20"/>
          <w:color w:val="auto"/>
        </w:rPr>
      </w:pPr>
      <w:r>
        <w:rPr>
          <w:rFonts w:ascii="Arial" w:cs="Arial" w:eastAsia="Arial" w:hAnsi="Arial"/>
          <w:sz w:val="20"/>
          <w:szCs w:val="20"/>
          <w:color w:val="auto"/>
        </w:rPr>
        <w:t>Conducting clinical trials outside the United States exposes us to additional risks, including risks associated with:</w:t>
      </w:r>
    </w:p>
    <w:p>
      <w:pPr>
        <w:spacing w:after="0" w:line="170" w:lineRule="exact"/>
        <w:rPr>
          <w:sz w:val="20"/>
          <w:szCs w:val="20"/>
          <w:color w:val="auto"/>
        </w:rPr>
      </w:pPr>
    </w:p>
    <w:p>
      <w:pPr>
        <w:ind w:left="720" w:hanging="353"/>
        <w:spacing w:after="0"/>
        <w:tabs>
          <w:tab w:leader="none" w:pos="7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additional foreign regulatory requirements;</w:t>
      </w:r>
    </w:p>
    <w:p>
      <w:pPr>
        <w:spacing w:after="0" w:line="132" w:lineRule="exact"/>
        <w:rPr>
          <w:rFonts w:ascii="Arial" w:cs="Arial" w:eastAsia="Arial" w:hAnsi="Arial"/>
          <w:sz w:val="20"/>
          <w:szCs w:val="20"/>
          <w:color w:val="auto"/>
        </w:rPr>
      </w:pPr>
    </w:p>
    <w:p>
      <w:pPr>
        <w:ind w:left="720" w:hanging="353"/>
        <w:spacing w:after="0"/>
        <w:tabs>
          <w:tab w:leader="none" w:pos="7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foreign exchange fluctuations;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compliance with foreign manufacturing, customs, shipment and storage requirements;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cultural differences in medical practice and clinical research; and</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diminished protection of intellectual property in some countries.</w:t>
      </w:r>
    </w:p>
    <w:p>
      <w:pPr>
        <w:sectPr>
          <w:pgSz w:w="11880" w:h="15480" w:orient="portrait"/>
          <w:cols w:equalWidth="0" w:num="1">
            <w:col w:w="9700"/>
          </w:cols>
          <w:pgMar w:left="1080" w:top="1066" w:right="110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80</w:t>
      </w:r>
    </w:p>
    <w:p>
      <w:pPr>
        <w:sectPr>
          <w:pgSz w:w="11880" w:h="15480" w:orient="portrait"/>
          <w:cols w:equalWidth="0" w:num="1">
            <w:col w:w="9700"/>
          </w:cols>
          <w:pgMar w:left="1080" w:top="1066" w:right="1100" w:bottom="543" w:gutter="0" w:footer="0" w:header="0"/>
          <w:type w:val="continuous"/>
        </w:sectPr>
      </w:pPr>
    </w:p>
    <w:bookmarkStart w:id="82" w:name="page83"/>
    <w:bookmarkEnd w:id="82"/>
    <w:p>
      <w:pPr>
        <w:ind w:right="120"/>
        <w:spacing w:after="0" w:line="265" w:lineRule="auto"/>
        <w:rPr>
          <w:sz w:val="20"/>
          <w:szCs w:val="20"/>
          <w:color w:val="auto"/>
        </w:rPr>
      </w:pPr>
      <w:r>
        <w:rPr>
          <w:rFonts w:ascii="Arial" w:cs="Arial" w:eastAsia="Arial" w:hAnsi="Arial"/>
          <w:sz w:val="20"/>
          <w:szCs w:val="20"/>
          <w:b w:val="1"/>
          <w:bCs w:val="1"/>
          <w:i w:val="1"/>
          <w:iCs w:val="1"/>
          <w:color w:val="auto"/>
        </w:rPr>
        <w:t>Preliminary, topline and interim data from our clinical trials that we announce or publish from time to time may change as more patient data become available and are subject to audit and verification procedures that could result in material changes in the final data.</w:t>
      </w:r>
    </w:p>
    <w:p>
      <w:pPr>
        <w:spacing w:after="0" w:line="164" w:lineRule="exact"/>
        <w:rPr>
          <w:sz w:val="20"/>
          <w:szCs w:val="20"/>
          <w:color w:val="auto"/>
        </w:rPr>
      </w:pPr>
    </w:p>
    <w:p>
      <w:pPr>
        <w:ind w:firstLine="1"/>
        <w:spacing w:after="0" w:line="242" w:lineRule="auto"/>
        <w:rPr>
          <w:sz w:val="20"/>
          <w:szCs w:val="20"/>
          <w:color w:val="auto"/>
        </w:rPr>
      </w:pPr>
      <w:r>
        <w:rPr>
          <w:rFonts w:ascii="Arial" w:cs="Arial" w:eastAsia="Arial" w:hAnsi="Arial"/>
          <w:sz w:val="20"/>
          <w:szCs w:val="20"/>
          <w:color w:val="auto"/>
        </w:rPr>
        <w:t>From time to time, we may publicly disclose interim, preliminary or topline data from our clinical trials, which are based on a preliminary analysis of then- 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made public. As a result, topline and preliminary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topline, preliminary or interim data and final data could significantly harm our business prospects. For example, in December 2023, we reported clinically meaningful topline data from our 12-week Phase 2a clinical trial, which focused on safety and tolerability of GSBR-1290 in a total of 94 participants to date, including 60 participants randomized to GSBR-1290. The results showed GSBR-1290 was generally well-tolerated with no treatment-related SAEs, no adverse event-related discontinuation in obesity and only one adverse event-related discontinuation in T2DM. Furthermore, GSBR-1290 demonstrated significant reductions in HbA1c and weight at 12 weeks in T2DM. We further reported interim Phase 2a obesity cohort data, in which GSBR-1290 demonstrated significant reductions in weight at 8 weeks. Due to the preliminary nature of these results and the length of the study and sample size, these results are not necessarily indicative of the final results for our clinical trials for GSBR-1290. If the final data is materially different from the preliminary topline data reported, this could significantly harm our business prospects.</w:t>
      </w:r>
    </w:p>
    <w:p>
      <w:pPr>
        <w:spacing w:after="0" w:line="196"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99" w:lineRule="exact"/>
        <w:rPr>
          <w:sz w:val="20"/>
          <w:szCs w:val="20"/>
          <w:color w:val="auto"/>
        </w:rPr>
      </w:pPr>
    </w:p>
    <w:p>
      <w:pPr>
        <w:ind w:right="80"/>
        <w:spacing w:after="0" w:line="265" w:lineRule="auto"/>
        <w:rPr>
          <w:sz w:val="20"/>
          <w:szCs w:val="20"/>
          <w:color w:val="auto"/>
        </w:rPr>
      </w:pPr>
      <w:r>
        <w:rPr>
          <w:rFonts w:ascii="Arial" w:cs="Arial" w:eastAsia="Arial" w:hAnsi="Arial"/>
          <w:sz w:val="20"/>
          <w:szCs w:val="20"/>
          <w:b w:val="1"/>
          <w:bCs w:val="1"/>
          <w:i w:val="1"/>
          <w:iCs w:val="1"/>
          <w:color w:val="auto"/>
        </w:rPr>
        <w:t>Obtaining and maintaining marketing approval of our product candidates in one jurisdiction does not mean that we will be successful in obtaining marketing approval of our product candidates in other jurisdictions.</w:t>
      </w:r>
    </w:p>
    <w:p>
      <w:pPr>
        <w:spacing w:after="0" w:line="164"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Obtaining and maintaining marketing approval of our product candidates in one jurisdiction does not guarantee that we will be able to obtain or maintain marketing approval in any other jurisdiction. For example, even if the FDA grants marketing approval of a product candidate, it does not mean that comparable regulatory authorities in foreign jurisdictions must also approve the manufacturing, marketing and promotion and reimbursement of the product candidate in those countries. However, a failure or delay in obtaining marketing approval in one jurisdiction may negatively impact the marketing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w:t>
      </w:r>
    </w:p>
    <w:p>
      <w:pPr>
        <w:sectPr>
          <w:pgSz w:w="11880" w:h="15480" w:orient="portrait"/>
          <w:cols w:equalWidth="0" w:num="1">
            <w:col w:w="9700"/>
          </w:cols>
          <w:pgMar w:left="1080" w:top="1070" w:right="1100" w:bottom="543"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81</w:t>
      </w:r>
    </w:p>
    <w:p>
      <w:pPr>
        <w:sectPr>
          <w:pgSz w:w="11880" w:h="15480" w:orient="portrait"/>
          <w:cols w:equalWidth="0" w:num="1">
            <w:col w:w="9700"/>
          </w:cols>
          <w:pgMar w:left="1080" w:top="1070" w:right="1100" w:bottom="543" w:gutter="0" w:footer="0" w:header="0"/>
          <w:type w:val="continuous"/>
        </w:sectPr>
      </w:pPr>
    </w:p>
    <w:bookmarkStart w:id="83" w:name="page84"/>
    <w:bookmarkEnd w:id="83"/>
    <w:p>
      <w:pPr>
        <w:spacing w:after="0" w:line="262" w:lineRule="auto"/>
        <w:rPr>
          <w:sz w:val="20"/>
          <w:szCs w:val="20"/>
          <w:color w:val="auto"/>
        </w:rPr>
      </w:pPr>
      <w:r>
        <w:rPr>
          <w:rFonts w:ascii="Arial" w:cs="Arial" w:eastAsia="Arial" w:hAnsi="Arial"/>
          <w:sz w:val="20"/>
          <w:szCs w:val="20"/>
          <w:color w:val="auto"/>
        </w:rPr>
        <w:t>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7"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Obtaining foreign marketing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 which would adversely affect our business, prospects, financial condition, and results of operations.</w:t>
      </w:r>
    </w:p>
    <w:p>
      <w:pPr>
        <w:spacing w:after="0" w:line="183"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71"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The ability of the FDA and applicable foreign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spacing w:after="0" w:line="189" w:lineRule="exact"/>
        <w:rPr>
          <w:sz w:val="20"/>
          <w:szCs w:val="20"/>
          <w:color w:val="auto"/>
        </w:rPr>
      </w:pPr>
    </w:p>
    <w:p>
      <w:pPr>
        <w:ind w:right="240"/>
        <w:spacing w:after="0" w:line="247" w:lineRule="auto"/>
        <w:rPr>
          <w:sz w:val="20"/>
          <w:szCs w:val="20"/>
          <w:color w:val="auto"/>
        </w:rPr>
      </w:pPr>
      <w:r>
        <w:rPr>
          <w:rFonts w:ascii="Arial" w:cs="Arial" w:eastAsia="Arial" w:hAnsi="Arial"/>
          <w:sz w:val="20"/>
          <w:szCs w:val="20"/>
          <w:color w:val="auto"/>
        </w:rPr>
        <w:t>Disruptions at the FDA and other agencies may also slow the time necessary for new drugs to be reviewed and/or approved by necessary government agencies, which would adversely affect our business. For example, over the last several years, the U.S. government shut down several times and certain regulatory agencies, such as the FDA, furloughed critical employees and ceased critical activities. If a prolonged government shutdown occurs, it could significantly impact the ability of the FDA and applicable foreign authorities to timely review and process our regulatory submissions, which could have a material adverse effect on our business.</w:t>
      </w:r>
    </w:p>
    <w:p>
      <w:pPr>
        <w:spacing w:after="0" w:line="193" w:lineRule="exact"/>
        <w:rPr>
          <w:sz w:val="20"/>
          <w:szCs w:val="20"/>
          <w:color w:val="auto"/>
        </w:rPr>
      </w:pPr>
    </w:p>
    <w:p>
      <w:pPr>
        <w:ind w:right="320"/>
        <w:spacing w:after="0" w:line="255" w:lineRule="auto"/>
        <w:rPr>
          <w:sz w:val="20"/>
          <w:szCs w:val="20"/>
          <w:color w:val="auto"/>
        </w:rPr>
      </w:pPr>
      <w:r>
        <w:rPr>
          <w:rFonts w:ascii="Arial" w:cs="Arial" w:eastAsia="Arial" w:hAnsi="Arial"/>
          <w:sz w:val="20"/>
          <w:szCs w:val="20"/>
          <w:color w:val="auto"/>
        </w:rPr>
        <w:t>If a prolonged government shutdown occurs, or if global health concerns prevent the FDA or applicable foreign authorities from conducting their regular inspections, reviews, or other regulatory activities, it could significantly impact the ability of the FDA or applicable foreign authorities to timely review and process our regulatory submissions, which could have a material adverse effect on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Reliance on Third Parties</w:t>
      </w:r>
    </w:p>
    <w:p>
      <w:pPr>
        <w:spacing w:after="0" w:line="248"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b w:val="1"/>
          <w:bCs w:val="1"/>
          <w:i w:val="1"/>
          <w:iCs w:val="1"/>
          <w:color w:val="auto"/>
        </w:rPr>
        <w:t>We rely on third parties for the manufacture of our product candidates for preclinical and 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8"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We do not own or operate manufacturing facilities and have no plans to build our own clinical or commercial scale manufacturing capabilities. We rely, and expect to continue to rely, on third parties for the manufacture of our product candidates and related raw materials for preclinical and clinical development, as well as for commercial manufacture if any of our product candidates receive marketing approval. This reliance increases the risk that we will not have sufficient quantities of our product candidates or products, if approved, or such quantities at an acceptable cost or quality, which could delay, prevent or impair our development or commercialization efforts. Our active pharmaceutical ingredients and drug product for our product candidates are currently provided by a single-source supplier, WuXi STA, and we expect to rely on this supplier for the foreseeable future. However, certain Chinese biotechnology companies and CMOs may become subject to trade restrictions, sanctions, and other regulatory requirements by the U.S. government, which could restrict or even prohibit our ability to work with such entities, thereby potentially disrupting the supply of material to</w:t>
      </w:r>
    </w:p>
    <w:p>
      <w:pPr>
        <w:sectPr>
          <w:pgSz w:w="11880" w:h="15480" w:orient="portrait"/>
          <w:cols w:equalWidth="0" w:num="1">
            <w:col w:w="9680"/>
          </w:cols>
          <w:pgMar w:left="1080" w:top="1066" w:right="1120" w:bottom="543" w:gutter="0" w:footer="0" w:header="0"/>
        </w:sect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82</w:t>
      </w:r>
    </w:p>
    <w:p>
      <w:pPr>
        <w:sectPr>
          <w:pgSz w:w="11880" w:h="15480" w:orient="portrait"/>
          <w:cols w:equalWidth="0" w:num="1">
            <w:col w:w="9680"/>
          </w:cols>
          <w:pgMar w:left="1080" w:top="1066" w:right="1120" w:bottom="543" w:gutter="0" w:footer="0" w:header="0"/>
          <w:type w:val="continuous"/>
        </w:sectPr>
      </w:pPr>
    </w:p>
    <w:bookmarkStart w:id="84" w:name="page85"/>
    <w:bookmarkEnd w:id="84"/>
    <w:p>
      <w:pPr>
        <w:ind w:right="80"/>
        <w:spacing w:after="0" w:line="249" w:lineRule="auto"/>
        <w:rPr>
          <w:sz w:val="20"/>
          <w:szCs w:val="20"/>
          <w:color w:val="auto"/>
        </w:rPr>
      </w:pPr>
      <w:r>
        <w:rPr>
          <w:rFonts w:ascii="Arial" w:cs="Arial" w:eastAsia="Arial" w:hAnsi="Arial"/>
          <w:sz w:val="20"/>
          <w:szCs w:val="20"/>
          <w:color w:val="auto"/>
        </w:rPr>
        <w:t>us. We have contracted with, or are in the process of pursuing contracts with, alternative suppliers or manufacturers outside of China for our active pharmaceutical ingredients and drug product for our product candidates. While we believe that our current manufacturing plan will provide us with alternative sources for such supplies, there is a risk that, if supplies are interrupted, or the quality of ingredients provided by such alternative sources is not to our specification, it would cause delays in our supply chain and increase the cost of manufacturing our drugs, which could materially harm our business.</w:t>
      </w:r>
    </w:p>
    <w:p>
      <w:pPr>
        <w:spacing w:after="0" w:line="18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Furthermore,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and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an applicable foreign authority does not approve these facilities for the manufacture of our product candidates or if the FDA or applicable foreign authority, withdraws any such approval in the future, we may need to find alternative manufacturing facilities, which would significantly impact our ability to develop, obtain marketing approval for or market our product candidates, if approved. Our failure, or the failure of our third- 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213" w:lineRule="exact"/>
        <w:rPr>
          <w:sz w:val="20"/>
          <w:szCs w:val="20"/>
          <w:color w:val="auto"/>
        </w:rPr>
      </w:pPr>
    </w:p>
    <w:p>
      <w:pPr>
        <w:ind w:right="280"/>
        <w:spacing w:after="0" w:line="265" w:lineRule="auto"/>
        <w:rPr>
          <w:sz w:val="20"/>
          <w:szCs w:val="20"/>
          <w:color w:val="auto"/>
        </w:rPr>
      </w:pPr>
      <w:r>
        <w:rPr>
          <w:rFonts w:ascii="Arial" w:cs="Arial" w:eastAsia="Arial" w:hAnsi="Arial"/>
          <w:sz w:val="20"/>
          <w:szCs w:val="20"/>
          <w:b w:val="1"/>
          <w:bCs w:val="1"/>
          <w:i w:val="1"/>
          <w:iCs w:val="1"/>
          <w:color w:val="auto"/>
        </w:rPr>
        <w:t>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164"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In the event that any of our manufacturers fails to comply with applicable requirements or to perform its obligations to us in relation to quality, timing or otherwise, or if our supply of components or other materials becomes limited or interrupted for other reasons, including due to the impact of future global pandemics, we may be forced to manufacture the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our third-party manufacturers or require us to obtain a license from such manufacturers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We will also need to verify, such as through a manufacturing comparability study, that any product produced by the new manufacturer is equivalent to that produced in a prior facility. The delays associated with the verification of a new manufacturer and equivalent product could negatively affect our ability to develop product candidates in a timely manner or within budget.</w:t>
      </w:r>
    </w:p>
    <w:p>
      <w:pPr>
        <w:sectPr>
          <w:pgSz w:w="11880" w:h="15480" w:orient="portrait"/>
          <w:cols w:equalWidth="0" w:num="1">
            <w:col w:w="9720"/>
          </w:cols>
          <w:pgMar w:left="1080" w:top="1066"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880" w:h="15480" w:orient="portrait"/>
          <w:cols w:equalWidth="0" w:num="1">
            <w:col w:w="9720"/>
          </w:cols>
          <w:pgMar w:left="1080" w:top="1066" w:right="1080" w:bottom="543" w:gutter="0" w:footer="0" w:header="0"/>
          <w:type w:val="continuous"/>
        </w:sectPr>
      </w:pPr>
    </w:p>
    <w:bookmarkStart w:id="85" w:name="page86"/>
    <w:bookmarkEnd w:id="85"/>
    <w:p>
      <w:pPr>
        <w:spacing w:after="0" w:line="262" w:lineRule="auto"/>
        <w:rPr>
          <w:sz w:val="20"/>
          <w:szCs w:val="20"/>
          <w:color w:val="auto"/>
        </w:rPr>
      </w:pPr>
      <w:r>
        <w:rPr>
          <w:rFonts w:ascii="Arial" w:cs="Arial" w:eastAsia="Arial" w:hAnsi="Arial"/>
          <w:sz w:val="20"/>
          <w:szCs w:val="20"/>
          <w:color w:val="auto"/>
        </w:rPr>
        <w:t>Our or a third party’s failure to execute on our manufacturing requirements on commercially reasonable terms and timelines, if at all, and comply with cGMP requirements could adversely affect our business in a number of ways, including:</w:t>
      </w:r>
    </w:p>
    <w:p>
      <w:pPr>
        <w:spacing w:after="0" w:line="191" w:lineRule="exact"/>
        <w:rPr>
          <w:sz w:val="20"/>
          <w:szCs w:val="20"/>
          <w:color w:val="auto"/>
        </w:rPr>
      </w:pPr>
    </w:p>
    <w:p>
      <w:pPr>
        <w:ind w:left="720" w:hanging="353"/>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inability to meet our drug specifications and quality requirements consistently;</w:t>
      </w:r>
    </w:p>
    <w:p>
      <w:pPr>
        <w:spacing w:after="0" w:line="133" w:lineRule="exact"/>
        <w:rPr>
          <w:rFonts w:ascii="Arial" w:cs="Arial" w:eastAsia="Arial" w:hAnsi="Arial"/>
          <w:sz w:val="20"/>
          <w:szCs w:val="20"/>
          <w:color w:val="auto"/>
        </w:rPr>
      </w:pPr>
    </w:p>
    <w:p>
      <w:pPr>
        <w:ind w:left="720" w:hanging="352"/>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delay or inability to procure or expand sufficient manufacturing capacity;</w:t>
      </w:r>
    </w:p>
    <w:p>
      <w:pPr>
        <w:spacing w:after="0" w:line="133" w:lineRule="exact"/>
        <w:rPr>
          <w:rFonts w:ascii="Arial" w:cs="Arial" w:eastAsia="Arial" w:hAnsi="Arial"/>
          <w:sz w:val="20"/>
          <w:szCs w:val="20"/>
          <w:color w:val="auto"/>
        </w:rPr>
      </w:pPr>
    </w:p>
    <w:p>
      <w:pPr>
        <w:ind w:left="720" w:hanging="352"/>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issues related to scale-up of manufacturing;</w:t>
      </w:r>
    </w:p>
    <w:p>
      <w:pPr>
        <w:spacing w:after="0" w:line="132" w:lineRule="exact"/>
        <w:rPr>
          <w:rFonts w:ascii="Arial" w:cs="Arial" w:eastAsia="Arial" w:hAnsi="Arial"/>
          <w:sz w:val="20"/>
          <w:szCs w:val="20"/>
          <w:color w:val="auto"/>
        </w:rPr>
      </w:pPr>
    </w:p>
    <w:p>
      <w:pPr>
        <w:ind w:left="720" w:hanging="352"/>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costs and validation of new equipment and facilities required for scale-up;</w:t>
      </w:r>
    </w:p>
    <w:p>
      <w:pPr>
        <w:spacing w:after="0" w:line="133" w:lineRule="exact"/>
        <w:rPr>
          <w:rFonts w:ascii="Arial" w:cs="Arial" w:eastAsia="Arial" w:hAnsi="Arial"/>
          <w:sz w:val="20"/>
          <w:szCs w:val="20"/>
          <w:color w:val="auto"/>
        </w:rPr>
      </w:pPr>
    </w:p>
    <w:p>
      <w:pPr>
        <w:ind w:left="720" w:hanging="352"/>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failure to comply with cGMP or similar foreign standards;</w:t>
      </w:r>
    </w:p>
    <w:p>
      <w:pPr>
        <w:spacing w:after="0" w:line="133" w:lineRule="exact"/>
        <w:rPr>
          <w:rFonts w:ascii="Arial" w:cs="Arial" w:eastAsia="Arial" w:hAnsi="Arial"/>
          <w:sz w:val="20"/>
          <w:szCs w:val="20"/>
          <w:color w:val="auto"/>
        </w:rPr>
      </w:pPr>
    </w:p>
    <w:p>
      <w:pPr>
        <w:ind w:left="720" w:right="400" w:hanging="352"/>
        <w:spacing w:after="0" w:line="284" w:lineRule="auto"/>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inability to negotiate manufacturing agreements with third parties under commercially reasonable terms, if at all;</w:t>
      </w:r>
    </w:p>
    <w:p>
      <w:pPr>
        <w:spacing w:after="0" w:line="49" w:lineRule="exact"/>
        <w:rPr>
          <w:rFonts w:ascii="Arial" w:cs="Arial" w:eastAsia="Arial" w:hAnsi="Arial"/>
          <w:sz w:val="20"/>
          <w:szCs w:val="20"/>
          <w:color w:val="auto"/>
        </w:rPr>
      </w:pPr>
    </w:p>
    <w:p>
      <w:pPr>
        <w:ind w:left="720" w:hanging="352"/>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reliance on single source manufacturers for drug substances and drug products;</w:t>
      </w:r>
    </w:p>
    <w:p>
      <w:pPr>
        <w:spacing w:after="0" w:line="132" w:lineRule="exact"/>
        <w:rPr>
          <w:rFonts w:ascii="Arial" w:cs="Arial" w:eastAsia="Arial" w:hAnsi="Arial"/>
          <w:sz w:val="20"/>
          <w:szCs w:val="20"/>
          <w:color w:val="auto"/>
        </w:rPr>
      </w:pPr>
    </w:p>
    <w:p>
      <w:pPr>
        <w:ind w:left="720" w:right="220" w:hanging="352"/>
        <w:spacing w:after="0" w:line="284" w:lineRule="auto"/>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lack of qualified backup suppliers for those components that are currently purchased from a sole or single source supplier;</w:t>
      </w:r>
    </w:p>
    <w:p>
      <w:pPr>
        <w:spacing w:after="0" w:line="49" w:lineRule="exact"/>
        <w:rPr>
          <w:rFonts w:ascii="Arial" w:cs="Arial" w:eastAsia="Arial" w:hAnsi="Arial"/>
          <w:sz w:val="20"/>
          <w:szCs w:val="20"/>
          <w:color w:val="auto"/>
        </w:rPr>
      </w:pPr>
    </w:p>
    <w:p>
      <w:pPr>
        <w:ind w:left="720" w:hanging="352"/>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misappropriation of proprietary information, including our trade secrets and know-how;</w:t>
      </w:r>
    </w:p>
    <w:p>
      <w:pPr>
        <w:spacing w:after="0" w:line="133" w:lineRule="exact"/>
        <w:rPr>
          <w:rFonts w:ascii="Arial" w:cs="Arial" w:eastAsia="Arial" w:hAnsi="Arial"/>
          <w:sz w:val="20"/>
          <w:szCs w:val="20"/>
          <w:color w:val="auto"/>
        </w:rPr>
      </w:pPr>
    </w:p>
    <w:p>
      <w:pPr>
        <w:ind w:left="720" w:right="100" w:hanging="352"/>
        <w:spacing w:after="0" w:line="284" w:lineRule="auto"/>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mislabeling of clinical supplies, potentially resulting in the wrong dose amounts being supplied or study drug or placebo not being properly identified;</w:t>
      </w:r>
    </w:p>
    <w:p>
      <w:pPr>
        <w:spacing w:after="0" w:line="49" w:lineRule="exact"/>
        <w:rPr>
          <w:rFonts w:ascii="Arial" w:cs="Arial" w:eastAsia="Arial" w:hAnsi="Arial"/>
          <w:sz w:val="20"/>
          <w:szCs w:val="20"/>
          <w:color w:val="auto"/>
        </w:rPr>
      </w:pPr>
    </w:p>
    <w:p>
      <w:pPr>
        <w:ind w:left="720" w:hanging="352"/>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clinical supplies not being delivered to clinical sites on time, leading to clinical trial interruptions;</w:t>
      </w:r>
    </w:p>
    <w:p>
      <w:pPr>
        <w:spacing w:after="0" w:line="132" w:lineRule="exact"/>
        <w:rPr>
          <w:rFonts w:ascii="Arial" w:cs="Arial" w:eastAsia="Arial" w:hAnsi="Arial"/>
          <w:sz w:val="20"/>
          <w:szCs w:val="20"/>
          <w:color w:val="auto"/>
        </w:rPr>
      </w:pPr>
    </w:p>
    <w:p>
      <w:pPr>
        <w:ind w:left="720" w:right="60" w:hanging="352"/>
        <w:spacing w:after="0" w:line="284" w:lineRule="auto"/>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operations of our third-party manufacturers or suppliers could be disrupted by conditions unrelated to our business or operations, including the bankruptcy of the manufacturer or supplier; and</w:t>
      </w:r>
    </w:p>
    <w:p>
      <w:pPr>
        <w:spacing w:after="0" w:line="49" w:lineRule="exact"/>
        <w:rPr>
          <w:rFonts w:ascii="Arial" w:cs="Arial" w:eastAsia="Arial" w:hAnsi="Arial"/>
          <w:sz w:val="20"/>
          <w:szCs w:val="20"/>
          <w:color w:val="auto"/>
        </w:rPr>
      </w:pPr>
    </w:p>
    <w:p>
      <w:pPr>
        <w:ind w:left="720" w:hanging="352"/>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carrier disruptions or increased costs that are beyond our control.</w:t>
      </w:r>
    </w:p>
    <w:p>
      <w:pPr>
        <w:spacing w:after="0" w:line="239"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In addition, we do not have any long-term commitments or supply agreements with our third-party manufacturers. We may be unable to establish any supply agreements with our third-party manufacturers or do so on acceptable terms, which increases the risk of timely obtaining sufficient quantities of our product candidates or such quantities at an acceptable cost, which may harm our business and results of operations.</w:t>
      </w:r>
    </w:p>
    <w:p>
      <w:pPr>
        <w:spacing w:after="0" w:line="188" w:lineRule="exact"/>
        <w:rPr>
          <w:sz w:val="20"/>
          <w:szCs w:val="20"/>
          <w:color w:val="auto"/>
        </w:rPr>
      </w:pPr>
    </w:p>
    <w:p>
      <w:pPr>
        <w:spacing w:after="0" w:line="252" w:lineRule="auto"/>
        <w:rPr>
          <w:sz w:val="20"/>
          <w:szCs w:val="20"/>
          <w:color w:val="auto"/>
        </w:rPr>
      </w:pPr>
      <w:r>
        <w:rPr>
          <w:rFonts w:ascii="Arial" w:cs="Arial" w:eastAsia="Arial" w:hAnsi="Arial"/>
          <w:sz w:val="20"/>
          <w:szCs w:val="20"/>
          <w:b w:val="1"/>
          <w:bCs w:val="1"/>
          <w:i w:val="1"/>
          <w:iCs w:val="1"/>
          <w:color w:val="auto"/>
        </w:rPr>
        <w:t>We rely on third parties to conduct, supervise and monitor our discovery research, preclinical studies and clinical trials. We have experienced delays due to actions of third parties in the past and if in the future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17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We do not currently have the ability to independently conduct certain discovery research, preclinical studies and clinical trials for our product candidates. We rely on CROs and clinical trial sites to ensure the proper and timely conduct of our preclinical studies and clinical trials, and we expect to have limited influence over their actual performance. We rely upon CROs to monitor and manage data for our clinical programs, as well as the execution of future nonclinical studies. We expect to control only certain aspects of our CROs’ activities. Nevertheless, we will be responsible for ensuring that each of our preclinical studies or clinical trials are conducted in accordance with the applicable protocol, legal, regulatory and scientific standards and our reliance on the CROs does not relieve us of our regulatory responsibilities.</w:t>
      </w:r>
    </w:p>
    <w:p>
      <w:pPr>
        <w:spacing w:after="0" w:line="195"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We and our CROs will be required to comply with the good laboratory practices (“GLPs”), and GCPs, which are regulations and guidelines enforced by the FDA and applicable foreign authorities in the form of International Conference on Harmonization guidelines for any of our product candidates that are in preclinical and clinical development. The regulatory authorities enforce GCPs through periodic inspections of trial sponsors, principal investigators and clinical trial sites. Although we will rely on CROs to conduct GLP-compliant preclinical studies and GCP-compliant clinical trials, we remain responsible for ensuring that each</w:t>
      </w:r>
    </w:p>
    <w:p>
      <w:pPr>
        <w:sectPr>
          <w:pgSz w:w="11880" w:h="15480" w:orient="portrait"/>
          <w:cols w:equalWidth="0" w:num="1">
            <w:col w:w="9680"/>
          </w:cols>
          <w:pgMar w:left="1080" w:top="1066" w:right="1120" w:bottom="543" w:gutter="0" w:footer="0" w:header="0"/>
        </w:sect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84</w:t>
      </w:r>
    </w:p>
    <w:p>
      <w:pPr>
        <w:sectPr>
          <w:pgSz w:w="11880" w:h="15480" w:orient="portrait"/>
          <w:cols w:equalWidth="0" w:num="1">
            <w:col w:w="9680"/>
          </w:cols>
          <w:pgMar w:left="1080" w:top="1066" w:right="1120" w:bottom="543" w:gutter="0" w:footer="0" w:header="0"/>
          <w:type w:val="continuous"/>
        </w:sectPr>
      </w:pPr>
    </w:p>
    <w:bookmarkStart w:id="86" w:name="page87"/>
    <w:bookmarkEnd w:id="86"/>
    <w:p>
      <w:pPr>
        <w:spacing w:after="0"/>
        <w:rPr>
          <w:sz w:val="20"/>
          <w:szCs w:val="20"/>
          <w:color w:val="auto"/>
        </w:rPr>
      </w:pPr>
      <w:r>
        <w:rPr>
          <w:rFonts w:ascii="Arial" w:cs="Arial" w:eastAsia="Arial" w:hAnsi="Arial"/>
          <w:sz w:val="20"/>
          <w:szCs w:val="20"/>
          <w:color w:val="auto"/>
        </w:rPr>
        <w:t>of our GLP preclinical studies and clinical trials is conducted in accordance with its investigational plan and protocol and applicable laws and regulations, and our reliance on the CROs does not relieve us of our regulatory responsibilities. If we or our CROs fail to comply with GCPs, the clinical data generated in our clinical trials may be deemed unreliable and the FDA or applicable foreign authorities may require us to perform additional clinical trials before approving our marketing applications. For example, in September 2023 we announced that topline data from the obesity cohort of our Phase 2a trial of GSBR-1290 would be delayed because of a data collection omission by a clinical site, where weight was not collected at the final (week</w:t>
      </w:r>
    </w:p>
    <w:p>
      <w:pPr>
        <w:spacing w:after="0" w:line="1" w:lineRule="exact"/>
        <w:rPr>
          <w:sz w:val="20"/>
          <w:szCs w:val="20"/>
          <w:color w:val="auto"/>
        </w:rPr>
      </w:pPr>
    </w:p>
    <w:p>
      <w:pPr>
        <w:ind w:right="40" w:firstLine="7"/>
        <w:spacing w:after="0" w:line="251" w:lineRule="auto"/>
        <w:tabs>
          <w:tab w:leader="none" w:pos="345" w:val="left"/>
        </w:tabs>
        <w:numPr>
          <w:ilvl w:val="0"/>
          <w:numId w:val="38"/>
        </w:numPr>
        <w:rPr>
          <w:rFonts w:ascii="Arial" w:cs="Arial" w:eastAsia="Arial" w:hAnsi="Arial"/>
          <w:sz w:val="20"/>
          <w:szCs w:val="20"/>
          <w:color w:val="auto"/>
        </w:rPr>
      </w:pPr>
      <w:r>
        <w:rPr>
          <w:rFonts w:ascii="Arial" w:cs="Arial" w:eastAsia="Arial" w:hAnsi="Arial"/>
          <w:sz w:val="20"/>
          <w:szCs w:val="20"/>
          <w:color w:val="auto"/>
        </w:rPr>
        <w:t>visit for 24 of the 40 enrolled participants. We expect to report the full 12-week obesity data in the latter half of the second quarter of 2024. Accordingly, if our CROs fail to comply with these regulations or fail to recruit a sufficient number of participants or ensure the collection of requisite data by clinical sites, we may be required to enroll additional participants or repeat clinical trials, which would delay the marketing approval process.</w:t>
      </w:r>
    </w:p>
    <w:p>
      <w:pPr>
        <w:spacing w:after="0" w:line="18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While we will have agreements governing their activities, our CROs will not be our employees, and we will not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marketing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spacing w:after="0" w:line="204"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In addition, quarantines, shelter-in-place, and similar government orders, or the perception that such orders, shutdowns or other restrictions on the conduct of business operations could occur, which could disrupt our clinical timelines, which could have a material adverse impact on our business, prospects, financial condition, and results of operations. If our relationship with these CROs terminates,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Though we intend to carefully manage our relationships with our CROs, we may encounter challenges or delays in the future and we cannot assure you that these delays or challenges will not have a negative impact on our business, financial condition and prospects.</w:t>
      </w:r>
    </w:p>
    <w:p>
      <w:pPr>
        <w:spacing w:after="0" w:line="198" w:lineRule="exact"/>
        <w:rPr>
          <w:sz w:val="20"/>
          <w:szCs w:val="20"/>
          <w:color w:val="auto"/>
        </w:rPr>
      </w:pPr>
    </w:p>
    <w:p>
      <w:pPr>
        <w:ind w:right="220"/>
        <w:spacing w:after="0" w:line="245" w:lineRule="auto"/>
        <w:rPr>
          <w:sz w:val="20"/>
          <w:szCs w:val="20"/>
          <w:color w:val="auto"/>
        </w:rPr>
      </w:pPr>
      <w:r>
        <w:rPr>
          <w:rFonts w:ascii="Arial" w:cs="Arial" w:eastAsia="Arial" w:hAnsi="Arial"/>
          <w:sz w:val="20"/>
          <w:szCs w:val="20"/>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applicable foreign authorities. The FDA or applicable foreign authorities may conclude that a financial relationship between us and a principal investigator has created a conflict of interest or otherwise affected interpretation of the trial. The FDA or applicable foreign authorities may therefore question the integrity of the data generated at the applicable clinical trial site and the utility of the clinical trial itself may be jeopardized. This could result in a delay in approval, or rejection, of our marketing applications by the FDA or applicable foreign authorities and may ultimately lead to the denial of marketing approval of our current and future product candidates.</w:t>
      </w:r>
    </w:p>
    <w:p>
      <w:pPr>
        <w:spacing w:after="0" w:line="202"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b w:val="1"/>
          <w:bCs w:val="1"/>
          <w:i w:val="1"/>
          <w:iCs w:val="1"/>
          <w:color w:val="auto"/>
        </w:rPr>
        <w:t>We have entered into, and may in the future enter into, collaboration agreements and strategic alliances to maximize the potential of our structure-based drug discovery platform and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w:t>
      </w:r>
    </w:p>
    <w:p>
      <w:pPr>
        <w:sectPr>
          <w:pgSz w:w="11880" w:h="15480" w:orient="portrait"/>
          <w:cols w:equalWidth="0" w:num="1">
            <w:col w:w="9720"/>
          </w:cols>
          <w:pgMar w:left="1080" w:top="1066" w:right="1080" w:bottom="543"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880" w:h="15480" w:orient="portrait"/>
          <w:cols w:equalWidth="0" w:num="1">
            <w:col w:w="9720"/>
          </w:cols>
          <w:pgMar w:left="1080" w:top="1066" w:right="1080" w:bottom="543" w:gutter="0" w:footer="0" w:header="0"/>
          <w:type w:val="continuous"/>
        </w:sectPr>
      </w:pPr>
    </w:p>
    <w:bookmarkStart w:id="87" w:name="page88"/>
    <w:bookmarkEnd w:id="87"/>
    <w:p>
      <w:pPr>
        <w:spacing w:after="0" w:line="242" w:lineRule="auto"/>
        <w:rPr>
          <w:sz w:val="20"/>
          <w:szCs w:val="20"/>
          <w:color w:val="auto"/>
        </w:rPr>
      </w:pPr>
      <w:r>
        <w:rPr>
          <w:rFonts w:ascii="Arial" w:cs="Arial" w:eastAsia="Arial" w:hAnsi="Arial"/>
          <w:sz w:val="20"/>
          <w:szCs w:val="20"/>
          <w:color w:val="auto"/>
        </w:rPr>
        <w:t>Part of our business strategy is to explore additional collaborations with third parties to further strengthen our platform capabilities and to leverage our platform for external opportunities where partners bring additional disease biology understanding, development and commercial expertise, regional insights or other complementary capabilities. We may therefore form or seek further strategic alliances, create joint ventures or collaborations, or enter into additional licensing arrangements with third parties that we believe will complement or augment our development and commercialization efforts with respect to our structure-based drug discovery platform or our product candidates and any future product candidates that we may develop, including in territories outside the United States or for certain indications. 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license agreements or strategic partnerships, we may not be able to realize the benefit of such transactions if we are unable to successfully integrate them with our existing operations and company culture. We also cannot be certain that, following a strategic transaction or license, we will achieve the revenue or other anticipated benefits that led us to enter into the arrangement.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collaborations are subject to numerous risks, which may include the following:</w:t>
      </w:r>
    </w:p>
    <w:p>
      <w:pPr>
        <w:spacing w:after="0" w:line="252" w:lineRule="exact"/>
        <w:rPr>
          <w:sz w:val="20"/>
          <w:szCs w:val="20"/>
          <w:color w:val="auto"/>
        </w:rPr>
      </w:pPr>
    </w:p>
    <w:p>
      <w:pPr>
        <w:ind w:left="720" w:right="20" w:hanging="353"/>
        <w:spacing w:after="0" w:line="262" w:lineRule="auto"/>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collaborators have significant discretion in determining the efforts and resources that they will apply to a collaboration, and may not commit sufficient efforts and resources, or may misapply those efforts and resources;</w:t>
      </w:r>
    </w:p>
    <w:p>
      <w:pPr>
        <w:spacing w:after="0" w:line="71" w:lineRule="exact"/>
        <w:rPr>
          <w:rFonts w:ascii="Arial" w:cs="Arial" w:eastAsia="Arial" w:hAnsi="Arial"/>
          <w:sz w:val="20"/>
          <w:szCs w:val="20"/>
          <w:color w:val="auto"/>
        </w:rPr>
      </w:pPr>
    </w:p>
    <w:p>
      <w:pPr>
        <w:ind w:left="720" w:right="700" w:hanging="353"/>
        <w:spacing w:after="0" w:line="254" w:lineRule="auto"/>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collaborators may not pursue development and commercialization of our structure-based drug discovery platform or collaboration product candidates or may elect not to continue or renew development or commercialization programs based on clinical trial results or changes in their strategic focus;</w:t>
      </w:r>
    </w:p>
    <w:p>
      <w:pPr>
        <w:spacing w:after="0" w:line="78" w:lineRule="exact"/>
        <w:rPr>
          <w:rFonts w:ascii="Arial" w:cs="Arial" w:eastAsia="Arial" w:hAnsi="Arial"/>
          <w:sz w:val="20"/>
          <w:szCs w:val="20"/>
          <w:color w:val="auto"/>
        </w:rPr>
      </w:pPr>
    </w:p>
    <w:p>
      <w:pPr>
        <w:ind w:left="720" w:right="600" w:hanging="353"/>
        <w:spacing w:after="0" w:line="284" w:lineRule="auto"/>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collaborators may delay, provide insufficient resources to, or modify or stop clinical trials for our structure-based drug discovery platform or collaboration product candidates;</w:t>
      </w:r>
    </w:p>
    <w:p>
      <w:pPr>
        <w:spacing w:after="0" w:line="49" w:lineRule="exact"/>
        <w:rPr>
          <w:rFonts w:ascii="Arial" w:cs="Arial" w:eastAsia="Arial" w:hAnsi="Arial"/>
          <w:sz w:val="20"/>
          <w:szCs w:val="20"/>
          <w:color w:val="auto"/>
        </w:rPr>
      </w:pPr>
    </w:p>
    <w:p>
      <w:pPr>
        <w:ind w:left="720" w:right="220" w:hanging="354"/>
        <w:spacing w:after="0" w:line="284" w:lineRule="auto"/>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collaborators could develop or acquire products outside of the collaboration that compete directly or indirectly with our products or product candidates;</w:t>
      </w:r>
    </w:p>
    <w:p>
      <w:pPr>
        <w:spacing w:after="0" w:line="48" w:lineRule="exact"/>
        <w:rPr>
          <w:rFonts w:ascii="Arial" w:cs="Arial" w:eastAsia="Arial" w:hAnsi="Arial"/>
          <w:sz w:val="20"/>
          <w:szCs w:val="20"/>
          <w:color w:val="auto"/>
        </w:rPr>
      </w:pPr>
    </w:p>
    <w:p>
      <w:pPr>
        <w:ind w:left="720" w:right="40" w:hanging="354"/>
        <w:spacing w:after="0" w:line="255" w:lineRule="auto"/>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6" w:lineRule="exact"/>
        <w:rPr>
          <w:rFonts w:ascii="Arial" w:cs="Arial" w:eastAsia="Arial" w:hAnsi="Arial"/>
          <w:sz w:val="20"/>
          <w:szCs w:val="20"/>
          <w:color w:val="auto"/>
        </w:rPr>
      </w:pPr>
    </w:p>
    <w:p>
      <w:pPr>
        <w:ind w:left="720" w:right="20" w:hanging="354"/>
        <w:spacing w:after="0" w:line="262" w:lineRule="auto"/>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70" w:lineRule="exact"/>
        <w:rPr>
          <w:rFonts w:ascii="Arial" w:cs="Arial" w:eastAsia="Arial" w:hAnsi="Arial"/>
          <w:sz w:val="20"/>
          <w:szCs w:val="20"/>
          <w:color w:val="auto"/>
        </w:rPr>
      </w:pPr>
    </w:p>
    <w:p>
      <w:pPr>
        <w:ind w:left="720" w:right="140" w:hanging="354"/>
        <w:spacing w:after="0" w:line="262" w:lineRule="auto"/>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collaborations may be terminated and, if terminated, may result in a need for additional capital and personnel to pursue further development or commercialization of our structure-based drug discovery platform or the applicable product candidates; and</w:t>
      </w:r>
    </w:p>
    <w:p>
      <w:pPr>
        <w:spacing w:after="0" w:line="71" w:lineRule="exact"/>
        <w:rPr>
          <w:rFonts w:ascii="Arial" w:cs="Arial" w:eastAsia="Arial" w:hAnsi="Arial"/>
          <w:sz w:val="20"/>
          <w:szCs w:val="20"/>
          <w:color w:val="auto"/>
        </w:rPr>
      </w:pPr>
    </w:p>
    <w:p>
      <w:pPr>
        <w:jc w:val="both"/>
        <w:ind w:left="720" w:right="400" w:hanging="354"/>
        <w:spacing w:after="0" w:line="262" w:lineRule="auto"/>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collaborators may own or co-own intellectual property covering our products that results from our collaborating with them, and in such cases, we may not have the exclusive right to commercialize such intellectual property.</w:t>
      </w:r>
    </w:p>
    <w:p>
      <w:pPr>
        <w:spacing w:after="0" w:line="177" w:lineRule="exact"/>
        <w:rPr>
          <w:sz w:val="20"/>
          <w:szCs w:val="20"/>
          <w:color w:val="auto"/>
        </w:rPr>
      </w:pPr>
    </w:p>
    <w:p>
      <w:pPr>
        <w:ind w:right="500"/>
        <w:spacing w:after="0" w:line="262" w:lineRule="auto"/>
        <w:rPr>
          <w:sz w:val="20"/>
          <w:szCs w:val="20"/>
          <w:color w:val="auto"/>
        </w:rPr>
      </w:pPr>
      <w:r>
        <w:rPr>
          <w:rFonts w:ascii="Arial" w:cs="Arial" w:eastAsia="Arial" w:hAnsi="Arial"/>
          <w:sz w:val="20"/>
          <w:szCs w:val="20"/>
          <w:color w:val="auto"/>
        </w:rPr>
        <w:t>In addition, we face significant competition in seeking appropriate strategic partners and the negotiation process is time-consuming and complex. We may not be successful in our efforts to establish a strategic partnership or other alternative arrangements for our structure-based drug discovery platform or product</w:t>
      </w:r>
    </w:p>
    <w:p>
      <w:pPr>
        <w:sectPr>
          <w:pgSz w:w="11880" w:h="15480" w:orient="portrait"/>
          <w:cols w:equalWidth="0" w:num="1">
            <w:col w:w="9720"/>
          </w:cols>
          <w:pgMar w:left="1080" w:top="1066" w:right="1080" w:bottom="543" w:gutter="0" w:footer="0" w:header="0"/>
        </w:sect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880" w:h="15480" w:orient="portrait"/>
          <w:cols w:equalWidth="0" w:num="1">
            <w:col w:w="9720"/>
          </w:cols>
          <w:pgMar w:left="1080" w:top="1066" w:right="1080" w:bottom="543" w:gutter="0" w:footer="0" w:header="0"/>
          <w:type w:val="continuous"/>
        </w:sectPr>
      </w:pPr>
    </w:p>
    <w:bookmarkStart w:id="88" w:name="page89"/>
    <w:bookmarkEnd w:id="88"/>
    <w:p>
      <w:pPr>
        <w:spacing w:after="0" w:line="244" w:lineRule="auto"/>
        <w:rPr>
          <w:sz w:val="20"/>
          <w:szCs w:val="20"/>
          <w:color w:val="auto"/>
        </w:rPr>
      </w:pPr>
      <w:r>
        <w:rPr>
          <w:rFonts w:ascii="Arial" w:cs="Arial" w:eastAsia="Arial" w:hAnsi="Arial"/>
          <w:sz w:val="20"/>
          <w:szCs w:val="20"/>
          <w:color w:val="auto"/>
        </w:rPr>
        <w:t>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w:t>
      </w:r>
    </w:p>
    <w:p>
      <w:pPr>
        <w:spacing w:after="0" w:line="195"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As a result of these risks, we may not be able to realize the benefit of our existing collaborations or any future collaborations or licensing agreements we may enter into. In addition, there have been a significant number of recent business combinations among large pharmaceutical and biomedical companies that have resulted in a reduced number of potential future collaborators and changes to the strategies of the combined company. As a result, we may not be able to negotiate collaborations on a timely basis, on acceptable terms, or at all. In addition, we may face regulatory obstacles in completing such transactions.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structure- based drug discovery platform or product candidates or bring them to market and generate revenue.</w:t>
      </w:r>
    </w:p>
    <w:p>
      <w:pPr>
        <w:spacing w:after="0" w:line="200"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Additionally, we may sometimes collaborate with academic institutions to accelerate our preclinical research or development under written agreements with these institutions. If collaborations occur,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 party intellectual property or to maintain the existing intellectual property rights we have, we may have to abandon development of such program and our business and financial condition could suffer.</w:t>
      </w:r>
    </w:p>
    <w:p>
      <w:pPr>
        <w:spacing w:after="0" w:line="197"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Our products require specific constituents to work effectively and efficiently, and rights to those constituents are, and in the future may be, held by others. We may also seek to in-license third-party technologies to enhance our structure-based drug discovery platform. We may be unable to in-license any rights from constituents, methods of use, processes or other third-party intellectual property rights from third parties that we identify. We may fail to obtain any of these licenses at a reasonable cost or on reasonable terms, which could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in order to establish or maintain our competitive position in the market. Any delays in entering into new collaborations or strategic partnership agreements related to our product candidates or our structure- based drug discovery platform could delay the development and commercialization of our product candidates in certain geographies or limit our ability to discover and develop new product candidates, which could harm our business prospects, financial condition, and results of operations.</w:t>
      </w:r>
    </w:p>
    <w:p>
      <w:pPr>
        <w:sectPr>
          <w:pgSz w:w="11880" w:h="15480" w:orient="portrait"/>
          <w:cols w:equalWidth="0" w:num="1">
            <w:col w:w="9720"/>
          </w:cols>
          <w:pgMar w:left="1080" w:top="1066"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880" w:h="15480" w:orient="portrait"/>
          <w:cols w:equalWidth="0" w:num="1">
            <w:col w:w="9720"/>
          </w:cols>
          <w:pgMar w:left="1080" w:top="1066" w:right="1080" w:bottom="543" w:gutter="0" w:footer="0" w:header="0"/>
          <w:type w:val="continuous"/>
        </w:sectPr>
      </w:pPr>
    </w:p>
    <w:bookmarkStart w:id="89" w:name="page90"/>
    <w:bookmarkEnd w:id="89"/>
    <w:p>
      <w:pPr>
        <w:ind w:right="280"/>
        <w:spacing w:after="0" w:line="265" w:lineRule="auto"/>
        <w:rPr>
          <w:sz w:val="20"/>
          <w:szCs w:val="20"/>
          <w:color w:val="auto"/>
        </w:rPr>
      </w:pPr>
      <w:r>
        <w:rPr>
          <w:rFonts w:ascii="Arial" w:cs="Arial" w:eastAsia="Arial" w:hAnsi="Arial"/>
          <w:sz w:val="20"/>
          <w:szCs w:val="20"/>
          <w:b w:val="1"/>
          <w:bCs w:val="1"/>
          <w:i w:val="1"/>
          <w:iCs w:val="1"/>
          <w:color w:val="auto"/>
        </w:rPr>
        <w:t>Our existing discovery collaborations with Schrödinger are important to our business. If we are unable to maintain these collaborations, or if these collaborations are not successful, our business could be adversely affected.</w:t>
      </w:r>
    </w:p>
    <w:p>
      <w:pPr>
        <w:spacing w:after="0" w:line="164"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auto"/>
        </w:rPr>
        <w:t>In October 2020, Lhotse, our wholly-owned subsidiary, entered into the Lhotse-Schrödinger Agreement. In November 2023, Aconcagua, our wholly-owned subsidiary, entered into the Aconcagua-Schrödinger Agreement. Under both agreements, Schrödinger uses its technology platform to perform virtual screens of members of the target class of human integrins, and we and Schrödinger collaborate to facilitate prioritization of targets, perform target validation and analysis, identify leads and perform lead optimization. Schrödinger has granted us an exclusive license to certain intellectual property related to our product candidates discovered under both agreements. See the discussion in Part I. Item 1. “Business—Lhotse Collaboration Agreement with Schrödinger” and Part I. Item 1. “Business—Aconcagua Collaboration Agreement with Schrödinger.”</w:t>
      </w:r>
    </w:p>
    <w:p>
      <w:pPr>
        <w:spacing w:after="0" w:line="197"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Because we currently rely on Schrödinger for a substantial portion of our discovery capabilities, if Schrödinger delays or fails to perform its obligations under the Lhotse- Schrödinger Agreement or Aconcagua-Schrödinger Agreement, disagrees with our interpretation of the terms of the collaborations or our discovery plan or terminates the Lhotse-Schrödinger Agreement or Aconcagua-Schrödinger Agreement, our pipeline of product candidates would be adversely affected. Schrödinger may also fail to properly maintain or defend the intellectual property we have licensed from them, or even infringe upon, our intellectual property rights, leading to the potential invalidation of our intellectual property or subjecting us to litigation or arbitration, any of which would be time -consuming and expensive. Additionally, either party has the right to terminate the collaboration pursuant to the terms of the Lhotse-Schrödinger Agreement or Aconcagua-Schrödinger Agreement, as applicable. If either of our collaborations with Schrödinger is terminated, especially during our discovery phase, the development of our product candidates would be materially delayed or harmed.</w:t>
      </w:r>
    </w:p>
    <w:p>
      <w:pPr>
        <w:spacing w:after="0" w:line="203" w:lineRule="exact"/>
        <w:rPr>
          <w:sz w:val="20"/>
          <w:szCs w:val="20"/>
          <w:color w:val="auto"/>
        </w:rPr>
      </w:pPr>
    </w:p>
    <w:p>
      <w:pPr>
        <w:ind w:right="100"/>
        <w:spacing w:after="0" w:line="290" w:lineRule="auto"/>
        <w:rPr>
          <w:sz w:val="20"/>
          <w:szCs w:val="20"/>
          <w:color w:val="auto"/>
        </w:rPr>
      </w:pPr>
      <w:r>
        <w:rPr>
          <w:rFonts w:ascii="Arial" w:cs="Arial" w:eastAsia="Arial" w:hAnsi="Arial"/>
          <w:sz w:val="20"/>
          <w:szCs w:val="20"/>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Reliance on third parties to manufacture or commercialize our current or any future product candidates, and on collaborations with additional third parties for the development of our current or any future product candidates, requires us to share trade secrets with these third parties.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services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9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addition, these agreements typically restrict the ability of our advisors, employees, third- party contractors and consultants to publish data potentially relating to our trade secrets. Despite our efforts to protect our trade secrets, our competitors may discover our trade secrets, either through breach of our agreements with third parties, independent development or publication of information by any third-party collaborators. A competitor’s discovery of our trade secrets could harm our business.</w:t>
      </w:r>
    </w:p>
    <w:p>
      <w:pPr>
        <w:sectPr>
          <w:pgSz w:w="11880" w:h="15480" w:orient="portrait"/>
          <w:cols w:equalWidth="0" w:num="1">
            <w:col w:w="9720"/>
          </w:cols>
          <w:pgMar w:left="1080" w:top="1070"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880" w:h="15480" w:orient="portrait"/>
          <w:cols w:equalWidth="0" w:num="1">
            <w:col w:w="9720"/>
          </w:cols>
          <w:pgMar w:left="1080" w:top="1070" w:right="1080" w:bottom="543" w:gutter="0" w:footer="0" w:header="0"/>
          <w:type w:val="continuous"/>
        </w:sectPr>
      </w:pPr>
    </w:p>
    <w:bookmarkStart w:id="90" w:name="page91"/>
    <w:bookmarkEnd w:id="90"/>
    <w:p>
      <w:pPr>
        <w:spacing w:after="0" w:line="290" w:lineRule="auto"/>
        <w:rPr>
          <w:sz w:val="20"/>
          <w:szCs w:val="20"/>
          <w:color w:val="auto"/>
        </w:rPr>
      </w:pPr>
      <w:r>
        <w:rPr>
          <w:rFonts w:ascii="Arial" w:cs="Arial" w:eastAsia="Arial" w:hAnsi="Arial"/>
          <w:sz w:val="20"/>
          <w:szCs w:val="20"/>
          <w:b w:val="1"/>
          <w:bCs w:val="1"/>
          <w:i w:val="1"/>
          <w:iCs w:val="1"/>
          <w:color w:val="auto"/>
        </w:rPr>
        <w:t>Confidentiality agreements with employees and third parties may not prevent unauthorized disclosure of trade secrets and other proprietary information.</w:t>
      </w:r>
    </w:p>
    <w:p>
      <w:pPr>
        <w:spacing w:after="0" w:line="141"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In addition to the protection afforded by patents, we seek to rely on trade secret protection and confidentiality agreements to protect proprietary know- how that is not patentable or that we elect not to patent, processes for which patents are difficult to enforce, and any other elements of our product candidates, technology and product discovery and development processes that involve proprietary know-how, information, or technology that is not covered by patents.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spacing w:after="0" w:line="203"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Trade secrets and confidential information, however, may be difficult to protect. We seek to protect our trade secrets, know -how and confidential information, including our proprietary processes, in part, by entering into confidentiality agreements with our employees, consultants, outside scientific advisors, contractors, and collaborators. With our consultants, contractors, and outside scientific collaborators, these agreements typically include invention assignment obligations. Although we use reasonable efforts to protect our trade secrets, our employees, consultants, outside scientific advisors, contractors, and collaborators might intentionally or inadvertently disclose our trade secret information, including to competitors. In addition, competitors or other third-parties may otherwise gain access to our trade secrets or independently develop substantially equivalent information and techniques.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 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207"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b w:val="1"/>
          <w:bCs w:val="1"/>
          <w:i w:val="1"/>
          <w:iCs w:val="1"/>
          <w:color w:val="auto"/>
        </w:rPr>
        <w:t>The adoption and deployment of artificial intelligence (“AI”) in our, and any third-party collaborators’ operations, and in particular our and any third-party collaborators’ research and development (“R&amp;D”) efforts to explore new targets and develop effective products, may not be effective and may expose us to risk.</w:t>
      </w:r>
    </w:p>
    <w:p>
      <w:pPr>
        <w:spacing w:after="0" w:line="171"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industry in which we compete is characterized by rapid technological advancements, frequent introductions of new products and heavy competition. The discovery of new products and targets remain vital to our success and the implementation by us and by any third-party collaborators of artificial intelligence technologies and processes, including advanced predictive analytics, computational approaches for drug discovery and so-called “generative” AI, has the potential to provide significant benefits in these areas. Use of AI in our efforts may be difficult to deploy successfully due to operational issues inherent in such methods. In particular, the AI algorithms utilize machine learning and predictive analytics which may lead to flawed, biased, and inaccurate results, which could lead to ineffective product or target candidates and exposure to competitive and reputational harm. We face increased competition from other companies that are using AI and related methods for drug discovery, some of which have more resources than we do and may have developed more effective methods than we and any third-party collaborators have, which may reduce our and any third-party collaborator’s effectiveness in identifying potential targets and attracting additional</w:t>
      </w:r>
    </w:p>
    <w:p>
      <w:pPr>
        <w:sectPr>
          <w:pgSz w:w="11880" w:h="15480" w:orient="portrait"/>
          <w:cols w:equalWidth="0" w:num="1">
            <w:col w:w="9700"/>
          </w:cols>
          <w:pgMar w:left="1080" w:top="1070" w:right="1100" w:bottom="543"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89</w:t>
      </w:r>
    </w:p>
    <w:p>
      <w:pPr>
        <w:sectPr>
          <w:pgSz w:w="11880" w:h="15480" w:orient="portrait"/>
          <w:cols w:equalWidth="0" w:num="1">
            <w:col w:w="9700"/>
          </w:cols>
          <w:pgMar w:left="1080" w:top="1070" w:right="1100" w:bottom="543" w:gutter="0" w:footer="0" w:header="0"/>
          <w:type w:val="continuous"/>
        </w:sectPr>
      </w:pPr>
    </w:p>
    <w:bookmarkStart w:id="91" w:name="page92"/>
    <w:bookmarkEnd w:id="91"/>
    <w:p>
      <w:pPr>
        <w:spacing w:after="0" w:line="262" w:lineRule="auto"/>
        <w:rPr>
          <w:sz w:val="20"/>
          <w:szCs w:val="20"/>
          <w:color w:val="auto"/>
        </w:rPr>
      </w:pPr>
      <w:r>
        <w:rPr>
          <w:rFonts w:ascii="Arial" w:cs="Arial" w:eastAsia="Arial" w:hAnsi="Arial"/>
          <w:sz w:val="20"/>
          <w:szCs w:val="20"/>
          <w:color w:val="auto"/>
        </w:rPr>
        <w:t>collaborators to work with us. Even with the successful implementation of AI, we may fail to correctly identify indications and allocate resources efficiently, which could adversely impact our pipeline and ability to compete effectively.</w:t>
      </w:r>
    </w:p>
    <w:p>
      <w:pPr>
        <w:spacing w:after="0" w:line="177"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Further, AI presents additional risks and challenges, especially as the use of these technologies becomes more important to our operations over time. Generative AI may be used improperly or inappropriately which could lead to the tainting of our proprietary information and render us unable to qualify for patent protection. Their use by people, including our vendors, employees, suppliers and contractors, with access to our proprietary and confidential information, including trade secrets, may continue to increase and may lead to the release of such information, which may impact our ability to realize the benefit of our intellectual property. Our use of generative AI platforms may lead to novel and urgent cybersecurity risks, which may adversely affect our operations and reputation, as well as the operations of any third-party collaborators. Emerging ethical issues surround the use of AI, and we may be subject to reputational and legal risk if our deployment or use of AI becomes controversial. Regulators could limit our, or any third-party collaborator’s ability to develop or implement AI-based technologies as part of measures taken against us or any third-party collaborators in particular or as a consequence of broader legislation, which could have an adverse effect on our or any third- party collaborators’ business, results of operations and financial conditions. Uncertainty in the legal regulatory regime may require significant resources to modify and maintain business practices to comply with U.S. and non-U.S. laws, the nature of which cannot be determined at this time.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Commercialization of Our Product Candidates</w:t>
      </w:r>
    </w:p>
    <w:p>
      <w:pPr>
        <w:spacing w:after="0" w:line="247"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b w:val="1"/>
          <w:bCs w:val="1"/>
          <w:i w:val="1"/>
          <w:iCs w:val="1"/>
          <w:color w:val="auto"/>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Even if we obtain any marketing approval for our current or any future product candidates, such approvals will be subject to ongoing regulatory requirements for manufacturing, labeling, packaging, storage, advertising, promotion, sampling, record-keeping and submission of safety and other post-market information. These requirements include submissions of safety and other post-marketing information and reports, registration, as well as on-going compliance with cGMPs and GCPs, for any clinical trials that we may conduct post-approval. Any marketing approvals that we receive for our current or future product candidates may also be subject to a REMS, limitations on the approved indicated uses for which the drug may be marketed or to the conditions of approval, or contain requirements for potentially costly post-marketing testing, including Phase 4 trials, and surveillance to monitor the quality, safety and efficacy of the drug.</w:t>
      </w:r>
    </w:p>
    <w:p>
      <w:pPr>
        <w:spacing w:after="0" w:line="180" w:lineRule="exact"/>
        <w:rPr>
          <w:sz w:val="20"/>
          <w:szCs w:val="20"/>
          <w:color w:val="auto"/>
        </w:rPr>
      </w:pPr>
    </w:p>
    <w:p>
      <w:pPr>
        <w:ind w:right="100" w:firstLine="1"/>
        <w:spacing w:after="0" w:line="246" w:lineRule="auto"/>
        <w:rPr>
          <w:sz w:val="20"/>
          <w:szCs w:val="20"/>
          <w:color w:val="auto"/>
        </w:rPr>
      </w:pPr>
      <w:r>
        <w:rPr>
          <w:rFonts w:ascii="Arial" w:cs="Arial" w:eastAsia="Arial" w:hAnsi="Arial"/>
          <w:sz w:val="20"/>
          <w:szCs w:val="20"/>
          <w:color w:val="auto"/>
        </w:rPr>
        <w:t>In addition, drug manufacturers and their facilities are subject to payment of user fees and continual review and periodic inspections by the FDA and other regulatory authorities for compliance with cGMP requirements and adherence to commitments made in the NDA or foreign marketing application. If we or a regulatory authority discover previously unknown problems with a drug, such as AEs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194" w:lineRule="exact"/>
        <w:rPr>
          <w:sz w:val="20"/>
          <w:szCs w:val="20"/>
          <w:color w:val="auto"/>
        </w:rPr>
      </w:pPr>
    </w:p>
    <w:p>
      <w:pPr>
        <w:ind w:right="120"/>
        <w:spacing w:after="0" w:line="284" w:lineRule="auto"/>
        <w:rPr>
          <w:sz w:val="20"/>
          <w:szCs w:val="20"/>
          <w:color w:val="auto"/>
        </w:rPr>
      </w:pPr>
      <w:r>
        <w:rPr>
          <w:rFonts w:ascii="Arial" w:cs="Arial" w:eastAsia="Arial" w:hAnsi="Arial"/>
          <w:sz w:val="20"/>
          <w:szCs w:val="20"/>
          <w:color w:val="auto"/>
        </w:rPr>
        <w:t>If we fail to comply with applicable regulatory requirements following approval of our current or future product candidates, a regulatory authority may, among other things:</w:t>
      </w:r>
    </w:p>
    <w:p>
      <w:pPr>
        <w:spacing w:after="0" w:line="169" w:lineRule="exact"/>
        <w:rPr>
          <w:sz w:val="20"/>
          <w:szCs w:val="20"/>
          <w:color w:val="auto"/>
        </w:rPr>
      </w:pPr>
    </w:p>
    <w:p>
      <w:pPr>
        <w:ind w:left="720" w:hanging="353"/>
        <w:spacing w:after="0"/>
        <w:tabs>
          <w:tab w:leader="none" w:pos="7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issue an untitled letter or warning letter asserting that we are in violation of the law;</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seek an injunction or impose administrative, civil or criminal penalties or monetary fines;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suspend or withdraw marketing approval;</w:t>
      </w:r>
    </w:p>
    <w:p>
      <w:pPr>
        <w:sectPr>
          <w:pgSz w:w="11880" w:h="15480" w:orient="portrait"/>
          <w:cols w:equalWidth="0" w:num="1">
            <w:col w:w="9720"/>
          </w:cols>
          <w:pgMar w:left="1080" w:top="1066" w:right="1080" w:bottom="543" w:gutter="0" w:footer="0" w:header="0"/>
        </w:sect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880" w:h="15480" w:orient="portrait"/>
          <w:cols w:equalWidth="0" w:num="1">
            <w:col w:w="9720"/>
          </w:cols>
          <w:pgMar w:left="1080" w:top="1066" w:right="1080" w:bottom="543" w:gutter="0" w:footer="0" w:header="0"/>
          <w:type w:val="continuous"/>
        </w:sectPr>
      </w:pPr>
    </w:p>
    <w:bookmarkStart w:id="92" w:name="page93"/>
    <w:bookmarkEnd w:id="92"/>
    <w:p>
      <w:pPr>
        <w:ind w:left="720" w:hanging="353"/>
        <w:spacing w:after="0"/>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suspend any ongoing clinical trials;</w:t>
      </w:r>
    </w:p>
    <w:p>
      <w:pPr>
        <w:spacing w:after="0" w:line="133" w:lineRule="exact"/>
        <w:rPr>
          <w:rFonts w:ascii="Arial" w:cs="Arial" w:eastAsia="Arial" w:hAnsi="Arial"/>
          <w:sz w:val="20"/>
          <w:szCs w:val="20"/>
          <w:color w:val="auto"/>
        </w:rPr>
      </w:pPr>
    </w:p>
    <w:p>
      <w:pPr>
        <w:ind w:left="720" w:right="220" w:hanging="353"/>
        <w:spacing w:after="0" w:line="284" w:lineRule="auto"/>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refuse to approve a pending NDA or NDA supplement, or comparable foreign marketing application (or any supplements thereto) submitted by us or our strategic partners;</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restrict or suspend the marketing or manufacturing of the drug;</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seize or detain the drug or otherwise require the withdrawal of the drug from the market;</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refuse to permit the import or export of product candidates; or</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refuse to allow us to enter into supply contracts, including government contracts.</w:t>
      </w:r>
    </w:p>
    <w:p>
      <w:pPr>
        <w:spacing w:after="0" w:line="239"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In addition, if any of our product candidates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 -label uses, and a company that is found to have improperly promoted off -label uses may be subject to significant sanctions. The federal government has levied large civil and criminal fines against companies for alleged improper promotion and has enjoined several companies from engaging in off-label promotion. The government has also required companies to enter into consent decrees and/or imposed permanent injunctions under which specified promotional conduct is changed or curtailed.</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FDA’s policies, and those of equivalent foreign regulatory agencies, may change and additional government regulations may be enacted that could cause changes to or delays in the drug review process, or suspend or restrict marketing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which would harm our business, financial condition, results of operations and prospects.</w:t>
      </w:r>
    </w:p>
    <w:p>
      <w:pPr>
        <w:spacing w:after="0" w:line="199" w:lineRule="exact"/>
        <w:rPr>
          <w:sz w:val="20"/>
          <w:szCs w:val="20"/>
          <w:color w:val="auto"/>
        </w:rPr>
      </w:pPr>
    </w:p>
    <w:p>
      <w:pPr>
        <w:ind w:right="160"/>
        <w:spacing w:after="0" w:line="265" w:lineRule="auto"/>
        <w:rPr>
          <w:sz w:val="20"/>
          <w:szCs w:val="20"/>
          <w:color w:val="auto"/>
        </w:rPr>
      </w:pPr>
      <w:r>
        <w:rPr>
          <w:rFonts w:ascii="Arial" w:cs="Arial" w:eastAsia="Arial" w:hAnsi="Arial"/>
          <w:sz w:val="20"/>
          <w:szCs w:val="20"/>
          <w:b w:val="1"/>
          <w:bCs w:val="1"/>
          <w:i w:val="1"/>
          <w:iCs w:val="1"/>
          <w:color w:val="auto"/>
        </w:rPr>
        <w:t>Even if our current or future product candidates receive marketing approval, they may fail to achieve market acceptance by physicians, patients, third-party payors or others in the medical community necessary for commercial success.</w:t>
      </w:r>
    </w:p>
    <w:p>
      <w:pPr>
        <w:spacing w:after="0" w:line="164"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Even if our current or future product candidates receive marketing approval, they may fail to gain sufficient market acceptance by physicians, patients, third-party payors and others in the medical community. If they do not achieve an adequate level of acceptance, we may not generate significant product revenue and may not become profitable. The degree of market acceptance of our current or future product candidates, if approved for commercial sale, will depend on a number of factors, including but not limited to:</w:t>
      </w:r>
    </w:p>
    <w:p>
      <w:pPr>
        <w:spacing w:after="0" w:line="202" w:lineRule="exact"/>
        <w:rPr>
          <w:sz w:val="20"/>
          <w:szCs w:val="20"/>
          <w:color w:val="auto"/>
        </w:rPr>
      </w:pPr>
    </w:p>
    <w:p>
      <w:pPr>
        <w:ind w:left="720" w:hanging="353"/>
        <w:spacing w:after="0"/>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clinical indications for which the product candidate is approved;</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efficacy and potential advantages compared to alternative treatments and therapies;</w:t>
      </w:r>
    </w:p>
    <w:p>
      <w:pPr>
        <w:spacing w:after="0" w:line="132" w:lineRule="exact"/>
        <w:rPr>
          <w:rFonts w:ascii="Arial" w:cs="Arial" w:eastAsia="Arial" w:hAnsi="Arial"/>
          <w:sz w:val="20"/>
          <w:szCs w:val="20"/>
          <w:color w:val="auto"/>
        </w:rPr>
      </w:pPr>
    </w:p>
    <w:p>
      <w:pPr>
        <w:ind w:left="720" w:hanging="353"/>
        <w:spacing w:after="0"/>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timing of market introduction of the product as well as competitive products;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effectiveness of sales and marketing efforts;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strength of our relationships with patient communities;</w:t>
      </w:r>
    </w:p>
    <w:p>
      <w:pPr>
        <w:spacing w:after="0" w:line="133" w:lineRule="exact"/>
        <w:rPr>
          <w:rFonts w:ascii="Arial" w:cs="Arial" w:eastAsia="Arial" w:hAnsi="Arial"/>
          <w:sz w:val="20"/>
          <w:szCs w:val="20"/>
          <w:color w:val="auto"/>
        </w:rPr>
      </w:pPr>
    </w:p>
    <w:p>
      <w:pPr>
        <w:ind w:left="720" w:right="160" w:hanging="353"/>
        <w:spacing w:after="0" w:line="284"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cost of treatment in relation to alternative treatments and therapies, including any similar generic treatments;</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our ability to offer such product for sale at competitive prices;</w:t>
      </w:r>
    </w:p>
    <w:p>
      <w:pPr>
        <w:sectPr>
          <w:pgSz w:w="11880" w:h="15480" w:orient="portrait"/>
          <w:cols w:equalWidth="0" w:num="1">
            <w:col w:w="9720"/>
          </w:cols>
          <w:pgMar w:left="1080" w:top="1080" w:right="1080" w:bottom="543" w:gutter="0" w:footer="0" w:header="0"/>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880" w:h="15480" w:orient="portrait"/>
          <w:cols w:equalWidth="0" w:num="1">
            <w:col w:w="9720"/>
          </w:cols>
          <w:pgMar w:left="1080" w:top="1080" w:right="1080" w:bottom="543" w:gutter="0" w:footer="0" w:header="0"/>
          <w:type w:val="continuous"/>
        </w:sectPr>
      </w:pPr>
    </w:p>
    <w:bookmarkStart w:id="93" w:name="page94"/>
    <w:bookmarkEnd w:id="93"/>
    <w:p>
      <w:pPr>
        <w:ind w:left="720" w:hanging="353"/>
        <w:spacing w:after="0"/>
        <w:tabs>
          <w:tab w:leader="none" w:pos="7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convenience and ease of administration compared to alternative treatments and therapies;</w:t>
      </w:r>
    </w:p>
    <w:p>
      <w:pPr>
        <w:spacing w:after="0" w:line="133" w:lineRule="exact"/>
        <w:rPr>
          <w:rFonts w:ascii="Arial" w:cs="Arial" w:eastAsia="Arial" w:hAnsi="Arial"/>
          <w:sz w:val="20"/>
          <w:szCs w:val="20"/>
          <w:color w:val="auto"/>
        </w:rPr>
      </w:pPr>
    </w:p>
    <w:p>
      <w:pPr>
        <w:ind w:left="720" w:right="440" w:hanging="353"/>
        <w:spacing w:after="0" w:line="284" w:lineRule="auto"/>
        <w:tabs>
          <w:tab w:leader="none" w:pos="7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willingness of the target patient population to try new therapies and of physicians to prescribe these therapies;</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availability of third-party coverage and adequate reimbursement;</w:t>
      </w:r>
    </w:p>
    <w:p>
      <w:pPr>
        <w:spacing w:after="0" w:line="133" w:lineRule="exact"/>
        <w:rPr>
          <w:rFonts w:ascii="Arial" w:cs="Arial" w:eastAsia="Arial" w:hAnsi="Arial"/>
          <w:sz w:val="20"/>
          <w:szCs w:val="20"/>
          <w:color w:val="auto"/>
        </w:rPr>
      </w:pPr>
    </w:p>
    <w:p>
      <w:pPr>
        <w:ind w:left="720" w:right="1160" w:hanging="353"/>
        <w:spacing w:after="0" w:line="284" w:lineRule="auto"/>
        <w:tabs>
          <w:tab w:leader="none" w:pos="7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willingness of patients to pay out-of-pocket in the absence of coverage and adequate reimbursement by third-party payors and government authorities;</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strength of marketing and distribution support;</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prevalence and severity of any side effects; and</w:t>
      </w:r>
    </w:p>
    <w:p>
      <w:pPr>
        <w:spacing w:after="0" w:line="132" w:lineRule="exact"/>
        <w:rPr>
          <w:rFonts w:ascii="Arial" w:cs="Arial" w:eastAsia="Arial" w:hAnsi="Arial"/>
          <w:sz w:val="20"/>
          <w:szCs w:val="20"/>
          <w:color w:val="auto"/>
        </w:rPr>
      </w:pPr>
    </w:p>
    <w:p>
      <w:pPr>
        <w:ind w:left="720" w:hanging="353"/>
        <w:spacing w:after="0"/>
        <w:tabs>
          <w:tab w:leader="none" w:pos="7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restrictions on the use of the product together with other medications.</w:t>
      </w:r>
    </w:p>
    <w:p>
      <w:pPr>
        <w:spacing w:after="0" w:line="240" w:lineRule="exact"/>
        <w:rPr>
          <w:sz w:val="20"/>
          <w:szCs w:val="20"/>
          <w:color w:val="auto"/>
        </w:rPr>
      </w:pPr>
    </w:p>
    <w:p>
      <w:pPr>
        <w:ind w:right="160"/>
        <w:spacing w:after="0" w:line="249" w:lineRule="auto"/>
        <w:rPr>
          <w:sz w:val="20"/>
          <w:szCs w:val="20"/>
          <w:color w:val="auto"/>
        </w:rPr>
      </w:pPr>
      <w:r>
        <w:rPr>
          <w:rFonts w:ascii="Arial" w:cs="Arial" w:eastAsia="Arial" w:hAnsi="Arial"/>
          <w:sz w:val="20"/>
          <w:szCs w:val="20"/>
          <w:color w:val="auto"/>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if approved, to find market acceptance would harm our business and could require us to seek additional financing.</w:t>
      </w:r>
    </w:p>
    <w:p>
      <w:pPr>
        <w:spacing w:after="0" w:line="193" w:lineRule="exact"/>
        <w:rPr>
          <w:sz w:val="20"/>
          <w:szCs w:val="20"/>
          <w:color w:val="auto"/>
        </w:rPr>
      </w:pPr>
    </w:p>
    <w:p>
      <w:pPr>
        <w:ind w:right="420"/>
        <w:spacing w:after="0" w:line="290" w:lineRule="auto"/>
        <w:rPr>
          <w:sz w:val="20"/>
          <w:szCs w:val="20"/>
          <w:color w:val="auto"/>
        </w:rPr>
      </w:pPr>
      <w:r>
        <w:rPr>
          <w:rFonts w:ascii="Arial" w:cs="Arial" w:eastAsia="Arial" w:hAnsi="Arial"/>
          <w:sz w:val="20"/>
          <w:szCs w:val="20"/>
          <w:b w:val="1"/>
          <w:bCs w:val="1"/>
          <w:i w:val="1"/>
          <w:iCs w:val="1"/>
          <w:color w:val="auto"/>
        </w:rPr>
        <w:t>Coverage and adequate reimbursement may not be available for our current or any future product candidates, which could make it difficult for us to sell profitably, if approved.</w:t>
      </w:r>
    </w:p>
    <w:p>
      <w:pPr>
        <w:spacing w:after="0" w:line="13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Market acceptance and sales of any product candidates that we commercialize, if approved, will depend in part on the extent to which coverage and adequate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Commercial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third-party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third- party payor determines whether or not it will provide coverage for a therapy, what amount it will pay the manufacturer for the therapy, and on what tier of its formulary it will be placed. The position on a third-party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unless coverage is provided and reimbursement is adequate to cover a significant portion of the cost of our drugs.</w:t>
      </w:r>
    </w:p>
    <w:p>
      <w:pPr>
        <w:spacing w:after="0" w:line="207"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Further, coverage policies and third-party payor reimbursement rates may change at any time. Therefore, even if favorable coverage and reimbursement status is attained for one or more products for which we receive marketing approval, less favorable coverage policies and reimbursement rates may be implemented in the future.</w:t>
      </w:r>
    </w:p>
    <w:p>
      <w:pPr>
        <w:sectPr>
          <w:pgSz w:w="11880" w:h="15480" w:orient="portrait"/>
          <w:cols w:equalWidth="0" w:num="1">
            <w:col w:w="9720"/>
          </w:cols>
          <w:pgMar w:left="1080" w:top="1080"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880" w:h="15480" w:orient="portrait"/>
          <w:cols w:equalWidth="0" w:num="1">
            <w:col w:w="9720"/>
          </w:cols>
          <w:pgMar w:left="1080" w:top="1080" w:right="1080" w:bottom="543" w:gutter="0" w:footer="0" w:header="0"/>
          <w:type w:val="continuous"/>
        </w:sectPr>
      </w:pPr>
    </w:p>
    <w:bookmarkStart w:id="94" w:name="page95"/>
    <w:bookmarkEnd w:id="94"/>
    <w:p>
      <w:pPr>
        <w:ind w:right="1360"/>
        <w:spacing w:after="0" w:line="290" w:lineRule="auto"/>
        <w:rPr>
          <w:sz w:val="20"/>
          <w:szCs w:val="20"/>
          <w:color w:val="auto"/>
        </w:rPr>
      </w:pPr>
      <w:r>
        <w:rPr>
          <w:rFonts w:ascii="Arial" w:cs="Arial" w:eastAsia="Arial" w:hAnsi="Arial"/>
          <w:sz w:val="20"/>
          <w:szCs w:val="20"/>
          <w:b w:val="1"/>
          <w:bCs w:val="1"/>
          <w:i w:val="1"/>
          <w:iCs w:val="1"/>
          <w:color w:val="auto"/>
        </w:rPr>
        <w:t>We face substantial competition, which may result in others discovering, developing or commercializing products before or more successfully than us.</w:t>
      </w:r>
    </w:p>
    <w:p>
      <w:pPr>
        <w:spacing w:after="0" w:line="141"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color w:val="auto"/>
        </w:rPr>
        <w:t>The biotechnology and biopharmaceutical industries are characterized by rapidly advancing technologies. Our future success will depend in part on our ability to maintain a competitive position with our structure-based drug discovery platform. If we fail to stay at the forefront of technological change in utilizing our platform to create and develop product candidates, we may be unable to compete effectively. Our competitors may render our approach obsolete by advances in existing technological approaches or the development of new or different approaches, potentially eliminating the advantages in our drug discovery process that we believe we derive from our research approach and platform.</w:t>
      </w:r>
    </w:p>
    <w:p>
      <w:pPr>
        <w:spacing w:after="0" w:line="193"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In addition, we face competition with respect to our current product candidates and will face competition with respect to any other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We are aware of GLP-1R small molecules in development by Pfizer, Eli Lilly, and Qilu Regor</w:t>
      </w:r>
    </w:p>
    <w:p>
      <w:pPr>
        <w:spacing w:after="0"/>
        <w:rPr>
          <w:sz w:val="20"/>
          <w:szCs w:val="20"/>
          <w:color w:val="auto"/>
        </w:rPr>
      </w:pPr>
      <w:r>
        <w:rPr>
          <w:rFonts w:ascii="Arial" w:cs="Arial" w:eastAsia="Arial" w:hAnsi="Arial"/>
          <w:sz w:val="20"/>
          <w:szCs w:val="20"/>
          <w:color w:val="auto"/>
        </w:rPr>
        <w:t>Therapeutics Inc. There are currently approved GLP-1R peptides for the treatment of diabetes and obesity</w:t>
      </w:r>
    </w:p>
    <w:p>
      <w:pPr>
        <w:spacing w:after="0"/>
        <w:rPr>
          <w:sz w:val="20"/>
          <w:szCs w:val="20"/>
          <w:color w:val="auto"/>
        </w:rPr>
      </w:pPr>
      <w:r>
        <w:rPr>
          <w:rFonts w:ascii="Arial" w:cs="Arial" w:eastAsia="Arial" w:hAnsi="Arial"/>
          <w:sz w:val="20"/>
          <w:szCs w:val="20"/>
          <w:color w:val="auto"/>
        </w:rPr>
        <w:t>marketed by Novo Nordisk, Eli Lilly, AstraZeneca, and Sanofi. We are also aware of other GLP-1R plus</w:t>
      </w:r>
    </w:p>
    <w:p>
      <w:pPr>
        <w:spacing w:after="0"/>
        <w:rPr>
          <w:sz w:val="20"/>
          <w:szCs w:val="20"/>
          <w:color w:val="auto"/>
        </w:rPr>
      </w:pPr>
      <w:r>
        <w:rPr>
          <w:rFonts w:ascii="Arial" w:cs="Arial" w:eastAsia="Arial" w:hAnsi="Arial"/>
          <w:sz w:val="20"/>
          <w:szCs w:val="20"/>
          <w:color w:val="auto"/>
        </w:rPr>
        <w:t>dual/tri incretin targeting peptides in development by Eli Lilly, Jiangsu Hansoh Pharmaceutical Group</w:t>
      </w:r>
    </w:p>
    <w:p>
      <w:pPr>
        <w:spacing w:after="0"/>
        <w:rPr>
          <w:sz w:val="20"/>
          <w:szCs w:val="20"/>
          <w:color w:val="auto"/>
        </w:rPr>
      </w:pPr>
      <w:r>
        <w:rPr>
          <w:rFonts w:ascii="Arial" w:cs="Arial" w:eastAsia="Arial" w:hAnsi="Arial"/>
          <w:sz w:val="20"/>
          <w:szCs w:val="20"/>
          <w:color w:val="auto"/>
        </w:rPr>
        <w:t>Co., Ltd., Boehringer Ingelheim, Altimmune, Inc., Carmot Therapeutics, Inc. (which was acquired by Roche</w:t>
      </w:r>
    </w:p>
    <w:p>
      <w:pPr>
        <w:spacing w:after="0"/>
        <w:rPr>
          <w:sz w:val="20"/>
          <w:szCs w:val="20"/>
          <w:color w:val="auto"/>
        </w:rPr>
      </w:pPr>
      <w:r>
        <w:rPr>
          <w:rFonts w:ascii="Arial" w:cs="Arial" w:eastAsia="Arial" w:hAnsi="Arial"/>
          <w:sz w:val="20"/>
          <w:szCs w:val="20"/>
          <w:color w:val="auto"/>
        </w:rPr>
        <w:t>Group in January 2024), and Sciwind Biosciences Co., Ltd. Additionally, we are aware of APJR targeted</w:t>
      </w:r>
    </w:p>
    <w:p>
      <w:pPr>
        <w:spacing w:after="0"/>
        <w:rPr>
          <w:sz w:val="20"/>
          <w:szCs w:val="20"/>
          <w:color w:val="auto"/>
        </w:rPr>
      </w:pPr>
      <w:r>
        <w:rPr>
          <w:rFonts w:ascii="Arial" w:cs="Arial" w:eastAsia="Arial" w:hAnsi="Arial"/>
          <w:sz w:val="20"/>
          <w:szCs w:val="20"/>
          <w:color w:val="auto"/>
        </w:rPr>
        <w:t>product candidates in development for COVID-19 acute respiratory distress syndrome by CohBar, Inc.; IPF,</w:t>
      </w:r>
    </w:p>
    <w:p>
      <w:pPr>
        <w:spacing w:after="0"/>
        <w:rPr>
          <w:sz w:val="20"/>
          <w:szCs w:val="20"/>
          <w:color w:val="auto"/>
        </w:rPr>
      </w:pPr>
      <w:r>
        <w:rPr>
          <w:rFonts w:ascii="Arial" w:cs="Arial" w:eastAsia="Arial" w:hAnsi="Arial"/>
          <w:sz w:val="20"/>
          <w:szCs w:val="20"/>
          <w:color w:val="auto"/>
        </w:rPr>
        <w:t>systemic sclerosis interstitial lung disease, and kidney nephrotic syndrome by Apie Therapeutics; and muscle</w:t>
      </w:r>
    </w:p>
    <w:p>
      <w:pPr>
        <w:spacing w:after="0"/>
        <w:rPr>
          <w:sz w:val="20"/>
          <w:szCs w:val="20"/>
          <w:color w:val="auto"/>
        </w:rPr>
      </w:pPr>
      <w:r>
        <w:rPr>
          <w:rFonts w:ascii="Arial" w:cs="Arial" w:eastAsia="Arial" w:hAnsi="Arial"/>
          <w:sz w:val="20"/>
          <w:szCs w:val="20"/>
          <w:color w:val="auto"/>
        </w:rPr>
        <w:t>atrophy by BioAge Labs, Inc. Both Amgen and BMS have APJR targeted product candidates for heart failure.</w:t>
      </w:r>
    </w:p>
    <w:p>
      <w:pPr>
        <w:spacing w:after="0"/>
        <w:rPr>
          <w:sz w:val="20"/>
          <w:szCs w:val="20"/>
          <w:color w:val="auto"/>
        </w:rPr>
      </w:pPr>
      <w:r>
        <w:rPr>
          <w:rFonts w:ascii="Arial" w:cs="Arial" w:eastAsia="Arial" w:hAnsi="Arial"/>
          <w:sz w:val="20"/>
          <w:szCs w:val="20"/>
          <w:color w:val="auto"/>
        </w:rPr>
        <w:t>Furthermore, we are aware of LPA1R targeted product candidates in development for IPF by BMS, Horizon</w:t>
      </w:r>
    </w:p>
    <w:p>
      <w:pPr>
        <w:spacing w:after="0"/>
        <w:rPr>
          <w:sz w:val="20"/>
          <w:szCs w:val="20"/>
          <w:color w:val="auto"/>
        </w:rPr>
      </w:pPr>
      <w:r>
        <w:rPr>
          <w:rFonts w:ascii="Arial" w:cs="Arial" w:eastAsia="Arial" w:hAnsi="Arial"/>
          <w:sz w:val="20"/>
          <w:szCs w:val="20"/>
          <w:color w:val="auto"/>
        </w:rPr>
        <w:t>Therapeutics plc, which was recently acquired by Amgen, and DJS Antibodies Ltd; myelin restoration and</w:t>
      </w:r>
    </w:p>
    <w:p>
      <w:pPr>
        <w:spacing w:after="0"/>
        <w:rPr>
          <w:sz w:val="20"/>
          <w:szCs w:val="20"/>
          <w:color w:val="auto"/>
        </w:rPr>
      </w:pPr>
      <w:r>
        <w:rPr>
          <w:rFonts w:ascii="Arial" w:cs="Arial" w:eastAsia="Arial" w:hAnsi="Arial"/>
          <w:sz w:val="20"/>
          <w:szCs w:val="20"/>
          <w:color w:val="auto"/>
        </w:rPr>
        <w:t>neuroinflammation by Pipeline Therapeutics.</w:t>
      </w:r>
    </w:p>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timing and scope of marketing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99"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commercial personnel, establishing clinical trial sites and subject registration for clinical trials, as well as in acquiring technologies complementary to, or necessary for, our programs. Any failure to compete effectively could harm our business, financial condition and operating results.</w:t>
      </w:r>
    </w:p>
    <w:p>
      <w:pPr>
        <w:spacing w:after="0" w:line="193"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color w:val="auto"/>
        </w:rPr>
        <w:t>In addition, we and any third-party collaborators are facing increasing competition from companies utilizing AI and other computational approaches for drug discovery. Some of these competitors are involved in drug</w:t>
      </w:r>
    </w:p>
    <w:p>
      <w:pPr>
        <w:sectPr>
          <w:pgSz w:w="11880" w:h="15480" w:orient="portrait"/>
          <w:cols w:equalWidth="0" w:num="1">
            <w:col w:w="9660"/>
          </w:cols>
          <w:pgMar w:left="1080" w:top="1070" w:right="1140" w:bottom="543" w:gutter="0" w:footer="0" w:header="0"/>
        </w:sect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93</w:t>
      </w:r>
    </w:p>
    <w:p>
      <w:pPr>
        <w:sectPr>
          <w:pgSz w:w="11880" w:h="15480" w:orient="portrait"/>
          <w:cols w:equalWidth="0" w:num="1">
            <w:col w:w="9660"/>
          </w:cols>
          <w:pgMar w:left="1080" w:top="1070" w:right="1140" w:bottom="543" w:gutter="0" w:footer="0" w:header="0"/>
          <w:type w:val="continuous"/>
        </w:sectPr>
      </w:pPr>
    </w:p>
    <w:bookmarkStart w:id="95" w:name="page96"/>
    <w:bookmarkEnd w:id="95"/>
    <w:p>
      <w:pPr>
        <w:jc w:val="both"/>
        <w:ind w:right="220"/>
        <w:spacing w:after="0" w:line="255" w:lineRule="auto"/>
        <w:rPr>
          <w:sz w:val="20"/>
          <w:szCs w:val="20"/>
          <w:color w:val="auto"/>
        </w:rPr>
      </w:pPr>
      <w:r>
        <w:rPr>
          <w:rFonts w:ascii="Arial" w:cs="Arial" w:eastAsia="Arial" w:hAnsi="Arial"/>
          <w:sz w:val="20"/>
          <w:szCs w:val="20"/>
          <w:color w:val="auto"/>
        </w:rPr>
        <w:t>discovery themselves and/or with partners, and others develop software or as well as other tools utilizing AI which can be used, directly or indirectly, in drug discovery. To the extent these other AI approaches to drug discovery prove to be successful, or more successful, than our and any third-party collaborators’ approach, our business, financial condition and operating results could be adversely affected.</w:t>
      </w:r>
    </w:p>
    <w:p>
      <w:pPr>
        <w:spacing w:after="0" w:line="188" w:lineRule="exact"/>
        <w:rPr>
          <w:sz w:val="20"/>
          <w:szCs w:val="20"/>
          <w:color w:val="auto"/>
        </w:rPr>
      </w:pPr>
    </w:p>
    <w:p>
      <w:pPr>
        <w:ind w:right="120"/>
        <w:spacing w:after="0" w:line="265" w:lineRule="auto"/>
        <w:rPr>
          <w:sz w:val="20"/>
          <w:szCs w:val="20"/>
          <w:color w:val="auto"/>
        </w:rPr>
      </w:pPr>
      <w:r>
        <w:rPr>
          <w:rFonts w:ascii="Arial" w:cs="Arial" w:eastAsia="Arial" w:hAnsi="Arial"/>
          <w:sz w:val="20"/>
          <w:szCs w:val="20"/>
          <w:b w:val="1"/>
          <w:bCs w:val="1"/>
          <w:i w:val="1"/>
          <w:iCs w:val="1"/>
          <w:color w:val="auto"/>
        </w:rPr>
        <w:t>If the market opportunities for any of our product candidates are smaller than we estimate, even assuming approval of a product candidate, our revenue may be adversely affected, and our business may suffer.</w:t>
      </w:r>
    </w:p>
    <w:p>
      <w:pPr>
        <w:spacing w:after="0" w:line="16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205"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b w:val="1"/>
          <w:bCs w:val="1"/>
          <w:i w:val="1"/>
          <w:iCs w:val="1"/>
          <w:color w:val="auto"/>
        </w:rPr>
        <w:t>We currently have no marketing and sales organization and have no experience as a company in commercializing products, and we may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75"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We have no internal sales, marketing or distribution capabilities, nor have we as a company commercialized a product. If any of our product candidates ultimately receives marketing approval, we will be required to build a marketing and sales organization with technical expertise and supporting distribution capabilities to commercialize each such product in the markets that we target,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207" w:lineRule="exact"/>
        <w:rPr>
          <w:sz w:val="20"/>
          <w:szCs w:val="20"/>
          <w:color w:val="auto"/>
        </w:rPr>
      </w:pPr>
    </w:p>
    <w:p>
      <w:pPr>
        <w:ind w:right="260"/>
        <w:spacing w:after="0" w:line="290" w:lineRule="auto"/>
        <w:rPr>
          <w:sz w:val="20"/>
          <w:szCs w:val="20"/>
          <w:color w:val="auto"/>
        </w:rPr>
      </w:pPr>
      <w:r>
        <w:rPr>
          <w:rFonts w:ascii="Arial" w:cs="Arial" w:eastAsia="Arial" w:hAnsi="Arial"/>
          <w:sz w:val="20"/>
          <w:szCs w:val="20"/>
          <w:b w:val="1"/>
          <w:bCs w:val="1"/>
          <w:i w:val="1"/>
          <w:iCs w:val="1"/>
          <w:color w:val="auto"/>
        </w:rPr>
        <w:t>Our future growth may depend, in part, on our ability to commercialize products in foreign markets, where we would be subject to additional regulatory burdens and other risks and uncertainties.</w:t>
      </w:r>
    </w:p>
    <w:p>
      <w:pPr>
        <w:spacing w:after="0" w:line="139" w:lineRule="exact"/>
        <w:rPr>
          <w:sz w:val="20"/>
          <w:szCs w:val="20"/>
          <w:color w:val="auto"/>
        </w:rPr>
      </w:pPr>
    </w:p>
    <w:p>
      <w:pPr>
        <w:ind w:right="80"/>
        <w:spacing w:after="0" w:line="284" w:lineRule="auto"/>
        <w:rPr>
          <w:sz w:val="20"/>
          <w:szCs w:val="20"/>
          <w:color w:val="auto"/>
        </w:rPr>
      </w:pPr>
      <w:r>
        <w:rPr>
          <w:rFonts w:ascii="Arial" w:cs="Arial" w:eastAsia="Arial" w:hAnsi="Arial"/>
          <w:sz w:val="20"/>
          <w:szCs w:val="20"/>
          <w:color w:val="auto"/>
        </w:rPr>
        <w:t>Our future growth may depend, in part, on our ability to develop and commercialize our product candidates in foreign markets. We are not permitted to market or promote any of our product candidates before we receive</w:t>
      </w:r>
    </w:p>
    <w:p>
      <w:pPr>
        <w:sectPr>
          <w:pgSz w:w="11880" w:h="15480" w:orient="portrait"/>
          <w:cols w:equalWidth="0" w:num="1">
            <w:col w:w="9720"/>
          </w:cols>
          <w:pgMar w:left="1080" w:top="1066" w:right="1080" w:bottom="543" w:gutter="0" w:footer="0" w:header="0"/>
        </w:sect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880" w:h="15480" w:orient="portrait"/>
          <w:cols w:equalWidth="0" w:num="1">
            <w:col w:w="9720"/>
          </w:cols>
          <w:pgMar w:left="1080" w:top="1066" w:right="1080" w:bottom="543" w:gutter="0" w:footer="0" w:header="0"/>
          <w:type w:val="continuous"/>
        </w:sectPr>
      </w:pPr>
    </w:p>
    <w:bookmarkStart w:id="96" w:name="page97"/>
    <w:bookmarkEnd w:id="96"/>
    <w:p>
      <w:pPr>
        <w:ind w:right="40"/>
        <w:spacing w:after="0" w:line="249" w:lineRule="auto"/>
        <w:rPr>
          <w:sz w:val="20"/>
          <w:szCs w:val="20"/>
          <w:color w:val="auto"/>
        </w:rPr>
      </w:pPr>
      <w:r>
        <w:rPr>
          <w:rFonts w:ascii="Arial" w:cs="Arial" w:eastAsia="Arial" w:hAnsi="Arial"/>
          <w:sz w:val="20"/>
          <w:szCs w:val="20"/>
          <w:color w:val="auto"/>
        </w:rPr>
        <w:t>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 and governing, among other things, clinical trials, commercial sales, pricing and distribution of our product candidates. If we obtain regulatory approval of our product candidates and ultimately commercialize our products in foreign markets, we would be subject to additional risks and uncertainties, including:</w:t>
      </w:r>
    </w:p>
    <w:p>
      <w:pPr>
        <w:spacing w:after="0" w:line="203" w:lineRule="exact"/>
        <w:rPr>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different regulatory requirements for approval of drugs in foreign countries;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reduced protection for intellectual property rights;</w:t>
      </w:r>
    </w:p>
    <w:p>
      <w:pPr>
        <w:spacing w:after="0" w:line="132" w:lineRule="exact"/>
        <w:rPr>
          <w:rFonts w:ascii="Arial" w:cs="Arial" w:eastAsia="Arial" w:hAnsi="Arial"/>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existence of additional third-party patent rights of potential relevance to our business;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unexpected changes in tariffs, trade barriers and regulatory requirements;</w:t>
      </w:r>
    </w:p>
    <w:p>
      <w:pPr>
        <w:spacing w:after="0" w:line="133" w:lineRule="exact"/>
        <w:rPr>
          <w:rFonts w:ascii="Arial" w:cs="Arial" w:eastAsia="Arial" w:hAnsi="Arial"/>
          <w:sz w:val="20"/>
          <w:szCs w:val="20"/>
          <w:color w:val="auto"/>
        </w:rPr>
      </w:pPr>
    </w:p>
    <w:p>
      <w:pPr>
        <w:ind w:left="720" w:right="420" w:hanging="353"/>
        <w:spacing w:after="0" w:line="284"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economic weakness, including inflation, or political instability in particular foreign economies and markets;</w:t>
      </w:r>
    </w:p>
    <w:p>
      <w:pPr>
        <w:spacing w:after="0" w:line="49" w:lineRule="exact"/>
        <w:rPr>
          <w:rFonts w:ascii="Arial" w:cs="Arial" w:eastAsia="Arial" w:hAnsi="Arial"/>
          <w:sz w:val="20"/>
          <w:szCs w:val="20"/>
          <w:color w:val="auto"/>
        </w:rPr>
      </w:pPr>
    </w:p>
    <w:p>
      <w:pPr>
        <w:ind w:left="720" w:right="620" w:hanging="353"/>
        <w:spacing w:after="0" w:line="284"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compliance with tax, employment, immigration and labor laws for employees living or traveling abroad;</w:t>
      </w:r>
    </w:p>
    <w:p>
      <w:pPr>
        <w:spacing w:after="0" w:line="48" w:lineRule="exact"/>
        <w:rPr>
          <w:rFonts w:ascii="Arial" w:cs="Arial" w:eastAsia="Arial" w:hAnsi="Arial"/>
          <w:sz w:val="20"/>
          <w:szCs w:val="20"/>
          <w:color w:val="auto"/>
        </w:rPr>
      </w:pPr>
    </w:p>
    <w:p>
      <w:pPr>
        <w:ind w:left="720" w:right="620" w:hanging="353"/>
        <w:spacing w:after="0" w:line="284"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foreign currency fluctuations, which could result in increased operating expenses and reduced revenues, and other obligations incident to doing business in another country;</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foreign reimbursement, pricing and insurance regimes;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workforce uncertainty in countries where labor unrest is common;</w:t>
      </w:r>
    </w:p>
    <w:p>
      <w:pPr>
        <w:spacing w:after="0" w:line="132" w:lineRule="exact"/>
        <w:rPr>
          <w:rFonts w:ascii="Arial" w:cs="Arial" w:eastAsia="Arial" w:hAnsi="Arial"/>
          <w:sz w:val="20"/>
          <w:szCs w:val="20"/>
          <w:color w:val="auto"/>
        </w:rPr>
      </w:pPr>
    </w:p>
    <w:p>
      <w:pPr>
        <w:ind w:left="720" w:right="640" w:hanging="353"/>
        <w:spacing w:after="0" w:line="284"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production shortages resulting from any events affecting raw material supply or manufacturing capabilities abroad; and</w:t>
      </w:r>
    </w:p>
    <w:p>
      <w:pPr>
        <w:spacing w:after="0" w:line="49" w:lineRule="exact"/>
        <w:rPr>
          <w:rFonts w:ascii="Arial" w:cs="Arial" w:eastAsia="Arial" w:hAnsi="Arial"/>
          <w:sz w:val="20"/>
          <w:szCs w:val="20"/>
          <w:color w:val="auto"/>
        </w:rPr>
      </w:pPr>
    </w:p>
    <w:p>
      <w:pPr>
        <w:ind w:left="720" w:right="500" w:hanging="353"/>
        <w:spacing w:after="0" w:line="284"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business interruptions resulting from geopolitical actions, including war and terrorism, or natural disasters including earthquakes, typhoons, floods and fires.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Operations and Industry</w:t>
      </w:r>
    </w:p>
    <w:p>
      <w:pPr>
        <w:spacing w:after="0" w:line="247" w:lineRule="exact"/>
        <w:rPr>
          <w:sz w:val="20"/>
          <w:szCs w:val="20"/>
          <w:color w:val="auto"/>
        </w:rPr>
      </w:pPr>
    </w:p>
    <w:p>
      <w:pPr>
        <w:spacing w:after="0" w:line="265" w:lineRule="auto"/>
        <w:rPr>
          <w:sz w:val="20"/>
          <w:szCs w:val="20"/>
          <w:color w:val="auto"/>
        </w:rPr>
      </w:pPr>
      <w:r>
        <w:rPr>
          <w:rFonts w:ascii="Arial" w:cs="Arial" w:eastAsia="Arial" w:hAnsi="Arial"/>
          <w:sz w:val="20"/>
          <w:szCs w:val="20"/>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64"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90" w:lineRule="exact"/>
        <w:rPr>
          <w:sz w:val="20"/>
          <w:szCs w:val="20"/>
          <w:color w:val="auto"/>
        </w:rPr>
      </w:pPr>
    </w:p>
    <w:p>
      <w:pPr>
        <w:ind w:left="720" w:right="280" w:hanging="353"/>
        <w:spacing w:after="0" w:line="262" w:lineRule="auto"/>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timing, degree of success and cost of, and level of investment in, research, development, regulatory approval and commercialization activities relating to our product candidates, which may change from time to time;</w:t>
      </w:r>
    </w:p>
    <w:p>
      <w:pPr>
        <w:spacing w:after="0" w:line="70" w:lineRule="exact"/>
        <w:rPr>
          <w:rFonts w:ascii="Arial" w:cs="Arial" w:eastAsia="Arial" w:hAnsi="Arial"/>
          <w:sz w:val="20"/>
          <w:szCs w:val="20"/>
          <w:color w:val="auto"/>
        </w:rPr>
      </w:pPr>
    </w:p>
    <w:p>
      <w:pPr>
        <w:ind w:left="720" w:right="640" w:hanging="353"/>
        <w:spacing w:after="0" w:line="284" w:lineRule="auto"/>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coverage and reimbursement policies with respect to our product candidates, if approved, and potential future drugs that compete with our products;</w:t>
      </w:r>
    </w:p>
    <w:p>
      <w:pPr>
        <w:spacing w:after="0" w:line="49" w:lineRule="exact"/>
        <w:rPr>
          <w:rFonts w:ascii="Arial" w:cs="Arial" w:eastAsia="Arial" w:hAnsi="Arial"/>
          <w:sz w:val="20"/>
          <w:szCs w:val="20"/>
          <w:color w:val="auto"/>
        </w:rPr>
      </w:pPr>
    </w:p>
    <w:p>
      <w:pPr>
        <w:ind w:left="720" w:right="520" w:hanging="353"/>
        <w:spacing w:after="0" w:line="284" w:lineRule="auto"/>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cost of manufacturing our product candidates, which may vary depending on the quantity of production and the terms of our agreements with third-party manufacturers;</w:t>
      </w:r>
    </w:p>
    <w:p>
      <w:pPr>
        <w:spacing w:after="0" w:line="48" w:lineRule="exact"/>
        <w:rPr>
          <w:rFonts w:ascii="Arial" w:cs="Arial" w:eastAsia="Arial" w:hAnsi="Arial"/>
          <w:sz w:val="20"/>
          <w:szCs w:val="20"/>
          <w:color w:val="auto"/>
        </w:rPr>
      </w:pPr>
    </w:p>
    <w:p>
      <w:pPr>
        <w:ind w:left="720" w:right="200" w:hanging="353"/>
        <w:spacing w:after="0" w:line="284" w:lineRule="auto"/>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expenditures that we may incur to acquire, develop or commercialize additional product candidates and technologies;</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level of demand for any approved products, which may vary significantly;</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future accounting pronouncements or changes in our accounting policies; and</w:t>
      </w:r>
    </w:p>
    <w:p>
      <w:pPr>
        <w:sectPr>
          <w:pgSz w:w="11880" w:h="15480" w:orient="portrait"/>
          <w:cols w:equalWidth="0" w:num="1">
            <w:col w:w="9660"/>
          </w:cols>
          <w:pgMar w:left="1080" w:top="1066" w:right="114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95</w:t>
      </w:r>
    </w:p>
    <w:p>
      <w:pPr>
        <w:sectPr>
          <w:pgSz w:w="11880" w:h="15480" w:orient="portrait"/>
          <w:cols w:equalWidth="0" w:num="1">
            <w:col w:w="9660"/>
          </w:cols>
          <w:pgMar w:left="1080" w:top="1066" w:right="1140" w:bottom="543" w:gutter="0" w:footer="0" w:header="0"/>
          <w:type w:val="continuous"/>
        </w:sectPr>
      </w:pPr>
    </w:p>
    <w:bookmarkStart w:id="97" w:name="page98"/>
    <w:bookmarkEnd w:id="97"/>
    <w:p>
      <w:pPr>
        <w:ind w:left="720" w:right="80" w:hanging="353"/>
        <w:spacing w:after="0" w:line="262" w:lineRule="auto"/>
        <w:tabs>
          <w:tab w:leader="none" w:pos="7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timing and success or failure of preclinical studies or clinical trials for our product candidates or any competing product candidates, or any other change in the competitive landscape of our industry, including consolidation among our competitors or partners.</w:t>
      </w:r>
    </w:p>
    <w:p>
      <w:pPr>
        <w:spacing w:after="0" w:line="177"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The cumulative effects of these factors could result in large fluctuations and unpredictability in our quarterly and annual operating results. As a result, comparing our operating results on a period-to- 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ADSs could decline substantially. Such a price decline could occur even when we have met any previously publicly stated revenue or earnings guidance we may provide.</w:t>
      </w:r>
    </w:p>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20"/>
          <w:szCs w:val="20"/>
          <w:b w:val="1"/>
          <w:bCs w:val="1"/>
          <w:i w:val="1"/>
          <w:iCs w:val="1"/>
          <w:color w:val="auto"/>
        </w:rPr>
        <w:t>We are highly dependent on the services of our senior management team and if we are not able to retain these members of our management team and recruit and retain additional management, clinical and scientific personnel, our business will be harmed.</w:t>
      </w:r>
    </w:p>
    <w:p>
      <w:pPr>
        <w:spacing w:after="0" w:line="166"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We are highly dependent on our senior management team. The employment agreements we have with these officers do not prevent such persons from terminating their employment with us at any time. The loss of the services of any of these persons could impede the achievement of our research, development and commercialization objectives. In addition, we will need to attract, retain and motivate highly qualified additional management, clinical and scientific personnel. If we are not able to retain our management and to attract, on terms acceptable to us, additional qualified personnel necessary for the continued development of our business, we may not be able to sustain our operations or grow.</w:t>
      </w:r>
    </w:p>
    <w:p>
      <w:pPr>
        <w:spacing w:after="0" w:line="194"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We may not be able to attract or retain qualified personnel in the future due to the intense competition for qualified personnel among biotechnology, pharmaceutical and other businesses. Many of the other pharmaceutical companies that we compete against for qualified personnel and consultants have greater financial and other resources, different risk profiles and a longer operating history in the industry than we do. They also may provide more diverse opportunities and better chances for career advancement. Some of these characteristics may be more appealing to high-quality candidates and consultants than what we have to offer. If we are unable to attract, retain and motivate high-quality personnel and consultants to accomplish our business objectives, the rate and success at which we can discover and develop product candidates and our business will be limited and we may experience constraints on our development objectives.</w:t>
      </w:r>
    </w:p>
    <w:p>
      <w:pPr>
        <w:spacing w:after="0" w:line="197"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marketing approvals, sales of our product candidates and our results of operations. Additionally, we do not currently maintain “key person” life insurance on the lives of our executives or any of our employees.</w:t>
      </w:r>
    </w:p>
    <w:p>
      <w:pPr>
        <w:spacing w:after="0" w:line="197" w:lineRule="exact"/>
        <w:rPr>
          <w:sz w:val="20"/>
          <w:szCs w:val="20"/>
          <w:color w:val="auto"/>
        </w:rPr>
      </w:pPr>
    </w:p>
    <w:p>
      <w:pPr>
        <w:ind w:right="40"/>
        <w:spacing w:after="0" w:line="290" w:lineRule="auto"/>
        <w:rPr>
          <w:sz w:val="20"/>
          <w:szCs w:val="20"/>
          <w:color w:val="auto"/>
        </w:rPr>
      </w:pPr>
      <w:r>
        <w:rPr>
          <w:rFonts w:ascii="Arial" w:cs="Arial" w:eastAsia="Arial" w:hAnsi="Arial"/>
          <w:sz w:val="20"/>
          <w:szCs w:val="20"/>
          <w:b w:val="1"/>
          <w:bCs w:val="1"/>
          <w:i w:val="1"/>
          <w:iCs w:val="1"/>
          <w:color w:val="auto"/>
        </w:rPr>
        <w:t>We will need to expand our organization, and we may experience difficulties in managing this growth, which could disrupt our operations.</w:t>
      </w:r>
    </w:p>
    <w:p>
      <w:pPr>
        <w:spacing w:after="0" w:line="141"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As of December 31, 2023, we had 93 full-time employees. As we advance our research and development programs, we may need to further increase the number of our employees and the scope of our operations, particularly in the areas of clinical development, discovery biology, chemistry, manufacturing, general and administrative matters related to being a public company, regulatory affairs and, if any of our product candidates receives marketing approval, sales, marketing and distribution. To manage any future growth, we must:</w:t>
      </w:r>
    </w:p>
    <w:p>
      <w:pPr>
        <w:spacing w:after="0" w:line="208" w:lineRule="exact"/>
        <w:rPr>
          <w:sz w:val="20"/>
          <w:szCs w:val="20"/>
          <w:color w:val="auto"/>
        </w:rPr>
      </w:pPr>
    </w:p>
    <w:p>
      <w:pPr>
        <w:ind w:left="720" w:hanging="353"/>
        <w:spacing w:after="0"/>
        <w:tabs>
          <w:tab w:leader="none" w:pos="7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identify, recruit, integrate, maintain and motivate additional qualified personnel;</w:t>
      </w:r>
    </w:p>
    <w:p>
      <w:pPr>
        <w:sectPr>
          <w:pgSz w:w="11880" w:h="15480" w:orient="portrait"/>
          <w:cols w:equalWidth="0" w:num="1">
            <w:col w:w="9700"/>
          </w:cols>
          <w:pgMar w:left="1080" w:top="1080" w:right="1100" w:bottom="543"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96</w:t>
      </w:r>
    </w:p>
    <w:p>
      <w:pPr>
        <w:sectPr>
          <w:pgSz w:w="11880" w:h="15480" w:orient="portrait"/>
          <w:cols w:equalWidth="0" w:num="1">
            <w:col w:w="9700"/>
          </w:cols>
          <w:pgMar w:left="1080" w:top="1080" w:right="1100" w:bottom="543" w:gutter="0" w:footer="0" w:header="0"/>
          <w:type w:val="continuous"/>
        </w:sectPr>
      </w:pPr>
    </w:p>
    <w:bookmarkStart w:id="98" w:name="page99"/>
    <w:bookmarkEnd w:id="98"/>
    <w:p>
      <w:pPr>
        <w:ind w:left="720" w:hanging="353"/>
        <w:spacing w:after="0" w:line="284" w:lineRule="auto"/>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manage our development efforts effectively, including the initiation and conduct of clinical trials for our product candidates; and</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improve our operational, financial and management controls, reporting systems and procedures.</w:t>
      </w:r>
    </w:p>
    <w:p>
      <w:pPr>
        <w:spacing w:after="0" w:line="240"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to managing these growth activities.</w:t>
      </w:r>
    </w:p>
    <w:p>
      <w:pPr>
        <w:spacing w:after="0" w:line="186" w:lineRule="exact"/>
        <w:rPr>
          <w:sz w:val="20"/>
          <w:szCs w:val="20"/>
          <w:color w:val="auto"/>
        </w:rPr>
      </w:pPr>
    </w:p>
    <w:p>
      <w:pPr>
        <w:ind w:right="180"/>
        <w:spacing w:after="0" w:line="255" w:lineRule="auto"/>
        <w:rPr>
          <w:sz w:val="20"/>
          <w:szCs w:val="20"/>
          <w:color w:val="auto"/>
        </w:rPr>
      </w:pPr>
      <w:r>
        <w:rPr>
          <w:rFonts w:ascii="Arial" w:cs="Arial" w:eastAsia="Arial" w:hAnsi="Arial"/>
          <w:sz w:val="20"/>
          <w:szCs w:val="20"/>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188" w:lineRule="exact"/>
        <w:rPr>
          <w:sz w:val="20"/>
          <w:szCs w:val="20"/>
          <w:color w:val="auto"/>
        </w:rPr>
      </w:pPr>
    </w:p>
    <w:p>
      <w:pPr>
        <w:ind w:right="120"/>
        <w:spacing w:after="0" w:line="252" w:lineRule="auto"/>
        <w:rPr>
          <w:sz w:val="20"/>
          <w:szCs w:val="20"/>
          <w:color w:val="auto"/>
        </w:rPr>
      </w:pPr>
      <w:r>
        <w:rPr>
          <w:rFonts w:ascii="Arial" w:cs="Arial" w:eastAsia="Arial" w:hAnsi="Arial"/>
          <w:sz w:val="20"/>
          <w:szCs w:val="20"/>
          <w:b w:val="1"/>
          <w:bCs w:val="1"/>
          <w:i w:val="1"/>
          <w:iCs w:val="1"/>
          <w:color w:val="auto"/>
        </w:rPr>
        <w:t>We conduct certain research and development operations through our Australian wholly- owned subsidiaries. If we lose our ability to operate in Australia, or if any of our subsidiaries are unable to receive the research and development tax credit allowed by Australian regulations, or are required to refund any research and development tax credit previously received or reserve for such credit in our financial statements, our business and results of operations could suffer.</w:t>
      </w:r>
    </w:p>
    <w:p>
      <w:pPr>
        <w:spacing w:after="0" w:line="178"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color w:val="auto"/>
        </w:rPr>
        <w:t>In 2021, we formed two wholly-owned Australian subsidiaries, Annapurna Bio Pty Limited (“Annapurna AU”) and Gasherbrum Bio Pty Limited (“Gasherbrum AU”),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applicable foreign authorities.</w:t>
      </w:r>
    </w:p>
    <w:p>
      <w:pPr>
        <w:spacing w:after="0" w:line="19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In addition, current Australian tax regulations provide for a refundable research and development tax credit equal to 43.5% of qualified expenditures. Although we have previously claimed a refundable research and development tax credit there is a possibility that we may not be able to claim such credit or we might qualify for a lesser credit. If we lose our ability to operate Annapurna AU or Gasherbrum AU in Australia, or if in the future we are ineligible or unable to receive the research and development tax credit or are required to refund any research and development tax credit previously received or have to reserve for such credit in our financial statements, or if the Australian government significantly reduces or eliminates the tax credit, our business and results of operation may be adversely affected.</w:t>
      </w:r>
    </w:p>
    <w:p>
      <w:pPr>
        <w:spacing w:after="0" w:line="199" w:lineRule="exact"/>
        <w:rPr>
          <w:sz w:val="20"/>
          <w:szCs w:val="20"/>
          <w:color w:val="auto"/>
        </w:rPr>
      </w:pPr>
    </w:p>
    <w:p>
      <w:pPr>
        <w:ind w:right="120"/>
        <w:spacing w:after="0" w:line="252" w:lineRule="auto"/>
        <w:rPr>
          <w:sz w:val="20"/>
          <w:szCs w:val="20"/>
          <w:color w:val="auto"/>
        </w:rPr>
      </w:pPr>
      <w:r>
        <w:rPr>
          <w:rFonts w:ascii="Arial" w:cs="Arial" w:eastAsia="Arial" w:hAnsi="Arial"/>
          <w:sz w:val="20"/>
          <w:szCs w:val="20"/>
          <w:b w:val="1"/>
          <w:bCs w:val="1"/>
          <w:i w:val="1"/>
          <w:iCs w:val="1"/>
          <w:color w:val="auto"/>
        </w:rPr>
        <w:t>Our relationships with customers, physicians and other healthcare providers, and third-party payors may be subject, directly or indirectly, to federal and state healthcare fraud and abuse laws, false claims laws, other healthcare laws and regulations and health data privacy and security laws and regulations, contractual obligations and self -regulatory schemes. If we are unable to comply, or have not fully complied, with such laws, we could face substantial penalties.</w:t>
      </w:r>
    </w:p>
    <w:p>
      <w:pPr>
        <w:spacing w:after="0" w:line="178"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These laws will impact, among other things, our clinical research, as well as our proposed sales and marketing programs. In addition, we may be subject to health information privacy and security laws by the federal government, the</w:t>
      </w:r>
    </w:p>
    <w:p>
      <w:pPr>
        <w:sectPr>
          <w:pgSz w:w="11880" w:h="15480" w:orient="portrait"/>
          <w:cols w:equalWidth="0" w:num="1">
            <w:col w:w="9720"/>
          </w:cols>
          <w:pgMar w:left="1080" w:top="1080" w:right="1080" w:bottom="5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880" w:h="15480" w:orient="portrait"/>
          <w:cols w:equalWidth="0" w:num="1">
            <w:col w:w="9720"/>
          </w:cols>
          <w:pgMar w:left="1080" w:top="1080" w:right="1080" w:bottom="543" w:gutter="0" w:footer="0" w:header="0"/>
          <w:type w:val="continuous"/>
        </w:sectPr>
      </w:pPr>
    </w:p>
    <w:bookmarkStart w:id="99" w:name="page100"/>
    <w:bookmarkEnd w:id="99"/>
    <w:p>
      <w:pPr>
        <w:ind w:right="60"/>
        <w:spacing w:after="0" w:line="284" w:lineRule="auto"/>
        <w:rPr>
          <w:sz w:val="20"/>
          <w:szCs w:val="20"/>
          <w:color w:val="auto"/>
        </w:rPr>
      </w:pPr>
      <w:r>
        <w:rPr>
          <w:rFonts w:ascii="Arial" w:cs="Arial" w:eastAsia="Arial" w:hAnsi="Arial"/>
          <w:sz w:val="20"/>
          <w:szCs w:val="20"/>
          <w:color w:val="auto"/>
        </w:rPr>
        <w:t>states and other jurisdictions in which we may conduct our business. The laws that may affect our operations include, but are not limited to:</w:t>
      </w:r>
    </w:p>
    <w:p>
      <w:pPr>
        <w:spacing w:after="0" w:line="170" w:lineRule="exact"/>
        <w:rPr>
          <w:sz w:val="20"/>
          <w:szCs w:val="20"/>
          <w:color w:val="auto"/>
        </w:rPr>
      </w:pPr>
    </w:p>
    <w:p>
      <w:pPr>
        <w:ind w:left="720" w:right="20" w:hanging="353"/>
        <w:spacing w:after="0" w:line="245" w:lineRule="auto"/>
        <w:tabs>
          <w:tab w:leader="none" w:pos="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among other things, arrangements between pharmaceutical manufacturers on the one hand, and prescribers, purchasers and formulary managers on the other. A person or entity does not need to have actual knowledge of this statute or specific intent to violate it in order to have committed a violation;</w:t>
      </w:r>
    </w:p>
    <w:p>
      <w:pPr>
        <w:spacing w:after="0" w:line="90" w:lineRule="exact"/>
        <w:rPr>
          <w:rFonts w:ascii="Arial" w:cs="Arial" w:eastAsia="Arial" w:hAnsi="Arial"/>
          <w:sz w:val="20"/>
          <w:szCs w:val="20"/>
          <w:color w:val="auto"/>
        </w:rPr>
      </w:pPr>
    </w:p>
    <w:p>
      <w:pPr>
        <w:ind w:left="720" w:hanging="353"/>
        <w:spacing w:after="0" w:line="246" w:lineRule="auto"/>
        <w:tabs>
          <w:tab w:leader="none" w:pos="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federal civil and criminal false claims laws, including, without limitation, the False Claims Act, and civil monetary penalty laws, such as the Civil Monetary Penalties Law,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p>
      <w:pPr>
        <w:spacing w:after="0" w:line="88" w:lineRule="exact"/>
        <w:rPr>
          <w:rFonts w:ascii="Arial" w:cs="Arial" w:eastAsia="Arial" w:hAnsi="Arial"/>
          <w:sz w:val="20"/>
          <w:szCs w:val="20"/>
          <w:color w:val="auto"/>
        </w:rPr>
      </w:pPr>
    </w:p>
    <w:p>
      <w:pPr>
        <w:ind w:left="720" w:right="20" w:hanging="353"/>
        <w:spacing w:after="0" w:line="248" w:lineRule="auto"/>
        <w:tabs>
          <w:tab w:leader="none" w:pos="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Health Insurance Portability and Accountability Act of 1996 (“HIPAA”), which created additional federal criminal statutes that prohibit, among other things, a person from knowingly and willfully executing a scheme or making false or fraudulent statements to defraud any healthcare benefit program, regardless of the payor (</w:t>
      </w:r>
      <w:r>
        <w:rPr>
          <w:rFonts w:ascii="Arial" w:cs="Arial" w:eastAsia="Arial" w:hAnsi="Arial"/>
          <w:sz w:val="20"/>
          <w:szCs w:val="20"/>
          <w:i w:val="1"/>
          <w:iCs w:val="1"/>
          <w:color w:val="auto"/>
        </w:rPr>
        <w:t>e.g.</w:t>
      </w:r>
      <w:r>
        <w:rPr>
          <w:rFonts w:ascii="Arial" w:cs="Arial" w:eastAsia="Arial" w:hAnsi="Arial"/>
          <w:sz w:val="20"/>
          <w:szCs w:val="20"/>
          <w:color w:val="auto"/>
        </w:rPr>
        <w:t>, public or private). Similar to the federal Anti-Kickback Statute, a person or entity does not need to have actual knowledge of this statute or specific intent to violate it in order to have committed a violation;</w:t>
      </w:r>
    </w:p>
    <w:p>
      <w:pPr>
        <w:spacing w:after="0" w:line="87" w:lineRule="exact"/>
        <w:rPr>
          <w:rFonts w:ascii="Arial" w:cs="Arial" w:eastAsia="Arial" w:hAnsi="Arial"/>
          <w:sz w:val="20"/>
          <w:szCs w:val="20"/>
          <w:color w:val="auto"/>
        </w:rPr>
      </w:pPr>
    </w:p>
    <w:p>
      <w:pPr>
        <w:ind w:left="720" w:right="40" w:hanging="353"/>
        <w:spacing w:after="0" w:line="245" w:lineRule="auto"/>
        <w:tabs>
          <w:tab w:leader="none" w:pos="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HIPAA, as amended by the Health Information Technology for Economic and Clinical Health Act of 2009 (“HITECH”), and their implementing regulations, which imposes certain requirements relating to the privacy, security and transmission of individually identifiable health information without appropriate authorization by entities subject to the rule, such as health plans, healthcare clearinghouses and certain healthcare providers, known as covered entities, and their respective business associates and covered contractors, individuals or entities that perform certain services on behalf of a covered entity that involves the use or disclosure of individually identifiable health information and their subcontractors that use, disclose or otherwise process individually identifiable health information;</w:t>
      </w:r>
    </w:p>
    <w:p>
      <w:pPr>
        <w:spacing w:after="0" w:line="90" w:lineRule="exact"/>
        <w:rPr>
          <w:rFonts w:ascii="Arial" w:cs="Arial" w:eastAsia="Arial" w:hAnsi="Arial"/>
          <w:sz w:val="20"/>
          <w:szCs w:val="20"/>
          <w:color w:val="auto"/>
        </w:rPr>
      </w:pPr>
    </w:p>
    <w:p>
      <w:pPr>
        <w:ind w:left="720" w:right="80" w:hanging="353"/>
        <w:spacing w:after="0" w:line="246" w:lineRule="auto"/>
        <w:tabs>
          <w:tab w:leader="none" w:pos="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w:t>
      </w:r>
    </w:p>
    <w:p>
      <w:pPr>
        <w:spacing w:after="0" w:line="87" w:lineRule="exact"/>
        <w:rPr>
          <w:rFonts w:ascii="Arial" w:cs="Arial" w:eastAsia="Arial" w:hAnsi="Arial"/>
          <w:sz w:val="20"/>
          <w:szCs w:val="20"/>
          <w:color w:val="auto"/>
        </w:rPr>
      </w:pPr>
    </w:p>
    <w:p>
      <w:pPr>
        <w:ind w:left="720" w:right="100" w:hanging="353"/>
        <w:spacing w:after="0" w:line="245" w:lineRule="auto"/>
        <w:tabs>
          <w:tab w:leader="none" w:pos="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state and foreign law equivalents of each of the above federal laws, state laws that require manufacturers to report information related to payments and other transfers of value to physicians and other healthcare providers or marketing expenditures and/or information regarding drug pricing,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laws and regulations that require drug manufacturers to file reports relating to drug pricing and marketing information, and state and local laws that require the registration of pharmaceutical sales representatives; and</w:t>
      </w:r>
    </w:p>
    <w:p>
      <w:pPr>
        <w:sectPr>
          <w:pgSz w:w="11880" w:h="15480" w:orient="portrait"/>
          <w:cols w:equalWidth="0" w:num="1">
            <w:col w:w="9680"/>
          </w:cols>
          <w:pgMar w:left="1080" w:top="1066" w:right="1120" w:bottom="543"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98</w:t>
      </w:r>
    </w:p>
    <w:p>
      <w:pPr>
        <w:sectPr>
          <w:pgSz w:w="11880" w:h="15480" w:orient="portrait"/>
          <w:cols w:equalWidth="0" w:num="1">
            <w:col w:w="9680"/>
          </w:cols>
          <w:pgMar w:left="1080" w:top="1066" w:right="1120" w:bottom="543" w:gutter="0" w:footer="0" w:header="0"/>
          <w:type w:val="continuous"/>
        </w:sectPr>
      </w:pPr>
    </w:p>
    <w:bookmarkStart w:id="100" w:name="page101"/>
    <w:bookmarkEnd w:id="100"/>
    <w:p>
      <w:pPr>
        <w:jc w:val="both"/>
        <w:ind w:left="720" w:right="160" w:hanging="353"/>
        <w:spacing w:after="0" w:line="262" w:lineRule="auto"/>
        <w:tabs>
          <w:tab w:leader="none" w:pos="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state and foreign laws that govern the privacy and security of personal information, including health-related information in some circumstances, many of which differ from each other in significant ways and often are not preempted by HIPAA, thus complicating compliance efforts.</w:t>
      </w:r>
    </w:p>
    <w:p>
      <w:pPr>
        <w:spacing w:after="0" w:line="177"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Because of the breadth of these laws and the limited statutory exceptions and regulatory safe harbors available, it is possible that some of our business activities, including certain scientific advisory board agreements with physicians who are compensated in the form of ordinary shares or share options in addition to cash consideration, could be subject to challenge under one or more of such laws.</w:t>
      </w:r>
    </w:p>
    <w:p>
      <w:pPr>
        <w:spacing w:after="0" w:line="186"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94"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auto"/>
        </w:rPr>
        <w:t>If our operations are found to be in violation of any of these laws or any other governmental regulations that may apply to us, we may be subject to significant civil, criminal and administrative penalties, damages, fines, disgorgement,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199" w:lineRule="exact"/>
        <w:rPr>
          <w:sz w:val="20"/>
          <w:szCs w:val="20"/>
          <w:color w:val="auto"/>
        </w:rPr>
      </w:pPr>
    </w:p>
    <w:p>
      <w:pPr>
        <w:ind w:right="300"/>
        <w:spacing w:after="0" w:line="290" w:lineRule="auto"/>
        <w:rPr>
          <w:sz w:val="20"/>
          <w:szCs w:val="20"/>
          <w:color w:val="auto"/>
        </w:rPr>
      </w:pPr>
      <w:r>
        <w:rPr>
          <w:rFonts w:ascii="Arial" w:cs="Arial" w:eastAsia="Arial" w:hAnsi="Arial"/>
          <w:sz w:val="20"/>
          <w:szCs w:val="20"/>
          <w:b w:val="1"/>
          <w:bCs w:val="1"/>
          <w:i w:val="1"/>
          <w:iCs w:val="1"/>
          <w:color w:val="auto"/>
        </w:rPr>
        <w:t>Healthcare legislative reform measures may have a negative impact on our business and results of operations.</w:t>
      </w:r>
    </w:p>
    <w:p>
      <w:pPr>
        <w:spacing w:after="0" w:line="139" w:lineRule="exact"/>
        <w:rPr>
          <w:sz w:val="20"/>
          <w:szCs w:val="20"/>
          <w:color w:val="auto"/>
        </w:rPr>
      </w:pPr>
    </w:p>
    <w:p>
      <w:pPr>
        <w:jc w:val="both"/>
        <w:ind w:right="100"/>
        <w:spacing w:after="0" w:line="254" w:lineRule="auto"/>
        <w:rPr>
          <w:sz w:val="20"/>
          <w:szCs w:val="20"/>
          <w:color w:val="auto"/>
        </w:rPr>
      </w:pPr>
      <w:r>
        <w:rPr>
          <w:rFonts w:ascii="Arial" w:cs="Arial" w:eastAsia="Arial" w:hAnsi="Arial"/>
          <w:sz w:val="20"/>
          <w:szCs w:val="20"/>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87"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as amended by the Health Care and Education Reconciliation Act (collectively, the “ACA,”) was passed, which substantially changed the way healthcare is financed by both the government and private insurers, and significantly impacts the U.S. pharmaceutical industry.</w:t>
      </w:r>
    </w:p>
    <w:p>
      <w:pPr>
        <w:spacing w:after="0" w:line="193"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Since its enactment, there have been judicial, Congressional and executive branch challenges to certain aspects of the ACA. On June 17, 2021, the U.S. Supreme Court dismissed the most recent judicial challenge to the ACA brought by several states on procedural grounds without specifically ruling on the constitutionality of the ACA. In addition,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through a newly established manufacturer discount program. It is possible the ACA will be subject to judicial or Congressional challenges in the future.</w:t>
      </w:r>
    </w:p>
    <w:p>
      <w:pPr>
        <w:spacing w:after="0" w:line="197"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Also, there has been heightened governmental scrutiny recently over the manner in which drug manufacturers set prices for their marketed products, which have resulted in several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drug</w:t>
      </w:r>
    </w:p>
    <w:p>
      <w:pPr>
        <w:sectPr>
          <w:pgSz w:w="11880" w:h="15480" w:orient="portrait"/>
          <w:cols w:equalWidth="0" w:num="1">
            <w:col w:w="9700"/>
          </w:cols>
          <w:pgMar w:left="1080" w:top="1080" w:right="1100" w:bottom="543"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99</w:t>
      </w:r>
    </w:p>
    <w:p>
      <w:pPr>
        <w:sectPr>
          <w:pgSz w:w="11880" w:h="15480" w:orient="portrait"/>
          <w:cols w:equalWidth="0" w:num="1">
            <w:col w:w="9700"/>
          </w:cols>
          <w:pgMar w:left="1080" w:top="1080" w:right="1100" w:bottom="543" w:gutter="0" w:footer="0" w:header="0"/>
          <w:type w:val="continuous"/>
        </w:sectPr>
      </w:pPr>
    </w:p>
    <w:bookmarkStart w:id="101" w:name="page102"/>
    <w:bookmarkEnd w:id="101"/>
    <w:p>
      <w:pPr>
        <w:spacing w:after="0"/>
        <w:rPr>
          <w:sz w:val="20"/>
          <w:szCs w:val="20"/>
          <w:color w:val="auto"/>
        </w:rPr>
      </w:pPr>
      <w:r>
        <w:rPr>
          <w:rFonts w:ascii="Arial" w:cs="Arial" w:eastAsia="Arial" w:hAnsi="Arial"/>
          <w:sz w:val="20"/>
          <w:szCs w:val="20"/>
          <w:color w:val="auto"/>
        </w:rPr>
        <w:t>products. For example, at the federal level, in July 2021, the Biden administration released an executive order</w:t>
      </w:r>
    </w:p>
    <w:p>
      <w:pPr>
        <w:spacing w:after="0"/>
        <w:rPr>
          <w:sz w:val="20"/>
          <w:szCs w:val="20"/>
          <w:color w:val="auto"/>
        </w:rPr>
      </w:pPr>
      <w:r>
        <w:rPr>
          <w:rFonts w:ascii="Arial" w:cs="Arial" w:eastAsia="Arial" w:hAnsi="Arial"/>
          <w:sz w:val="20"/>
          <w:szCs w:val="20"/>
          <w:color w:val="auto"/>
        </w:rPr>
        <w:t>with multiple provisions aimed at prescription drugs. In response to Biden’s executive order, on</w:t>
      </w:r>
    </w:p>
    <w:p>
      <w:pPr>
        <w:spacing w:after="0"/>
        <w:rPr>
          <w:sz w:val="20"/>
          <w:szCs w:val="20"/>
          <w:color w:val="auto"/>
        </w:rPr>
      </w:pPr>
      <w:r>
        <w:rPr>
          <w:rFonts w:ascii="Arial" w:cs="Arial" w:eastAsia="Arial" w:hAnsi="Arial"/>
          <w:sz w:val="20"/>
          <w:szCs w:val="20"/>
          <w:color w:val="auto"/>
        </w:rPr>
        <w:t>September 9, 2021, the U.S. Department of Health and Human Services (“HHS”) released a Comprehensive</w:t>
      </w:r>
    </w:p>
    <w:p>
      <w:pPr>
        <w:spacing w:after="0"/>
        <w:rPr>
          <w:sz w:val="20"/>
          <w:szCs w:val="20"/>
          <w:color w:val="auto"/>
        </w:rPr>
      </w:pPr>
      <w:r>
        <w:rPr>
          <w:rFonts w:ascii="Arial" w:cs="Arial" w:eastAsia="Arial" w:hAnsi="Arial"/>
          <w:sz w:val="20"/>
          <w:szCs w:val="20"/>
          <w:color w:val="auto"/>
        </w:rPr>
        <w:t>Plan for Addressing High Drug Prices that outlines principles for drug pricing reform and sets out a variety of</w:t>
      </w:r>
    </w:p>
    <w:p>
      <w:pPr>
        <w:spacing w:after="0"/>
        <w:rPr>
          <w:sz w:val="20"/>
          <w:szCs w:val="20"/>
          <w:color w:val="auto"/>
        </w:rPr>
      </w:pPr>
      <w:r>
        <w:rPr>
          <w:rFonts w:ascii="Arial" w:cs="Arial" w:eastAsia="Arial" w:hAnsi="Arial"/>
          <w:sz w:val="20"/>
          <w:szCs w:val="20"/>
          <w:color w:val="auto"/>
        </w:rPr>
        <w:t>potential legislative policies that Congress could pursue to advance these principles. In addition, the IRA,</w:t>
      </w:r>
    </w:p>
    <w:p>
      <w:pPr>
        <w:spacing w:after="0"/>
        <w:rPr>
          <w:sz w:val="20"/>
          <w:szCs w:val="20"/>
          <w:color w:val="auto"/>
        </w:rPr>
      </w:pPr>
      <w:r>
        <w:rPr>
          <w:rFonts w:ascii="Arial" w:cs="Arial" w:eastAsia="Arial" w:hAnsi="Arial"/>
          <w:sz w:val="20"/>
          <w:szCs w:val="20"/>
          <w:color w:val="auto"/>
        </w:rPr>
        <w:t>among other things, (1) directs the HHS to negotiate the price of certain single-source drugs and biologics</w:t>
      </w:r>
    </w:p>
    <w:p>
      <w:pPr>
        <w:spacing w:after="0"/>
        <w:rPr>
          <w:sz w:val="20"/>
          <w:szCs w:val="20"/>
          <w:color w:val="auto"/>
        </w:rPr>
      </w:pPr>
      <w:r>
        <w:rPr>
          <w:rFonts w:ascii="Arial" w:cs="Arial" w:eastAsia="Arial" w:hAnsi="Arial"/>
          <w:sz w:val="20"/>
          <w:szCs w:val="20"/>
          <w:color w:val="auto"/>
        </w:rPr>
        <w:t>covered under Medicare and (2) imposes rebates under Medicare Part B and Medicare Part D to penalize</w:t>
      </w:r>
    </w:p>
    <w:p>
      <w:pPr>
        <w:spacing w:after="0"/>
        <w:rPr>
          <w:sz w:val="20"/>
          <w:szCs w:val="20"/>
          <w:color w:val="auto"/>
        </w:rPr>
      </w:pPr>
      <w:r>
        <w:rPr>
          <w:rFonts w:ascii="Arial" w:cs="Arial" w:eastAsia="Arial" w:hAnsi="Arial"/>
          <w:sz w:val="20"/>
          <w:szCs w:val="20"/>
          <w:color w:val="auto"/>
        </w:rPr>
        <w:t>price increases that outpace inflation. These provisions take effect progressively starting in fiscal year 2023.</w:t>
      </w:r>
    </w:p>
    <w:p>
      <w:pPr>
        <w:spacing w:after="0"/>
        <w:rPr>
          <w:sz w:val="20"/>
          <w:szCs w:val="20"/>
          <w:color w:val="auto"/>
        </w:rPr>
      </w:pPr>
      <w:r>
        <w:rPr>
          <w:rFonts w:ascii="Arial" w:cs="Arial" w:eastAsia="Arial" w:hAnsi="Arial"/>
          <w:sz w:val="20"/>
          <w:szCs w:val="20"/>
          <w:color w:val="auto"/>
        </w:rPr>
        <w:t>On August 29, 2023, HHS announced the list of the first ten drugs that will be subject to price negotiations,</w:t>
      </w:r>
    </w:p>
    <w:p>
      <w:pPr>
        <w:spacing w:after="0"/>
        <w:rPr>
          <w:sz w:val="20"/>
          <w:szCs w:val="20"/>
          <w:color w:val="auto"/>
        </w:rPr>
      </w:pPr>
      <w:r>
        <w:rPr>
          <w:rFonts w:ascii="Arial" w:cs="Arial" w:eastAsia="Arial" w:hAnsi="Arial"/>
          <w:sz w:val="20"/>
          <w:szCs w:val="20"/>
          <w:color w:val="auto"/>
        </w:rPr>
        <w:t>although the Medicare drug price negotiation program is currently subject to legal challenges. HHS has and</w:t>
      </w:r>
    </w:p>
    <w:p>
      <w:pPr>
        <w:spacing w:after="0"/>
        <w:rPr>
          <w:sz w:val="20"/>
          <w:szCs w:val="20"/>
          <w:color w:val="auto"/>
        </w:rPr>
      </w:pPr>
      <w:r>
        <w:rPr>
          <w:rFonts w:ascii="Arial" w:cs="Arial" w:eastAsia="Arial" w:hAnsi="Arial"/>
          <w:sz w:val="20"/>
          <w:szCs w:val="20"/>
          <w:color w:val="auto"/>
        </w:rPr>
        <w:t>will continue to issue and update guidance as these programs are implemented. It is currently unclear how</w:t>
      </w:r>
    </w:p>
    <w:p>
      <w:pPr>
        <w:spacing w:after="0"/>
        <w:rPr>
          <w:sz w:val="20"/>
          <w:szCs w:val="20"/>
          <w:color w:val="auto"/>
        </w:rPr>
      </w:pPr>
      <w:r>
        <w:rPr>
          <w:rFonts w:ascii="Arial" w:cs="Arial" w:eastAsia="Arial" w:hAnsi="Arial"/>
          <w:sz w:val="20"/>
          <w:szCs w:val="20"/>
          <w:color w:val="auto"/>
        </w:rPr>
        <w:t>the IRA will be implemented but it is likely to have a significant impact on the pharmaceutical industry. In</w:t>
      </w:r>
    </w:p>
    <w:p>
      <w:pPr>
        <w:spacing w:after="0"/>
        <w:rPr>
          <w:sz w:val="20"/>
          <w:szCs w:val="20"/>
          <w:color w:val="auto"/>
        </w:rPr>
      </w:pPr>
      <w:r>
        <w:rPr>
          <w:rFonts w:ascii="Arial" w:cs="Arial" w:eastAsia="Arial" w:hAnsi="Arial"/>
          <w:sz w:val="20"/>
          <w:szCs w:val="20"/>
          <w:color w:val="auto"/>
        </w:rPr>
        <w:t>addition, in response to the Biden administration’s October 2022 executive order, on February 14, 2023, HHS</w:t>
      </w:r>
    </w:p>
    <w:p>
      <w:pPr>
        <w:spacing w:after="0"/>
        <w:rPr>
          <w:sz w:val="20"/>
          <w:szCs w:val="20"/>
          <w:color w:val="auto"/>
        </w:rPr>
      </w:pPr>
      <w:r>
        <w:rPr>
          <w:rFonts w:ascii="Arial" w:cs="Arial" w:eastAsia="Arial" w:hAnsi="Arial"/>
          <w:sz w:val="20"/>
          <w:szCs w:val="20"/>
          <w:color w:val="auto"/>
        </w:rPr>
        <w:t>released a report outlining three new models for testing by the Center for Medicare and Medicaid Innovation</w:t>
      </w:r>
    </w:p>
    <w:p>
      <w:pPr>
        <w:spacing w:after="0"/>
        <w:rPr>
          <w:sz w:val="20"/>
          <w:szCs w:val="20"/>
          <w:color w:val="auto"/>
        </w:rPr>
      </w:pPr>
      <w:r>
        <w:rPr>
          <w:rFonts w:ascii="Arial" w:cs="Arial" w:eastAsia="Arial" w:hAnsi="Arial"/>
          <w:sz w:val="20"/>
          <w:szCs w:val="20"/>
          <w:color w:val="auto"/>
        </w:rPr>
        <w:t>which will be evaluated on their ability to lower the cost of drugs, promote accessibility, and improve quality of</w:t>
      </w:r>
    </w:p>
    <w:p>
      <w:pPr>
        <w:spacing w:after="0"/>
        <w:rPr>
          <w:sz w:val="20"/>
          <w:szCs w:val="20"/>
          <w:color w:val="auto"/>
        </w:rPr>
      </w:pPr>
      <w:r>
        <w:rPr>
          <w:rFonts w:ascii="Arial" w:cs="Arial" w:eastAsia="Arial" w:hAnsi="Arial"/>
          <w:sz w:val="20"/>
          <w:szCs w:val="20"/>
          <w:color w:val="auto"/>
        </w:rPr>
        <w:t>care. It is unclear whether the models will be utilized in any health reform measures in the future. Further, on</w:t>
      </w:r>
    </w:p>
    <w:p>
      <w:pPr>
        <w:spacing w:after="0"/>
        <w:rPr>
          <w:sz w:val="20"/>
          <w:szCs w:val="20"/>
          <w:color w:val="auto"/>
        </w:rPr>
      </w:pPr>
      <w:r>
        <w:rPr>
          <w:rFonts w:ascii="Arial" w:cs="Arial" w:eastAsia="Arial" w:hAnsi="Arial"/>
          <w:sz w:val="20"/>
          <w:szCs w:val="20"/>
          <w:color w:val="auto"/>
        </w:rPr>
        <w:t>December 7, 2023, the Biden administration announced an initiative to control the price of prescription drugs</w:t>
      </w:r>
    </w:p>
    <w:p>
      <w:pPr>
        <w:spacing w:after="0"/>
        <w:rPr>
          <w:sz w:val="20"/>
          <w:szCs w:val="20"/>
          <w:color w:val="auto"/>
        </w:rPr>
      </w:pPr>
      <w:r>
        <w:rPr>
          <w:rFonts w:ascii="Arial" w:cs="Arial" w:eastAsia="Arial" w:hAnsi="Arial"/>
          <w:sz w:val="20"/>
          <w:szCs w:val="20"/>
          <w:color w:val="auto"/>
        </w:rPr>
        <w:t>through the use of march-in rights under the Bayh-Dole Act. On December 8, 2023, the National Institute of</w:t>
      </w:r>
    </w:p>
    <w:p>
      <w:pPr>
        <w:spacing w:after="0"/>
        <w:rPr>
          <w:sz w:val="20"/>
          <w:szCs w:val="20"/>
          <w:color w:val="auto"/>
        </w:rPr>
      </w:pPr>
      <w:r>
        <w:rPr>
          <w:rFonts w:ascii="Arial" w:cs="Arial" w:eastAsia="Arial" w:hAnsi="Arial"/>
          <w:sz w:val="20"/>
          <w:szCs w:val="20"/>
          <w:color w:val="auto"/>
        </w:rPr>
        <w:t>Standards and Technology published for comment a Draft Interagency Guidance Framework for Considering</w:t>
      </w:r>
    </w:p>
    <w:p>
      <w:pPr>
        <w:spacing w:after="0"/>
        <w:rPr>
          <w:sz w:val="20"/>
          <w:szCs w:val="20"/>
          <w:color w:val="auto"/>
        </w:rPr>
      </w:pPr>
      <w:r>
        <w:rPr>
          <w:rFonts w:ascii="Arial" w:cs="Arial" w:eastAsia="Arial" w:hAnsi="Arial"/>
          <w:sz w:val="19"/>
          <w:szCs w:val="19"/>
          <w:color w:val="auto"/>
        </w:rPr>
        <w:t>the Exercise of March-In Rights which for the first time includes the price of a product as one factor an agency</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can use when deciding to exercise march-in rights. While march-in rights have not previously been exercised,</w:t>
      </w:r>
    </w:p>
    <w:p>
      <w:pPr>
        <w:spacing w:after="0"/>
        <w:rPr>
          <w:sz w:val="20"/>
          <w:szCs w:val="20"/>
          <w:color w:val="auto"/>
        </w:rPr>
      </w:pPr>
      <w:r>
        <w:rPr>
          <w:rFonts w:ascii="Arial" w:cs="Arial" w:eastAsia="Arial" w:hAnsi="Arial"/>
          <w:sz w:val="20"/>
          <w:szCs w:val="20"/>
          <w:color w:val="auto"/>
        </w:rPr>
        <w:t>it is uncertain if that will continue under the new framework.</w:t>
      </w:r>
    </w:p>
    <w:p>
      <w:pPr>
        <w:spacing w:after="0" w:line="240"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spacing w:after="0" w:line="195"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We cannot predict what healthcare reform initiatives may be adopted in the future. We expect that these and other healthcare reform measures that may be adopted in the future, may result in more rigorous coverage criteria and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99" w:lineRule="exact"/>
        <w:rPr>
          <w:sz w:val="20"/>
          <w:szCs w:val="20"/>
          <w:color w:val="auto"/>
        </w:rPr>
      </w:pPr>
    </w:p>
    <w:p>
      <w:pPr>
        <w:spacing w:after="0" w:line="290" w:lineRule="auto"/>
        <w:rPr>
          <w:sz w:val="20"/>
          <w:szCs w:val="20"/>
          <w:color w:val="auto"/>
        </w:rPr>
      </w:pPr>
      <w:r>
        <w:rPr>
          <w:rFonts w:ascii="Arial" w:cs="Arial" w:eastAsia="Arial" w:hAnsi="Arial"/>
          <w:sz w:val="20"/>
          <w:szCs w:val="20"/>
          <w:b w:val="1"/>
          <w:bCs w:val="1"/>
          <w:i w:val="1"/>
          <w:iCs w:val="1"/>
          <w:color w:val="auto"/>
        </w:rPr>
        <w:t>If we or our third- party manufacturers use hazardous and biological materials in a manner that causes injury or violates applicable law, we may be liable for damages.</w:t>
      </w:r>
    </w:p>
    <w:p>
      <w:pPr>
        <w:spacing w:after="0" w:line="139"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and foreign jurisdictions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w:t>
      </w:r>
    </w:p>
    <w:p>
      <w:pPr>
        <w:sectPr>
          <w:pgSz w:w="11880" w:h="15480" w:orient="portrait"/>
          <w:cols w:equalWidth="0" w:num="1">
            <w:col w:w="9700"/>
          </w:cols>
          <w:pgMar w:left="1080" w:top="1066" w:right="1100" w:bottom="555"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100</w:t>
      </w:r>
    </w:p>
    <w:p>
      <w:pPr>
        <w:sectPr>
          <w:pgSz w:w="11880" w:h="15480" w:orient="portrait"/>
          <w:cols w:equalWidth="0" w:num="1">
            <w:col w:w="9700"/>
          </w:cols>
          <w:pgMar w:left="1080" w:top="1066" w:right="1100" w:bottom="555" w:gutter="0" w:footer="0" w:header="0"/>
          <w:type w:val="continuous"/>
        </w:sectPr>
      </w:pPr>
    </w:p>
    <w:bookmarkStart w:id="102" w:name="page103"/>
    <w:bookmarkEnd w:id="102"/>
    <w:p>
      <w:pPr>
        <w:ind w:right="160"/>
        <w:spacing w:after="0" w:line="255" w:lineRule="auto"/>
        <w:rPr>
          <w:sz w:val="20"/>
          <w:szCs w:val="20"/>
          <w:color w:val="auto"/>
        </w:rPr>
      </w:pPr>
      <w:r>
        <w:rPr>
          <w:rFonts w:ascii="Arial" w:cs="Arial" w:eastAsia="Arial" w:hAnsi="Arial"/>
          <w:sz w:val="20"/>
          <w:szCs w:val="20"/>
          <w:color w:val="auto"/>
        </w:rPr>
        <w:t>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and results of operations.</w:t>
      </w:r>
    </w:p>
    <w:p>
      <w:pPr>
        <w:spacing w:after="0" w:line="188" w:lineRule="exact"/>
        <w:rPr>
          <w:sz w:val="20"/>
          <w:szCs w:val="20"/>
          <w:color w:val="auto"/>
        </w:rPr>
      </w:pPr>
    </w:p>
    <w:p>
      <w:pPr>
        <w:ind w:right="520"/>
        <w:spacing w:after="0" w:line="290" w:lineRule="auto"/>
        <w:rPr>
          <w:sz w:val="20"/>
          <w:szCs w:val="20"/>
          <w:color w:val="auto"/>
        </w:rPr>
      </w:pPr>
      <w:r>
        <w:rPr>
          <w:rFonts w:ascii="Arial" w:cs="Arial" w:eastAsia="Arial" w:hAnsi="Arial"/>
          <w:sz w:val="20"/>
          <w:szCs w:val="20"/>
          <w:b w:val="1"/>
          <w:bCs w:val="1"/>
          <w:i w:val="1"/>
          <w:iCs w:val="1"/>
          <w:color w:val="auto"/>
        </w:rPr>
        <w:t>Product liability lawsuits against us could cause us to incur substantial liabilities and could limit commercialization of any product candidate that we may develop.</w:t>
      </w:r>
    </w:p>
    <w:p>
      <w:pPr>
        <w:spacing w:after="0" w:line="139" w:lineRule="exact"/>
        <w:rPr>
          <w:sz w:val="20"/>
          <w:szCs w:val="20"/>
          <w:color w:val="auto"/>
        </w:rPr>
      </w:pPr>
    </w:p>
    <w:p>
      <w:pPr>
        <w:ind w:right="460"/>
        <w:spacing w:after="0" w:line="251" w:lineRule="auto"/>
        <w:rPr>
          <w:sz w:val="20"/>
          <w:szCs w:val="20"/>
          <w:color w:val="auto"/>
        </w:rPr>
      </w:pPr>
      <w:r>
        <w:rPr>
          <w:rFonts w:ascii="Arial" w:cs="Arial" w:eastAsia="Arial" w:hAnsi="Arial"/>
          <w:sz w:val="20"/>
          <w:szCs w:val="20"/>
          <w:color w:val="auto"/>
        </w:rPr>
        <w:t>We face an inherent risk of product liability exposure related to the testing of our current and any future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p>
      <w:pPr>
        <w:spacing w:after="0" w:line="202" w:lineRule="exact"/>
        <w:rPr>
          <w:sz w:val="20"/>
          <w:szCs w:val="20"/>
          <w:color w:val="auto"/>
        </w:rPr>
      </w:pPr>
    </w:p>
    <w:p>
      <w:pPr>
        <w:ind w:left="720" w:hanging="353"/>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decreased demand for any product candidate that we may develop;</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product recalls, withdrawals or labeling, marketing or promotional restrictions;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loss of revenue;</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substantial monetary awards to trial participants or patients;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significant time and costs to defend the related litigation;</w:t>
      </w:r>
    </w:p>
    <w:p>
      <w:pPr>
        <w:spacing w:after="0" w:line="132" w:lineRule="exact"/>
        <w:rPr>
          <w:rFonts w:ascii="Arial" w:cs="Arial" w:eastAsia="Arial" w:hAnsi="Arial"/>
          <w:sz w:val="20"/>
          <w:szCs w:val="20"/>
          <w:color w:val="auto"/>
        </w:rPr>
      </w:pPr>
    </w:p>
    <w:p>
      <w:pPr>
        <w:ind w:left="720" w:hanging="352"/>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 diversion of management’s time and our resources;</w:t>
      </w:r>
    </w:p>
    <w:p>
      <w:pPr>
        <w:spacing w:after="0" w:line="133" w:lineRule="exact"/>
        <w:rPr>
          <w:rFonts w:ascii="Arial" w:cs="Arial" w:eastAsia="Arial" w:hAnsi="Arial"/>
          <w:sz w:val="20"/>
          <w:szCs w:val="20"/>
          <w:color w:val="auto"/>
        </w:rPr>
      </w:pPr>
    </w:p>
    <w:p>
      <w:pPr>
        <w:ind w:left="720" w:hanging="352"/>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withdrawal of clinical trial participants;</w:t>
      </w:r>
    </w:p>
    <w:p>
      <w:pPr>
        <w:spacing w:after="0" w:line="133" w:lineRule="exact"/>
        <w:rPr>
          <w:rFonts w:ascii="Arial" w:cs="Arial" w:eastAsia="Arial" w:hAnsi="Arial"/>
          <w:sz w:val="20"/>
          <w:szCs w:val="20"/>
          <w:color w:val="auto"/>
        </w:rPr>
      </w:pPr>
    </w:p>
    <w:p>
      <w:pPr>
        <w:ind w:left="720" w:hanging="352"/>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initiation of investigations by regulators;</w:t>
      </w:r>
    </w:p>
    <w:p>
      <w:pPr>
        <w:spacing w:after="0" w:line="133" w:lineRule="exact"/>
        <w:rPr>
          <w:rFonts w:ascii="Arial" w:cs="Arial" w:eastAsia="Arial" w:hAnsi="Arial"/>
          <w:sz w:val="20"/>
          <w:szCs w:val="20"/>
          <w:color w:val="auto"/>
        </w:rPr>
      </w:pPr>
    </w:p>
    <w:p>
      <w:pPr>
        <w:ind w:left="720" w:hanging="352"/>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inability to commercialize any product candidate that we may develop;</w:t>
      </w:r>
    </w:p>
    <w:p>
      <w:pPr>
        <w:spacing w:after="0" w:line="133" w:lineRule="exact"/>
        <w:rPr>
          <w:rFonts w:ascii="Arial" w:cs="Arial" w:eastAsia="Arial" w:hAnsi="Arial"/>
          <w:sz w:val="20"/>
          <w:szCs w:val="20"/>
          <w:color w:val="auto"/>
        </w:rPr>
      </w:pPr>
    </w:p>
    <w:p>
      <w:pPr>
        <w:ind w:left="720" w:hanging="352"/>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injury to our reputation and significant negative media attention; and</w:t>
      </w:r>
    </w:p>
    <w:p>
      <w:pPr>
        <w:spacing w:after="0" w:line="133" w:lineRule="exact"/>
        <w:rPr>
          <w:rFonts w:ascii="Arial" w:cs="Arial" w:eastAsia="Arial" w:hAnsi="Arial"/>
          <w:sz w:val="20"/>
          <w:szCs w:val="20"/>
          <w:color w:val="auto"/>
        </w:rPr>
      </w:pPr>
    </w:p>
    <w:p>
      <w:pPr>
        <w:ind w:left="720" w:hanging="352"/>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 decline in our ADS price.</w:t>
      </w:r>
    </w:p>
    <w:p>
      <w:pPr>
        <w:spacing w:after="0" w:line="239"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We currently hold approximately $10.0 million in product liability insurance coverage in the aggregate. We may need to increase our insurance coverage as we expand our clinical trials and if we successfully commercialize any product candidate. Insurance coverage is increasingly expensive. We may not be able to obtain or maintain insurance coverage at a reasonable cost or in an amount adequate to satisfy any liability that may arise.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203"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b w:val="1"/>
          <w:bCs w:val="1"/>
          <w:i w:val="1"/>
          <w:iCs w:val="1"/>
          <w:color w:val="auto"/>
        </w:rPr>
        <w:t>If our information technology systems or data, or those of third parties upon which we rely, are or were compromised or experienced significant disruptions of our information technology systems or data security incidents, we could experience adverse consequences including but not limited to significant financial, legal, regulatory, business and reputational harm; litigation; fines and penalties; disruptions of our business operations; loss of revenue or profits; loss of customers or sales; or other adverse consequences.</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We are increasingly dependent on information technology systems and infrastructure, including mobile and third -party, cloud-based technologies, to operate our business. In the ordinary course of our business, we may collect, store, process and transmit large amounts of sensitive information, including intellectual property, proprietary business information, personal information and other confidential information. It is critical that we</w:t>
      </w:r>
    </w:p>
    <w:p>
      <w:pPr>
        <w:sectPr>
          <w:pgSz w:w="11880" w:h="15480" w:orient="portrait"/>
          <w:cols w:equalWidth="0" w:num="1">
            <w:col w:w="9700"/>
          </w:cols>
          <w:pgMar w:left="1080" w:top="1066" w:right="1100" w:bottom="555"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101</w:t>
      </w:r>
    </w:p>
    <w:p>
      <w:pPr>
        <w:sectPr>
          <w:pgSz w:w="11880" w:h="15480" w:orient="portrait"/>
          <w:cols w:equalWidth="0" w:num="1">
            <w:col w:w="9700"/>
          </w:cols>
          <w:pgMar w:left="1080" w:top="1066" w:right="1100" w:bottom="555" w:gutter="0" w:footer="0" w:header="0"/>
          <w:type w:val="continuous"/>
        </w:sectPr>
      </w:pPr>
    </w:p>
    <w:bookmarkStart w:id="103" w:name="page104"/>
    <w:bookmarkEnd w:id="103"/>
    <w:p>
      <w:pPr>
        <w:spacing w:after="0" w:line="242" w:lineRule="auto"/>
        <w:rPr>
          <w:sz w:val="20"/>
          <w:szCs w:val="20"/>
          <w:color w:val="auto"/>
        </w:rPr>
      </w:pPr>
      <w:r>
        <w:rPr>
          <w:rFonts w:ascii="Arial" w:cs="Arial" w:eastAsia="Arial" w:hAnsi="Arial"/>
          <w:sz w:val="20"/>
          <w:szCs w:val="20"/>
          <w:color w:val="auto"/>
        </w:rPr>
        <w:t>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or our sensitive information. In addition, many of those third parties in turn subcontract or outsource some of their responsibilities to third parties. While all information technology operations are inherently vulnerable to inadvertent or intentional security breaches, incidents, attacks and exposures, the accessibility and distributed nature of our information technology systems, and the sensitive information stored on or transmitted between those systems, make such systems potentially vulnerable to unintentional or malicious, internal and external exploits of our technology environment, including by organized groups and individuals with a wide range of motives (including, but not limited to, industrial espionage) and expertise, including organized criminal groups, “hacktivists,” nation states and others. Further, due to the COVID-19 pandemic, we enabled all of our employees to work remotely, which may make us more vulnerable to cyberattacks. Cyberattacks are increasing in their frequency, levels of persistence, sophistication and intensity, and are being conducted by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supply chain attacks, denial-of-service attacks, social engineering and other means to affect service reliability and threaten the confidentiality, integrity and availability of information. Data security incidents and other inappropriate access can also be difficult to detect, can result from the intentional or inadvertent actions or inactions of those with authorized access to our network and any delay in identifying them may lead to increased harm. In addition, the prevalent use of mobile devices increases the risk of data security incidents.</w:t>
      </w:r>
    </w:p>
    <w:p>
      <w:pPr>
        <w:spacing w:after="0" w:line="200"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Significant disruptions of, or cyber incidents directed at, our or our third-party vendors’ and/or business partners’ information technology systems could adversely affect our business operations and/or result in the loss, misappropriation, and/or unauthorized access, use or disclosure of, or the prevention of access to, sensitive information, which could result in a variety of adverse effects, including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Additionally, theft of our intellectual property or proprietary business information could require substantial expenditures to remedy. If we or our third-party collaborators, consultants, contractors, suppliers, vendors or service providers were to suffer an actual or likely attack or breach, for example, that involves the unauthorized access to or use or disclosure of personal or health information for which we are responsible may require us, we may have to notify consumers, partners, collaborators, government authorities, and the media, and may be subject to investigations, civil penalties, administrative and enforcement actions (including mandatory corrective action or requirements to verify the correctness of database contents), and consuming, distracting and expensive litigation, any of which could result in increased costs to us, and result in significant legal and financial exposure, or other harm to our business and reputation.</w:t>
      </w:r>
    </w:p>
    <w:p>
      <w:pPr>
        <w:spacing w:after="0" w:line="204"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We and certain of our service providers are from time to time subject to cyberattacks and security incidents. While we have no reason to believe that we have been subject to any significant system failure, accident or security breach to date, attackers have become very sophisticated in the way they conceal access to systems, and many companies that have been attacked are not aware that they have been attacked.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While we have implemented security measures intended to protect our information technology systems and infrastructure, such measures may not successfully prevent service interruptions or security incidents.</w:t>
      </w:r>
    </w:p>
    <w:p>
      <w:pPr>
        <w:sectPr>
          <w:pgSz w:w="11880" w:h="15480" w:orient="portrait"/>
          <w:cols w:equalWidth="0" w:num="1">
            <w:col w:w="9720"/>
          </w:cols>
          <w:pgMar w:left="1080" w:top="1066"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ectPr>
          <w:pgSz w:w="11880" w:h="15480" w:orient="portrait"/>
          <w:cols w:equalWidth="0" w:num="1">
            <w:col w:w="9720"/>
          </w:cols>
          <w:pgMar w:left="1080" w:top="1066" w:right="1080" w:bottom="555" w:gutter="0" w:footer="0" w:header="0"/>
          <w:type w:val="continuous"/>
        </w:sectPr>
      </w:pPr>
    </w:p>
    <w:bookmarkStart w:id="104" w:name="page105"/>
    <w:bookmarkEnd w:id="104"/>
    <w:p>
      <w:pPr>
        <w:ind w:right="40"/>
        <w:spacing w:after="0" w:line="249" w:lineRule="auto"/>
        <w:rPr>
          <w:sz w:val="20"/>
          <w:szCs w:val="20"/>
          <w:color w:val="auto"/>
        </w:rPr>
      </w:pPr>
      <w:r>
        <w:rPr>
          <w:rFonts w:ascii="Arial" w:cs="Arial" w:eastAsia="Arial" w:hAnsi="Arial"/>
          <w:sz w:val="20"/>
          <w:szCs w:val="20"/>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93" w:lineRule="exact"/>
        <w:rPr>
          <w:sz w:val="20"/>
          <w:szCs w:val="20"/>
          <w:color w:val="auto"/>
        </w:rPr>
      </w:pPr>
    </w:p>
    <w:p>
      <w:pPr>
        <w:ind w:right="400"/>
        <w:spacing w:after="0" w:line="265" w:lineRule="auto"/>
        <w:rPr>
          <w:sz w:val="20"/>
          <w:szCs w:val="20"/>
          <w:color w:val="auto"/>
        </w:rPr>
      </w:pPr>
      <w:r>
        <w:rPr>
          <w:rFonts w:ascii="Arial" w:cs="Arial" w:eastAsia="Arial" w:hAnsi="Arial"/>
          <w:sz w:val="20"/>
          <w:szCs w:val="20"/>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64"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applicable foreign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applicable foreign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negative impact on our business, financial condition, results of operations and prospects, including the imposition of significant fines or other sanctions.</w:t>
      </w:r>
    </w:p>
    <w:p>
      <w:pPr>
        <w:spacing w:after="0" w:line="211" w:lineRule="exact"/>
        <w:rPr>
          <w:sz w:val="20"/>
          <w:szCs w:val="20"/>
          <w:color w:val="auto"/>
        </w:rPr>
      </w:pPr>
    </w:p>
    <w:p>
      <w:pPr>
        <w:ind w:right="420"/>
        <w:spacing w:after="0" w:line="290" w:lineRule="auto"/>
        <w:rPr>
          <w:sz w:val="20"/>
          <w:szCs w:val="20"/>
          <w:color w:val="auto"/>
        </w:rPr>
      </w:pPr>
      <w:r>
        <w:rPr>
          <w:rFonts w:ascii="Arial" w:cs="Arial" w:eastAsia="Arial" w:hAnsi="Arial"/>
          <w:sz w:val="20"/>
          <w:szCs w:val="20"/>
          <w:b w:val="1"/>
          <w:bCs w:val="1"/>
          <w:i w:val="1"/>
          <w:iCs w:val="1"/>
          <w:color w:val="auto"/>
        </w:rPr>
        <w:t>Governments outside the United States tend to impose strict price controls, which may adversely affect our revenues, if any.</w:t>
      </w:r>
    </w:p>
    <w:p>
      <w:pPr>
        <w:spacing w:after="0" w:line="13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 -priced and high-priced countries, can further reduce prices. To obtain reimbursement or pricing approval in some countries, we may be required to conduct a clinical trial that compares the cost-effectiveness of our product candidate to other available therapies, which is time- consuming and costly. If coverage and reimbursement of our product candidates are unavailable or limited in scope or amount, or if pricing is set at unsatisfactory levels, our business could be harmed, possibly materially.</w:t>
      </w:r>
    </w:p>
    <w:p>
      <w:pPr>
        <w:spacing w:after="0" w:line="199"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i w:val="1"/>
          <w:iCs w:val="1"/>
          <w:color w:val="auto"/>
        </w:rPr>
        <w:t>We are subject to stringent and evolving U.S. and foreign laws, regulations, rules, industry standards, contractual obligations, policies and other obligations related to data security and privacy. Our actual or perceived failure to comply with such obligations could lead to government enforcement actions, which could include civil, criminal or administrative penalties, litigation (including class claims) and arbitration demands, fines and penalties, disruptions of our business operations, reputational harm, adverse publicity, and/or and other adverse business consequences and could negatively affect our operating results and business, financial condition, results of operations and prospects.</w:t>
      </w:r>
    </w:p>
    <w:p>
      <w:pPr>
        <w:sectPr>
          <w:pgSz w:w="11880" w:h="15480" w:orient="portrait"/>
          <w:cols w:equalWidth="0" w:num="1">
            <w:col w:w="9680"/>
          </w:cols>
          <w:pgMar w:left="1080" w:top="1066" w:right="112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103</w:t>
      </w:r>
    </w:p>
    <w:p>
      <w:pPr>
        <w:sectPr>
          <w:pgSz w:w="11880" w:h="15480" w:orient="portrait"/>
          <w:cols w:equalWidth="0" w:num="1">
            <w:col w:w="9680"/>
          </w:cols>
          <w:pgMar w:left="1080" w:top="1066" w:right="1120" w:bottom="555" w:gutter="0" w:footer="0" w:header="0"/>
          <w:type w:val="continuous"/>
        </w:sectPr>
      </w:pPr>
    </w:p>
    <w:bookmarkStart w:id="105" w:name="page106"/>
    <w:bookmarkEnd w:id="105"/>
    <w:p>
      <w:pPr>
        <w:ind w:right="40"/>
        <w:spacing w:after="0" w:line="251" w:lineRule="auto"/>
        <w:rPr>
          <w:sz w:val="20"/>
          <w:szCs w:val="20"/>
          <w:color w:val="auto"/>
        </w:rPr>
      </w:pPr>
      <w:r>
        <w:rPr>
          <w:rFonts w:ascii="Arial" w:cs="Arial" w:eastAsia="Arial" w:hAnsi="Arial"/>
          <w:sz w:val="20"/>
          <w:szCs w:val="20"/>
          <w:color w:val="auto"/>
        </w:rPr>
        <w:t>In the ordinary course of business, we collect, receive, store, process, generate, use, transfer, disclose, make accessible, protect, secure, dispose of, transmit, and share (collectively, processing) personal data and other sensitive information, including proprietary and confidential business data, trade secrets, intellectual property, data we may collect about trial participants in connection with clinical trials, sensitive third-party data, business plans, transactions, and financial information.</w:t>
      </w:r>
    </w:p>
    <w:p>
      <w:pPr>
        <w:spacing w:after="0" w:line="188"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The global data protection landscape is rapidly evolving, and we are or may become subject to or be affected by evolving federal, state and foreign data protection laws and regulations, such as laws and regulations that address privacy and data security. In the United States, numerous federal and state laws and regulations, including federal and state health information privacy laws, state data breach notification laws, and federal and state consumer protection laws, such as Section 5 of the Federal Trade Commission Act, govern the collection, use, disclosure and protection of health information and other personal information and could apply to our operations. These laws and regulations are subject to differing interpretations and may be inconsistent among jurisdictions, and guidance on implementation and compliance practices are often updated or otherwise revised, which adds to the complexity of processing personal information. HIPAA, as amended by HITECH, imposes, among other things, certain standards relating to the privacy, security, transmission and breach reporting of individually identifiable health information. We do not believe that we are currently acting as a covered entity or business associate under HIPAA and thus are not directly subject to its requirements or penalties. However, we may obtain health information from third parties, including research institutions from which we obtain clinical trial data, that are subject to privacy and security requirements under HIPAA.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206"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w:t>
      </w:r>
    </w:p>
    <w:p>
      <w:pPr>
        <w:spacing w:after="0" w:line="19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further complicate compliance efforts, and increase legal risk and compliance costs for us, the third parties upon whom we rely.</w:t>
      </w:r>
    </w:p>
    <w:p>
      <w:pPr>
        <w:spacing w:after="0" w:line="200"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color w:val="auto"/>
        </w:rPr>
        <w:t>Outside the United States, an increasing number of laws, regulations, and industry standards may govern data privacy and security. For example, the EU GDPR, the United Kingdom’s GDPR (“UK GDPR”), and the Personal Information Protection Act in South Korea,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ectPr>
          <w:pgSz w:w="11880" w:h="15480" w:orient="portrait"/>
          <w:cols w:equalWidth="0" w:num="1">
            <w:col w:w="9720"/>
          </w:cols>
          <w:pgMar w:left="1080" w:top="1066" w:right="1080" w:bottom="555"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ectPr>
          <w:pgSz w:w="11880" w:h="15480" w:orient="portrait"/>
          <w:cols w:equalWidth="0" w:num="1">
            <w:col w:w="9720"/>
          </w:cols>
          <w:pgMar w:left="1080" w:top="1066" w:right="1080" w:bottom="555" w:gutter="0" w:footer="0" w:header="0"/>
          <w:type w:val="continuous"/>
        </w:sectPr>
      </w:pPr>
    </w:p>
    <w:bookmarkStart w:id="106" w:name="page107"/>
    <w:bookmarkEnd w:id="106"/>
    <w:p>
      <w:pPr>
        <w:spacing w:after="0" w:line="243" w:lineRule="auto"/>
        <w:rPr>
          <w:sz w:val="20"/>
          <w:szCs w:val="20"/>
          <w:color w:val="auto"/>
        </w:rPr>
      </w:pPr>
      <w:r>
        <w:rPr>
          <w:rFonts w:ascii="Arial" w:cs="Arial" w:eastAsia="Arial" w:hAnsi="Arial"/>
          <w:sz w:val="20"/>
          <w:szCs w:val="20"/>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Other jurisdictions may adopt similarly stringent interpretations of their data localization and cross- border data transfer laws. Although there are currently various mechanisms that may be used to transfer personal data from the European Economic Area (“EEA”) and United Kingdom (“UK”) to the United States in compliance with law, such as the EEA and UK’s standard contractual clauses, these mechanisms are subject to legal challenges, and there is no assurance that we can satisfy or rely on these measures to lawfully transfer personal data to the United States. Recently, however, the UK has implemented an International Data Transfer Agreement/Addendum and the EU-U.S. Data Privacy Framework has been introduced, (the latter of which allows for transfers of personal data for relevant U.S. -based organizations who self-certify compliance and participate in the Framework), but these mechanisms are subject to legal challenges, and there is no assurance that we can satisfy or rely on these measures to lawfully transfer personal data to the United States.</w:t>
      </w:r>
    </w:p>
    <w:p>
      <w:pPr>
        <w:spacing w:after="0" w:line="204"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If there is no lawful manner for us to transfer personal data from the EEA, the UK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98"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The EU has also proposed a Regulation on Privacy and Electronic Communications (“ePrivacy Regulation”) which, if adopted, would impose new obligations on the use of personal data in the context of electronic communications, particularly with respect to online tracking technologies and direct marketing. Additionally, the EU adopted the EU Clinical Trials Regulation, which came into effect on January 31, 2022. This regulation imposes new obligations on the use of data generated from clinical trials and enables European patients to have the opportunity to access information about clinical trials.</w:t>
      </w:r>
    </w:p>
    <w:p>
      <w:pPr>
        <w:spacing w:after="0" w:line="18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The Cayman Islands Data Protection Act imposes obligations on data controllers in relation to the processing of personal data, and also introduced rights for data subjects (which may be subject to various exemptions), including, among others: (a) personal data must be processed fairly and on the basis of one of the grounds for processing as set out in the Data Protection Act; (b) personal data must be obtained for a specified lawful purpose; (c) personal data must be adequate, relevant and not excessive in relation to the purpose for which it was processed; (d) personal data must be accurate and, where necessary, kept up to date; (e) personal data must not be kept for longer than is necessary; (f) personal data must be processed in accordance with the rights of the data subject; (g) appropriate technical and organizational security measures must be taken to prevent unauthorized or unlawful processing, accidental loss or destruction of personal data; and (h) the personal data may not be transferred to a country unless that country ensures an adequate level of protection for the rights and freedoms of data subjects.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In recent years, authorities of the PRC have promulgated certain laws and regulations in respect of information security, data collection and privacy protection regulations in the PRC, including the Cybersecurity Law of the PRC, the Provisions on Protection of Personal Information of Telecommunication and Internet Users, the Data Security Law of the PRC which became effective from September 1, 2021, and the Personal Information Protection Law of the PRC which became effective from November 1, 2021. Under the Personal Information Protection Law of the PRC, in case of any personal information processing, such individual prior consent shall be obtained, unless other circumstances clearly mentioned therein to the contrary. Further, any data processing activities in relation to the sensitive personal information such as biometrics, medical health and personal information of teenagers under fourteen years old are not allowed unless such activities have a specific purpose, are highly necessary and have taken strictly protective measures.</w:t>
      </w:r>
    </w:p>
    <w:p>
      <w:pPr>
        <w:sectPr>
          <w:pgSz w:w="11880" w:h="15480" w:orient="portrait"/>
          <w:cols w:equalWidth="0" w:num="1">
            <w:col w:w="9720"/>
          </w:cols>
          <w:pgMar w:left="1080" w:top="1066" w:right="1080" w:bottom="555"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105</w:t>
      </w:r>
    </w:p>
    <w:p>
      <w:pPr>
        <w:sectPr>
          <w:pgSz w:w="11880" w:h="15480" w:orient="portrait"/>
          <w:cols w:equalWidth="0" w:num="1">
            <w:col w:w="9720"/>
          </w:cols>
          <w:pgMar w:left="1080" w:top="1066" w:right="1080" w:bottom="555" w:gutter="0" w:footer="0" w:header="0"/>
          <w:type w:val="continuous"/>
        </w:sectPr>
      </w:pPr>
    </w:p>
    <w:bookmarkStart w:id="107" w:name="page108"/>
    <w:bookmarkEnd w:id="107"/>
    <w:p>
      <w:pPr>
        <w:spacing w:after="0" w:line="243" w:lineRule="auto"/>
        <w:rPr>
          <w:sz w:val="20"/>
          <w:szCs w:val="20"/>
          <w:color w:val="auto"/>
        </w:rPr>
      </w:pPr>
      <w:r>
        <w:rPr>
          <w:rFonts w:ascii="Arial" w:cs="Arial" w:eastAsia="Arial" w:hAnsi="Arial"/>
          <w:sz w:val="20"/>
          <w:szCs w:val="20"/>
          <w:color w:val="auto"/>
        </w:rPr>
        <w:t>In addition to data privacy and security laws, we contractually may be subject to industry standards adopted by industry groups and may become subject to such obligations in the future. We are also bound by contractual obligations related to data privacy and security, and our efforts to comply with such obligations may not be successful. In particular, compliance with U.S. and foreign data protection laws and regulations could require us to take on more onerous obligations in our contracts, increase our costs of legal compliance, restrict our ability to collect, use and disclose data, or in some cases, impact our or our partners’ suppliers’ ability to operate in certain jurisdictions. Our or our service providers’ and vendors’ actual or perceived failure to comply with U.S. and foreign data protection laws and regulations could result in threatened or actual government investigations and/or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or our third-party service providers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We publish privacy policies, self-certifications, and other documentation regarding our collection, use and disclosure of personal information and/or other confidential information. Although we endeavor to comply with our published policies, certifications, and documentation, we may at times fail to do so or may be perceived to have failed to do so. Moreover, despite our efforts, we may not be successful in achieving compliance if our employees or vendors fail to comply with our published policies, certifications, and documentation. Such failures can subject us to potential international, local, state and federal action if they are found to be deceptive, unfair, or misrepresentative of our actual practices.</w:t>
      </w:r>
    </w:p>
    <w:p>
      <w:pPr>
        <w:spacing w:after="0" w:line="197" w:lineRule="exact"/>
        <w:rPr>
          <w:sz w:val="20"/>
          <w:szCs w:val="20"/>
          <w:color w:val="auto"/>
        </w:rPr>
      </w:pPr>
    </w:p>
    <w:p>
      <w:pPr>
        <w:ind w:right="220"/>
        <w:spacing w:after="0" w:line="290" w:lineRule="auto"/>
        <w:rPr>
          <w:sz w:val="20"/>
          <w:szCs w:val="20"/>
          <w:color w:val="auto"/>
        </w:rPr>
      </w:pPr>
      <w:r>
        <w:rPr>
          <w:rFonts w:ascii="Arial" w:cs="Arial" w:eastAsia="Arial" w:hAnsi="Arial"/>
          <w:sz w:val="20"/>
          <w:szCs w:val="20"/>
          <w:b w:val="1"/>
          <w:bCs w:val="1"/>
          <w:i w:val="1"/>
          <w:iCs w:val="1"/>
          <w:color w:val="auto"/>
        </w:rPr>
        <w:t>There is tax risk associated with the reporting of cross-border arrangements and activities between us and our subsidiaries.</w:t>
      </w:r>
    </w:p>
    <w:p>
      <w:pPr>
        <w:spacing w:after="0" w:line="141"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auto"/>
        </w:rPr>
        <w:t>We are incorporated under the laws of the Cayman Islands and currently have subsidiaries in Mainland China, Hong Kong, Australia, the Cayman Islands and the United States. If we succeed in growing our business, we expect to conduct increased operations through our subsidiaries in various tax jurisdictions pursuant to transfer pricing arrangements between us and our subsidiaries. If two or more affiliated companies are located in different countries, the tax laws or regulations of each country generally will require that transfer prices be the same as those between unrelated companies dealing at arms’ length and that appropriate documentation is maintained to support the transfer prices. While we believe that we operate in compliance with applicable transfer pricing laws and intend to continue to do so, our transfer pricing procedures are not binding on applicable tax authorities.</w:t>
      </w:r>
    </w:p>
    <w:p>
      <w:pPr>
        <w:spacing w:after="0" w:line="197"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it would increase our consolidated tax liability, which could adversely affect our financial condition, results of operations and cash flows.</w:t>
      </w:r>
    </w:p>
    <w:p>
      <w:pPr>
        <w:spacing w:after="0" w:line="194" w:lineRule="exact"/>
        <w:rPr>
          <w:sz w:val="20"/>
          <w:szCs w:val="20"/>
          <w:color w:val="auto"/>
        </w:rPr>
      </w:pPr>
    </w:p>
    <w:p>
      <w:pPr>
        <w:ind w:right="300"/>
        <w:spacing w:after="0" w:line="247" w:lineRule="auto"/>
        <w:rPr>
          <w:sz w:val="20"/>
          <w:szCs w:val="20"/>
          <w:color w:val="auto"/>
        </w:rPr>
      </w:pPr>
      <w:r>
        <w:rPr>
          <w:rFonts w:ascii="Arial" w:cs="Arial" w:eastAsia="Arial" w:hAnsi="Arial"/>
          <w:sz w:val="20"/>
          <w:szCs w:val="20"/>
          <w:color w:val="auto"/>
        </w:rPr>
        <w:t>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ectPr>
          <w:pgSz w:w="11880" w:h="15480" w:orient="portrait"/>
          <w:cols w:equalWidth="0" w:num="1">
            <w:col w:w="9680"/>
          </w:cols>
          <w:pgMar w:left="1080" w:top="1066" w:right="1120" w:bottom="555"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106</w:t>
      </w:r>
    </w:p>
    <w:p>
      <w:pPr>
        <w:sectPr>
          <w:pgSz w:w="11880" w:h="15480" w:orient="portrait"/>
          <w:cols w:equalWidth="0" w:num="1">
            <w:col w:w="9680"/>
          </w:cols>
          <w:pgMar w:left="1080" w:top="1066" w:right="1120" w:bottom="555" w:gutter="0" w:footer="0" w:header="0"/>
          <w:type w:val="continuous"/>
        </w:sectPr>
      </w:pPr>
    </w:p>
    <w:bookmarkStart w:id="108" w:name="page109"/>
    <w:bookmarkEnd w:id="108"/>
    <w:p>
      <w:pPr>
        <w:ind w:right="520"/>
        <w:spacing w:after="0" w:line="290" w:lineRule="auto"/>
        <w:rPr>
          <w:sz w:val="20"/>
          <w:szCs w:val="20"/>
          <w:color w:val="auto"/>
        </w:rPr>
      </w:pPr>
      <w:r>
        <w:rPr>
          <w:rFonts w:ascii="Arial" w:cs="Arial" w:eastAsia="Arial" w:hAnsi="Arial"/>
          <w:sz w:val="20"/>
          <w:szCs w:val="20"/>
          <w:b w:val="1"/>
          <w:bCs w:val="1"/>
          <w:i w:val="1"/>
          <w:iCs w:val="1"/>
          <w:color w:val="auto"/>
        </w:rPr>
        <w:t>Tax authorities may disagree with our positions and conclusions regarding certain tax positions, resulting in unanticipated costs, taxes or non-realization of expected benefits.</w:t>
      </w:r>
    </w:p>
    <w:p>
      <w:pPr>
        <w:spacing w:after="0" w:line="141"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91" w:lineRule="exact"/>
        <w:rPr>
          <w:sz w:val="20"/>
          <w:szCs w:val="20"/>
          <w:color w:val="auto"/>
        </w:rPr>
      </w:pPr>
    </w:p>
    <w:p>
      <w:pPr>
        <w:ind w:right="540"/>
        <w:spacing w:after="0" w:line="318" w:lineRule="auto"/>
        <w:rPr>
          <w:sz w:val="20"/>
          <w:szCs w:val="20"/>
          <w:color w:val="auto"/>
        </w:rPr>
      </w:pPr>
      <w:r>
        <w:rPr>
          <w:rFonts w:ascii="Arial" w:cs="Arial" w:eastAsia="Arial" w:hAnsi="Arial"/>
          <w:sz w:val="19"/>
          <w:szCs w:val="19"/>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16"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us, possibly with retroactive effect. For instance, the recently enacted Inflation Reduction Act (“IRA”) imposes, among other rules, a 15% minimum tax on the book income of certain large corporations and a 1% excise tax on certain corporate stock repurchases. The Tax Cuts and Jobs Act of 2017 (“TCJA”), as amended by the Coronavirus Aid, Relief, and Economic Security Act significantly reformed the United States Internal Revenue Code of 1986, as amended (the “Code”), by lowering U.S. federal corporate income tax rates, changing the utilization of future net operating loss carryforwards, permitting for the expensing of certain capital expenditures, eliminating the option to currently deduct research and development expenditures and requiring taxpayers to capitalize and amortize U.S.-based and non-U.S.-based research and development expenditures over five and fifteen years, respectively. and putting into effect significant changes to U.S. taxation of international business activities. Outside the U.S., various governments and organizations are increasingly focused on tax reform and other legislative or regulatory action to increase tax revenue, including the Organisation for Economic Co-operation and Development’s Base Erosion and Profit Shifting Project (“BEPS 2.0”). The IRA, TCJA, BEPS 2.0 or any future tax reform legislation could have a material impact on the value of our deferred tax assets, result in significant one-time charges, and increase our future tax expenses.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Doing Business in China and Our International Operations</w:t>
      </w:r>
    </w:p>
    <w:p>
      <w:pPr>
        <w:spacing w:after="0" w:line="248" w:lineRule="exact"/>
        <w:rPr>
          <w:sz w:val="20"/>
          <w:szCs w:val="20"/>
          <w:color w:val="auto"/>
        </w:rPr>
      </w:pPr>
    </w:p>
    <w:p>
      <w:pPr>
        <w:ind w:right="180"/>
        <w:spacing w:after="0" w:line="290" w:lineRule="auto"/>
        <w:rPr>
          <w:sz w:val="20"/>
          <w:szCs w:val="20"/>
          <w:color w:val="auto"/>
        </w:rPr>
      </w:pPr>
      <w:r>
        <w:rPr>
          <w:rFonts w:ascii="Arial" w:cs="Arial" w:eastAsia="Arial" w:hAnsi="Arial"/>
          <w:sz w:val="20"/>
          <w:szCs w:val="20"/>
          <w:b w:val="1"/>
          <w:bCs w:val="1"/>
          <w:i w:val="1"/>
          <w:iCs w:val="1"/>
          <w:color w:val="auto"/>
        </w:rPr>
        <w:t>Changes in the political and economic policies or in relations between China and the United States may affect our business, financial condition, results of operations and the market price of our ADSs.</w:t>
      </w:r>
    </w:p>
    <w:p>
      <w:pPr>
        <w:spacing w:after="0" w:line="13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Due to our operations in China, our business, results of operations, financial condition and prospects may be influenced to a certain degree by economic, political, legal and social conditions in China or changes in government relations between China and the United States or other governments. The Chinese government may intervene in or influence our operations, which could result in a change in our operations and impact the value of our ADSs. Any economic downturn, whether actual or perceived, further decrease in economic growth rates or an otherwise uncertain economic outlook could affect our business, financial condition and results of operations, as well as the market price of our ADSs. In addition, the global macroeconomic environment is facing challenges. It is unclear whether these challenges and uncertainties will be contained or resolved, and what effects they may have on the global political and economic conditions, and our business operations in the long term. There is significant uncertainty about the future relationship between the United States and China with respect to trade policies, treaties, government regulations and tariffs. The Chinese government has implemented various measures to encourage economic development and guide the allocation of resources. Some of these measures may benefit the overall Chinese economy, but may have a</w:t>
      </w:r>
    </w:p>
    <w:p>
      <w:pPr>
        <w:sectPr>
          <w:pgSz w:w="11880" w:h="15480" w:orient="portrait"/>
          <w:cols w:equalWidth="0" w:num="1">
            <w:col w:w="9720"/>
          </w:cols>
          <w:pgMar w:left="1080" w:top="1070" w:right="1080" w:bottom="555"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ectPr>
          <w:pgSz w:w="11880" w:h="15480" w:orient="portrait"/>
          <w:cols w:equalWidth="0" w:num="1">
            <w:col w:w="9720"/>
          </w:cols>
          <w:pgMar w:left="1080" w:top="1070" w:right="1080" w:bottom="555" w:gutter="0" w:footer="0" w:header="0"/>
          <w:type w:val="continuous"/>
        </w:sectPr>
      </w:pPr>
    </w:p>
    <w:bookmarkStart w:id="109" w:name="page110"/>
    <w:bookmarkEnd w:id="109"/>
    <w:p>
      <w:pPr>
        <w:spacing w:after="0" w:line="249" w:lineRule="auto"/>
        <w:rPr>
          <w:sz w:val="20"/>
          <w:szCs w:val="20"/>
          <w:color w:val="auto"/>
        </w:rPr>
      </w:pPr>
      <w:r>
        <w:rPr>
          <w:rFonts w:ascii="Arial" w:cs="Arial" w:eastAsia="Arial" w:hAnsi="Arial"/>
          <w:sz w:val="20"/>
          <w:szCs w:val="20"/>
          <w:color w:val="auto"/>
        </w:rPr>
        <w:t>negative effect on us. Due to our operations in China, any future Chinese, U.S. or other rules and regulations that place restrictions on capital raising or other activities by companies with operations in China could affect our business and results of operations. If the business environment in China deteriorates from the perspective of domestic or international investment, or if relations between China and the United States or other governments deteriorate and geopolitical tensions between China and the United States increase, our business in China and United States, as well as the market price of our ADSs, may also be affected.</w:t>
      </w:r>
    </w:p>
    <w:p>
      <w:pPr>
        <w:spacing w:after="0" w:line="193" w:lineRule="exact"/>
        <w:rPr>
          <w:sz w:val="20"/>
          <w:szCs w:val="20"/>
          <w:color w:val="auto"/>
        </w:rPr>
      </w:pPr>
    </w:p>
    <w:p>
      <w:pPr>
        <w:ind w:right="180"/>
        <w:spacing w:after="0" w:line="290" w:lineRule="auto"/>
        <w:rPr>
          <w:sz w:val="20"/>
          <w:szCs w:val="20"/>
          <w:color w:val="auto"/>
        </w:rPr>
      </w:pPr>
      <w:r>
        <w:rPr>
          <w:rFonts w:ascii="Arial" w:cs="Arial" w:eastAsia="Arial" w:hAnsi="Arial"/>
          <w:sz w:val="20"/>
          <w:szCs w:val="20"/>
          <w:b w:val="1"/>
          <w:bCs w:val="1"/>
          <w:i w:val="1"/>
          <w:iCs w:val="1"/>
          <w:color w:val="auto"/>
        </w:rPr>
        <w:t>Changes in U.S. and Chinese regulations may impact our business, our operating results, our ability to raise capital and the market price of our ADSs.</w:t>
      </w:r>
    </w:p>
    <w:p>
      <w:pPr>
        <w:spacing w:after="0" w:line="141"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The U.S. government, including the SEC, has made statements and taken certain actions that led to changes to United States and international relations, and will impact companies with connections to the United States or China, including imposing several rounds of tariffs affecting certain products manufactured in China, imposing certain sanctions and restrictions in relation to China and issuing statements indicating enhanced review of companies with certain operations based in China. It is unknown whether and to what extent new legislation, executive orders, tariffs, laws or regulations will be adopted, or the effect that any such actions would have on companies with significant connections to the United States or to China, our industry or on us. We conduct research activities and have business operations both in the United States and China. Any unfavorable government policies on cross-border relations and/or international trade, including increased scrutiny on companies with certain operations based in China, capital controls or tariffs, may affect the competitive position of our drug products, the hiring of scientists and other research and development personnel, the demand for our drug products, the import or export of raw materials in relation to drug development, our ability to raise capital, the market price of our ADSs or prevent us from selling our drug products in certain countries. Furthermore, the SEC has issued statements primarily focused on companies with certain operations based in China, such as us. For example, on July 30, 2021, Gary Gensler, Chairman of the SEC, issued a Statement on Investor Protection Related to Recent Developments in China, pursuant to which Chairman Gensler stated that he has asked the SEC staff to engage in targeted additional reviews of filings for companies with certain operations based in China. The statement also addressed risks inherent in companies with variable interest entity (“VIE”) structures. We do not have a VIE structure and are not in an industry that is subject to foreign ownership limitations by China. However, it is possible that our periodic reports and other filings with the SEC may be subject to enhanced review by the SEC and this additional scrutiny could affect our ability to effectively raise capital in the United States.</w:t>
      </w:r>
    </w:p>
    <w:p>
      <w:pPr>
        <w:spacing w:after="0" w:line="199"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In response to the SEC’s July 30, 2021 statement, the China Securities Regulatory Commission (“CSRC”) announced on August 1, 2021, that “[i]t is our belief that Chinese and U.S. regulators shall continue to enhance communication with the principle of mutual respect and cooperation, and properly address the issues related to the supervision of China-based companies listed in the U.S. so as to form stable policy expectations and create benign rules framework for the market.” While the CSRC will continue to collaborate “closely with different stakeholders including investors, companies, and relevant authorities to further promote transparency and certainty of policies and implementing measures,” it emphasized that it “has always been open to companies’ choices to list their securities on international or domestic markets in compliance with relevant laws and regulations.”</w:t>
      </w:r>
    </w:p>
    <w:p>
      <w:pPr>
        <w:spacing w:after="0" w:line="197"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ADSs.</w:t>
      </w:r>
    </w:p>
    <w:p>
      <w:pPr>
        <w:spacing w:after="0" w:line="190"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b w:val="1"/>
          <w:bCs w:val="1"/>
          <w:i w:val="1"/>
          <w:iCs w:val="1"/>
          <w:color w:val="auto"/>
        </w:rPr>
        <w:t>Compliance with China’s new Data Security Law, Cyber Security Law, Cybersecurity Review Measures, Personal Information Protection Law, regulations and guidelines relating to the multi-level protection scheme on cyber security and any other future laws and regulations may entail significant expenses and could affect our business.</w:t>
      </w:r>
    </w:p>
    <w:p>
      <w:pPr>
        <w:spacing w:after="0" w:line="171"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color w:val="auto"/>
        </w:rPr>
        <w:t>China has implemented or will implement rules and is considering a number of additional proposals relating to data protection. China’s new Data Security Law took effect in September 2021. The Data Security Law</w:t>
      </w:r>
    </w:p>
    <w:p>
      <w:pPr>
        <w:sectPr>
          <w:pgSz w:w="11880" w:h="15480" w:orient="portrait"/>
          <w:cols w:equalWidth="0" w:num="1">
            <w:col w:w="9720"/>
          </w:cols>
          <w:pgMar w:left="1080" w:top="1066" w:right="1080" w:bottom="555" w:gutter="0" w:footer="0" w:header="0"/>
        </w:sect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ectPr>
          <w:pgSz w:w="11880" w:h="15480" w:orient="portrait"/>
          <w:cols w:equalWidth="0" w:num="1">
            <w:col w:w="9720"/>
          </w:cols>
          <w:pgMar w:left="1080" w:top="1066" w:right="1080" w:bottom="555" w:gutter="0" w:footer="0" w:header="0"/>
          <w:type w:val="continuous"/>
        </w:sectPr>
      </w:pPr>
    </w:p>
    <w:bookmarkStart w:id="110" w:name="page111"/>
    <w:bookmarkEnd w:id="110"/>
    <w:p>
      <w:pPr>
        <w:ind w:right="140"/>
        <w:spacing w:after="0" w:line="255" w:lineRule="auto"/>
        <w:rPr>
          <w:sz w:val="20"/>
          <w:szCs w:val="20"/>
          <w:color w:val="auto"/>
        </w:rPr>
      </w:pPr>
      <w:r>
        <w:rPr>
          <w:rFonts w:ascii="Arial" w:cs="Arial" w:eastAsia="Arial" w:hAnsi="Arial"/>
          <w:sz w:val="20"/>
          <w:szCs w:val="20"/>
          <w:color w:val="auto"/>
        </w:rPr>
        <w:t>provides that the data processing activities must be conducted based on “data classification and hierarchical protection system” for the purpose of data protection and prohibits entities in China from transferring data stored in China to foreign law enforcement agencies or judicial authorities without prior approval by the Chinese government.</w:t>
      </w:r>
    </w:p>
    <w:p>
      <w:pPr>
        <w:spacing w:after="0" w:line="18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Additionally, China’s Cyber Security Law, promulgated by the Standing Committee of the National People’s Congress in November 2016 and came into effect in June 2017, and the Administrative Measures for the Hierarchical Protection of Information Security promulgated by the Ministry of Public Security, National Administration of State Secrets Protection, State Cryptography Administration and other government authority in June 2007, requires companies to take certain organizational, technical and administrative measures and other necessary measures to ensure the security of their networks and data stored on their networks. Specifically, the Cyber Security Law provides that China adopt a multi-level protection scheme (“MLPS”), under which network operators are required to perform obligations of security protection to ensure that the network is free from interference, disruption or unauthorized access, and prevent network data from being disclosed, stolen or tampered. Under the MLPS, entities operating information systems must have a thorough assessment of the risks and the conditions of their information and network systems to determine the level of the entity’s information and network systems. These levels range from the lowest Level 1 to the highest Level 5 pursuant to a series of national standards on the grading and implementation of the classified protection of cyber security. The grading result will determine the set of security protection obligations that entities must comply with. Entities classified as Level 2 or above should report the grade to the relevant government authority for examination and approval.</w:t>
      </w:r>
    </w:p>
    <w:p>
      <w:pPr>
        <w:spacing w:after="0" w:line="194" w:lineRule="exact"/>
        <w:rPr>
          <w:sz w:val="20"/>
          <w:szCs w:val="20"/>
          <w:color w:val="auto"/>
        </w:rPr>
      </w:pPr>
    </w:p>
    <w:p>
      <w:pPr>
        <w:ind w:right="240"/>
        <w:spacing w:after="0"/>
        <w:rPr>
          <w:sz w:val="20"/>
          <w:szCs w:val="20"/>
          <w:color w:val="auto"/>
        </w:rPr>
      </w:pPr>
      <w:r>
        <w:rPr>
          <w:rFonts w:ascii="Arial" w:cs="Arial" w:eastAsia="Arial" w:hAnsi="Arial"/>
          <w:sz w:val="20"/>
          <w:szCs w:val="20"/>
          <w:color w:val="auto"/>
        </w:rPr>
        <w:t>On July 10, 2021, the Cyberspace Administration of China (“CAC”) published a draft revision to the existing Cybersecurity Review Measures for public comment (the “Revised Draft CAC Measures”). On</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January 4, 2022, together with 12 other Chinese regulatory authorities, the CAC released the final version of the Revised Draft CAC Measures (the “Revised CAC Measures”), which came into effect on February 15, 2022. Pursuant to the Revised CAC Measures, critical information infrastructure operators procuring network products and services, and online platform operators (as opposed to “data processors” in the Revised Draft CAC Measures) carrying out data processing activities which affect or may affect national security, shall conduct a cybersecurity review pursuant to the provisions therein. In addition, online platform operators possessing personal information of more than one million users seeking to be listed on foreign stock markets must apply for a cybersecurity review. On November 14, 2021, the CAC further published the Regulations on Network Data Security Management (Draft for Comment) (the “Draft Management Regulations”), under which data processors refer to individuals and organizations who determine the data processing activities in terms of the purpose and methods at their discretion. The Draft Management Regulations reiterate that data processors shall be subject to cybersecurity review if (i) they process personal information of more than one million persons and they are aiming to list on foreign stock markets, or (ii) their data processing activities affect or may affect Chinese national security. The Draft Management Regulations also request data processors seeking to list on foreign stock markets to annually assess their data security by themselves or through data security service organizations, and submit the assessment reports to relevant competent authorities. As the Draft Management Regulations are released only for public comment, the final version and the effective date thereof is subject to change.</w:t>
      </w:r>
    </w:p>
    <w:p>
      <w:pPr>
        <w:spacing w:after="0" w:line="207"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As of the date of this Annual Report, we have not received any notice from any Chinese regulatory authority identifying us as a “critical information infrastructure operator,” “online platform operator” or “data processor,” or requiring us to go through the cybersecurity review procedures pursuant to the Revised CAC Measures and the Draft Management Regulations. Based on our understanding of the Revised CAC Measures, and the Draft Management Regulations if enacted as currently proposed, we do not expect to become subject to cybersecurity review by the CAC for issuing securities to foreign investors because: (i) the clinical and preclinical data we handle in our business operations, either by its nature or in scale, do not normally trigger significant concerns over PRC national security; and (ii) we have not processed, and do not anticipate to process in the foreseeable future, personal information for more than one million users or persons. However, there remains uncertainty as to how the Revised CAC Measures, and the Draft Management Regulations if enacted as currently proposed, will be interpreted or implemented; for example, neither the Revised CAC Measures nor the Draft Management Regulations provides further clarification or interpretation on the criteria</w:t>
      </w:r>
    </w:p>
    <w:p>
      <w:pPr>
        <w:sectPr>
          <w:pgSz w:w="11880" w:h="15480" w:orient="portrait"/>
          <w:cols w:equalWidth="0" w:num="1">
            <w:col w:w="9700"/>
          </w:cols>
          <w:pgMar w:left="1080" w:top="1066" w:right="1100" w:bottom="555"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109</w:t>
      </w:r>
    </w:p>
    <w:p>
      <w:pPr>
        <w:sectPr>
          <w:pgSz w:w="11880" w:h="15480" w:orient="portrait"/>
          <w:cols w:equalWidth="0" w:num="1">
            <w:col w:w="9700"/>
          </w:cols>
          <w:pgMar w:left="1080" w:top="1066" w:right="1100" w:bottom="555" w:gutter="0" w:footer="0" w:header="0"/>
          <w:type w:val="continuous"/>
        </w:sectPr>
      </w:pPr>
    </w:p>
    <w:bookmarkStart w:id="111" w:name="page112"/>
    <w:bookmarkEnd w:id="111"/>
    <w:p>
      <w:pPr>
        <w:ind w:right="60"/>
        <w:spacing w:after="0" w:line="246" w:lineRule="auto"/>
        <w:rPr>
          <w:sz w:val="20"/>
          <w:szCs w:val="20"/>
          <w:color w:val="auto"/>
        </w:rPr>
      </w:pPr>
      <w:r>
        <w:rPr>
          <w:rFonts w:ascii="Arial" w:cs="Arial" w:eastAsia="Arial" w:hAnsi="Arial"/>
          <w:sz w:val="20"/>
          <w:szCs w:val="20"/>
          <w:color w:val="auto"/>
        </w:rPr>
        <w:t>for determining those activities that “affect or may affect national security” and relevant Chinese regulatory authorities may interpret it broadly. Furthermore, there remains uncertainty as to whether the Chinese regulatory authorities may adopt new laws, regulations, rules, or detailed implementation and interpretation in relation, or in addition, to the Revised CAC Measures and the Draft Management Regulations. While we intend to closely monitor the evolving laws and regulations in this area and take all reasonable measures to mitigate compliance risks, we cannot guarantee that our business and operations will not be adversely affected by the potential impact of the Revised CAC Measures, the Draft Management Regulations or other laws and regulations related to privacy, data protection and information security.</w:t>
      </w:r>
    </w:p>
    <w:p>
      <w:pPr>
        <w:spacing w:after="0" w:line="195" w:lineRule="exact"/>
        <w:rPr>
          <w:sz w:val="20"/>
          <w:szCs w:val="20"/>
          <w:color w:val="auto"/>
        </w:rPr>
      </w:pPr>
    </w:p>
    <w:p>
      <w:pPr>
        <w:ind w:firstLine="1"/>
        <w:spacing w:after="0" w:line="243" w:lineRule="auto"/>
        <w:rPr>
          <w:sz w:val="20"/>
          <w:szCs w:val="20"/>
          <w:color w:val="auto"/>
        </w:rPr>
      </w:pPr>
      <w:r>
        <w:rPr>
          <w:rFonts w:ascii="Arial" w:cs="Arial" w:eastAsia="Arial" w:hAnsi="Arial"/>
          <w:sz w:val="20"/>
          <w:szCs w:val="20"/>
          <w:color w:val="auto"/>
        </w:rPr>
        <w:t>Also, the National People’s Congress released the Personal Information Protection Law, which became effective on November 1, 2021. The Personal Information Protection Law provides a comprehensive set of data privacy and protection requirements that apply to the processing of personal information and expands data protection compliance obligations to cover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set by Chinese cyberspace regulators are also required to store in China personal information generated or collected in China, and to pass a security assessment administered by Chinese cyberspace regulators for any export of such personal information. Lastly, the Personal Information Protection Law contains proposals for significant fines for serious violations of up to RMB 50 million or 5% of annual revenues from the prior year and may also be ordered to suspend any related activity by competent authorities. We do not maintain, nor do we intend to maintain in the future, personally identifiable health information of patients in China.</w:t>
      </w:r>
    </w:p>
    <w:p>
      <w:pPr>
        <w:spacing w:after="0" w:line="197"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In addition, certain industry-specific laws and regulations affect the collection and transfer of data in the PRC. The Regulations on the Administration of Human Genetic Resources of the PRC (the “HGR Regulation”) was promulgated by the State Council in May 2019 and came into effect in July 2019. It stipulates that foreign organizations, individuals, and the entities established or actually controlled by foreign organizations or individuals are forbidden to collect, preserve and export China’s human genetic resources. Foreign organizations and the entities established or actually controlled by foreign organizations or individuals may only utilize and be provided with China’s human genetic resources after satisfaction of all requirements under the HGR Regulation and other applicable laws, such as (i) China’s human genetic resources being utilized only in international cooperation with Chinese scientific research institutions, universities, medical institutions, and enterprises for scientific research and clinical trials after completion of requisite approval or filing formalities with competent governmental authorities, and (ii) China’s human genetic resources information being provided after required filing and information backup procedures have been gone through. In October 2020, the SCNPC promulgated the Biosecurity Law of the PRC, which reaffirms the regulatory requirements stipulated by the HGR Regulation while potentially increasing the administrative sanctions where China’s human genetic resources are collected, preserved, exported or used in international cooperation in violation of applicable laws. In May 2023, the Ministry of Science and Technology published the Implementing Rules for the Regulations on the Administration of Human Genetic Resources (the “HGR Implementing Rules”) which came into effect in July 2023. The HGR Implementing Rules have, among other things, further clarified the scope of China’s human genetic resources information, improved the procedure rules for applicable approval, filing and security review, and refined the provisions with respect to the forbiddance on the collection, preservation and export of China’s human genetic resources by foreign organizations, individuals, and the entities established or actually controlled by foreign organizations or individuals. There remain significant uncertainties as to how various provisions of the HGR Regulation and the related laws and regulations may be interpreted and implemented. Given such uncertainty, although we have made great efforts to comply with mandatory requirements of laws and government authorities in this regard, we cannot assure you that we will be deemed at all times in full compliance with the HGR Regulation, the Biosecurity Law of the PRC, the HGR Implementing Rules and other applicable laws in our utilizing of and dealing with China’s human genetic resources. As a result, we may be exposed to compliance risks under the HGR Regulation, the Biosecurity Law of the PRC and the HGR Implementing Rules.</w:t>
      </w:r>
    </w:p>
    <w:p>
      <w:pPr>
        <w:sectPr>
          <w:pgSz w:w="11880" w:h="15480" w:orient="portrait"/>
          <w:cols w:equalWidth="0" w:num="1">
            <w:col w:w="9720"/>
          </w:cols>
          <w:pgMar w:left="1080" w:top="1066"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ectPr>
          <w:pgSz w:w="11880" w:h="15480" w:orient="portrait"/>
          <w:cols w:equalWidth="0" w:num="1">
            <w:col w:w="9720"/>
          </w:cols>
          <w:pgMar w:left="1080" w:top="1066" w:right="1080" w:bottom="555" w:gutter="0" w:footer="0" w:header="0"/>
          <w:type w:val="continuous"/>
        </w:sectPr>
      </w:pPr>
    </w:p>
    <w:bookmarkStart w:id="112" w:name="page113"/>
    <w:bookmarkEnd w:id="112"/>
    <w:p>
      <w:pPr>
        <w:spacing w:after="0" w:line="242" w:lineRule="auto"/>
        <w:rPr>
          <w:sz w:val="20"/>
          <w:szCs w:val="20"/>
          <w:color w:val="auto"/>
        </w:rPr>
      </w:pPr>
      <w:r>
        <w:rPr>
          <w:rFonts w:ascii="Arial" w:cs="Arial" w:eastAsia="Arial" w:hAnsi="Arial"/>
          <w:sz w:val="20"/>
          <w:szCs w:val="20"/>
          <w:color w:val="auto"/>
        </w:rPr>
        <w:t>Interpretation, application and enforcement of these laws, rules and regulations evolve from time to time and their scope may continually change, through new legislation, amendments to existing legislation or changes in enforcement. Compliance with China’s new Cyber Security Law and Data Security Law could significantly increase the cost to us of providing our service offerings, require significant changes to our operations or even prevent us from providing certain service offerings in jurisdictions in which we currently operate or in which we may operate in the future. Despite our efforts to comply with applicable laws, regulations and other obligations relating to privacy, data protection and information security, it is possible that our practices, offerings or platform could fail to meet all of the requirements imposed on us by the Cyber Security Law, the Data Security Law and/or related implementing regulations. Any failure on our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our reputation, discourage new and existing counterparties from contracting with us or result in investigations, fines, suspension or other penalties by Chinese government authorities and private claims or litigation, any of which could adversely affect our business, financial condition and results of operations. Even if our practices are not subject to legal challenge, the perception of privacy concerns, whether or not valid, may harm our reputation and brand and adversely affect our business, financial condition and results of operations. Moreover, the legal uncertainty created by the Data Security Law, the Revised CAC Measures and the recent Chinese government actions could adversely affect our ability, on favorable terms, to raise capital, including engaging in follow-on offerings of our securities in the U.S. market.</w:t>
      </w:r>
    </w:p>
    <w:p>
      <w:pPr>
        <w:spacing w:after="0" w:line="200" w:lineRule="exact"/>
        <w:rPr>
          <w:sz w:val="20"/>
          <w:szCs w:val="20"/>
          <w:color w:val="auto"/>
        </w:rPr>
      </w:pPr>
    </w:p>
    <w:p>
      <w:pPr>
        <w:spacing w:after="0" w:line="238"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b w:val="1"/>
          <w:bCs w:val="1"/>
          <w:i w:val="1"/>
          <w:iCs w:val="1"/>
          <w:color w:val="auto"/>
        </w:rPr>
        <w:t>The approval of, filing or other procedures with the CSRC or other Chinese regulatory authorities may be required in connection with issuing securities to foreign investors under Chinese law, and, if required, we cannot predict whether we will be able, or how long it will take us, to obtain such approval or complete such filing or other procedures.</w:t>
      </w:r>
    </w:p>
    <w:p>
      <w:pPr>
        <w:spacing w:after="0" w:line="175" w:lineRule="exact"/>
        <w:rPr>
          <w:sz w:val="20"/>
          <w:szCs w:val="20"/>
          <w:color w:val="auto"/>
        </w:rPr>
      </w:pPr>
    </w:p>
    <w:p>
      <w:pPr>
        <w:ind w:right="280"/>
        <w:spacing w:after="0" w:line="248" w:lineRule="auto"/>
        <w:rPr>
          <w:sz w:val="20"/>
          <w:szCs w:val="20"/>
          <w:color w:val="auto"/>
        </w:rPr>
      </w:pPr>
      <w:r>
        <w:rPr>
          <w:rFonts w:ascii="Arial" w:cs="Arial" w:eastAsia="Arial" w:hAnsi="Arial"/>
          <w:sz w:val="20"/>
          <w:szCs w:val="20"/>
          <w:color w:val="auto"/>
        </w:rPr>
        <w:t>The Regulations on Mergers and Acquisitions of Domestic Enterprises by Foreign Investors (the “M&amp;A Rules”) purport to require offshore special purpose vehicles that are controlled by Chinese companies or individuals and that have been formed for the purpose of seeking a public listing on an overseas stock exchange through acquisitions of Chinese domestic companies or assets in exchange for the shares of the offshore special purpose vehicles shall obtain CSRC approval prior to publicly listing their securities on an overseas stock exchange.</w:t>
      </w:r>
    </w:p>
    <w:p>
      <w:pPr>
        <w:spacing w:after="0" w:line="194"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On July 6, 2021, the relevant Chinese government authorities published the Opinions on Strictly Cracking Down Illegal Securities Activities in Accordance with the Law. These opinions call for strengthened regulation over illegal securities activities and increased supervision of overseas listings by China- based companies, and propose to take effective measures, such as promoting the construction of relevant regulatory systems to regulate the risks and incidents faced by China-based overseas-listed companies.</w:t>
      </w:r>
    </w:p>
    <w:p>
      <w:pPr>
        <w:spacing w:after="0" w:line="187"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color w:val="auto"/>
        </w:rPr>
        <w:t>Furthermore, on February 17, 2023, the CSRC promulgated a new set of regulations that consists of the Trial Measures and five supporting guidelines which came into effect on March 31, 2023 to regulate overseas securities offering and listing activities by domestic companies either in direct or indirect form. According to the Trial Measures, we may be required to submit filings to the CSRC in connection with future issuances of our equity securities to foreign investors. For more details, see the Part I. Item 1. “Business—Regulation— Other Significant Chinese Regulation Affecting Our Business Activities in China.”</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As of the date of this Annual Report, we have not received any inquiry, notice, warning or sanction regarding obtaining approval, completing filings or other procedures in connection with our previous issuances of securities to foreign investors from the CSRC or any other Chinese regulatory authorities that have jurisdiction over our operations. Based on the above and our understanding of the newly issued Trial Measures and the supporting guidelines, after they came into effect on March 31, 2023, we would not at once be required to submit an application to the CSRC for our previous issuances of securities to foreign investors, but if we intend to make any subsequent securities offering in the same overseas market which are determined as indirect overseas offering and listing by a domestic company under the Trial Measures, we</w:t>
      </w:r>
    </w:p>
    <w:p>
      <w:pPr>
        <w:sectPr>
          <w:pgSz w:w="11880" w:h="15480" w:orient="portrait"/>
          <w:cols w:equalWidth="0" w:num="1">
            <w:col w:w="9720"/>
          </w:cols>
          <w:pgMar w:left="1080" w:top="1066" w:right="1080" w:bottom="555" w:gutter="0" w:footer="0" w:header="0"/>
        </w:sect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111</w:t>
      </w:r>
    </w:p>
    <w:p>
      <w:pPr>
        <w:sectPr>
          <w:pgSz w:w="11880" w:h="15480" w:orient="portrait"/>
          <w:cols w:equalWidth="0" w:num="1">
            <w:col w:w="9720"/>
          </w:cols>
          <w:pgMar w:left="1080" w:top="1066" w:right="1080" w:bottom="555" w:gutter="0" w:footer="0" w:header="0"/>
          <w:type w:val="continuous"/>
        </w:sectPr>
      </w:pPr>
    </w:p>
    <w:bookmarkStart w:id="113" w:name="page114"/>
    <w:bookmarkEnd w:id="113"/>
    <w:p>
      <w:pPr>
        <w:spacing w:after="0" w:line="242" w:lineRule="auto"/>
        <w:rPr>
          <w:sz w:val="20"/>
          <w:szCs w:val="20"/>
          <w:color w:val="auto"/>
        </w:rPr>
      </w:pPr>
      <w:r>
        <w:rPr>
          <w:rFonts w:ascii="Arial" w:cs="Arial" w:eastAsia="Arial" w:hAnsi="Arial"/>
          <w:sz w:val="20"/>
          <w:szCs w:val="20"/>
          <w:color w:val="auto"/>
        </w:rPr>
        <w:t>may be required to submit filing with the CSRC within three working days after such subsequent securities offering is completed. However, there remains uncertainty as to the interpretation and implementation of regulatory requirements related to overseas securities offerings and other capital markets activities, and we cannot assure you that the relevant Chinese regulatory authorities, including the CSRC, would reach the same conclusion as us. If it is determined in the future that the approval of, filing or other procedure is required with the CSRC or any other regulatory authority for our previous issuances of securities to foreign investors, or if we are required to complete relevant procedures for our subsequent securities offering in the same overseas market, it is uncertain whether we will be able and how long it will take for us to obtain the approval or complete the filing or other procedure or obtain a waiver for such procedures, despite our best efforts. If we, for any reason, are unable to obtain or complete, or experience significant delays in obtaining or completing, the requisite relevant approval(s), filing(s) or other procedure(s), the regulatory authorities may impose fines and penalties on our operations in China, limit our operating privileges in China, revoke our business licenses, delay or restrict the repatriation of the proceeds from securities offerings into China or take other actions that could have an adverse effect on our business, financial condition, results of operations and prospects, as well as the trading price of the ADSs. Any uncertainties and/or negative publicity regarding the aforementioned approval(s), filing or other procedure(s), the interpretation and implementation of existing laws and regulations, or any further laws, regulations or interpretations that may be released and enacted in the future could have a material adverse effect on the trading price of the ADSs.</w:t>
      </w:r>
    </w:p>
    <w:p>
      <w:pPr>
        <w:spacing w:after="0" w:line="211"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b w:val="1"/>
          <w:bCs w:val="1"/>
          <w:i w:val="1"/>
          <w:iCs w:val="1"/>
          <w:color w:val="auto"/>
        </w:rPr>
        <w:t>Pharmaceutical companies operating in China are required to comply with extensive regulations and hold a number of permits and licenses to carry on their business. Our ability to obtain and maintain these regulatory approvals is uncertain, and future government regulation may place additional burdens on our current and planned operations in China.</w:t>
      </w:r>
    </w:p>
    <w:p>
      <w:pPr>
        <w:spacing w:after="0" w:line="175"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The pharmaceutical industry in China is subject to extensive government regulation and supervision. The regulatory framework addresses all aspects of operating in the pharmaceutical industry, including product development activities, clinical trials, registration, production, distribution, packaging, labeling, storage and shipment, advertising, licensing and post-approval pharmacovigilance certification requirements and procedures, periodic renewal and reassessment processes, data security and data privacy protection requirements and compliance and environmental protection. In particular, we are subject to many of these laws and regulations because our wholly-owned subsidiary, Basecamp Bio, through which we conduct our technology development and early discovery activities, operates primarily in China. Violation of applicable laws and regulations may materially and adversely affect our business. The regulatory framework governing the pharmaceutical industry in China is subject to change and amendment from time to time. Any such change or amendment could materially and adversely impact our business, financial condition and prospects. The Chinese government has introduced various reforms to the Chinese healthcare system in recent years and may continue to do so, with an overall objective to expand basic medical insurance coverage and improve the quality and reliability of healthcare services. The specific regulatory changes under the various reform initiatives remain uncertain. The implementing measures to be issued may not be sufficiently effective to achieve the stated goals, and as a result, we may not be able to benefit from such reform to the extent we expect, if at all. Moreover, the various reform initiatives could give rise to regulatory developments, such as more burdensome administrative procedures, which may have an adverse effect on our business and prospects.</w:t>
      </w:r>
    </w:p>
    <w:p>
      <w:pPr>
        <w:spacing w:after="0" w:line="209" w:lineRule="exact"/>
        <w:rPr>
          <w:sz w:val="20"/>
          <w:szCs w:val="20"/>
          <w:color w:val="auto"/>
        </w:rPr>
      </w:pPr>
    </w:p>
    <w:p>
      <w:pPr>
        <w:jc w:val="both"/>
        <w:ind w:right="100"/>
        <w:spacing w:after="0" w:line="318" w:lineRule="auto"/>
        <w:rPr>
          <w:sz w:val="20"/>
          <w:szCs w:val="20"/>
          <w:color w:val="auto"/>
        </w:rPr>
      </w:pPr>
      <w:r>
        <w:rPr>
          <w:rFonts w:ascii="Arial" w:cs="Arial" w:eastAsia="Arial" w:hAnsi="Arial"/>
          <w:sz w:val="19"/>
          <w:szCs w:val="19"/>
          <w:b w:val="1"/>
          <w:bCs w:val="1"/>
          <w:i w:val="1"/>
          <w:iCs w:val="1"/>
          <w:color w:val="auto"/>
        </w:rPr>
        <w:t>As a company with operations and business relationships outside of the United States, our business is subject to economic, political, regulatory and other risks associated with international operations.</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As a company with operations in China, our business is subject to risks associated with conducting business outside the United States. In addition to our technology development and early discovery activities through Basecamp Bio in China, substantially all of our suppliers and clinical trial relationships are located outside the United States. Accordingly, our future results could be harmed by a variety of factors, including:</w:t>
      </w:r>
    </w:p>
    <w:p>
      <w:pPr>
        <w:spacing w:after="0" w:line="196" w:lineRule="exact"/>
        <w:rPr>
          <w:sz w:val="20"/>
          <w:szCs w:val="20"/>
          <w:color w:val="auto"/>
        </w:rPr>
      </w:pPr>
    </w:p>
    <w:p>
      <w:pPr>
        <w:ind w:left="720" w:right="260" w:hanging="353"/>
        <w:spacing w:after="0" w:line="284"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economic weakness, including inflation, or political instability in particular non-U.S. economies and markets;</w:t>
      </w:r>
    </w:p>
    <w:p>
      <w:pPr>
        <w:sectPr>
          <w:pgSz w:w="11880" w:h="15480" w:orient="portrait"/>
          <w:cols w:equalWidth="0" w:num="1">
            <w:col w:w="9680"/>
          </w:cols>
          <w:pgMar w:left="1080" w:top="1066" w:right="1120" w:bottom="555"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112</w:t>
      </w:r>
    </w:p>
    <w:p>
      <w:pPr>
        <w:sectPr>
          <w:pgSz w:w="11880" w:h="15480" w:orient="portrait"/>
          <w:cols w:equalWidth="0" w:num="1">
            <w:col w:w="9680"/>
          </w:cols>
          <w:pgMar w:left="1080" w:top="1066" w:right="1120" w:bottom="555" w:gutter="0" w:footer="0" w:header="0"/>
          <w:type w:val="continuous"/>
        </w:sectPr>
      </w:pPr>
    </w:p>
    <w:bookmarkStart w:id="114" w:name="page115"/>
    <w:bookmarkEnd w:id="114"/>
    <w:p>
      <w:pPr>
        <w:ind w:left="720" w:hanging="353"/>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differing and changing regulatory requirements for product approvals;</w:t>
      </w:r>
    </w:p>
    <w:p>
      <w:pPr>
        <w:spacing w:after="0" w:line="133" w:lineRule="exact"/>
        <w:rPr>
          <w:rFonts w:ascii="Arial" w:cs="Arial" w:eastAsia="Arial" w:hAnsi="Arial"/>
          <w:sz w:val="20"/>
          <w:szCs w:val="20"/>
          <w:color w:val="auto"/>
        </w:rPr>
      </w:pPr>
    </w:p>
    <w:p>
      <w:pPr>
        <w:ind w:left="720" w:right="180" w:hanging="353"/>
        <w:spacing w:after="0" w:line="284" w:lineRule="auto"/>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differing jurisdictions could present different issues for securing, maintaining or obtaining freedom to operate in such jurisdictions;</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potentially reduced protection for intellectual property rights;</w:t>
      </w:r>
    </w:p>
    <w:p>
      <w:pPr>
        <w:spacing w:after="0" w:line="133" w:lineRule="exact"/>
        <w:rPr>
          <w:rFonts w:ascii="Arial" w:cs="Arial" w:eastAsia="Arial" w:hAnsi="Arial"/>
          <w:sz w:val="20"/>
          <w:szCs w:val="20"/>
          <w:color w:val="auto"/>
        </w:rPr>
      </w:pPr>
    </w:p>
    <w:p>
      <w:pPr>
        <w:ind w:left="720" w:right="100" w:hanging="353"/>
        <w:spacing w:after="0" w:line="284" w:lineRule="auto"/>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difficulties in compliance with different, complex and changing laws, regulations and court systems of multiple jurisdictions and compliance with a wide variety of foreign laws, treaties and regulations;</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changes in non-U.S. regulations and customs, tariffs and trade barriers;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changes in non-U.S. currency exchange rates of the RMB;</w:t>
      </w:r>
    </w:p>
    <w:p>
      <w:pPr>
        <w:spacing w:after="0" w:line="132" w:lineRule="exact"/>
        <w:rPr>
          <w:rFonts w:ascii="Arial" w:cs="Arial" w:eastAsia="Arial" w:hAnsi="Arial"/>
          <w:sz w:val="20"/>
          <w:szCs w:val="20"/>
          <w:color w:val="auto"/>
        </w:rPr>
      </w:pPr>
    </w:p>
    <w:p>
      <w:pPr>
        <w:ind w:left="720" w:right="200" w:hanging="353"/>
        <w:spacing w:after="0" w:line="262" w:lineRule="auto"/>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increasing geopolitical tensions between the U.S. and China and changes in a specific country’s or region’s political or economic environment especially with respect to a particular country’s treatment of or stance towards other countries;</w:t>
      </w:r>
    </w:p>
    <w:p>
      <w:pPr>
        <w:spacing w:after="0" w:line="70" w:lineRule="exact"/>
        <w:rPr>
          <w:rFonts w:ascii="Arial" w:cs="Arial" w:eastAsia="Arial" w:hAnsi="Arial"/>
          <w:sz w:val="20"/>
          <w:szCs w:val="20"/>
          <w:color w:val="auto"/>
        </w:rPr>
      </w:pPr>
    </w:p>
    <w:p>
      <w:pPr>
        <w:ind w:left="720" w:right="480" w:hanging="353"/>
        <w:spacing w:after="0" w:line="284" w:lineRule="auto"/>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trade protection measures, import or export licensing requirements or other restrictive actions by governments;</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differing reimbursement regimes and price controls in certain non-U.S. markets;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negative consequences from changes in tax laws;</w:t>
      </w:r>
    </w:p>
    <w:p>
      <w:pPr>
        <w:spacing w:after="0" w:line="133" w:lineRule="exact"/>
        <w:rPr>
          <w:rFonts w:ascii="Arial" w:cs="Arial" w:eastAsia="Arial" w:hAnsi="Arial"/>
          <w:sz w:val="20"/>
          <w:szCs w:val="20"/>
          <w:color w:val="auto"/>
        </w:rPr>
      </w:pPr>
    </w:p>
    <w:p>
      <w:pPr>
        <w:ind w:left="720" w:right="700" w:hanging="353"/>
        <w:spacing w:after="0" w:line="284" w:lineRule="auto"/>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compliance with tax, employment, immigration and labor laws for employees living or traveling abroad;</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variable tax treatment in different jurisdictions of options granted under our equity incentive plans;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workforce uncertainty in countries where labor unrest is more common than in the United States; and</w:t>
      </w:r>
    </w:p>
    <w:p>
      <w:pPr>
        <w:spacing w:after="0" w:line="133" w:lineRule="exact"/>
        <w:rPr>
          <w:rFonts w:ascii="Arial" w:cs="Arial" w:eastAsia="Arial" w:hAnsi="Arial"/>
          <w:sz w:val="20"/>
          <w:szCs w:val="20"/>
          <w:color w:val="auto"/>
        </w:rPr>
      </w:pPr>
    </w:p>
    <w:p>
      <w:pPr>
        <w:ind w:left="720" w:right="800" w:hanging="353"/>
        <w:spacing w:after="0" w:line="284" w:lineRule="auto"/>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business interruptions resulting from geo-political actions, including war and terrorism, health epidemics, or natural disasters including earthquakes, typhoons, floods and fires.</w:t>
      </w:r>
    </w:p>
    <w:p>
      <w:pPr>
        <w:spacing w:after="0" w:line="160" w:lineRule="exact"/>
        <w:rPr>
          <w:sz w:val="20"/>
          <w:szCs w:val="20"/>
          <w:color w:val="auto"/>
        </w:rPr>
      </w:pPr>
    </w:p>
    <w:p>
      <w:pPr>
        <w:ind w:right="320"/>
        <w:spacing w:after="0" w:line="265" w:lineRule="auto"/>
        <w:rPr>
          <w:sz w:val="20"/>
          <w:szCs w:val="20"/>
          <w:color w:val="auto"/>
        </w:rPr>
      </w:pPr>
      <w:r>
        <w:rPr>
          <w:rFonts w:ascii="Arial" w:cs="Arial" w:eastAsia="Arial" w:hAnsi="Arial"/>
          <w:sz w:val="20"/>
          <w:szCs w:val="20"/>
          <w:b w:val="1"/>
          <w:bCs w:val="1"/>
          <w:i w:val="1"/>
          <w:iCs w:val="1"/>
          <w:color w:val="auto"/>
        </w:rPr>
        <w:t>If we fail to comply with Chinese environmental, health and safety laws and regulations, we could become subject to fines or penalties or incur costs that could have a material adverse effect on the success of our business.</w:t>
      </w:r>
    </w:p>
    <w:p>
      <w:pPr>
        <w:spacing w:after="0" w:line="16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are subject to numerous environmental, health and safety laws and regulations, including those governing laboratory procedures, fire safety and the handling, use, storage, treatment and disposal of hazardous materials and wastes. Our technology development and early discovery operations primarily occur in China and involve the use of hazardous materials, including chemical materials. Our operations also produce hazardous waste products. We are therefore subject to Chinese laws and regulations concerning the discharge of wastewater, gaseous waste and solid waste during our processes, including those relating to product development. We engage competent third-party contractors for the transfer and disposal of these materials and wastes. Despite our efforts to comply fully with environmental and safety regulations, any violation of these regulations may result in substantial fines, criminal sanctions, revocations of operating permits, the shutdown of our facilities and the incurrence of obligations to take corrective measures. We cannot completely eliminate the risk of contamination or injury from these materials and wastes. In the event of contamination or injury resulting from the use or discharge of hazardous materials, we could be held liable for any resulting damages, and any liability could exceed our resources. We also could incur significant costs associated with civil, administrative or criminal fines and penalties.</w:t>
      </w:r>
    </w:p>
    <w:p>
      <w:pPr>
        <w:spacing w:after="0" w:line="200"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Although we maintain workers’ compensation insurance to cover costs and expenses incurred due to on-the-job injuries to our employees and public liability insurance to cover costs and expenses that may be incurred if third parties are injured on our property, such insurance may not provide adequate coverage against potential liabilities. Furthermore, the Chinese government may take steps towards the adoption of more stringent environmental regulations, and, due to the possibility of unanticipated regulatory or other developments, the amount and timing of future environmental expenditures may vary substantially from those currently anticipated. If there is any unanticipated change in the environmental regulations, our third-party</w:t>
      </w:r>
    </w:p>
    <w:p>
      <w:pPr>
        <w:sectPr>
          <w:pgSz w:w="11880" w:h="15480" w:orient="portrait"/>
          <w:cols w:equalWidth="0" w:num="1">
            <w:col w:w="9720"/>
          </w:cols>
          <w:pgMar w:left="1080" w:top="1080" w:right="1080" w:bottom="555"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113</w:t>
      </w:r>
    </w:p>
    <w:p>
      <w:pPr>
        <w:sectPr>
          <w:pgSz w:w="11880" w:h="15480" w:orient="portrait"/>
          <w:cols w:equalWidth="0" w:num="1">
            <w:col w:w="9720"/>
          </w:cols>
          <w:pgMar w:left="1080" w:top="1080" w:right="1080" w:bottom="555" w:gutter="0" w:footer="0" w:header="0"/>
          <w:type w:val="continuous"/>
        </w:sectPr>
      </w:pPr>
    </w:p>
    <w:bookmarkStart w:id="115" w:name="page116"/>
    <w:bookmarkEnd w:id="115"/>
    <w:p>
      <w:pPr>
        <w:ind w:right="60"/>
        <w:spacing w:after="0" w:line="251" w:lineRule="auto"/>
        <w:rPr>
          <w:sz w:val="20"/>
          <w:szCs w:val="20"/>
          <w:color w:val="auto"/>
        </w:rPr>
      </w:pPr>
      <w:r>
        <w:rPr>
          <w:rFonts w:ascii="Arial" w:cs="Arial" w:eastAsia="Arial" w:hAnsi="Arial"/>
          <w:sz w:val="20"/>
          <w:szCs w:val="20"/>
          <w:color w:val="auto"/>
        </w:rPr>
        <w:t>manufacturers and other service providers may incur substantial capital expenditures to install, replace, upgrade or supplement their manufacturing facilities and equipment or make operational changes to limit any adverse impact or potential adverse impact on the environment in order to comply with new environmental protection laws and regulations. If such costs become prohibitively expensive, we may be forced to cease certain aspects of our business operations and our business may be materially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Development in the Chinese legal system could materially and adversely affect us.</w:t>
      </w:r>
    </w:p>
    <w:p>
      <w:pPr>
        <w:spacing w:after="0" w:line="235"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Chinese laws and regulations govern our operations in China and the PRC legal system is a civil law system based on written statutes. Unlike the common law system, prior court decisions under the civil law system may be cited for reference but have limited precedential value. As the laws and regulations are relatively new and the PRC legal system continues to evolve, there may be room for discretion in the implementation of these laws and regulations. And as these laws and regulations are evolving in response to changing economic and other conditions, factors related to the application and implementation of these laws and regulations may affect our business and results of operations.</w:t>
      </w:r>
    </w:p>
    <w:p>
      <w:pPr>
        <w:spacing w:after="0" w:line="198"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auto"/>
        </w:rPr>
        <w:t>We may be exposed to liabilities under the U.S. Foreign Corrupt Practices Act (the “FCPA”), and similar anti- corruption and anti-bribery laws of China and other countries in which we operate, as well as U.S. and certain foreign export controls, trade sanctions and import laws and regulations. Compliance with these legal requirements could limit our ability to compete in foreign markets and any determination that we have violated these laws could have a material adverse effect on our business or our reputation.</w:t>
      </w:r>
    </w:p>
    <w:p>
      <w:pPr>
        <w:spacing w:after="0" w:line="178"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Our operations are subject to the FCPA and similar anti-bribery or anti-corruption laws, regulations or rules of China and other countries in which we operate. The FCPA and these other laws generally prohibit us, our officers, and our employees and intermediaries from, directly or indirectly, offering, authorizing or making improper payments to non-U.S. government officials for the purpose of obtaining or retaining business or other advantage.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As our business expands, the applicability of the FCPA and other anti-bribery laws to our operations will increase. If our procedures and controls to monitor anti -bribery compliance fail to protect us from reckless or criminal acts committed by our employees or agents or if we, or our employees, agents, contractors or other collaborators,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or domestic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ectPr>
          <w:pgSz w:w="11880" w:h="15480" w:orient="portrait"/>
          <w:cols w:equalWidth="0" w:num="1">
            <w:col w:w="9680"/>
          </w:cols>
          <w:pgMar w:left="1080" w:top="1066" w:right="112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114</w:t>
      </w:r>
    </w:p>
    <w:p>
      <w:pPr>
        <w:sectPr>
          <w:pgSz w:w="11880" w:h="15480" w:orient="portrait"/>
          <w:cols w:equalWidth="0" w:num="1">
            <w:col w:w="9680"/>
          </w:cols>
          <w:pgMar w:left="1080" w:top="1066" w:right="1120" w:bottom="555" w:gutter="0" w:footer="0" w:header="0"/>
          <w:type w:val="continuous"/>
        </w:sectPr>
      </w:pPr>
    </w:p>
    <w:bookmarkStart w:id="116" w:name="page117"/>
    <w:bookmarkEnd w:id="116"/>
    <w:p>
      <w:pPr>
        <w:ind w:right="320"/>
        <w:spacing w:after="0" w:line="290" w:lineRule="auto"/>
        <w:rPr>
          <w:sz w:val="20"/>
          <w:szCs w:val="20"/>
          <w:color w:val="auto"/>
        </w:rPr>
      </w:pPr>
      <w:r>
        <w:rPr>
          <w:rFonts w:ascii="Arial" w:cs="Arial" w:eastAsia="Arial" w:hAnsi="Arial"/>
          <w:sz w:val="20"/>
          <w:szCs w:val="20"/>
          <w:b w:val="1"/>
          <w:bCs w:val="1"/>
          <w:i w:val="1"/>
          <w:iCs w:val="1"/>
          <w:color w:val="auto"/>
        </w:rPr>
        <w:t>Regulatory Requirements on currency exchange may limit our ability to receive and use effectively financing in foreign currencies.</w:t>
      </w:r>
    </w:p>
    <w:p>
      <w:pPr>
        <w:spacing w:after="0" w:line="141"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color w:val="auto"/>
        </w:rPr>
        <w:t>Our Chinese subsidiaries’ ability to obtain currency exchange is subject to certain foreign exchange regulations and, in the case of transactions under the capital account, requires the approval of and/or registration with Chinese government authorities, including the State Administration of Foreign Exchange (“SAFE”). In particular, if we finance our Chinese subsidiaries by means of foreign debt from us or other foreign lenders, the amount is not allowed to, among other things, exceed the statutory limits and such loans must be registered with the local branch of SAFE. If we finance our Chinese subsidiaries by means of additional capital contributions, these capital contributions are subject to registration with the State Administration for Market Regulation or its local branch, reporting of foreign investment information with the Ministry of Commerce of the People’s Republic of China (“MOFCOM”), or its local branch or registration with other governmental authorities in China.</w:t>
      </w:r>
    </w:p>
    <w:p>
      <w:pPr>
        <w:spacing w:after="0" w:line="192"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In light of the various requirements imposed by Chinese regulations on loans to, and direct investment in, China-based entities by offshore holding companies, we cannot assure you that we will be able to complete the necessary government requirements or obtain the necessary government approvals on a timely basis, if at all, with respect to future loans or capital contributions by us to our Chinese subsidiaries. If we fail to adhere to such requirements or obtain such approval, our ability to use the proceeds we received from the IPO and to capitalize or otherwise fund our Chinese operations, including our technology development and early discovery activities through Basecamp Bio, may be negatively affected, which could materially and adversely affect our ability to fund and expand our business.</w:t>
      </w:r>
    </w:p>
    <w:p>
      <w:pPr>
        <w:spacing w:after="0" w:line="199" w:lineRule="exact"/>
        <w:rPr>
          <w:sz w:val="20"/>
          <w:szCs w:val="20"/>
          <w:color w:val="auto"/>
        </w:rPr>
      </w:pPr>
    </w:p>
    <w:p>
      <w:pPr>
        <w:spacing w:after="0" w:line="252" w:lineRule="auto"/>
        <w:rPr>
          <w:sz w:val="20"/>
          <w:szCs w:val="20"/>
          <w:color w:val="auto"/>
        </w:rPr>
      </w:pPr>
      <w:r>
        <w:rPr>
          <w:rFonts w:ascii="Arial" w:cs="Arial" w:eastAsia="Arial" w:hAnsi="Arial"/>
          <w:sz w:val="20"/>
          <w:szCs w:val="20"/>
          <w:b w:val="1"/>
          <w:bCs w:val="1"/>
          <w:i w:val="1"/>
          <w:iCs w:val="1"/>
          <w:color w:val="auto"/>
        </w:rPr>
        <w:t>Chinese regulations relating to the establishment of offshore special purpose companies by residents in China may subject our China resident beneficial owners or our wholly foreign-owned subsidiaries in China to liability or penalties, limit our ability to inject capital into these subsidiaries, limit these subsidiaries’ ability to increase their registered capital or distribute profits to us, or may otherwise adversely affect us.</w:t>
      </w:r>
    </w:p>
    <w:p>
      <w:pPr>
        <w:spacing w:after="0" w:line="179"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In 2014, SAFE promulgated the SAFE Circular 37, which requires residents of China to register with local branches of SAFE in connection with their direct establishment or indirect control of an offshore entity, for the purpose of overseas investment and financing, with such residents’ legally owned assets or equity interests in domestic enterprises or offshore assets or interests, referred to in SAFE Circular 37 as a “special purpose vehicle.” The term “control” under SAFE Circular 37 is broadly defined as the operation rights, beneficiary rights or decision-making rights acquired by residents of China in the offshore special purpose vehicles or Chinese companies by such means as acquisition, trust, proxy, voting rights, repurchase, convertible bonds or other arrangements. SAFE Circular 37 further requires amendment to the registration in the event of any changes with respect to the basic information of or any significant changes with respect to the special purpose vehicle, such as an increase or decrease of capital contributed by China residents, share transfer or exchange, merger, division or other material events. If the shareholders of the offshore holding company who are residents of China do not complete their registration with the local SAFE branches, the Chinese subsidiaries may be prohibited from making distributions of profits and proceeds from any reduction in capital, share transfer or liquidation to the offshore parent company and from carrying out subsequent cross-border foreign exchange activities, and the offshore parent company may be restricted in its ability to contribute additional capital into its Chinese subsidiaries. Moreover, failure to comply with the SAFE registration and amendment requirements described above could result in liability under Chinese law for evasion of applicable foreign exchange restrictions.</w:t>
      </w:r>
    </w:p>
    <w:p>
      <w:pPr>
        <w:spacing w:after="0" w:line="206"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Certain residents of China may hold direct or indirect interests in our company, and we will request residents of China who we know hold direct or indirect interests in our company, if any, to make the necessary applications, filings and amendments as required under SAFE Circular 37 and other related rules. However, we may not at all times be fully aware or informed of the identities of our shareholders or beneficial owners that are required to make such registrations, and we cannot provide any assurance that these residents will comply with our requests to make or obtain any applicable registrations or comply with other requirements under SAFE Circular 37 or other related rules. The failure or inability of our China resident shareholders to</w:t>
      </w:r>
    </w:p>
    <w:p>
      <w:pPr>
        <w:sectPr>
          <w:pgSz w:w="11880" w:h="15480" w:orient="portrait"/>
          <w:cols w:equalWidth="0" w:num="1">
            <w:col w:w="9700"/>
          </w:cols>
          <w:pgMar w:left="1080" w:top="1070" w:right="1100" w:bottom="555" w:gutter="0" w:footer="0" w:header="0"/>
        </w:sect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115</w:t>
      </w:r>
    </w:p>
    <w:p>
      <w:pPr>
        <w:sectPr>
          <w:pgSz w:w="11880" w:h="15480" w:orient="portrait"/>
          <w:cols w:equalWidth="0" w:num="1">
            <w:col w:w="9700"/>
          </w:cols>
          <w:pgMar w:left="1080" w:top="1070" w:right="1100" w:bottom="555" w:gutter="0" w:footer="0" w:header="0"/>
          <w:type w:val="continuous"/>
        </w:sectPr>
      </w:pPr>
    </w:p>
    <w:bookmarkStart w:id="117" w:name="page118"/>
    <w:bookmarkEnd w:id="117"/>
    <w:p>
      <w:pPr>
        <w:ind w:right="40"/>
        <w:spacing w:after="0" w:line="246" w:lineRule="auto"/>
        <w:rPr>
          <w:sz w:val="20"/>
          <w:szCs w:val="20"/>
          <w:color w:val="auto"/>
        </w:rPr>
      </w:pPr>
      <w:r>
        <w:rPr>
          <w:rFonts w:ascii="Arial" w:cs="Arial" w:eastAsia="Arial" w:hAnsi="Arial"/>
          <w:sz w:val="20"/>
          <w:szCs w:val="20"/>
          <w:color w:val="auto"/>
        </w:rPr>
        <w:t>comply with the registration procedures set forth in these regulations may subject us to fines or legal sanctions, restrictions on our cross-border investment activities or those of our China subsidiaries and limitations on the ability of our wholly foreign-owned subsidiaries in China to distribute dividends or the proceeds from any reduction in capital, share transfer or liquidation to us, and we may also be prohibited from injecting additional capital into these subsidiaries. Moreover, failure to comply with the various foreign exchange registration requirements described above could result in liability under Chinese law for circumventing applicable foreign exchange restrictions. As a result, our business operations and our ability to make distributions to you could be materially and adversely affected.</w:t>
      </w:r>
    </w:p>
    <w:p>
      <w:pPr>
        <w:spacing w:after="0" w:line="159" w:lineRule="exact"/>
        <w:rPr>
          <w:sz w:val="20"/>
          <w:szCs w:val="20"/>
          <w:color w:val="auto"/>
        </w:rPr>
      </w:pPr>
    </w:p>
    <w:p>
      <w:pPr>
        <w:ind w:right="140"/>
        <w:spacing w:after="0" w:line="264" w:lineRule="auto"/>
        <w:rPr>
          <w:sz w:val="20"/>
          <w:szCs w:val="20"/>
          <w:color w:val="auto"/>
        </w:rPr>
      </w:pPr>
      <w:r>
        <w:rPr>
          <w:rFonts w:ascii="Arial" w:cs="Arial" w:eastAsia="Arial" w:hAnsi="Arial"/>
          <w:sz w:val="20"/>
          <w:szCs w:val="20"/>
          <w:b w:val="1"/>
          <w:bCs w:val="1"/>
          <w:i w:val="1"/>
          <w:iCs w:val="1"/>
          <w:color w:val="auto"/>
        </w:rPr>
        <w:t>If we are classified as a China resident enterprise for China income tax purposes, such classification could result in unfavorable tax consequences to us and our non-Chinese shareholders or ADS holders.</w:t>
      </w:r>
    </w:p>
    <w:p>
      <w:pPr>
        <w:spacing w:after="0" w:line="127" w:lineRule="exact"/>
        <w:rPr>
          <w:sz w:val="20"/>
          <w:szCs w:val="20"/>
          <w:color w:val="auto"/>
        </w:rPr>
      </w:pPr>
    </w:p>
    <w:p>
      <w:pPr>
        <w:ind w:right="60"/>
        <w:spacing w:after="0"/>
        <w:rPr>
          <w:sz w:val="20"/>
          <w:szCs w:val="20"/>
          <w:color w:val="auto"/>
        </w:rPr>
      </w:pPr>
      <w:r>
        <w:rPr>
          <w:rFonts w:ascii="Arial" w:cs="Arial" w:eastAsia="Arial" w:hAnsi="Arial"/>
          <w:sz w:val="20"/>
          <w:szCs w:val="20"/>
          <w:color w:val="auto"/>
        </w:rPr>
        <w:t>The Enterprise Income Tax Law of the People’s Republic of China (the “EIT Law”), which was promulgated in March 2007, became effective in January 2008 and was amended in February 2017 and December 2018, and the Regulation on the Implementation of the EIT Law, effective as of January 1, 2008 and as amended in April 2019, define the term “de facto management bodies” as “bodies that substantially carry out comprehensive management and control on the business operation, personnel, accounts and assets of enterprises.” Under the EIT Law, an enterprise incorporated outside of China whose “de facto management bodies” are located in China may be considered a “resident enterprise” and will be subject to a uniform 25% enterprise income tax (“EIT”), rate on its global income. The Notice Regarding the Determination of Chinese-Controlled Offshore-Incorporated Enterprises as Chinese Tax Resident Enterprises on the Basis of De Facto Management Bodies (“SAT Circular 82”), issued by the State Taxation Administration of the People’s Republic of China (“SAT”) on April 22, 2009 and as amended in November 2013 and</w:t>
      </w:r>
    </w:p>
    <w:p>
      <w:pPr>
        <w:ind w:right="100"/>
        <w:spacing w:after="0" w:line="243" w:lineRule="auto"/>
        <w:rPr>
          <w:sz w:val="20"/>
          <w:szCs w:val="20"/>
          <w:color w:val="auto"/>
        </w:rPr>
      </w:pPr>
      <w:r>
        <w:rPr>
          <w:rFonts w:ascii="Arial" w:cs="Arial" w:eastAsia="Arial" w:hAnsi="Arial"/>
          <w:sz w:val="20"/>
          <w:szCs w:val="20"/>
          <w:color w:val="auto"/>
        </w:rPr>
        <w:t>December 2017 further specifies certain criteria for the determination of what constitutes “de facto management bodies.” If all of these criteria are met, the relevant foreign enterprise may be regarded to have its “de facto management bodies” located in China and therefore be considered a Chinese resident enterprise. These criteria include: (i) the enterprise’s day-to-day operational management is primarily exercised in China; (ii) decisions relating to the enterprise’s financial and human resource matters are made or subject to approval by organizations or personnel in China; (iii) the enterprise’s primary assets, accounting books and records, company seals, and board and shareholders’ meeting minutes are located or maintained in China; and (iv) 50% or more of voting board members or senior executives of the enterprise habitually reside in China. Although SAT Circular 82 only applies to foreign enterprises that are majority-owned and controlled by Chinese enterprises, not those owned and controlled by foreign enterprises or individuals, the determining criteria set forth in SAT Circular 82 may be adopted by the Chinese tax authorities as the reference for determining whether the enterprises are Chinese tax residents, regardless of whether they are majority-owned and controlled by Chinese enterprises.</w:t>
      </w:r>
    </w:p>
    <w:p>
      <w:pPr>
        <w:spacing w:after="0" w:line="163"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We believe that neither we nor any of our subsidiaries outside of China is a China resident enterprise for Chinese tax purposes. However, the tax resident status of an enterprise is subject to determination by the Chinese tax authorities, and uncertainties remain with respect to the interpretation of the term “de facto management body.” If the Chinese tax authorities determine that we or any of our subsidiaries outside of China is a Chinese resident enterprise for EIT purposes, that entity would be subject to a 25% EIT on its global income. If such entity derives income other than dividends from its wholly-owned subsidiaries in China, a 25% EIT on its global income may increase our tax burden.</w:t>
      </w:r>
    </w:p>
    <w:p>
      <w:pPr>
        <w:spacing w:after="0" w:line="153"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In addition, if we are classified as a China resident enterprise for Chinese tax purposes, we may be required to withhold tax at a rate of 10% from dividends we pay to our shareholders, including the holders of our ADSs, that are non-resident enterprises. Further, non-resident enterprise shareholders (including our ADS holders) may be subject to a 10% Chinese withholding tax on gains realized on the sale or other disposition of our ADSs or ordinary shares if such income is treated as sourced from within China. Furthermore, gains derived by our non-Chinese individual shareholders from the sale of our ordinary shares and ADSs may be subject to a 20% Chinese withholding tax. It is unclear whether our non-China-based individual shareholders (including our ADS holders) would be subject to any Chinese tax (including withholding tax) on dividends received by such non-Chinese individual shareholders in the event we are determined to be a China resident enterprise. If any Chinese tax were to apply to such dividends, it would generally apply at a rate of 20%. Chinese tax</w:t>
      </w:r>
    </w:p>
    <w:p>
      <w:pPr>
        <w:sectPr>
          <w:pgSz w:w="11880" w:h="15480" w:orient="portrait"/>
          <w:cols w:equalWidth="0" w:num="1">
            <w:col w:w="9720"/>
          </w:cols>
          <w:pgMar w:left="1080" w:top="1066" w:right="1080" w:bottom="555"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116</w:t>
      </w:r>
    </w:p>
    <w:p>
      <w:pPr>
        <w:sectPr>
          <w:pgSz w:w="11880" w:h="15480" w:orient="portrait"/>
          <w:cols w:equalWidth="0" w:num="1">
            <w:col w:w="9720"/>
          </w:cols>
          <w:pgMar w:left="1080" w:top="1066" w:right="1080" w:bottom="555" w:gutter="0" w:footer="0" w:header="0"/>
          <w:type w:val="continuous"/>
        </w:sectPr>
      </w:pPr>
    </w:p>
    <w:bookmarkStart w:id="118" w:name="page119"/>
    <w:bookmarkEnd w:id="118"/>
    <w:p>
      <w:pPr>
        <w:ind w:right="40"/>
        <w:spacing w:after="0" w:line="262" w:lineRule="auto"/>
        <w:rPr>
          <w:sz w:val="20"/>
          <w:szCs w:val="20"/>
          <w:color w:val="auto"/>
        </w:rPr>
      </w:pPr>
      <w:r>
        <w:rPr>
          <w:rFonts w:ascii="Arial" w:cs="Arial" w:eastAsia="Arial" w:hAnsi="Arial"/>
          <w:sz w:val="20"/>
          <w:szCs w:val="20"/>
          <w:color w:val="auto"/>
        </w:rPr>
        <w:t>liability may vary under applicable tax treaties. However, it is unclear whether our non-China shareholders would be able to claim the benefits of any tax treaties between their country of tax residence and China in the event that we are treated as a China resident enterprise.</w:t>
      </w:r>
    </w:p>
    <w:p>
      <w:pPr>
        <w:spacing w:after="0" w:line="181" w:lineRule="exact"/>
        <w:rPr>
          <w:sz w:val="20"/>
          <w:szCs w:val="20"/>
          <w:color w:val="auto"/>
        </w:rPr>
      </w:pPr>
    </w:p>
    <w:p>
      <w:pPr>
        <w:ind w:right="640"/>
        <w:spacing w:after="0" w:line="290" w:lineRule="auto"/>
        <w:rPr>
          <w:sz w:val="20"/>
          <w:szCs w:val="20"/>
          <w:color w:val="auto"/>
        </w:rPr>
      </w:pPr>
      <w:r>
        <w:rPr>
          <w:rFonts w:ascii="Arial" w:cs="Arial" w:eastAsia="Arial" w:hAnsi="Arial"/>
          <w:sz w:val="20"/>
          <w:szCs w:val="20"/>
          <w:b w:val="1"/>
          <w:bCs w:val="1"/>
          <w:i w:val="1"/>
          <w:iCs w:val="1"/>
          <w:color w:val="auto"/>
        </w:rPr>
        <w:t>We and our shareholders face uncertainties in China with respect to indirect transfers of equity interests in China resident enterprises.</w:t>
      </w:r>
    </w:p>
    <w:p>
      <w:pPr>
        <w:spacing w:after="0" w:line="141"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The indirect transfer of equity interests in China resident enterprises by a non-China resident enterprise (“Indirect Transfer”), is potentially subject to income tax in China at a rate of 10% on the gain if such transfer is considered as not having a commercial purpose and is carried out for tax avoidance. The SAT has issued several rules and notices to tighten the scrutiny over acquisition transactions in recent years. The Announcement of the State Administration of Taxation on Several Issues Concerning the Enterprise Income Tax on Indirect Property Transfer by Non-Resident Enterprises (“SAT Circular 7”), sets out the scope of Indirect Transfers, which includes any changes in the shareholder’s ownership of a foreign enterprise holding Chinese assets directly or indirectly in the course of a group’s overseas restructuring, and the factors to be considered in determining whether an Indirect Transfer has a commercial purpose. An Indirect Transfer satisfying all the following criteria will be deemed to lack a bona fide commercial purpose and be taxable under Chinese laws: (i) 75% or more of the equity value of the intermediary enterprise being transferred is derived directly or indirectly from the Chinese taxable assets; (ii) at any time during the one-year period before the indirect transfer, 90% or more of the asset value of the intermediary enterprise (excluding cash) is comprised directly or indirectly of investments in China, or 90% or more of its income is derived directly or indirectly from China; (iii) the functions performed and risks assumed by the intermediary enterprise and any of its subsidiaries that directly or indirectly hold the Chinese taxable assets are limited and are insufficient to prove their economic substance; and (iv) the non-Chinese tax payable on the gain derived from the indirect transfer of the Chinese taxable assets is lower than the potential Chinese income tax on the direct transfer of such assets. A transaction that does not satisfy all four tests in the immediately preceding sentence may nevertheless be deemed to lack a bona fide commercial purpose if the taxpayer cannot justify such purpose from a totality approach, taking into account the transferred group’s value, income, asset composition, the history and substance in the structure, the non-Chinese tax implications, any tax treaty benefit and the availability of alternative transactions. Nevertheless, a non-resident enterprise’s buying and selling shares or ADSs of the same listed foreign enterprise on the public market will fall under the safe harbor available under SAT Circular 7 if the shares and ADSs were purchased on the public market as well and will not be subject to Chinese tax pursuant to SAT Circular 7.</w:t>
      </w:r>
    </w:p>
    <w:p>
      <w:pPr>
        <w:spacing w:after="0" w:line="21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face uncertainties regarding the reporting required for and impact on future private equity financing transactions, share exchanges or other transactions involving the transfer of shares in our company by investors that are non- Chinese resident enterprises, or the sale or purchase of shares in other non-Chinese resident companies or other taxable assets by us. For example, the Chinese tax authorities may consider that a future securities offering involves an indirect change of shareholding in our Chinese subsidiaries and therefore it may be regarded as an Indirect Transfer under SAT Circular 7. Even if we believe no SAT Circular 7 reporting is required on the basis that such an offering has commercial purposes and is not conducted for tax avoidance, Chinese tax authorities may pursue us to report under SAT Circular 7 and request that we and our Chinese subsidiaries assist in the filing. As a result, we and our subsidiaries may be required to expend significant resources to provide assistance and comply with SAT Circular 7, or establish that we or our non-resident enterprises should not be subject to tax under SAT Circular 7, for such an offering or other transactions, which may have an adverse effect on our and their financial condition and day-to-day operations.</w:t>
      </w:r>
    </w:p>
    <w:p>
      <w:pPr>
        <w:spacing w:after="0" w:line="207" w:lineRule="exact"/>
        <w:rPr>
          <w:sz w:val="20"/>
          <w:szCs w:val="20"/>
          <w:color w:val="auto"/>
        </w:rPr>
      </w:pPr>
    </w:p>
    <w:p>
      <w:pPr>
        <w:ind w:right="160"/>
        <w:spacing w:after="0" w:line="265" w:lineRule="auto"/>
        <w:rPr>
          <w:sz w:val="20"/>
          <w:szCs w:val="20"/>
          <w:color w:val="auto"/>
        </w:rPr>
      </w:pPr>
      <w:r>
        <w:rPr>
          <w:rFonts w:ascii="Arial" w:cs="Arial" w:eastAsia="Arial" w:hAnsi="Arial"/>
          <w:sz w:val="20"/>
          <w:szCs w:val="20"/>
          <w:b w:val="1"/>
          <w:bCs w:val="1"/>
          <w:i w:val="1"/>
          <w:iCs w:val="1"/>
          <w:color w:val="auto"/>
        </w:rPr>
        <w:t>Any failure to comply with Chinese regulations regarding the registration requirements for our employee equity incentive plans may subject us to fines and other legal or administrative sanctions, which could adversely affect our business, financial condition and results of operations.</w:t>
      </w:r>
    </w:p>
    <w:p>
      <w:pPr>
        <w:spacing w:after="0" w:line="164" w:lineRule="exact"/>
        <w:rPr>
          <w:sz w:val="20"/>
          <w:szCs w:val="20"/>
          <w:color w:val="auto"/>
        </w:rPr>
      </w:pPr>
    </w:p>
    <w:p>
      <w:pPr>
        <w:ind w:right="440"/>
        <w:spacing w:after="0" w:line="262" w:lineRule="auto"/>
        <w:rPr>
          <w:sz w:val="20"/>
          <w:szCs w:val="20"/>
          <w:color w:val="auto"/>
        </w:rPr>
      </w:pPr>
      <w:r>
        <w:rPr>
          <w:rFonts w:ascii="Arial" w:cs="Arial" w:eastAsia="Arial" w:hAnsi="Arial"/>
          <w:sz w:val="20"/>
          <w:szCs w:val="20"/>
          <w:color w:val="auto"/>
        </w:rPr>
        <w:t>In February 2012, the SAFE promulgated the Notices on Issues Concerning the Foreign Exchange Administration for Domestic Individuals Participating in Stock Incentive Plans of Overseas Publicly Listed Companies (the “Stock Option Rules”). In accordance with the Stock Option Rules and other relevant</w:t>
      </w:r>
    </w:p>
    <w:p>
      <w:pPr>
        <w:sectPr>
          <w:pgSz w:w="11880" w:h="15480" w:orient="portrait"/>
          <w:cols w:equalWidth="0" w:num="1">
            <w:col w:w="9700"/>
          </w:cols>
          <w:pgMar w:left="1080" w:top="1066" w:right="1100" w:bottom="555"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117</w:t>
      </w:r>
    </w:p>
    <w:p>
      <w:pPr>
        <w:sectPr>
          <w:pgSz w:w="11880" w:h="15480" w:orient="portrait"/>
          <w:cols w:equalWidth="0" w:num="1">
            <w:col w:w="9700"/>
          </w:cols>
          <w:pgMar w:left="1080" w:top="1066" w:right="1100" w:bottom="555" w:gutter="0" w:footer="0" w:header="0"/>
          <w:type w:val="continuous"/>
        </w:sectPr>
      </w:pPr>
    </w:p>
    <w:bookmarkStart w:id="119" w:name="page120"/>
    <w:bookmarkEnd w:id="119"/>
    <w:p>
      <w:pPr>
        <w:spacing w:after="0"/>
        <w:rPr>
          <w:sz w:val="20"/>
          <w:szCs w:val="20"/>
          <w:color w:val="auto"/>
        </w:rPr>
      </w:pPr>
      <w:r>
        <w:rPr>
          <w:rFonts w:ascii="Arial" w:cs="Arial" w:eastAsia="Arial" w:hAnsi="Arial"/>
          <w:sz w:val="20"/>
          <w:szCs w:val="20"/>
          <w:color w:val="auto"/>
        </w:rPr>
        <w:t>rules and regulations, Chinese citizens or non-Chinese citizens residing in China for a continuous period of</w:t>
      </w:r>
    </w:p>
    <w:p>
      <w:pPr>
        <w:spacing w:after="0"/>
        <w:rPr>
          <w:sz w:val="20"/>
          <w:szCs w:val="20"/>
          <w:color w:val="auto"/>
        </w:rPr>
      </w:pPr>
      <w:r>
        <w:rPr>
          <w:rFonts w:ascii="Arial" w:cs="Arial" w:eastAsia="Arial" w:hAnsi="Arial"/>
          <w:sz w:val="20"/>
          <w:szCs w:val="20"/>
          <w:color w:val="auto"/>
        </w:rPr>
        <w:t>not less than one year who participate in any stock incentive plan of an overseas publicly listed company,</w:t>
      </w:r>
    </w:p>
    <w:p>
      <w:pPr>
        <w:spacing w:after="0"/>
        <w:rPr>
          <w:sz w:val="20"/>
          <w:szCs w:val="20"/>
          <w:color w:val="auto"/>
        </w:rPr>
      </w:pPr>
      <w:r>
        <w:rPr>
          <w:rFonts w:ascii="Arial" w:cs="Arial" w:eastAsia="Arial" w:hAnsi="Arial"/>
          <w:sz w:val="20"/>
          <w:szCs w:val="20"/>
          <w:color w:val="auto"/>
        </w:rPr>
        <w:t>subject to a few exceptions, are required to register with SAFE through a domestic qualified agent, which</w:t>
      </w:r>
    </w:p>
    <w:p>
      <w:pPr>
        <w:spacing w:after="0"/>
        <w:rPr>
          <w:sz w:val="20"/>
          <w:szCs w:val="20"/>
          <w:color w:val="auto"/>
        </w:rPr>
      </w:pPr>
      <w:r>
        <w:rPr>
          <w:rFonts w:ascii="Arial" w:cs="Arial" w:eastAsia="Arial" w:hAnsi="Arial"/>
          <w:sz w:val="20"/>
          <w:szCs w:val="20"/>
          <w:color w:val="auto"/>
        </w:rPr>
        <w:t>could be a Chinese subsidiary of such overseas listed company, and complete certain procedures. We and</w:t>
      </w:r>
    </w:p>
    <w:p>
      <w:pPr>
        <w:spacing w:after="0"/>
        <w:rPr>
          <w:sz w:val="20"/>
          <w:szCs w:val="20"/>
          <w:color w:val="auto"/>
        </w:rPr>
      </w:pPr>
      <w:r>
        <w:rPr>
          <w:rFonts w:ascii="Arial" w:cs="Arial" w:eastAsia="Arial" w:hAnsi="Arial"/>
          <w:sz w:val="20"/>
          <w:szCs w:val="20"/>
          <w:color w:val="auto"/>
        </w:rPr>
        <w:t>our employees who are Chinese citizens or who reside in China for a continuous period of not less than</w:t>
      </w:r>
    </w:p>
    <w:p>
      <w:pPr>
        <w:spacing w:after="0"/>
        <w:rPr>
          <w:sz w:val="20"/>
          <w:szCs w:val="20"/>
          <w:color w:val="auto"/>
        </w:rPr>
      </w:pPr>
      <w:r>
        <w:rPr>
          <w:rFonts w:ascii="Arial" w:cs="Arial" w:eastAsia="Arial" w:hAnsi="Arial"/>
          <w:sz w:val="20"/>
          <w:szCs w:val="20"/>
          <w:color w:val="auto"/>
        </w:rPr>
        <w:t>one year and who participate in our stock incentive plans are subject to such regulation. We plan to assist our</w:t>
      </w:r>
    </w:p>
    <w:p>
      <w:pPr>
        <w:spacing w:after="0"/>
        <w:rPr>
          <w:sz w:val="20"/>
          <w:szCs w:val="20"/>
          <w:color w:val="auto"/>
        </w:rPr>
      </w:pPr>
      <w:r>
        <w:rPr>
          <w:rFonts w:ascii="Arial" w:cs="Arial" w:eastAsia="Arial" w:hAnsi="Arial"/>
          <w:sz w:val="20"/>
          <w:szCs w:val="20"/>
          <w:color w:val="auto"/>
        </w:rPr>
        <w:t>employees to register their equity awards. However, any failure of our Chinese individual beneficial owners</w:t>
      </w:r>
    </w:p>
    <w:p>
      <w:pPr>
        <w:spacing w:after="0"/>
        <w:rPr>
          <w:sz w:val="20"/>
          <w:szCs w:val="20"/>
          <w:color w:val="auto"/>
        </w:rPr>
      </w:pPr>
      <w:r>
        <w:rPr>
          <w:rFonts w:ascii="Arial" w:cs="Arial" w:eastAsia="Arial" w:hAnsi="Arial"/>
          <w:sz w:val="20"/>
          <w:szCs w:val="20"/>
          <w:color w:val="auto"/>
        </w:rPr>
        <w:t>and holders of equity awards to comply with the SAFE registration requirements may subject them to fines</w:t>
      </w:r>
    </w:p>
    <w:p>
      <w:pPr>
        <w:spacing w:after="0"/>
        <w:rPr>
          <w:sz w:val="20"/>
          <w:szCs w:val="20"/>
          <w:color w:val="auto"/>
        </w:rPr>
      </w:pPr>
      <w:r>
        <w:rPr>
          <w:rFonts w:ascii="Arial" w:cs="Arial" w:eastAsia="Arial" w:hAnsi="Arial"/>
          <w:sz w:val="20"/>
          <w:szCs w:val="20"/>
          <w:color w:val="auto"/>
        </w:rPr>
        <w:t>and legal sanctions and may limit the ability of our Chinese subsidiaries to distribute dividends to us. We also</w:t>
      </w:r>
    </w:p>
    <w:p>
      <w:pPr>
        <w:spacing w:after="0"/>
        <w:rPr>
          <w:sz w:val="20"/>
          <w:szCs w:val="20"/>
          <w:color w:val="auto"/>
        </w:rPr>
      </w:pPr>
      <w:r>
        <w:rPr>
          <w:rFonts w:ascii="Arial" w:cs="Arial" w:eastAsia="Arial" w:hAnsi="Arial"/>
          <w:sz w:val="20"/>
          <w:szCs w:val="20"/>
          <w:color w:val="auto"/>
        </w:rPr>
        <w:t>face regulatory uncertainties that could restrict our ability to adopt additional incentive plans for our directors</w:t>
      </w:r>
    </w:p>
    <w:p>
      <w:pPr>
        <w:spacing w:after="0"/>
        <w:rPr>
          <w:sz w:val="20"/>
          <w:szCs w:val="20"/>
          <w:color w:val="auto"/>
        </w:rPr>
      </w:pPr>
      <w:r>
        <w:rPr>
          <w:rFonts w:ascii="Arial" w:cs="Arial" w:eastAsia="Arial" w:hAnsi="Arial"/>
          <w:sz w:val="20"/>
          <w:szCs w:val="20"/>
          <w:color w:val="auto"/>
        </w:rPr>
        <w:t>and employees under Chinese law.</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Intellectual Property</w:t>
      </w:r>
    </w:p>
    <w:p>
      <w:pPr>
        <w:spacing w:after="0" w:line="247"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b w:val="1"/>
          <w:bCs w:val="1"/>
          <w:i w:val="1"/>
          <w:iCs w:val="1"/>
          <w:color w:val="auto"/>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71" w:lineRule="exact"/>
        <w:rPr>
          <w:sz w:val="20"/>
          <w:szCs w:val="20"/>
          <w:color w:val="auto"/>
        </w:rPr>
      </w:pPr>
    </w:p>
    <w:p>
      <w:pPr>
        <w:ind w:right="40" w:firstLine="1"/>
        <w:spacing w:after="0" w:line="244" w:lineRule="auto"/>
        <w:rPr>
          <w:sz w:val="20"/>
          <w:szCs w:val="20"/>
          <w:color w:val="auto"/>
        </w:rPr>
      </w:pPr>
      <w:r>
        <w:rPr>
          <w:rFonts w:ascii="Arial" w:cs="Arial" w:eastAsia="Arial" w:hAnsi="Arial"/>
          <w:sz w:val="20"/>
          <w:szCs w:val="20"/>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markets. Our success depends in large part on our ability to obtain and maintain patent protection for our product candidates and their intended uses, maintain trade secret protection of our platform technologies, as well as our ability to operate without infringing the proprietary rights of others. We seek to protect our proprietary position by filing patent applications in the United States and abroad related to our novel discoveries and technologies that are important to our business. Our pending and future patent applications may not result in patents being issued, or may not result in issued patents that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or products.</w:t>
      </w:r>
    </w:p>
    <w:p>
      <w:pPr>
        <w:spacing w:after="0" w:line="19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including due to delays as a result of global pandemics impacting our or our licensors’ operations. Further, we may decide to not pursue or seek patent protection in all relevant markets. It is also possible that we will fail to identify patentable aspects of our research and development results before it is too late to obtain patent protection. Although we enter into non- 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 If we delay in filing a patent application, and a competitor files a patent application on the same or a similar technology before we do, we may face a limited ability to secure patent rights. Or we may not be able to obtain a patent on such technology at all. Even if we can patent the technology, we may be able to patent only a limited scope of the technology, and the limited scope may be inadequate to protect our product candidates, or to block competitor products or product candidates that are similar to ours.</w:t>
      </w:r>
    </w:p>
    <w:p>
      <w:pPr>
        <w:spacing w:after="0" w:line="194" w:lineRule="exact"/>
        <w:rPr>
          <w:sz w:val="20"/>
          <w:szCs w:val="20"/>
          <w:color w:val="auto"/>
        </w:rPr>
      </w:pPr>
    </w:p>
    <w:p>
      <w:pPr>
        <w:ind w:right="140"/>
        <w:spacing w:after="0" w:line="264" w:lineRule="auto"/>
        <w:rPr>
          <w:sz w:val="20"/>
          <w:szCs w:val="20"/>
          <w:color w:val="auto"/>
        </w:rPr>
      </w:pPr>
      <w:r>
        <w:rPr>
          <w:rFonts w:ascii="Arial" w:cs="Arial" w:eastAsia="Arial" w:hAnsi="Arial"/>
          <w:sz w:val="19"/>
          <w:szCs w:val="19"/>
          <w:color w:val="auto"/>
        </w:rPr>
        <w:t>Composition of matter patents for pharmaceutical product candidates often provide a strong form of intellectual property protection for those types of products, as such patents provide protection without regard to any method of use. The claims in our pending patent applications directed to composition of matter of our product candidates may not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w:t>
      </w:r>
    </w:p>
    <w:p>
      <w:pPr>
        <w:sectPr>
          <w:pgSz w:w="11880" w:h="15480" w:orient="portrait"/>
          <w:cols w:equalWidth="0" w:num="1">
            <w:col w:w="9700"/>
          </w:cols>
          <w:pgMar w:left="1080" w:top="1066" w:right="1100" w:bottom="555"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118</w:t>
      </w:r>
    </w:p>
    <w:p>
      <w:pPr>
        <w:sectPr>
          <w:pgSz w:w="11880" w:h="15480" w:orient="portrait"/>
          <w:cols w:equalWidth="0" w:num="1">
            <w:col w:w="9700"/>
          </w:cols>
          <w:pgMar w:left="1080" w:top="1066" w:right="1100" w:bottom="555" w:gutter="0" w:footer="0" w:header="0"/>
          <w:type w:val="continuous"/>
        </w:sectPr>
      </w:pPr>
    </w:p>
    <w:bookmarkStart w:id="120" w:name="page121"/>
    <w:bookmarkEnd w:id="120"/>
    <w:p>
      <w:pPr>
        <w:ind w:right="120"/>
        <w:spacing w:after="0" w:line="249" w:lineRule="auto"/>
        <w:rPr>
          <w:sz w:val="20"/>
          <w:szCs w:val="20"/>
          <w:color w:val="auto"/>
        </w:rPr>
      </w:pPr>
      <w:r>
        <w:rPr>
          <w:rFonts w:ascii="Arial" w:cs="Arial" w:eastAsia="Arial" w:hAnsi="Arial"/>
          <w:sz w:val="20"/>
          <w:szCs w:val="20"/>
          <w:color w:val="auto"/>
        </w:rPr>
        <w:t>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spacing w:after="0" w:line="189"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patent position of biopharmaceutical companies generally is highly uncertain, involves complex legal and factual questions for which many legal principles continue to change. In recent years, patent rights have been the subject of much litigation. As a result, the issuance, scope, validity, enforceability and commercial value of our patent rights are highly uncertain.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or vice versa.</w:t>
      </w:r>
    </w:p>
    <w:p>
      <w:pPr>
        <w:spacing w:after="0" w:line="198" w:lineRule="exact"/>
        <w:rPr>
          <w:sz w:val="20"/>
          <w:szCs w:val="20"/>
          <w:color w:val="auto"/>
        </w:rPr>
      </w:pPr>
    </w:p>
    <w:p>
      <w:pPr>
        <w:ind w:right="160"/>
        <w:spacing w:after="0" w:line="265" w:lineRule="auto"/>
        <w:rPr>
          <w:sz w:val="20"/>
          <w:szCs w:val="20"/>
          <w:color w:val="auto"/>
        </w:rPr>
      </w:pPr>
      <w:r>
        <w:rPr>
          <w:rFonts w:ascii="Arial" w:cs="Arial" w:eastAsia="Arial" w:hAnsi="Arial"/>
          <w:sz w:val="20"/>
          <w:szCs w:val="20"/>
          <w:b w:val="1"/>
          <w:bCs w:val="1"/>
          <w:i w:val="1"/>
          <w:iCs w:val="1"/>
          <w:color w:val="auto"/>
        </w:rPr>
        <w:t>We cannot ensure that patent rights relating to inventions described and claimed in our pending patent applications will issue or that patents based on our patent applications will not be challenged and rendered invalid and/or unenforceable.</w:t>
      </w:r>
    </w:p>
    <w:p>
      <w:pPr>
        <w:spacing w:after="0" w:line="164"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patent application process is subject to numerous risks and uncertainties, and we or any of our potential future collaborators may not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 party intellectual property upon our freedom to operate, is highly uncertain. Patent applications in the United States and other foreign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As a result, the issuance, inventorship, scope, validity, enforceability and commercial value of our patent rights are highly uncertain. We or any of our potential future collaborators may not be successful in protecting our product candidates by obtaining and defending patents. We have pending U.S. and foreign patent applications in our portfolio; however, we cannot predict:</w:t>
      </w:r>
    </w:p>
    <w:p>
      <w:pPr>
        <w:spacing w:after="0" w:line="217" w:lineRule="exact"/>
        <w:rPr>
          <w:sz w:val="20"/>
          <w:szCs w:val="20"/>
          <w:color w:val="auto"/>
        </w:rPr>
      </w:pPr>
    </w:p>
    <w:p>
      <w:pPr>
        <w:ind w:left="720" w:hanging="353"/>
        <w:spacing w:after="0"/>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if and when patents may issue based on our patent applications;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scope of protection of any patent issuing based on our patent applications;</w:t>
      </w:r>
    </w:p>
    <w:p>
      <w:pPr>
        <w:spacing w:after="0" w:line="132" w:lineRule="exact"/>
        <w:rPr>
          <w:rFonts w:ascii="Arial" w:cs="Arial" w:eastAsia="Arial" w:hAnsi="Arial"/>
          <w:sz w:val="20"/>
          <w:szCs w:val="20"/>
          <w:color w:val="auto"/>
        </w:rPr>
      </w:pPr>
    </w:p>
    <w:p>
      <w:pPr>
        <w:ind w:left="720" w:right="480" w:hanging="353"/>
        <w:spacing w:after="0" w:line="284"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whether the claims of any patent issuing based on our patent applications will provide protection against competitors;</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whether or not third parties will find ways to invalidate or circumvent our patent rights;</w:t>
      </w:r>
    </w:p>
    <w:p>
      <w:pPr>
        <w:spacing w:after="0" w:line="133" w:lineRule="exact"/>
        <w:rPr>
          <w:rFonts w:ascii="Arial" w:cs="Arial" w:eastAsia="Arial" w:hAnsi="Arial"/>
          <w:sz w:val="20"/>
          <w:szCs w:val="20"/>
          <w:color w:val="auto"/>
        </w:rPr>
      </w:pPr>
    </w:p>
    <w:p>
      <w:pPr>
        <w:ind w:left="720" w:right="20" w:hanging="353"/>
        <w:spacing w:after="0" w:line="284"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whether or not others will obtain patents claiming aspects similar to those covered by our patents and patent applications;</w:t>
      </w:r>
    </w:p>
    <w:p>
      <w:pPr>
        <w:spacing w:after="0" w:line="48" w:lineRule="exact"/>
        <w:rPr>
          <w:rFonts w:ascii="Arial" w:cs="Arial" w:eastAsia="Arial" w:hAnsi="Arial"/>
          <w:sz w:val="20"/>
          <w:szCs w:val="20"/>
          <w:color w:val="auto"/>
        </w:rPr>
      </w:pPr>
    </w:p>
    <w:p>
      <w:pPr>
        <w:ind w:left="720" w:right="220" w:hanging="353"/>
        <w:spacing w:after="0" w:line="284"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whether we will need to initiate litigation or administrative proceedings to enforce and/or defend our patent rights which will be costly whether we win or lose;</w:t>
      </w:r>
    </w:p>
    <w:p>
      <w:pPr>
        <w:spacing w:after="0" w:line="49" w:lineRule="exact"/>
        <w:rPr>
          <w:rFonts w:ascii="Arial" w:cs="Arial" w:eastAsia="Arial" w:hAnsi="Arial"/>
          <w:sz w:val="20"/>
          <w:szCs w:val="20"/>
          <w:color w:val="auto"/>
        </w:rPr>
      </w:pPr>
    </w:p>
    <w:p>
      <w:pPr>
        <w:jc w:val="both"/>
        <w:ind w:left="720" w:right="40" w:hanging="352"/>
        <w:spacing w:after="0" w:line="284"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whether the patent applications that we own or in-license will result in issued patents with claims that cover our product candidates or uses thereof in the United States or in other foreign countries; and/or</w:t>
      </w:r>
    </w:p>
    <w:p>
      <w:pPr>
        <w:spacing w:after="0" w:line="48" w:lineRule="exact"/>
        <w:rPr>
          <w:rFonts w:ascii="Arial" w:cs="Arial" w:eastAsia="Arial" w:hAnsi="Arial"/>
          <w:sz w:val="20"/>
          <w:szCs w:val="20"/>
          <w:color w:val="auto"/>
        </w:rPr>
      </w:pPr>
    </w:p>
    <w:p>
      <w:pPr>
        <w:ind w:left="720" w:right="220" w:hanging="353"/>
        <w:spacing w:after="0" w:line="284"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whether we may experience patent office interruption or delays to our ability to timely secure patent coverage to our product candidates.</w:t>
      </w:r>
    </w:p>
    <w:p>
      <w:pPr>
        <w:spacing w:after="0" w:line="15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The claims in our pending patent applications directed to our product candidates and/or technologies may not be considered patentable by the USPTO or by patent offices in foreign countries. Any such patent applications may not be issued as granted patents. One aspect of the determination of patentability of our inventions depends on the scope and content of the “prior art,” information that was or is deemed available to</w:t>
      </w:r>
    </w:p>
    <w:p>
      <w:pPr>
        <w:sectPr>
          <w:pgSz w:w="11880" w:h="15480" w:orient="portrait"/>
          <w:cols w:equalWidth="0" w:num="1">
            <w:col w:w="9700"/>
          </w:cols>
          <w:pgMar w:left="1080" w:top="1066" w:right="1100" w:bottom="555"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119</w:t>
      </w:r>
    </w:p>
    <w:p>
      <w:pPr>
        <w:sectPr>
          <w:pgSz w:w="11880" w:h="15480" w:orient="portrait"/>
          <w:cols w:equalWidth="0" w:num="1">
            <w:col w:w="9700"/>
          </w:cols>
          <w:pgMar w:left="1080" w:top="1066" w:right="1100" w:bottom="555" w:gutter="0" w:footer="0" w:header="0"/>
          <w:type w:val="continuous"/>
        </w:sectPr>
      </w:pPr>
    </w:p>
    <w:bookmarkStart w:id="121" w:name="page122"/>
    <w:bookmarkEnd w:id="121"/>
    <w:p>
      <w:pPr>
        <w:ind w:right="20"/>
        <w:spacing w:after="0" w:line="245" w:lineRule="auto"/>
        <w:rPr>
          <w:sz w:val="20"/>
          <w:szCs w:val="20"/>
          <w:color w:val="auto"/>
        </w:rPr>
      </w:pPr>
      <w:r>
        <w:rPr>
          <w:rFonts w:ascii="Arial" w:cs="Arial" w:eastAsia="Arial" w:hAnsi="Arial"/>
          <w:sz w:val="20"/>
          <w:szCs w:val="20"/>
          <w:color w:val="auto"/>
        </w:rPr>
        <w:t>a person of skill in the relevant art prior to the priority date of the claimed invention. There may be prior art of which we are not aware that may affect the patentability of our patent claims or, if issued, affect the validity or enforceability of a patent claim. There may be double patenting among our own patents, which the patent examiner(s) fail to raise during prosecution.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w:t>
      </w:r>
    </w:p>
    <w:p>
      <w:pPr>
        <w:spacing w:after="0" w:line="193"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 xml:space="preserve">Our pending patent applications may be challenged in the USPTO or in patent offices in foreign countries. Also, because the issuance of a patent is not conclusive as to its scope, validity or enforceability,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patent offices in foreign countries or our issued patents may be subject to post-grant review (“PGR”) proceedings, oppositions, derivations, reexaminations, or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(“IPR”) proceedings, in the United States or elsewhere, challenging our patent rights or the patent rights of others. An adverse determination in any such challenges may result in loss of exclusivity or in our patent claims being narrowed, invalidated, or held unenforceable, in whole or in part, which could limit our ability to stop others from using or commercializing similar or identical technologies and products, or limit the duration of the patent protection of our technologies and product candidates. In addition, given the amount of time required for the development, testing and regulatory review of new product candidates, patents protecting such candidates might expire before or shortly after such candidates are commercialized. As a result, only limited protection may be available and our patent portfolio may not provide us with sufficient rights or permit us to gain or keep any competitive advantage. Any failure to obtain or maintain patent protection with respect to our product candidates or their uses could have a material adverse effect on our business, financial condition, results of operations and prospects.</w:t>
      </w:r>
    </w:p>
    <w:p>
      <w:pPr>
        <w:spacing w:after="0" w:line="213" w:lineRule="exact"/>
        <w:rPr>
          <w:sz w:val="20"/>
          <w:szCs w:val="20"/>
          <w:color w:val="auto"/>
        </w:rPr>
      </w:pPr>
    </w:p>
    <w:p>
      <w:pPr>
        <w:ind w:right="260"/>
        <w:spacing w:after="0" w:line="265" w:lineRule="auto"/>
        <w:rPr>
          <w:sz w:val="20"/>
          <w:szCs w:val="20"/>
          <w:color w:val="auto"/>
        </w:rPr>
      </w:pPr>
      <w:r>
        <w:rPr>
          <w:rFonts w:ascii="Arial" w:cs="Arial" w:eastAsia="Arial" w:hAnsi="Arial"/>
          <w:sz w:val="20"/>
          <w:szCs w:val="20"/>
          <w:b w:val="1"/>
          <w:bCs w:val="1"/>
          <w:i w:val="1"/>
          <w:iCs w:val="1"/>
          <w:color w:val="auto"/>
        </w:rPr>
        <w:t>We rely on trade secret and proprietary know- how which can be difficult to trace and enforce and, if we are unable to protect the confidentiality of our trade secrets, our business and competitive position would be harmed.</w:t>
      </w:r>
    </w:p>
    <w:p>
      <w:pPr>
        <w:spacing w:after="0" w:line="164"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In addition to seeking patent protection for our product candidates and technologies, we rely on trade secret protection and confidentiality agreements to protect proprietary know-how that is not patentable, processes for which patents are difficult to enforce and any other elements of our discovery and development processes that involve proprietary know- how, information or technology that is not covered by patents. Elements of our product candidates, including processes for their preparation and manufacture, may involve proprietary know-how, information, or technology that is not covered by patents, and thus for these aspects we may consider trade secrets and know-how to be our primary intellectual property. We may also rely on trade secret protection as temporary protection for concepts that may be included in a future patent filing. We expect to rely on CROs and third parties to generate chemical molecules and important research data. Any disclosure, either intentional or unintentional, by our employees or third -party consultants and vendors or CROs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spacing w:after="0" w:line="208"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w:t>
      </w:r>
    </w:p>
    <w:p>
      <w:pPr>
        <w:sectPr>
          <w:pgSz w:w="11880" w:h="15480" w:orient="portrait"/>
          <w:cols w:equalWidth="0" w:num="1">
            <w:col w:w="9720"/>
          </w:cols>
          <w:pgMar w:left="1080" w:top="1066" w:right="1080" w:bottom="555" w:gutter="0" w:footer="0" w:header="0"/>
        </w:sect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w:t>
      </w:r>
    </w:p>
    <w:p>
      <w:pPr>
        <w:sectPr>
          <w:pgSz w:w="11880" w:h="15480" w:orient="portrait"/>
          <w:cols w:equalWidth="0" w:num="1">
            <w:col w:w="9720"/>
          </w:cols>
          <w:pgMar w:left="1080" w:top="1066" w:right="1080" w:bottom="555" w:gutter="0" w:footer="0" w:header="0"/>
          <w:type w:val="continuous"/>
        </w:sectPr>
      </w:pPr>
    </w:p>
    <w:bookmarkStart w:id="122" w:name="page123"/>
    <w:bookmarkEnd w:id="122"/>
    <w:p>
      <w:pPr>
        <w:ind w:right="20"/>
        <w:spacing w:after="0" w:line="242" w:lineRule="auto"/>
        <w:rPr>
          <w:sz w:val="20"/>
          <w:szCs w:val="20"/>
          <w:color w:val="auto"/>
        </w:rPr>
      </w:pPr>
      <w:r>
        <w:rPr>
          <w:rFonts w:ascii="Arial" w:cs="Arial" w:eastAsia="Arial" w:hAnsi="Arial"/>
          <w:sz w:val="20"/>
          <w:szCs w:val="20"/>
          <w:color w:val="auto"/>
        </w:rPr>
        <w:t>license is not available on commercially-viable terms, then we may not be able to complete development of, or commercialize, our products. Although we require all of our employees, consultants, collaborators, CROs, contract manufacturers, advisors and any third parties who have access to our proprietary know-how, information or technologies to enter into confidentiality agreements, we cannot guarantee that we have entered into such agreements with each party that may have or has had access to our trade secrets or proprietary technology and processes. We cannot be certain that our trade secrets and other confidential proprietary information may not be disclosed or that competitors will not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200" w:lineRule="exact"/>
        <w:rPr>
          <w:sz w:val="20"/>
          <w:szCs w:val="20"/>
          <w:color w:val="auto"/>
        </w:rPr>
      </w:pPr>
    </w:p>
    <w:p>
      <w:pPr>
        <w:ind w:right="180"/>
        <w:spacing w:after="0" w:line="256" w:lineRule="auto"/>
        <w:rPr>
          <w:sz w:val="20"/>
          <w:szCs w:val="20"/>
          <w:color w:val="auto"/>
        </w:rPr>
      </w:pPr>
      <w:r>
        <w:rPr>
          <w:rFonts w:ascii="Arial" w:cs="Arial" w:eastAsia="Arial" w:hAnsi="Arial"/>
          <w:sz w:val="20"/>
          <w:szCs w:val="20"/>
          <w:b w:val="1"/>
          <w:bCs w:val="1"/>
          <w:i w:val="1"/>
          <w:iCs w:val="1"/>
          <w:color w:val="auto"/>
        </w:rPr>
        <w:t>We may rely on one or more in-licenses from third parties. If we lose these rights, our business may be materially adversely affected, and if disputes arise with one or more licensors, we may be subjected to future litigation as well as the potential loss of or limitations on our ability to develop and commercialize products and technologies covered by these license agreements.</w:t>
      </w:r>
    </w:p>
    <w:p>
      <w:pPr>
        <w:spacing w:after="0" w:line="175"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The growth of our business may depend in part on our ability to acquire or in-license additional proprietary rights.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technology covered by such third- 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and technology that we may seek to acquire.</w:t>
      </w:r>
    </w:p>
    <w:p>
      <w:pPr>
        <w:spacing w:after="0" w:line="208"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We may in the future enter into license agreements with third parties under which we receive rights to intellectual property that are important to our business. Our rights to use the technology we license are subject to the continuation of and compliance with the terms of those agreements. These intellectual property license agreements may require of us various development, regulatory and/or commercial diligence obligations, payment of milestones and/or royalties and other obligations. If we fail to comply with our obligations under these agreements, we use the licensed intellectual property in an unauthorized manner or we are subject to bankruptcy-related proceedings, the terms of the license agreements may be materially</w:t>
      </w:r>
    </w:p>
    <w:p>
      <w:pPr>
        <w:sectPr>
          <w:pgSz w:w="11880" w:h="15480" w:orient="portrait"/>
          <w:cols w:equalWidth="0" w:num="1">
            <w:col w:w="9680"/>
          </w:cols>
          <w:pgMar w:left="1080" w:top="1066" w:right="1120" w:bottom="555" w:gutter="0" w:footer="0" w:header="0"/>
        </w:sect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121</w:t>
      </w:r>
    </w:p>
    <w:p>
      <w:pPr>
        <w:sectPr>
          <w:pgSz w:w="11880" w:h="15480" w:orient="portrait"/>
          <w:cols w:equalWidth="0" w:num="1">
            <w:col w:w="9680"/>
          </w:cols>
          <w:pgMar w:left="1080" w:top="1066" w:right="1120" w:bottom="555" w:gutter="0" w:footer="0" w:header="0"/>
          <w:type w:val="continuous"/>
        </w:sectPr>
      </w:pPr>
    </w:p>
    <w:bookmarkStart w:id="123" w:name="page124"/>
    <w:bookmarkEnd w:id="123"/>
    <w:p>
      <w:pPr>
        <w:ind w:right="380"/>
        <w:spacing w:after="0" w:line="255" w:lineRule="auto"/>
        <w:rPr>
          <w:sz w:val="20"/>
          <w:szCs w:val="20"/>
          <w:color w:val="auto"/>
        </w:rPr>
      </w:pPr>
      <w:r>
        <w:rPr>
          <w:rFonts w:ascii="Arial" w:cs="Arial" w:eastAsia="Arial" w:hAnsi="Arial"/>
          <w:sz w:val="20"/>
          <w:szCs w:val="20"/>
          <w:color w:val="auto"/>
        </w:rPr>
        <w:t>modified, such as by rendering currently exclusive licenses non-exclusive, or it may give our licensors the right to terminate their respective agreement with us, which could limit our ability to implement our current business plan and materially adversely affect our business, financial condition, results of operations and prospects.</w:t>
      </w:r>
    </w:p>
    <w:p>
      <w:pPr>
        <w:spacing w:after="0" w:line="183"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94"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In some cases, we may not control the prosecution, maintenance or filing of the patents to which we hold licenses, or the enforcement of those patents against third parties. Hence, 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in a manner consistent with the best interests of our business.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Further,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 In the event our licensors fail to adequately pursue and maintain patent protection for patents and applications they control, and to timely cede control of such prosecution to us, our competitors might be able to enter the market, which would have a material adverse effect on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Moreover, disputes may arise with respect to our licensing or other upstream agreements, including:</w:t>
      </w:r>
    </w:p>
    <w:p>
      <w:pPr>
        <w:spacing w:after="0" w:line="254" w:lineRule="exact"/>
        <w:rPr>
          <w:sz w:val="20"/>
          <w:szCs w:val="20"/>
          <w:color w:val="auto"/>
        </w:rPr>
      </w:pPr>
    </w:p>
    <w:p>
      <w:pPr>
        <w:ind w:left="720" w:hanging="353"/>
        <w:spacing w:after="0"/>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scope of rights granted under the agreements and other interpretation-related issues;</w:t>
      </w:r>
    </w:p>
    <w:p>
      <w:pPr>
        <w:spacing w:after="0" w:line="132" w:lineRule="exact"/>
        <w:rPr>
          <w:rFonts w:ascii="Arial" w:cs="Arial" w:eastAsia="Arial" w:hAnsi="Arial"/>
          <w:sz w:val="20"/>
          <w:szCs w:val="20"/>
          <w:color w:val="auto"/>
        </w:rPr>
      </w:pPr>
    </w:p>
    <w:p>
      <w:pPr>
        <w:ind w:left="720" w:right="100" w:hanging="353"/>
        <w:spacing w:after="0" w:line="284" w:lineRule="auto"/>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whether and the extent to which our systems and consumables, technologies and processes infringe on intellectual property of the licensor that is not subject to the licensing agreement;</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sublicensing of patent and other rights under our collaborative development relationships;</w:t>
      </w:r>
    </w:p>
    <w:p>
      <w:pPr>
        <w:spacing w:after="0" w:line="133" w:lineRule="exact"/>
        <w:rPr>
          <w:rFonts w:ascii="Arial" w:cs="Arial" w:eastAsia="Arial" w:hAnsi="Arial"/>
          <w:sz w:val="20"/>
          <w:szCs w:val="20"/>
          <w:color w:val="auto"/>
        </w:rPr>
      </w:pPr>
    </w:p>
    <w:p>
      <w:pPr>
        <w:ind w:left="720" w:right="440" w:hanging="353"/>
        <w:spacing w:after="0" w:line="284" w:lineRule="auto"/>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our diligence obligations under the license agreements and what activities satisfy those diligence obligations;</w:t>
      </w:r>
    </w:p>
    <w:p>
      <w:pPr>
        <w:spacing w:after="0" w:line="48" w:lineRule="exact"/>
        <w:rPr>
          <w:rFonts w:ascii="Arial" w:cs="Arial" w:eastAsia="Arial" w:hAnsi="Arial"/>
          <w:sz w:val="20"/>
          <w:szCs w:val="20"/>
          <w:color w:val="auto"/>
        </w:rPr>
      </w:pPr>
    </w:p>
    <w:p>
      <w:pPr>
        <w:ind w:left="720" w:right="60" w:hanging="353"/>
        <w:spacing w:after="0" w:line="284" w:lineRule="auto"/>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inventorship and ownership of inventions and know-how resulting from the joint creation or use of intellectual property by our licensors and us and our partners; and</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priority of invention of patented technology.</w:t>
      </w:r>
    </w:p>
    <w:p>
      <w:pPr>
        <w:spacing w:after="0" w:line="240"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In spite of our efforts to comply with our obligations under our in-license agreements, our licensors might conclude that we have materially breached our obligations under our license agreements and might therefore, including in connection with any aforementioned disputes, terminate the relevant license agreement, thereby removing or limiting our ability to develop and commercialize products and technology covered by these license agreements. If any such in-license is terminated, or if the licensed patents fail to provide the intended exclusivity, competitors or other third parties might have the freedom to market or develop products similar to</w:t>
      </w:r>
    </w:p>
    <w:p>
      <w:pPr>
        <w:sectPr>
          <w:pgSz w:w="11880" w:h="15480" w:orient="portrait"/>
          <w:cols w:equalWidth="0" w:num="1">
            <w:col w:w="9700"/>
          </w:cols>
          <w:pgMar w:left="1080" w:top="1066" w:right="1100" w:bottom="555"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122</w:t>
      </w:r>
    </w:p>
    <w:p>
      <w:pPr>
        <w:sectPr>
          <w:pgSz w:w="11880" w:h="15480" w:orient="portrait"/>
          <w:cols w:equalWidth="0" w:num="1">
            <w:col w:w="9700"/>
          </w:cols>
          <w:pgMar w:left="1080" w:top="1066" w:right="1100" w:bottom="555" w:gutter="0" w:footer="0" w:header="0"/>
          <w:type w:val="continuous"/>
        </w:sectPr>
      </w:pPr>
    </w:p>
    <w:bookmarkStart w:id="124" w:name="page125"/>
    <w:bookmarkEnd w:id="124"/>
    <w:p>
      <w:pPr>
        <w:spacing w:after="0" w:line="246" w:lineRule="auto"/>
        <w:rPr>
          <w:sz w:val="20"/>
          <w:szCs w:val="20"/>
          <w:color w:val="auto"/>
        </w:rPr>
      </w:pPr>
      <w:r>
        <w:rPr>
          <w:rFonts w:ascii="Arial" w:cs="Arial" w:eastAsia="Arial" w:hAnsi="Arial"/>
          <w:sz w:val="20"/>
          <w:szCs w:val="20"/>
          <w:color w:val="auto"/>
        </w:rPr>
        <w:t>ours. In addition, absent the rights granted to us under such license agreements, we may infringe the intellectual property rights that are the subject of those agreements, we may be subject to litigation by the licensor, and if such litigation by the licensor is successful we may be required to pay damages to such licensor, or we may be required to cease our development and commercialization activities which are deemed infringing, and in such event we may ultimately need to modify our activities or products to design around such infringement, which may be time- and resource-consuming, and which may not be ultimately successful. Any of the foregoing could have a material adverse effect on our business, financial condition, results of operations and prospects.</w:t>
      </w:r>
    </w:p>
    <w:p>
      <w:pPr>
        <w:spacing w:after="0" w:line="195" w:lineRule="exact"/>
        <w:rPr>
          <w:sz w:val="20"/>
          <w:szCs w:val="20"/>
          <w:color w:val="auto"/>
        </w:rPr>
      </w:pPr>
    </w:p>
    <w:p>
      <w:pPr>
        <w:ind w:right="380"/>
        <w:spacing w:after="0" w:line="251" w:lineRule="auto"/>
        <w:rPr>
          <w:sz w:val="20"/>
          <w:szCs w:val="20"/>
          <w:color w:val="auto"/>
        </w:rPr>
      </w:pPr>
      <w:r>
        <w:rPr>
          <w:rFonts w:ascii="Arial" w:cs="Arial" w:eastAsia="Arial" w:hAnsi="Arial"/>
          <w:sz w:val="20"/>
          <w:szCs w:val="20"/>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intellectual property licensed from third parties may be subject to retained rights.</w:t>
      </w:r>
    </w:p>
    <w:p>
      <w:pPr>
        <w:spacing w:after="0" w:line="236" w:lineRule="exact"/>
        <w:rPr>
          <w:sz w:val="20"/>
          <w:szCs w:val="20"/>
          <w:color w:val="auto"/>
        </w:rPr>
      </w:pPr>
    </w:p>
    <w:p>
      <w:pPr>
        <w:ind w:right="300"/>
        <w:spacing w:after="0" w:line="248" w:lineRule="auto"/>
        <w:rPr>
          <w:sz w:val="20"/>
          <w:szCs w:val="20"/>
          <w:color w:val="auto"/>
        </w:rPr>
      </w:pPr>
      <w:r>
        <w:rPr>
          <w:rFonts w:ascii="Arial" w:cs="Arial" w:eastAsia="Arial" w:hAnsi="Arial"/>
          <w:sz w:val="20"/>
          <w:szCs w:val="20"/>
          <w:color w:val="auto"/>
        </w:rPr>
        <w:t>Our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Government agencies may provide funding, facilities, personnel or other assistance in connection with the development of the intellectual property rights owned by or licensed to us. Such government agencies may have retained rights in such intellectual property. The United States federal government retains certain rights in inventions produced with its financial assistance under the Patent and Trademark Law Amendments Act (the “Bayh-Dole Act”); these include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While it is our policy to avoid engaging our university partners in projects in which there is a risk that federal funds may be commingled,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1"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own or license in the future. We rely on our outside counsel, patent annuity service providers, or our licensing partners to pay these fees due to non-U.S. patent agencies. If these fees are not paid to the USPTO or the non-U.S. patent agencies when due, our rights to such patents or patent applications may be abandoned or otherwise materially impaired.</w:t>
      </w:r>
    </w:p>
    <w:p>
      <w:pPr>
        <w:spacing w:after="0" w:line="193" w:lineRule="exact"/>
        <w:rPr>
          <w:sz w:val="20"/>
          <w:szCs w:val="20"/>
          <w:color w:val="auto"/>
        </w:rPr>
      </w:pPr>
    </w:p>
    <w:p>
      <w:pPr>
        <w:ind w:right="200"/>
        <w:spacing w:after="0" w:line="284" w:lineRule="auto"/>
        <w:rPr>
          <w:sz w:val="20"/>
          <w:szCs w:val="20"/>
          <w:color w:val="auto"/>
        </w:rPr>
      </w:pPr>
      <w:r>
        <w:rPr>
          <w:rFonts w:ascii="Arial" w:cs="Arial" w:eastAsia="Arial" w:hAnsi="Arial"/>
          <w:sz w:val="20"/>
          <w:szCs w:val="20"/>
          <w:color w:val="auto"/>
        </w:rPr>
        <w:t>The USPTO and various non-U.S. government patent agencies require compliance with several procedural, documentary, and other similar provisions during the patent application process. For example, many</w:t>
      </w:r>
    </w:p>
    <w:p>
      <w:pPr>
        <w:sectPr>
          <w:pgSz w:w="11880" w:h="15480" w:orient="portrait"/>
          <w:cols w:equalWidth="0" w:num="1">
            <w:col w:w="9720"/>
          </w:cols>
          <w:pgMar w:left="1080" w:top="1066" w:right="1080" w:bottom="555" w:gutter="0" w:footer="0" w:header="0"/>
        </w:sect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123</w:t>
      </w:r>
    </w:p>
    <w:p>
      <w:pPr>
        <w:sectPr>
          <w:pgSz w:w="11880" w:h="15480" w:orient="portrait"/>
          <w:cols w:equalWidth="0" w:num="1">
            <w:col w:w="9720"/>
          </w:cols>
          <w:pgMar w:left="1080" w:top="1066" w:right="1080" w:bottom="555" w:gutter="0" w:footer="0" w:header="0"/>
          <w:type w:val="continuous"/>
        </w:sectPr>
      </w:pPr>
    </w:p>
    <w:bookmarkStart w:id="125" w:name="page126"/>
    <w:bookmarkEnd w:id="125"/>
    <w:p>
      <w:pPr>
        <w:ind w:right="20"/>
        <w:spacing w:after="0" w:line="244" w:lineRule="auto"/>
        <w:rPr>
          <w:sz w:val="20"/>
          <w:szCs w:val="20"/>
          <w:color w:val="auto"/>
        </w:rPr>
      </w:pPr>
      <w:r>
        <w:rPr>
          <w:rFonts w:ascii="Arial" w:cs="Arial" w:eastAsia="Arial" w:hAnsi="Arial"/>
          <w:sz w:val="20"/>
          <w:szCs w:val="20"/>
          <w:color w:val="auto"/>
        </w:rPr>
        <w:t>countries, including the U.S. and China, require a foreign filing license to seek patent protection in a country outside of the inventor’s or invention’s country. Each country’s laws regarding foreign filing licenses vary and may even conflict. We employ reputable law firms and other professionals to help us comply and we are also dependent on our licensors to take the necessary action to comply with these requirements with respect to our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and this circumstance could harm our business.</w:t>
      </w:r>
    </w:p>
    <w:p>
      <w:pPr>
        <w:spacing w:after="0" w:line="199" w:lineRule="exact"/>
        <w:rPr>
          <w:sz w:val="20"/>
          <w:szCs w:val="20"/>
          <w:color w:val="auto"/>
        </w:rPr>
      </w:pPr>
    </w:p>
    <w:p>
      <w:pPr>
        <w:ind w:right="60"/>
        <w:spacing w:after="0" w:line="290" w:lineRule="auto"/>
        <w:rPr>
          <w:sz w:val="20"/>
          <w:szCs w:val="20"/>
          <w:color w:val="auto"/>
        </w:rPr>
      </w:pPr>
      <w:r>
        <w:rPr>
          <w:rFonts w:ascii="Arial" w:cs="Arial" w:eastAsia="Arial" w:hAnsi="Arial"/>
          <w:sz w:val="20"/>
          <w:szCs w:val="20"/>
          <w:b w:val="1"/>
          <w:bCs w:val="1"/>
          <w:i w:val="1"/>
          <w:iCs w:val="1"/>
          <w:color w:val="auto"/>
        </w:rPr>
        <w:t>Patent terms may be inadequate to protect our competitive position on our product candidates for an adequate amount of time.</w:t>
      </w:r>
    </w:p>
    <w:p>
      <w:pPr>
        <w:spacing w:after="0" w:line="141"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Patents have a limited lifespan. In the United States, if all maintenance fees are paid timely, the natural expiration of a patent is generally 20 years from the earliest filing date of a non-provisional patent application. Various extensions may be available; however, the life of a patent, and the protection it affords, is limited. For instance,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necessarily extend to all patent claims, but instead only to patent claims that read on the product as approved. Even if patents covering our product candidates are obtained, once the patent life has expired for a product candidate, we may be open to competition.</w:t>
      </w:r>
    </w:p>
    <w:p>
      <w:pPr>
        <w:spacing w:after="0" w:line="196"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Given the amount of time required for the development, testing and regulatory review of our new product candidates such as GSBR-1290, ANPA-0073 and any of our future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as compensation for effective patent term lost during product development and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Further,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be able to take advantage of our investment in development and clinical trials by referencing our clinical and preclinical data and launch their product candidates earlier than might otherwise be the case.</w:t>
      </w:r>
    </w:p>
    <w:p>
      <w:pPr>
        <w:sectPr>
          <w:pgSz w:w="11880" w:h="15480" w:orient="portrait"/>
          <w:cols w:equalWidth="0" w:num="1">
            <w:col w:w="9680"/>
          </w:cols>
          <w:pgMar w:left="1080" w:top="1066" w:right="112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124</w:t>
      </w:r>
    </w:p>
    <w:p>
      <w:pPr>
        <w:sectPr>
          <w:pgSz w:w="11880" w:h="15480" w:orient="portrait"/>
          <w:cols w:equalWidth="0" w:num="1">
            <w:col w:w="9680"/>
          </w:cols>
          <w:pgMar w:left="1080" w:top="1066" w:right="1120" w:bottom="555" w:gutter="0" w:footer="0" w:header="0"/>
          <w:type w:val="continuous"/>
        </w:sectPr>
      </w:pPr>
    </w:p>
    <w:bookmarkStart w:id="126" w:name="page127"/>
    <w:bookmarkEnd w:id="126"/>
    <w:p>
      <w:pPr>
        <w:spacing w:after="0"/>
        <w:rPr>
          <w:sz w:val="20"/>
          <w:szCs w:val="20"/>
          <w:color w:val="auto"/>
        </w:rPr>
      </w:pPr>
      <w:r>
        <w:rPr>
          <w:rFonts w:ascii="Arial" w:cs="Arial" w:eastAsia="Arial" w:hAnsi="Arial"/>
          <w:sz w:val="20"/>
          <w:szCs w:val="20"/>
          <w:b w:val="1"/>
          <w:bCs w:val="1"/>
          <w:i w:val="1"/>
          <w:iCs w:val="1"/>
          <w:color w:val="auto"/>
        </w:rPr>
        <w:t>Intellectual property rights do not necessarily address all potential threats to our business.</w:t>
      </w:r>
    </w:p>
    <w:p>
      <w:pPr>
        <w:spacing w:after="0" w:line="235" w:lineRule="exact"/>
        <w:rPr>
          <w:sz w:val="20"/>
          <w:szCs w:val="20"/>
          <w:color w:val="auto"/>
        </w:rPr>
      </w:pPr>
    </w:p>
    <w:p>
      <w:pPr>
        <w:jc w:val="both"/>
        <w:ind w:right="320"/>
        <w:spacing w:after="0" w:line="262" w:lineRule="auto"/>
        <w:rPr>
          <w:sz w:val="20"/>
          <w:szCs w:val="20"/>
          <w:color w:val="auto"/>
        </w:rPr>
      </w:pPr>
      <w:r>
        <w:rPr>
          <w:rFonts w:ascii="Arial" w:cs="Arial" w:eastAsia="Arial" w:hAnsi="Arial"/>
          <w:sz w:val="20"/>
          <w:szCs w:val="20"/>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190" w:lineRule="exact"/>
        <w:rPr>
          <w:sz w:val="20"/>
          <w:szCs w:val="20"/>
          <w:color w:val="auto"/>
        </w:rPr>
      </w:pPr>
    </w:p>
    <w:p>
      <w:pPr>
        <w:ind w:left="720" w:right="20" w:hanging="353"/>
        <w:spacing w:after="0" w:line="284"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others may be able to make compounds or formulations that are similar to our product candidates but that are not covered by the claims of any patents that we own or control;</w:t>
      </w:r>
    </w:p>
    <w:p>
      <w:pPr>
        <w:spacing w:after="0" w:line="49" w:lineRule="exact"/>
        <w:rPr>
          <w:rFonts w:ascii="Arial" w:cs="Arial" w:eastAsia="Arial" w:hAnsi="Arial"/>
          <w:sz w:val="20"/>
          <w:szCs w:val="20"/>
          <w:color w:val="auto"/>
        </w:rPr>
      </w:pPr>
    </w:p>
    <w:p>
      <w:pPr>
        <w:ind w:left="720" w:right="500" w:hanging="353"/>
        <w:spacing w:after="0" w:line="284"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we or any strategic partners might not have been the first to make the inventions covered by the issued patents or pending patent applications that we own or control;</w:t>
      </w:r>
    </w:p>
    <w:p>
      <w:pPr>
        <w:spacing w:after="0" w:line="48" w:lineRule="exact"/>
        <w:rPr>
          <w:rFonts w:ascii="Arial" w:cs="Arial" w:eastAsia="Arial" w:hAnsi="Arial"/>
          <w:sz w:val="20"/>
          <w:szCs w:val="20"/>
          <w:color w:val="auto"/>
        </w:rPr>
      </w:pPr>
    </w:p>
    <w:p>
      <w:pPr>
        <w:ind w:left="720" w:right="180" w:hanging="353"/>
        <w:spacing w:after="0" w:line="284"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we might not have been the first to file patent applications covering certain of the inventions we own or control;</w:t>
      </w:r>
    </w:p>
    <w:p>
      <w:pPr>
        <w:spacing w:after="0" w:line="49" w:lineRule="exact"/>
        <w:rPr>
          <w:rFonts w:ascii="Arial" w:cs="Arial" w:eastAsia="Arial" w:hAnsi="Arial"/>
          <w:sz w:val="20"/>
          <w:szCs w:val="20"/>
          <w:color w:val="auto"/>
        </w:rPr>
      </w:pPr>
    </w:p>
    <w:p>
      <w:pPr>
        <w:ind w:left="720" w:right="880" w:hanging="353"/>
        <w:spacing w:after="0" w:line="284"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others may independently develop similar or alternative technologies or duplicate any of our technologies without infringing our intellectual property rights;</w:t>
      </w:r>
    </w:p>
    <w:p>
      <w:pPr>
        <w:spacing w:after="0" w:line="48" w:lineRule="exact"/>
        <w:rPr>
          <w:rFonts w:ascii="Arial" w:cs="Arial" w:eastAsia="Arial" w:hAnsi="Arial"/>
          <w:sz w:val="20"/>
          <w:szCs w:val="20"/>
          <w:color w:val="auto"/>
        </w:rPr>
      </w:pPr>
    </w:p>
    <w:p>
      <w:pPr>
        <w:jc w:val="both"/>
        <w:ind w:left="720" w:right="20" w:hanging="353"/>
        <w:spacing w:after="0" w:line="255"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it is possible that noncompliance with the USPTO and foreign governmental agencies requirement for a number of procedural, documentary, fee payment and other provisions during the patent process or technology export can result in abandonment or lapse of a patent or patent application, and partial or complete loss of patent rights in the relevant jurisdiction;</w:t>
      </w:r>
    </w:p>
    <w:p>
      <w:pPr>
        <w:spacing w:after="0" w:line="76" w:lineRule="exact"/>
        <w:rPr>
          <w:rFonts w:ascii="Arial" w:cs="Arial" w:eastAsia="Arial" w:hAnsi="Arial"/>
          <w:sz w:val="20"/>
          <w:szCs w:val="20"/>
          <w:color w:val="auto"/>
        </w:rPr>
      </w:pPr>
    </w:p>
    <w:p>
      <w:pPr>
        <w:ind w:left="720" w:hanging="353"/>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pending patent applications that we own or control may not lead to issued patents;</w:t>
      </w:r>
    </w:p>
    <w:p>
      <w:pPr>
        <w:spacing w:after="0" w:line="133" w:lineRule="exact"/>
        <w:rPr>
          <w:rFonts w:ascii="Arial" w:cs="Arial" w:eastAsia="Arial" w:hAnsi="Arial"/>
          <w:sz w:val="20"/>
          <w:szCs w:val="20"/>
          <w:color w:val="auto"/>
        </w:rPr>
      </w:pPr>
    </w:p>
    <w:p>
      <w:pPr>
        <w:ind w:left="720" w:right="660" w:hanging="353"/>
        <w:spacing w:after="0" w:line="284"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issued patents that we own or control may be held invalid or unenforceable as a result of legal challenges;</w:t>
      </w:r>
    </w:p>
    <w:p>
      <w:pPr>
        <w:spacing w:after="0" w:line="49" w:lineRule="exact"/>
        <w:rPr>
          <w:rFonts w:ascii="Arial" w:cs="Arial" w:eastAsia="Arial" w:hAnsi="Arial"/>
          <w:sz w:val="20"/>
          <w:szCs w:val="20"/>
          <w:color w:val="auto"/>
        </w:rPr>
      </w:pPr>
    </w:p>
    <w:p>
      <w:pPr>
        <w:ind w:left="720" w:right="140" w:hanging="353"/>
        <w:spacing w:after="0" w:line="251"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our competitors might conduct research and development activities in the United States and other foreign countries that provide a safe harbor from patent infringement claims for certain research and development activities, as well as in countries where we do not have patent rights and then use the information learned from such activities to develop competitive product candidates for sale in our major commercial markets;</w:t>
      </w:r>
    </w:p>
    <w:p>
      <w:pPr>
        <w:spacing w:after="0" w:line="80" w:lineRule="exact"/>
        <w:rPr>
          <w:rFonts w:ascii="Arial" w:cs="Arial" w:eastAsia="Arial" w:hAnsi="Arial"/>
          <w:sz w:val="20"/>
          <w:szCs w:val="20"/>
          <w:color w:val="auto"/>
        </w:rPr>
      </w:pPr>
    </w:p>
    <w:p>
      <w:pPr>
        <w:ind w:left="720" w:hanging="353"/>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we may not develop additional proprietary technologies that are patentable;</w:t>
      </w:r>
    </w:p>
    <w:p>
      <w:pPr>
        <w:spacing w:after="0" w:line="133" w:lineRule="exact"/>
        <w:rPr>
          <w:rFonts w:ascii="Arial" w:cs="Arial" w:eastAsia="Arial" w:hAnsi="Arial"/>
          <w:sz w:val="20"/>
          <w:szCs w:val="20"/>
          <w:color w:val="auto"/>
        </w:rPr>
      </w:pPr>
    </w:p>
    <w:p>
      <w:pPr>
        <w:ind w:left="720" w:right="120" w:hanging="353"/>
        <w:spacing w:after="0" w:line="254"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we cannot predict the scope of protection of any patent issuing based on our patent applications, including whether the patent applications that we own or in-license will result in issued patents with claims that directed to our product candidates or uses thereof in the United States or in other foreign countries;</w:t>
      </w:r>
    </w:p>
    <w:p>
      <w:pPr>
        <w:spacing w:after="0" w:line="80" w:lineRule="exact"/>
        <w:rPr>
          <w:rFonts w:ascii="Arial" w:cs="Arial" w:eastAsia="Arial" w:hAnsi="Arial"/>
          <w:sz w:val="20"/>
          <w:szCs w:val="20"/>
          <w:color w:val="auto"/>
        </w:rPr>
      </w:pPr>
    </w:p>
    <w:p>
      <w:pPr>
        <w:jc w:val="both"/>
        <w:ind w:left="720" w:right="180" w:hanging="353"/>
        <w:spacing w:after="0" w:line="262"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70" w:lineRule="exact"/>
        <w:rPr>
          <w:rFonts w:ascii="Arial" w:cs="Arial" w:eastAsia="Arial" w:hAnsi="Arial"/>
          <w:sz w:val="20"/>
          <w:szCs w:val="20"/>
          <w:color w:val="auto"/>
        </w:rPr>
      </w:pPr>
    </w:p>
    <w:p>
      <w:pPr>
        <w:ind w:left="720" w:hanging="353"/>
        <w:spacing w:after="0" w:line="262"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countries other than the United States may have patent laws that are less favorable to patentees than those upheld by U.S. courts, allowing foreign competitors a better opportunity to create, develop and market competing product candidates;</w:t>
      </w:r>
    </w:p>
    <w:p>
      <w:pPr>
        <w:spacing w:after="0" w:line="70" w:lineRule="exact"/>
        <w:rPr>
          <w:rFonts w:ascii="Arial" w:cs="Arial" w:eastAsia="Arial" w:hAnsi="Arial"/>
          <w:sz w:val="20"/>
          <w:szCs w:val="20"/>
          <w:color w:val="auto"/>
        </w:rPr>
      </w:pPr>
    </w:p>
    <w:p>
      <w:pPr>
        <w:ind w:left="720" w:right="120" w:hanging="353"/>
        <w:spacing w:after="0" w:line="284"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claims of any patent issuing based on our patent applications may not provide protection against competitors or any competitive advantages, or may be challenged by third parties;</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enforced, a court may not hold that our patents are valid, enforceable and infringed;</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we may not develop additional proprietary technologies that are patentable; and</w:t>
      </w:r>
    </w:p>
    <w:p>
      <w:pPr>
        <w:spacing w:after="0" w:line="133" w:lineRule="exact"/>
        <w:rPr>
          <w:rFonts w:ascii="Arial" w:cs="Arial" w:eastAsia="Arial" w:hAnsi="Arial"/>
          <w:sz w:val="20"/>
          <w:szCs w:val="20"/>
          <w:color w:val="auto"/>
        </w:rPr>
      </w:pPr>
    </w:p>
    <w:p>
      <w:pPr>
        <w:ind w:left="720" w:right="180" w:hanging="353"/>
        <w:spacing w:after="0" w:line="284"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patents of others may have an adverse effect on our business, including if others obtain patents claiming subject matter similar to or improving that covered by our patents and patent applications.</w:t>
      </w:r>
    </w:p>
    <w:p>
      <w:pPr>
        <w:sectPr>
          <w:pgSz w:w="11880" w:h="15480" w:orient="portrait"/>
          <w:cols w:equalWidth="0" w:num="1">
            <w:col w:w="9700"/>
          </w:cols>
          <w:pgMar w:left="1080" w:top="1071" w:right="110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125</w:t>
      </w:r>
    </w:p>
    <w:p>
      <w:pPr>
        <w:sectPr>
          <w:pgSz w:w="11880" w:h="15480" w:orient="portrait"/>
          <w:cols w:equalWidth="0" w:num="1">
            <w:col w:w="9700"/>
          </w:cols>
          <w:pgMar w:left="1080" w:top="1071" w:right="1100" w:bottom="555" w:gutter="0" w:footer="0" w:header="0"/>
          <w:type w:val="continuous"/>
        </w:sectPr>
      </w:pPr>
    </w:p>
    <w:bookmarkStart w:id="127" w:name="page128"/>
    <w:bookmarkEnd w:id="127"/>
    <w:p>
      <w:pPr>
        <w:ind w:right="340"/>
        <w:spacing w:after="0" w:line="265" w:lineRule="auto"/>
        <w:rPr>
          <w:sz w:val="20"/>
          <w:szCs w:val="20"/>
          <w:color w:val="auto"/>
        </w:rPr>
      </w:pPr>
      <w:r>
        <w:rPr>
          <w:rFonts w:ascii="Arial" w:cs="Arial" w:eastAsia="Arial" w:hAnsi="Arial"/>
          <w:sz w:val="20"/>
          <w:szCs w:val="20"/>
          <w:b w:val="1"/>
          <w:bCs w:val="1"/>
          <w:i w:val="1"/>
          <w:iCs w:val="1"/>
          <w:color w:val="auto"/>
        </w:rPr>
        <w:t>Third parties may initiate legal proceedings alleging that we are infringing, misappropriating or otherwise violating their intellectual property rights, the outcome of which would be uncertain and could have a negative impact on the success of our business.</w:t>
      </w:r>
    </w:p>
    <w:p>
      <w:pPr>
        <w:spacing w:after="0" w:line="16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Our commercial success depends, in part, upon our ability and the ability of our current or future collaborators to develop, manufacture, market and sell our current and any future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Because the intellectual property landscape in the industry in which we participate is rapidly evolving and interdisciplinary, it is difficult to conclusively assess our freedom to operate without infringing on third-party rights.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Our product candidates and other proprietary technologies we may develop may infringe existing or future patents owned by third parties. We may in the future become party to, or be threatened with, adversarial proceedings or litigation regarding intellectual property rights with respect to our current and any future product candidates and technologies, including interference or derivation, PGR and IPR proceedings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a court of competent jurisdiction may not invalidate the claims of any such U.S. patent. If we are found to infringe a third party’s valid and enforceable intellectual property rights, we could be required to obtain a license from such third party to continue developing, manufacturing and marketing our product candidate(s) and technologies.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technologies or product candidate, or redesign our product candidates or processes so they do not infringe, which may not be possible or may require substantial monetary expenditures and time.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current or any future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15"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Third parties asserting their patent or other intellectual property rights against us may also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w:t>
      </w:r>
    </w:p>
    <w:p>
      <w:pPr>
        <w:sectPr>
          <w:pgSz w:w="11880" w:h="15480" w:orient="portrait"/>
          <w:cols w:equalWidth="0" w:num="1">
            <w:col w:w="9680"/>
          </w:cols>
          <w:pgMar w:left="1080" w:top="1070" w:right="1120" w:bottom="555"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126</w:t>
      </w:r>
    </w:p>
    <w:p>
      <w:pPr>
        <w:sectPr>
          <w:pgSz w:w="11880" w:h="15480" w:orient="portrait"/>
          <w:cols w:equalWidth="0" w:num="1">
            <w:col w:w="9680"/>
          </w:cols>
          <w:pgMar w:left="1080" w:top="1070" w:right="1120" w:bottom="555" w:gutter="0" w:footer="0" w:header="0"/>
          <w:type w:val="continuous"/>
        </w:sectPr>
      </w:pPr>
    </w:p>
    <w:bookmarkStart w:id="128" w:name="page129"/>
    <w:bookmarkEnd w:id="128"/>
    <w:p>
      <w:pPr>
        <w:ind w:right="20"/>
        <w:spacing w:after="0" w:line="247" w:lineRule="auto"/>
        <w:rPr>
          <w:sz w:val="20"/>
          <w:szCs w:val="20"/>
          <w:color w:val="auto"/>
        </w:rPr>
      </w:pPr>
      <w:r>
        <w:rPr>
          <w:rFonts w:ascii="Arial" w:cs="Arial" w:eastAsia="Arial" w:hAnsi="Arial"/>
          <w:sz w:val="20"/>
          <w:szCs w:val="20"/>
          <w:color w:val="auto"/>
        </w:rPr>
        <w:t>In addition, if our product candidates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The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Additionally, 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 candidates, programs or intellectual property could be diminished. Accordingly, the market price of our ADSs may decline. Such announcements could also harm our reputation or the market for our future products, which could have a material adverse effect on our business.</w:t>
      </w:r>
    </w:p>
    <w:p>
      <w:pPr>
        <w:spacing w:after="0" w:line="193" w:lineRule="exact"/>
        <w:rPr>
          <w:sz w:val="20"/>
          <w:szCs w:val="20"/>
          <w:color w:val="auto"/>
        </w:rPr>
      </w:pPr>
    </w:p>
    <w:p>
      <w:pPr>
        <w:ind w:right="200"/>
        <w:spacing w:after="0" w:line="290" w:lineRule="auto"/>
        <w:rPr>
          <w:sz w:val="20"/>
          <w:szCs w:val="20"/>
          <w:color w:val="auto"/>
        </w:rPr>
      </w:pPr>
      <w:r>
        <w:rPr>
          <w:rFonts w:ascii="Arial" w:cs="Arial" w:eastAsia="Arial" w:hAnsi="Arial"/>
          <w:sz w:val="20"/>
          <w:szCs w:val="20"/>
          <w:b w:val="1"/>
          <w:bCs w:val="1"/>
          <w:i w:val="1"/>
          <w:iCs w:val="1"/>
          <w:color w:val="auto"/>
        </w:rPr>
        <w:t>We may become involved in lawsuits to protect or enforce our patents or other intellectual property, which could be expensive, time consuming and unsuccessful.</w:t>
      </w:r>
    </w:p>
    <w:p>
      <w:pPr>
        <w:spacing w:after="0" w:line="13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Competitors or other third parties may infringe or otherwise violate our patents, trademarks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technologies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patent offices in foreign countries or made a misleading statement during prosecution. Third parties may also raise similar validity claims before the USPTO in post-grant proceedings such as ex parte reexaminations, IPR, or PGR, or oppositions or similar proceedings outside the United States, in parallel with litigation or even outside the context of litigation. The outcome following legal assertions of invalidity and unenforceability is unpredictable. There may be invalidating prior art, of which we and the patent examiner were unaware during prosecution. There may be double patenting among our own patents, which the patent examiner(s) fail to raise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97"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technologies falls under the safe harbor to patent infringement under 35 U.S.C. §271(e)(1). An adverse outcome in a litigation or other proceeding involving our patents could limit our</w:t>
      </w:r>
    </w:p>
    <w:p>
      <w:pPr>
        <w:sectPr>
          <w:pgSz w:w="11880" w:h="15480" w:orient="portrait"/>
          <w:cols w:equalWidth="0" w:num="1">
            <w:col w:w="9700"/>
          </w:cols>
          <w:pgMar w:left="1080" w:top="1066" w:right="1100" w:bottom="555" w:gutter="0" w:footer="0" w:header="0"/>
        </w:sect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127</w:t>
      </w:r>
    </w:p>
    <w:p>
      <w:pPr>
        <w:sectPr>
          <w:pgSz w:w="11880" w:h="15480" w:orient="portrait"/>
          <w:cols w:equalWidth="0" w:num="1">
            <w:col w:w="9700"/>
          </w:cols>
          <w:pgMar w:left="1080" w:top="1066" w:right="1100" w:bottom="555" w:gutter="0" w:footer="0" w:header="0"/>
          <w:type w:val="continuous"/>
        </w:sectPr>
      </w:pPr>
    </w:p>
    <w:bookmarkStart w:id="129" w:name="page130"/>
    <w:bookmarkEnd w:id="129"/>
    <w:p>
      <w:pPr>
        <w:spacing w:after="0" w:line="244" w:lineRule="auto"/>
        <w:rPr>
          <w:sz w:val="20"/>
          <w:szCs w:val="20"/>
          <w:color w:val="auto"/>
        </w:rPr>
      </w:pPr>
      <w:r>
        <w:rPr>
          <w:rFonts w:ascii="Arial" w:cs="Arial" w:eastAsia="Arial" w:hAnsi="Arial"/>
          <w:sz w:val="20"/>
          <w:szCs w:val="20"/>
          <w:color w:val="auto"/>
        </w:rPr>
        <w:t>ability to assert our patents against those parties or other competitors and may curtail or preclude our ability to exclude third parties from making and selling similar or competitive products.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such case, we could ultimately be forced to cease use of such trademarks. In any intellectual property litigation, even if we are successful, any award of monetary damages or other remedy we receive may not be commercially valuable.</w:t>
      </w:r>
    </w:p>
    <w:p>
      <w:pPr>
        <w:spacing w:after="0" w:line="19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our ADSs.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98"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Further, interference or derivation proceedings provoked by third parties or brought by the USPTO or patent offices in foreign countries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technologies or to attempt to license rights to it from the prevailing party. Our business could be harmed if the prevailing party does not offer us a license on commercially reasonable terms. Litigation, interference, derivation or other proceedings may result in a decision adverse to our interests and, even if we are successful, may result in substantial costs and distract our management and other employees.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We may not be able to prevent, alone or with our licensors,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91" w:lineRule="exact"/>
        <w:rPr>
          <w:sz w:val="20"/>
          <w:szCs w:val="20"/>
          <w:color w:val="auto"/>
        </w:rPr>
      </w:pPr>
    </w:p>
    <w:p>
      <w:pPr>
        <w:ind w:right="620"/>
        <w:spacing w:after="0" w:line="290" w:lineRule="auto"/>
        <w:rPr>
          <w:sz w:val="20"/>
          <w:szCs w:val="20"/>
          <w:color w:val="auto"/>
        </w:rPr>
      </w:pPr>
      <w:r>
        <w:rPr>
          <w:rFonts w:ascii="Arial" w:cs="Arial" w:eastAsia="Arial" w:hAnsi="Arial"/>
          <w:sz w:val="20"/>
          <w:szCs w:val="20"/>
          <w:b w:val="1"/>
          <w:bCs w:val="1"/>
          <w:i w:val="1"/>
          <w:iCs w:val="1"/>
          <w:color w:val="auto"/>
        </w:rPr>
        <w:t>Because of the expense and uncertainty of litigation, we may not be in a position to enforce our intellectual property rights against third parties.</w:t>
      </w:r>
    </w:p>
    <w:p>
      <w:pPr>
        <w:spacing w:after="0" w:line="13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 -litigious action or solution. In addition, the uncertainties associated with litigation could compromise our ability to raise the funds necessary to continue our clinical trials, continue our internal research programs, in-license needed technologies or other product candidates, or enter into development partnerships that would help us bring our product candidates to market.</w:t>
      </w:r>
    </w:p>
    <w:p>
      <w:pPr>
        <w:sectPr>
          <w:pgSz w:w="11880" w:h="15480" w:orient="portrait"/>
          <w:cols w:equalWidth="0" w:num="1">
            <w:col w:w="9700"/>
          </w:cols>
          <w:pgMar w:left="1080" w:top="1066" w:right="110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128</w:t>
      </w:r>
    </w:p>
    <w:p>
      <w:pPr>
        <w:sectPr>
          <w:pgSz w:w="11880" w:h="15480" w:orient="portrait"/>
          <w:cols w:equalWidth="0" w:num="1">
            <w:col w:w="9700"/>
          </w:cols>
          <w:pgMar w:left="1080" w:top="1066" w:right="1100" w:bottom="555" w:gutter="0" w:footer="0" w:header="0"/>
          <w:type w:val="continuous"/>
        </w:sectPr>
      </w:pPr>
    </w:p>
    <w:bookmarkStart w:id="130" w:name="page131"/>
    <w:bookmarkEnd w:id="130"/>
    <w:p>
      <w:pPr>
        <w:ind w:right="60"/>
        <w:spacing w:after="0" w:line="265" w:lineRule="auto"/>
        <w:rPr>
          <w:sz w:val="20"/>
          <w:szCs w:val="20"/>
          <w:color w:val="auto"/>
        </w:rPr>
      </w:pPr>
      <w:r>
        <w:rPr>
          <w:rFonts w:ascii="Arial" w:cs="Arial" w:eastAsia="Arial" w:hAnsi="Arial"/>
          <w:sz w:val="20"/>
          <w:szCs w:val="20"/>
          <w:b w:val="1"/>
          <w:bCs w:val="1"/>
          <w:i w:val="1"/>
          <w:iCs w:val="1"/>
          <w:color w:val="auto"/>
        </w:rPr>
        <w:t>Changes in U.S. patent law or the patent law of other countries or jurisdictions could diminish the value of patents in general, thereby impairing our ability to protect our current and any future product candidates.</w:t>
      </w:r>
    </w:p>
    <w:p>
      <w:pPr>
        <w:spacing w:after="0" w:line="134"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Changes in either the patent laws or interpretation of the patent laws in the United States and other foreign countries could increase uncertainties and costs, and may diminish our ability to protect our inventions, obtain, maintain, and enforce our intellectual property rights and, more generally, could affect the value of our patents or narrow the scope of our patent protection. On September 16, 2011, the Leahy-Smith America Invents Act (the “Leahy-Smith Act”) was signed into law. When implemented, the Leahy -Smith Act included several significant changes to U.S. patent law that impacted how patent rights could be prosecuted, enforced and defended.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Further, because of a lower evidentiary standard in these USPTO post- grant proceedings compared to the evidentiary standard in United States federal courts necessary to invalidate a patent claim, a third party could potentially provide evidence in a USPTO proceeding sufficient for the USPTO to hold a patent claim invalid even though the same evidence would be insufficient to invalidate the patent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In addition, under the Leahy-Smith Act, the United States transitioned from a “first-to-invent” system to a “first-to-file” system in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spacing w:after="0" w:line="172"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USPTO developed new regulations and procedures governing the administration of the Leahy-Smith Act, and many of the substantive changes to patent law associated with the Leahy -Smith Act, and in particular, the first to file provisions, became effective on March 16, 2013. It remains unclear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negative effect on our business.</w:t>
      </w:r>
    </w:p>
    <w:p>
      <w:pPr>
        <w:spacing w:after="0" w:line="163"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w:t>
      </w:r>
    </w:p>
    <w:p>
      <w:pPr>
        <w:sectPr>
          <w:pgSz w:w="11880" w:h="15480" w:orient="portrait"/>
          <w:cols w:equalWidth="0" w:num="1">
            <w:col w:w="9720"/>
          </w:cols>
          <w:pgMar w:left="1080" w:top="1070" w:right="1080" w:bottom="555"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129</w:t>
      </w:r>
    </w:p>
    <w:p>
      <w:pPr>
        <w:sectPr>
          <w:pgSz w:w="11880" w:h="15480" w:orient="portrait"/>
          <w:cols w:equalWidth="0" w:num="1">
            <w:col w:w="9720"/>
          </w:cols>
          <w:pgMar w:left="1080" w:top="1070" w:right="1080" w:bottom="555" w:gutter="0" w:footer="0" w:header="0"/>
          <w:type w:val="continuous"/>
        </w:sectPr>
      </w:pPr>
    </w:p>
    <w:bookmarkStart w:id="131" w:name="page132"/>
    <w:bookmarkEnd w:id="131"/>
    <w:p>
      <w:pPr>
        <w:ind w:right="180"/>
        <w:spacing w:after="0" w:line="284" w:lineRule="auto"/>
        <w:rPr>
          <w:sz w:val="20"/>
          <w:szCs w:val="20"/>
          <w:color w:val="auto"/>
        </w:rPr>
      </w:pPr>
      <w:r>
        <w:rPr>
          <w:rFonts w:ascii="Arial" w:cs="Arial" w:eastAsia="Arial" w:hAnsi="Arial"/>
          <w:sz w:val="20"/>
          <w:szCs w:val="20"/>
          <w:color w:val="auto"/>
        </w:rPr>
        <w:t>changes in how the relevant governmental authority enforces patent laws or regulations may weaken our ability to obtain new patents or to enforce patents that we have licensed or that we may obtain in the future.</w:t>
      </w:r>
    </w:p>
    <w:p>
      <w:pPr>
        <w:spacing w:after="0" w:line="161" w:lineRule="exact"/>
        <w:rPr>
          <w:sz w:val="20"/>
          <w:szCs w:val="20"/>
          <w:color w:val="auto"/>
        </w:rPr>
      </w:pPr>
    </w:p>
    <w:p>
      <w:pPr>
        <w:ind w:right="520"/>
        <w:spacing w:after="0" w:line="290" w:lineRule="auto"/>
        <w:rPr>
          <w:sz w:val="20"/>
          <w:szCs w:val="20"/>
          <w:color w:val="auto"/>
        </w:rPr>
      </w:pPr>
      <w:r>
        <w:rPr>
          <w:rFonts w:ascii="Arial" w:cs="Arial" w:eastAsia="Arial" w:hAnsi="Arial"/>
          <w:sz w:val="20"/>
          <w:szCs w:val="20"/>
          <w:b w:val="1"/>
          <w:bCs w:val="1"/>
          <w:i w:val="1"/>
          <w:iCs w:val="1"/>
          <w:color w:val="auto"/>
        </w:rPr>
        <w:t>We may not be able to protect our intellectual property rights throughout the world, which could negatively impact our business.</w:t>
      </w:r>
    </w:p>
    <w:p>
      <w:pPr>
        <w:spacing w:after="0" w:line="139"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Filing, prosecuting and defending patents covering our current and any future product candidates throughout the world would be prohibitively expensive, and our intellectual property rights in some countries outside the United States can have a different scope and strength than do those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jurisdictions where we have not obtained patent protection to develop their own product candidates and, further, may export otherwise infringing product candidates to territories where we may obtain patent protection, but where patent enforcement is not as strong as that in the United States. These product candidates may compete with our product candidates in jurisdictions where we do not have any issued or licensed patents and any future patent claims or other intellectual property rights may not be effective or sufficient to prevent them from so competing.</w:t>
      </w:r>
    </w:p>
    <w:p>
      <w:pPr>
        <w:spacing w:after="0" w:line="187"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w:t>
      </w:r>
    </w:p>
    <w:p>
      <w:pPr>
        <w:spacing w:after="0" w:line="204"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Such disclosure could have a material adverse effect on our business. Moreover, our ability to protect and enforce our intellectual property rights may be adversely affected by unforeseen changes in foreign intellectual property laws.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ind w:right="260"/>
        <w:spacing w:after="0" w:line="265" w:lineRule="auto"/>
        <w:rPr>
          <w:sz w:val="20"/>
          <w:szCs w:val="20"/>
          <w:color w:val="auto"/>
        </w:rPr>
      </w:pPr>
      <w:r>
        <w:rPr>
          <w:rFonts w:ascii="Arial" w:cs="Arial" w:eastAsia="Arial" w:hAnsi="Arial"/>
          <w:sz w:val="20"/>
          <w:szCs w:val="20"/>
          <w:b w:val="1"/>
          <w:bCs w:val="1"/>
          <w:i w:val="1"/>
          <w:iCs w:val="1"/>
          <w:color w:val="auto"/>
        </w:rPr>
        <w:t>We may be subject to claims that our employees, consultants, or advisors have wrongfully used or disclosed trade secrets or other confidential information of their current or former employers or claims asserting inventorship or ownership of what we regard as our own intellectual property.</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Many of our employees, consultants, and advisors are currently or were previously employed at universities or other healthcare,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or client. Litigation may be necessary to defend against these claims. If we fail in defending any such claims, in addition to paying monetary damages,</w:t>
      </w:r>
    </w:p>
    <w:p>
      <w:pPr>
        <w:sectPr>
          <w:pgSz w:w="11880" w:h="15480" w:orient="portrait"/>
          <w:cols w:equalWidth="0" w:num="1">
            <w:col w:w="9660"/>
          </w:cols>
          <w:pgMar w:left="1080" w:top="1066" w:right="1140" w:bottom="555"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130</w:t>
      </w:r>
    </w:p>
    <w:p>
      <w:pPr>
        <w:sectPr>
          <w:pgSz w:w="11880" w:h="15480" w:orient="portrait"/>
          <w:cols w:equalWidth="0" w:num="1">
            <w:col w:w="9660"/>
          </w:cols>
          <w:pgMar w:left="1080" w:top="1066" w:right="1140" w:bottom="555" w:gutter="0" w:footer="0" w:header="0"/>
          <w:type w:val="continuous"/>
        </w:sectPr>
      </w:pPr>
    </w:p>
    <w:bookmarkStart w:id="132" w:name="page133"/>
    <w:bookmarkEnd w:id="132"/>
    <w:p>
      <w:pPr>
        <w:ind w:right="60"/>
        <w:spacing w:after="0" w:line="284" w:lineRule="auto"/>
        <w:rPr>
          <w:sz w:val="20"/>
          <w:szCs w:val="20"/>
          <w:color w:val="auto"/>
        </w:rPr>
      </w:pPr>
      <w:r>
        <w:rPr>
          <w:rFonts w:ascii="Arial" w:cs="Arial" w:eastAsia="Arial" w:hAnsi="Arial"/>
          <w:sz w:val="20"/>
          <w:szCs w:val="20"/>
          <w:color w:val="auto"/>
        </w:rPr>
        <w:t>we may lose valuable intellectual property rights or personnel. Even if we are successful in defending against such claims, litigation could result in substantial costs and be a distraction to management.</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For example, we may have inventorship disputes arise from conflicting obligations of consultants or others who are involved in developing our product candidates. Litigation may be necessary to defend against these and other claims challenging inventorship.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our management and other employees.</w:t>
      </w:r>
    </w:p>
    <w:p>
      <w:pPr>
        <w:spacing w:after="0" w:line="198"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auto"/>
        </w:rPr>
        <w:t>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 candidates and technology. This could have a material adverse effect on our competitive position, business, financial conditions, results of operations, and prospects.</w:t>
      </w:r>
    </w:p>
    <w:p>
      <w:pPr>
        <w:spacing w:after="0" w:line="19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00" w:lineRule="exact"/>
        <w:rPr>
          <w:sz w:val="20"/>
          <w:szCs w:val="20"/>
          <w:color w:val="auto"/>
        </w:rPr>
      </w:pPr>
    </w:p>
    <w:p>
      <w:pPr>
        <w:jc w:val="both"/>
        <w:ind w:right="200"/>
        <w:spacing w:after="0" w:line="264" w:lineRule="auto"/>
        <w:rPr>
          <w:sz w:val="20"/>
          <w:szCs w:val="20"/>
          <w:color w:val="auto"/>
        </w:rPr>
      </w:pPr>
      <w:r>
        <w:rPr>
          <w:rFonts w:ascii="Arial" w:cs="Arial" w:eastAsia="Arial" w:hAnsi="Arial"/>
          <w:sz w:val="20"/>
          <w:szCs w:val="20"/>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67"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Any of our patent searches or analyses, including the identification of relevant patents, the scope of patent claims or the expiration of relevant patents, may not be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For example, we may incorrectly determine that our products are not covered by a third-party patent or may incorrectly predict whether a third party’s pending application will issue with claims of relevant scope. Also,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181" w:lineRule="exact"/>
        <w:rPr>
          <w:sz w:val="20"/>
          <w:szCs w:val="20"/>
          <w:color w:val="auto"/>
        </w:rPr>
      </w:pPr>
    </w:p>
    <w:p>
      <w:pPr>
        <w:ind w:right="300"/>
        <w:spacing w:after="0" w:line="262" w:lineRule="auto"/>
        <w:rPr>
          <w:sz w:val="20"/>
          <w:szCs w:val="20"/>
          <w:color w:val="auto"/>
        </w:rPr>
      </w:pPr>
      <w:r>
        <w:rPr>
          <w:rFonts w:ascii="Arial" w:cs="Arial" w:eastAsia="Arial" w:hAnsi="Arial"/>
          <w:sz w:val="20"/>
          <w:szCs w:val="20"/>
          <w:color w:val="auto"/>
        </w:rPr>
        <w:t>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w:t>
      </w:r>
    </w:p>
    <w:p>
      <w:pPr>
        <w:sectPr>
          <w:pgSz w:w="11880" w:h="15480" w:orient="portrait"/>
          <w:cols w:equalWidth="0" w:num="1">
            <w:col w:w="9700"/>
          </w:cols>
          <w:pgMar w:left="1080" w:top="1066" w:right="1100" w:bottom="555" w:gutter="0" w:footer="0" w:header="0"/>
        </w:sect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131</w:t>
      </w:r>
    </w:p>
    <w:p>
      <w:pPr>
        <w:sectPr>
          <w:pgSz w:w="11880" w:h="15480" w:orient="portrait"/>
          <w:cols w:equalWidth="0" w:num="1">
            <w:col w:w="9700"/>
          </w:cols>
          <w:pgMar w:left="1080" w:top="1066" w:right="1100" w:bottom="555" w:gutter="0" w:footer="0" w:header="0"/>
          <w:type w:val="continuous"/>
        </w:sectPr>
      </w:pPr>
    </w:p>
    <w:bookmarkStart w:id="133" w:name="page134"/>
    <w:bookmarkEnd w:id="133"/>
    <w:p>
      <w:pPr>
        <w:spacing w:after="0" w:line="243" w:lineRule="auto"/>
        <w:rPr>
          <w:sz w:val="20"/>
          <w:szCs w:val="20"/>
          <w:color w:val="auto"/>
        </w:rPr>
      </w:pPr>
      <w:r>
        <w:rPr>
          <w:rFonts w:ascii="Arial" w:cs="Arial" w:eastAsia="Arial" w:hAnsi="Arial"/>
          <w:sz w:val="20"/>
          <w:szCs w:val="20"/>
          <w:color w:val="auto"/>
        </w:rPr>
        <w:t>patentability of the claims of our patent applications or, if issued, affect the validity or enforceability of a patent claim. Further, we may not be aware of all third -party intellectual property rights potentially relating to our product candidates or their intended uses, and as a result the impact of such third- 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may not be the first to file any patent application related to our product candidates. As a result, the issuance, scope, validity, enforceability and commercial value of our patent rights are highly uncertain. Furthermore, for U.S.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For U.S. applications containing a patent claim not entitled to priority before March 16, 2013, there is a greater level of uncertainty in the patent law in view of the passage of the Leahy-Smith Act, which brought into effect significant changes to the U.S. patent laws, including new procedures for challenging pending patent applications and issued patents.</w:t>
      </w:r>
    </w:p>
    <w:p>
      <w:pPr>
        <w:spacing w:after="0" w:line="202" w:lineRule="exact"/>
        <w:rPr>
          <w:sz w:val="20"/>
          <w:szCs w:val="20"/>
          <w:color w:val="auto"/>
        </w:rPr>
      </w:pPr>
    </w:p>
    <w:p>
      <w:pPr>
        <w:ind w:right="320"/>
        <w:spacing w:after="0" w:line="290" w:lineRule="auto"/>
        <w:rPr>
          <w:sz w:val="20"/>
          <w:szCs w:val="20"/>
          <w:color w:val="auto"/>
        </w:rPr>
      </w:pPr>
      <w:r>
        <w:rPr>
          <w:rFonts w:ascii="Arial" w:cs="Arial" w:eastAsia="Arial" w:hAnsi="Arial"/>
          <w:sz w:val="20"/>
          <w:szCs w:val="20"/>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41"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Our current or future trademarks or trade names may be challenged, opposed, infringed, circumvented, invalidated, cancelled, declared generic, determined to be not entitled to registration, or determined to be infringing on other marks. During trademark registration proceedings, we may receive rejections of our applications by the USPTO or in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Any trademark litigation could be expensive. In addition, we could be found liable for significant monetary damages, including treble damages, disgorgement of profits and attorneys’ fees, if we are found to have willfully infringed a trademark. We may not be able to protect our exclusive right to these trademarks and trade names or may be forced to stop using these names, which we need for name recognition by potential collaborators or customers in our markets of interest.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206"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ADSs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price of our ADSs may be volatile, and you could lose all or part of your investment.</w:t>
      </w:r>
    </w:p>
    <w:p>
      <w:pPr>
        <w:spacing w:after="0" w:line="235" w:lineRule="exact"/>
        <w:rPr>
          <w:sz w:val="20"/>
          <w:szCs w:val="20"/>
          <w:color w:val="auto"/>
        </w:rPr>
      </w:pPr>
    </w:p>
    <w:p>
      <w:pPr>
        <w:ind w:right="680"/>
        <w:spacing w:after="0" w:line="312" w:lineRule="auto"/>
        <w:rPr>
          <w:sz w:val="20"/>
          <w:szCs w:val="20"/>
          <w:color w:val="auto"/>
        </w:rPr>
      </w:pPr>
      <w:r>
        <w:rPr>
          <w:rFonts w:ascii="Arial" w:cs="Arial" w:eastAsia="Arial" w:hAnsi="Arial"/>
          <w:sz w:val="19"/>
          <w:szCs w:val="19"/>
          <w:color w:val="auto"/>
        </w:rPr>
        <w:t>The trading price of our ADSs is likely to be highly volatile and could be subject to wide fluctuations in response to various factors, some of which are beyond our control, including limited trading volume. In</w:t>
      </w:r>
    </w:p>
    <w:p>
      <w:pPr>
        <w:sectPr>
          <w:pgSz w:w="11880" w:h="15480" w:orient="portrait"/>
          <w:cols w:equalWidth="0" w:num="1">
            <w:col w:w="9700"/>
          </w:cols>
          <w:pgMar w:left="1080" w:top="1066" w:right="1100" w:bottom="555"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132</w:t>
      </w:r>
    </w:p>
    <w:p>
      <w:pPr>
        <w:sectPr>
          <w:pgSz w:w="11880" w:h="15480" w:orient="portrait"/>
          <w:cols w:equalWidth="0" w:num="1">
            <w:col w:w="9700"/>
          </w:cols>
          <w:pgMar w:left="1080" w:top="1066" w:right="1100" w:bottom="555" w:gutter="0" w:footer="0" w:header="0"/>
          <w:type w:val="continuous"/>
        </w:sectPr>
      </w:pPr>
    </w:p>
    <w:bookmarkStart w:id="134" w:name="page135"/>
    <w:bookmarkEnd w:id="134"/>
    <w:p>
      <w:pPr>
        <w:ind w:right="400"/>
        <w:spacing w:after="0" w:line="284" w:lineRule="auto"/>
        <w:rPr>
          <w:sz w:val="20"/>
          <w:szCs w:val="20"/>
          <w:color w:val="auto"/>
        </w:rPr>
      </w:pPr>
      <w:r>
        <w:rPr>
          <w:rFonts w:ascii="Arial" w:cs="Arial" w:eastAsia="Arial" w:hAnsi="Arial"/>
          <w:sz w:val="20"/>
          <w:szCs w:val="20"/>
          <w:color w:val="auto"/>
        </w:rPr>
        <w:t>addition to the factors discussed in this “Risk Factors” section and elsewhere in this Annual Report, these factors include:</w:t>
      </w:r>
    </w:p>
    <w:p>
      <w:pPr>
        <w:spacing w:after="0" w:line="170" w:lineRule="exact"/>
        <w:rPr>
          <w:sz w:val="20"/>
          <w:szCs w:val="20"/>
          <w:color w:val="auto"/>
        </w:rPr>
      </w:pPr>
    </w:p>
    <w:p>
      <w:pPr>
        <w:ind w:left="720" w:right="120" w:hanging="353"/>
        <w:spacing w:after="0" w:line="254"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commencement, enrollment or results of our ongoing and planned preclinical studies and clinical trials, or any future preclinical studies or clinical trials, we may conduct of our current and any future product candidates, or changes in the development status of our current and any future product candidates;</w:t>
      </w:r>
    </w:p>
    <w:p>
      <w:pPr>
        <w:spacing w:after="0" w:line="80" w:lineRule="exact"/>
        <w:rPr>
          <w:rFonts w:ascii="Arial" w:cs="Arial" w:eastAsia="Arial" w:hAnsi="Arial"/>
          <w:sz w:val="20"/>
          <w:szCs w:val="20"/>
          <w:color w:val="auto"/>
        </w:rPr>
      </w:pPr>
    </w:p>
    <w:p>
      <w:pPr>
        <w:ind w:left="720" w:right="300" w:hanging="353"/>
        <w:spacing w:after="0" w:line="251"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any delay in preparing regulatory submissions to support development or commercialization of our current and any future product candidates and any adverse development or perceived adverse development with respect to the applicable regulatory authority’s review of such submissions, including without limitation the FDA’s issuance of a “refusal to file” letter or a request for additional information;</w:t>
      </w:r>
    </w:p>
    <w:p>
      <w:pPr>
        <w:spacing w:after="0" w:line="80" w:lineRule="exact"/>
        <w:rPr>
          <w:rFonts w:ascii="Arial" w:cs="Arial" w:eastAsia="Arial" w:hAnsi="Arial"/>
          <w:sz w:val="20"/>
          <w:szCs w:val="20"/>
          <w:color w:val="auto"/>
        </w:rPr>
      </w:pPr>
    </w:p>
    <w:p>
      <w:pPr>
        <w:ind w:left="720" w:hanging="353"/>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adverse results or delays in our preclinical studies and clinical trials;</w:t>
      </w:r>
    </w:p>
    <w:p>
      <w:pPr>
        <w:spacing w:after="0" w:line="133" w:lineRule="exact"/>
        <w:rPr>
          <w:rFonts w:ascii="Arial" w:cs="Arial" w:eastAsia="Arial" w:hAnsi="Arial"/>
          <w:sz w:val="20"/>
          <w:szCs w:val="20"/>
          <w:color w:val="auto"/>
        </w:rPr>
      </w:pPr>
    </w:p>
    <w:p>
      <w:pPr>
        <w:ind w:left="720" w:right="320" w:hanging="353"/>
        <w:spacing w:after="0" w:line="284"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our decision to initiate a clinical trial, not to initiate a clinical trial, or to terminate an existing clinical trial;</w:t>
      </w:r>
    </w:p>
    <w:p>
      <w:pPr>
        <w:spacing w:after="0" w:line="49" w:lineRule="exact"/>
        <w:rPr>
          <w:rFonts w:ascii="Arial" w:cs="Arial" w:eastAsia="Arial" w:hAnsi="Arial"/>
          <w:sz w:val="20"/>
          <w:szCs w:val="20"/>
          <w:color w:val="auto"/>
        </w:rPr>
      </w:pPr>
    </w:p>
    <w:p>
      <w:pPr>
        <w:ind w:left="720" w:right="180" w:hanging="353"/>
        <w:spacing w:after="0" w:line="284"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adverse regulatory decisions, including failure to receive marketing approval for our current and any future product candidates;</w:t>
      </w:r>
    </w:p>
    <w:p>
      <w:pPr>
        <w:spacing w:after="0" w:line="48" w:lineRule="exact"/>
        <w:rPr>
          <w:rFonts w:ascii="Arial" w:cs="Arial" w:eastAsia="Arial" w:hAnsi="Arial"/>
          <w:sz w:val="20"/>
          <w:szCs w:val="20"/>
          <w:color w:val="auto"/>
        </w:rPr>
      </w:pPr>
    </w:p>
    <w:p>
      <w:pPr>
        <w:ind w:left="720" w:right="100" w:hanging="353"/>
        <w:spacing w:after="0" w:line="284"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changes in laws or regulations applicable to our current and any future product candidates, including but not limited to clinical trial requirements for approvals;</w:t>
      </w:r>
    </w:p>
    <w:p>
      <w:pPr>
        <w:spacing w:after="0" w:line="49" w:lineRule="exact"/>
        <w:rPr>
          <w:rFonts w:ascii="Arial" w:cs="Arial" w:eastAsia="Arial" w:hAnsi="Arial"/>
          <w:sz w:val="20"/>
          <w:szCs w:val="20"/>
          <w:color w:val="auto"/>
        </w:rPr>
      </w:pPr>
    </w:p>
    <w:p>
      <w:pPr>
        <w:ind w:left="720" w:right="420" w:hanging="353"/>
        <w:spacing w:after="0" w:line="284"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failure to obtain coverage and adequate reimbursement of our current and any future product candidates, if approved;</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changes on the structure of healthcare payment systems;</w:t>
      </w:r>
    </w:p>
    <w:p>
      <w:pPr>
        <w:spacing w:after="0" w:line="133" w:lineRule="exact"/>
        <w:rPr>
          <w:rFonts w:ascii="Arial" w:cs="Arial" w:eastAsia="Arial" w:hAnsi="Arial"/>
          <w:sz w:val="20"/>
          <w:szCs w:val="20"/>
          <w:color w:val="auto"/>
        </w:rPr>
      </w:pPr>
    </w:p>
    <w:p>
      <w:pPr>
        <w:ind w:left="720" w:right="200" w:hanging="353"/>
        <w:spacing w:after="0" w:line="284"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any changes to our relationship with any manufacturers, suppliers, licensors, future collaborators or other strategic partners;</w:t>
      </w:r>
    </w:p>
    <w:p>
      <w:pPr>
        <w:spacing w:after="0" w:line="49" w:lineRule="exact"/>
        <w:rPr>
          <w:rFonts w:ascii="Arial" w:cs="Arial" w:eastAsia="Arial" w:hAnsi="Arial"/>
          <w:sz w:val="20"/>
          <w:szCs w:val="20"/>
          <w:color w:val="auto"/>
        </w:rPr>
      </w:pPr>
    </w:p>
    <w:p>
      <w:pPr>
        <w:ind w:left="720" w:right="220" w:hanging="353"/>
        <w:spacing w:after="0" w:line="284"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our inability to obtain adequate product supply for any approved drug product or inability to do so at acceptable prices;</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our inability to establish collaborations if needed;</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our failure to commercialize our current and any future product candidates;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additions or departures of key scientific or management personnel;</w:t>
      </w:r>
    </w:p>
    <w:p>
      <w:pPr>
        <w:spacing w:after="0" w:line="133" w:lineRule="exact"/>
        <w:rPr>
          <w:rFonts w:ascii="Arial" w:cs="Arial" w:eastAsia="Arial" w:hAnsi="Arial"/>
          <w:sz w:val="20"/>
          <w:szCs w:val="20"/>
          <w:color w:val="auto"/>
        </w:rPr>
      </w:pPr>
    </w:p>
    <w:p>
      <w:pPr>
        <w:ind w:left="720" w:right="720" w:hanging="353"/>
        <w:spacing w:after="0" w:line="284"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unanticipated serious safety concerns related to the use of our current and any future product candidates;</w:t>
      </w:r>
    </w:p>
    <w:p>
      <w:pPr>
        <w:spacing w:after="0" w:line="48" w:lineRule="exact"/>
        <w:rPr>
          <w:rFonts w:ascii="Arial" w:cs="Arial" w:eastAsia="Arial" w:hAnsi="Arial"/>
          <w:sz w:val="20"/>
          <w:szCs w:val="20"/>
          <w:color w:val="auto"/>
        </w:rPr>
      </w:pPr>
    </w:p>
    <w:p>
      <w:pPr>
        <w:ind w:left="720" w:hanging="353"/>
        <w:spacing w:after="0" w:line="284"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introduction of new products or services offered by us or our competitors, or the release or publication of clinical trial results from competing product candidates;</w:t>
      </w:r>
    </w:p>
    <w:p>
      <w:pPr>
        <w:spacing w:after="0" w:line="49" w:lineRule="exact"/>
        <w:rPr>
          <w:rFonts w:ascii="Arial" w:cs="Arial" w:eastAsia="Arial" w:hAnsi="Arial"/>
          <w:sz w:val="20"/>
          <w:szCs w:val="20"/>
          <w:color w:val="auto"/>
        </w:rPr>
      </w:pPr>
    </w:p>
    <w:p>
      <w:pPr>
        <w:ind w:left="720" w:right="1040" w:hanging="353"/>
        <w:spacing w:after="0" w:line="284"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announcements of significant acquisitions, strategic partnerships, joint ventures, or capital commitments by us or our competitors;</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our ability to effectively manage our growth;</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actual or anticipated variations in quarterly operating results;</w:t>
      </w:r>
    </w:p>
    <w:p>
      <w:pPr>
        <w:spacing w:after="0" w:line="132" w:lineRule="exact"/>
        <w:rPr>
          <w:rFonts w:ascii="Arial" w:cs="Arial" w:eastAsia="Arial" w:hAnsi="Arial"/>
          <w:sz w:val="20"/>
          <w:szCs w:val="20"/>
          <w:color w:val="auto"/>
        </w:rPr>
      </w:pPr>
    </w:p>
    <w:p>
      <w:pPr>
        <w:ind w:left="720" w:hanging="353"/>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our cash position;</w:t>
      </w:r>
    </w:p>
    <w:p>
      <w:pPr>
        <w:spacing w:after="0" w:line="133" w:lineRule="exact"/>
        <w:rPr>
          <w:rFonts w:ascii="Arial" w:cs="Arial" w:eastAsia="Arial" w:hAnsi="Arial"/>
          <w:sz w:val="20"/>
          <w:szCs w:val="20"/>
          <w:color w:val="auto"/>
        </w:rPr>
      </w:pPr>
    </w:p>
    <w:p>
      <w:pPr>
        <w:ind w:left="720" w:right="740" w:hanging="353"/>
        <w:spacing w:after="0" w:line="284"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our failure to meet the estimates and projections of the investment community or that we may otherwise provide to the public;</w:t>
      </w:r>
    </w:p>
    <w:p>
      <w:pPr>
        <w:spacing w:after="0" w:line="49" w:lineRule="exact"/>
        <w:rPr>
          <w:rFonts w:ascii="Arial" w:cs="Arial" w:eastAsia="Arial" w:hAnsi="Arial"/>
          <w:sz w:val="20"/>
          <w:szCs w:val="20"/>
          <w:color w:val="auto"/>
        </w:rPr>
      </w:pPr>
    </w:p>
    <w:p>
      <w:pPr>
        <w:ind w:left="720" w:right="240" w:hanging="353"/>
        <w:spacing w:after="0" w:line="284"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publication of research reports about us or our industry or positive or negative recommendations or withdrawal of research coverage by securities analysts;</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changes in the market valuations of similar companies;</w:t>
      </w:r>
    </w:p>
    <w:p>
      <w:pPr>
        <w:sectPr>
          <w:pgSz w:w="11880" w:h="15480" w:orient="portrait"/>
          <w:cols w:equalWidth="0" w:num="1">
            <w:col w:w="9700"/>
          </w:cols>
          <w:pgMar w:left="1080" w:top="1066" w:right="1100" w:bottom="555" w:gutter="0" w:footer="0" w:header="0"/>
        </w:sect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133</w:t>
      </w:r>
    </w:p>
    <w:p>
      <w:pPr>
        <w:sectPr>
          <w:pgSz w:w="11880" w:h="15480" w:orient="portrait"/>
          <w:cols w:equalWidth="0" w:num="1">
            <w:col w:w="9700"/>
          </w:cols>
          <w:pgMar w:left="1080" w:top="1066" w:right="1100" w:bottom="555" w:gutter="0" w:footer="0" w:header="0"/>
          <w:type w:val="continuous"/>
        </w:sectPr>
      </w:pPr>
    </w:p>
    <w:bookmarkStart w:id="135" w:name="page136"/>
    <w:bookmarkEnd w:id="135"/>
    <w:p>
      <w:pPr>
        <w:ind w:left="720" w:hanging="353"/>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overall performance of the equity markets;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issuances of debt or equity securities;</w:t>
      </w:r>
    </w:p>
    <w:p>
      <w:pPr>
        <w:spacing w:after="0" w:line="132" w:lineRule="exact"/>
        <w:rPr>
          <w:rFonts w:ascii="Arial" w:cs="Arial" w:eastAsia="Arial" w:hAnsi="Arial"/>
          <w:sz w:val="20"/>
          <w:szCs w:val="20"/>
          <w:color w:val="auto"/>
        </w:rPr>
      </w:pPr>
    </w:p>
    <w:p>
      <w:pPr>
        <w:ind w:left="720" w:right="480" w:hanging="353"/>
        <w:spacing w:after="0" w:line="284"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sales of our ADSs by us or our shareholders in the future, or the perception that such sales may occur;</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trading volume of our ADSs;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changes in accounting practices;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ineffectiveness of our internal controls;</w:t>
      </w:r>
    </w:p>
    <w:p>
      <w:pPr>
        <w:spacing w:after="0" w:line="133" w:lineRule="exact"/>
        <w:rPr>
          <w:rFonts w:ascii="Arial" w:cs="Arial" w:eastAsia="Arial" w:hAnsi="Arial"/>
          <w:sz w:val="20"/>
          <w:szCs w:val="20"/>
          <w:color w:val="auto"/>
        </w:rPr>
      </w:pPr>
    </w:p>
    <w:p>
      <w:pPr>
        <w:ind w:left="720" w:right="40" w:hanging="353"/>
        <w:spacing w:after="0" w:line="284"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disputes or other developments relating to proprietary rights, including patents, litigation matters, and our ability to obtain patent protection for our technologies;</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significant lawsuits, including patent or shareholder litigation;</w:t>
      </w:r>
    </w:p>
    <w:p>
      <w:pPr>
        <w:spacing w:after="0" w:line="133" w:lineRule="exact"/>
        <w:rPr>
          <w:rFonts w:ascii="Arial" w:cs="Arial" w:eastAsia="Arial" w:hAnsi="Arial"/>
          <w:sz w:val="20"/>
          <w:szCs w:val="20"/>
          <w:color w:val="auto"/>
        </w:rPr>
      </w:pPr>
    </w:p>
    <w:p>
      <w:pPr>
        <w:ind w:left="720" w:right="480" w:hanging="353"/>
        <w:spacing w:after="0" w:line="284"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general geopolitical and macroeconomic conditions, including as a result of bank failures, global pandemics, the Russia/Ukraine conflict or the Israel-Hamas war; and</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other events or factors, many of which are beyond our control.</w:t>
      </w:r>
    </w:p>
    <w:p>
      <w:pPr>
        <w:spacing w:after="0" w:line="23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199"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i w:val="1"/>
          <w:iCs w:val="1"/>
          <w:color w:val="auto"/>
        </w:rPr>
        <w:t>Although our annual financial statements were audited and reported upon by auditors who are currently subject to inspection by the Public Company Accounting Oversight Board (“PCAOB”), there is no guarantee that future audit reports will be prepared by auditors that are subject to inspection by the PCAOB and, as such, future investors may be deprived of such inspections, which could result in limitations or restrictions to our access of the U.S. capital markets. Furthermore, trading in our securities may be prohibited under the Holding Foreign Companies Accountable Act (“HFCA Act”) or the Accelerating Holding Foreign Companies Accountable Act (“AHFCA Act”) if the SEC subsequently identifies that our audit work is performed by an auditor that the PCAOB is unable to inspect or investigate completely, and as a result, U.S. national securities exchanges, such as the Nasdaq, may delist our securities.</w:t>
      </w:r>
    </w:p>
    <w:p>
      <w:pPr>
        <w:spacing w:after="0" w:line="189"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As part of a continued regulatory focus in the United States on access to audit and other information, the United States passed the HFCA Act in December 2020. The HFCA Act requires the SEC to identify issuers whose audit work is performed by auditors that the PCAOB is unable to inspect or investigate completely because of a restriction imposed by a non-U.S. authority in the auditor’s local jurisdiction. The HFCA Act also requires public companies identified by the SEC to certify that they are neither owned nor controlled by a foreign government, and make certain additional disclosures in their SEC filings.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HFCA Act also provides that if an auditor of a U.S. listed company’s financial statements is not subject for three consecutive “non-inspection years” after the HFCA Act becomes effective, the SEC must prohibit the securities of such issuer from being traded on a U.S. national securities exchange. However, in June 2021, the U.S. Senate passed the AHFCA Act which amends the HFCA Act and require the SEC to prohibit an issuer’s securities from trading on any U.S. stock exchanges if its auditor is subject to two “non-</w:t>
      </w:r>
    </w:p>
    <w:p>
      <w:pPr>
        <w:ind w:right="60"/>
        <w:spacing w:after="0" w:line="254" w:lineRule="auto"/>
        <w:rPr>
          <w:sz w:val="20"/>
          <w:szCs w:val="20"/>
          <w:color w:val="auto"/>
        </w:rPr>
      </w:pPr>
      <w:r>
        <w:rPr>
          <w:rFonts w:ascii="Arial" w:cs="Arial" w:eastAsia="Arial" w:hAnsi="Arial"/>
          <w:sz w:val="20"/>
          <w:szCs w:val="20"/>
          <w:color w:val="auto"/>
        </w:rPr>
        <w:t>inspection years” instead of three. On February 4, 2022, the U.S. House of Representatives passed the America Creating Opportunities for Manufacturing, Pre-Eminence in Technology, and Economic Strength Act of 2022, which contained, among other things, an identical provision. In December 2021, the PCAOB issued a report on its determination that it is unable to inspect or investigate completely PCAOB-registered</w:t>
      </w:r>
    </w:p>
    <w:p>
      <w:pPr>
        <w:sectPr>
          <w:pgSz w:w="11880" w:h="15480" w:orient="portrait"/>
          <w:cols w:equalWidth="0" w:num="1">
            <w:col w:w="9680"/>
          </w:cols>
          <w:pgMar w:left="1080" w:top="1080" w:right="1120" w:bottom="555" w:gutter="0" w:footer="0" w:header="0"/>
        </w:sect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134</w:t>
      </w:r>
    </w:p>
    <w:p>
      <w:pPr>
        <w:sectPr>
          <w:pgSz w:w="11880" w:h="15480" w:orient="portrait"/>
          <w:cols w:equalWidth="0" w:num="1">
            <w:col w:w="9680"/>
          </w:cols>
          <w:pgMar w:left="1080" w:top="1080" w:right="1120" w:bottom="555" w:gutter="0" w:footer="0" w:header="0"/>
          <w:type w:val="continuous"/>
        </w:sectPr>
      </w:pPr>
    </w:p>
    <w:bookmarkStart w:id="136" w:name="page137"/>
    <w:bookmarkEnd w:id="136"/>
    <w:p>
      <w:pPr>
        <w:ind w:right="60"/>
        <w:spacing w:after="0" w:line="243" w:lineRule="auto"/>
        <w:rPr>
          <w:sz w:val="20"/>
          <w:szCs w:val="20"/>
          <w:color w:val="auto"/>
        </w:rPr>
      </w:pPr>
      <w:r>
        <w:rPr>
          <w:rFonts w:ascii="Arial" w:cs="Arial" w:eastAsia="Arial" w:hAnsi="Arial"/>
          <w:sz w:val="20"/>
          <w:szCs w:val="20"/>
          <w:color w:val="auto"/>
        </w:rPr>
        <w:t>accounting firms headquartered in Mainland China and in Hong Kong. Also, in December 2021, the SEC adopted final amendments to its rules implementing the HFCA Act and established procedures to identify issuers and prohibit the trading of the securities of certain registrants as required by the HFCA Act. This rule stated that only the principal accountant, as defined by Rule 2-05 of Regulation S-X and PCAOB AS 1205, is “deemed ‘retained’ for purposes of Section 104(i) of the Sarbanes -Oxley Act and the Commission’s determination of whether the registrant should be a Commission Identified Issuer.” In December 2022, the PCAOB vacated its determination that it was unable to inspect and investigate PCAOB -registered public accounting firms in Mainland China and Hong Kong. As a result, until such time as the PCAOB issues a new determination, the SEC has determined that there are no issuers currently at risk of having their securities subject to a trading prohibition under the HFCA Act. However, while vacating those determinations, the PCAOB noted that, should it encounter any impediment to conducting an inspection or investigation of auditors in Mainland China or Hong Kong as a result of a position taken by any authority there, the PCAOB would act to immediately issue a new determination.</w:t>
      </w:r>
    </w:p>
    <w:p>
      <w:pPr>
        <w:spacing w:after="0" w:line="20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 May 2023, we dismissed PricewaterhouseCoopers LLP and engaged Ernst &amp; Young LLP as our independent registered public accounting firm. Each of PricewaterhouseCoopers LLP and Ernst &amp; Young LLP, is headquartered in the United States, is registered with the PCAOB and is an auditor of companies that are both registered with the SEC and publicly traded in the United States. As a result, the HFCA Act did not previously and does not currently apply to us. However, if our operations fundamentally change in a way that requires our independent registered public accounting firm to be located in China in order to comply with the standards of the PCAOB regarding auditors then the HFCA Act would apply to us. Such a restriction would negatively impact our ability to raise capital. We view the likelihood to be remote that our operations will fundamentally change, as to require our auditor to be located in China. Additionally, it is possible that in the future Congress could amend the HFCA Act or the SEC could modify its regulations to apply the restrictions, including trading prohibitions and delisting, under the HFCA Act in situations in which an independent registered public accounting firm in China performs part of the audit such as in our current situation. There are currently no such proposals.</w:t>
      </w:r>
    </w:p>
    <w:p>
      <w:pPr>
        <w:spacing w:after="0" w:line="203"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Further, while we understand that there has been dialogue among the CSRC, the SEC and the PCAOB regarding the inspection of PCAOB- registered accounting firms in China, there can be no assurance that, in the future, we will be able to comply with requirements imposed by U.S. regulators. The market price of our ADSs could be adversely affected as a result of anticipated negative impacts of these executive or legislative actions upon, as well as negative investor sentiment towards, companies with operations in China that are listed in the United States, regardless of whether these executive or legislative actions are implemented and regardless of our actual operating performance.</w:t>
      </w:r>
    </w:p>
    <w:p>
      <w:pPr>
        <w:spacing w:after="0" w:line="198"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b w:val="1"/>
          <w:bCs w:val="1"/>
          <w:i w:val="1"/>
          <w:iCs w:val="1"/>
          <w:color w:val="auto"/>
        </w:rPr>
        <w:t>We have identified material weaknesses in our internal control over financial reporting and may identify additional material weaknesses in the future or fail to maintain effective internal control over financial reporting, which may result in material misstatements of our consolidated financial statements or cause us to fail to meet our periodic reporting obligations.</w:t>
      </w:r>
    </w:p>
    <w:p>
      <w:pPr>
        <w:spacing w:after="0" w:line="175" w:lineRule="exact"/>
        <w:rPr>
          <w:sz w:val="20"/>
          <w:szCs w:val="20"/>
          <w:color w:val="auto"/>
        </w:rPr>
      </w:pPr>
    </w:p>
    <w:p>
      <w:pPr>
        <w:ind w:right="240"/>
        <w:spacing w:after="0" w:line="251" w:lineRule="auto"/>
        <w:rPr>
          <w:sz w:val="20"/>
          <w:szCs w:val="20"/>
          <w:color w:val="auto"/>
        </w:rPr>
      </w:pPr>
      <w:r>
        <w:rPr>
          <w:rFonts w:ascii="Arial" w:cs="Arial" w:eastAsia="Arial" w:hAnsi="Arial"/>
          <w:sz w:val="20"/>
          <w:szCs w:val="20"/>
          <w:color w:val="auto"/>
        </w:rPr>
        <w:t>We have identified material weaknesses in our internal control over financial reporting in the past, one of which has not been remediated and continues to exist as of December 31, 2023.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7" w:lineRule="exact"/>
        <w:rPr>
          <w:sz w:val="20"/>
          <w:szCs w:val="20"/>
          <w:color w:val="auto"/>
        </w:rPr>
      </w:pPr>
    </w:p>
    <w:p>
      <w:pPr>
        <w:ind w:right="400"/>
        <w:spacing w:after="0"/>
        <w:rPr>
          <w:sz w:val="20"/>
          <w:szCs w:val="20"/>
          <w:color w:val="auto"/>
        </w:rPr>
      </w:pPr>
      <w:r>
        <w:rPr>
          <w:rFonts w:ascii="Arial" w:cs="Arial" w:eastAsia="Arial" w:hAnsi="Arial"/>
          <w:sz w:val="20"/>
          <w:szCs w:val="20"/>
          <w:color w:val="auto"/>
        </w:rPr>
        <w:t>The material weakness which continues to exist as of December 31, 2023 is that we did not design and maintain an effective control environment commensurate with our financial reporting requirements as we lacked a sufficient complement of professionals commensurate with our financial reporting requirements.</w:t>
      </w:r>
    </w:p>
    <w:p>
      <w:pPr>
        <w:ind w:right="240"/>
        <w:spacing w:after="0" w:line="284" w:lineRule="auto"/>
        <w:rPr>
          <w:sz w:val="20"/>
          <w:szCs w:val="20"/>
          <w:color w:val="auto"/>
        </w:rPr>
      </w:pPr>
      <w:r>
        <w:rPr>
          <w:rFonts w:ascii="Arial" w:cs="Arial" w:eastAsia="Arial" w:hAnsi="Arial"/>
          <w:sz w:val="20"/>
          <w:szCs w:val="20"/>
          <w:color w:val="auto"/>
        </w:rPr>
        <w:t>Additionally, the lack of a sufficient number of professionals resulted in an inability to consistently establish appropriate authorities and responsibilities in pursuit of our financial reporting objectives.</w:t>
      </w:r>
    </w:p>
    <w:p>
      <w:pPr>
        <w:spacing w:after="0" w:line="155" w:lineRule="exact"/>
        <w:rPr>
          <w:sz w:val="20"/>
          <w:szCs w:val="20"/>
          <w:color w:val="auto"/>
        </w:rPr>
      </w:pPr>
    </w:p>
    <w:p>
      <w:pPr>
        <w:ind w:right="40"/>
        <w:spacing w:after="0" w:line="312" w:lineRule="auto"/>
        <w:rPr>
          <w:sz w:val="20"/>
          <w:szCs w:val="20"/>
          <w:color w:val="auto"/>
        </w:rPr>
      </w:pPr>
      <w:r>
        <w:rPr>
          <w:rFonts w:ascii="Arial" w:cs="Arial" w:eastAsia="Arial" w:hAnsi="Arial"/>
          <w:sz w:val="19"/>
          <w:szCs w:val="19"/>
          <w:color w:val="auto"/>
        </w:rPr>
        <w:t>This material weakness did not result in any material misstatements to the consolidated financial statements. This material weakness could result in a misstatement of substantially all of our accounts or disclosures that</w:t>
      </w:r>
    </w:p>
    <w:p>
      <w:pPr>
        <w:sectPr>
          <w:pgSz w:w="11880" w:h="15480" w:orient="portrait"/>
          <w:cols w:equalWidth="0" w:num="1">
            <w:col w:w="9640"/>
          </w:cols>
          <w:pgMar w:left="1080" w:top="1066" w:right="1160" w:bottom="555" w:gutter="0" w:footer="0" w:header="0"/>
        </w:sect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135</w:t>
      </w:r>
    </w:p>
    <w:p>
      <w:pPr>
        <w:sectPr>
          <w:pgSz w:w="11880" w:h="15480" w:orient="portrait"/>
          <w:cols w:equalWidth="0" w:num="1">
            <w:col w:w="9640"/>
          </w:cols>
          <w:pgMar w:left="1080" w:top="1066" w:right="1160" w:bottom="555" w:gutter="0" w:footer="0" w:header="0"/>
          <w:type w:val="continuous"/>
        </w:sectPr>
      </w:pPr>
    </w:p>
    <w:bookmarkStart w:id="137" w:name="page138"/>
    <w:bookmarkEnd w:id="137"/>
    <w:p>
      <w:pPr>
        <w:ind w:right="180"/>
        <w:spacing w:after="0" w:line="284" w:lineRule="auto"/>
        <w:rPr>
          <w:sz w:val="20"/>
          <w:szCs w:val="20"/>
          <w:color w:val="auto"/>
        </w:rPr>
      </w:pPr>
      <w:r>
        <w:rPr>
          <w:rFonts w:ascii="Arial" w:cs="Arial" w:eastAsia="Arial" w:hAnsi="Arial"/>
          <w:sz w:val="20"/>
          <w:szCs w:val="20"/>
          <w:color w:val="auto"/>
        </w:rPr>
        <w:t>would result in a material misstatement to the annual or interim consolidated financial statements that would not be prevented or detected.</w:t>
      </w:r>
    </w:p>
    <w:p>
      <w:pPr>
        <w:spacing w:after="0" w:line="157"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auto"/>
        </w:rPr>
        <w:t>The material weakness will not be considered remediated until management completes the design and implementation of the measures described above and the controls operate for a sufficient period of time and management has concluded, through testing, that these controls are effective.</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are working to remediate the material weakness as efficiently and effectively as possible. At this time, we cannot provide an estimate of costs expected to be incurred in connection with implementing this remediation plan; however, these remediation measures will be time consuming, will result in us incurring significant costs, and will place significant demands on our financial and operational resources.</w:t>
      </w:r>
    </w:p>
    <w:p>
      <w:pPr>
        <w:spacing w:after="0" w:line="186"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Although we have begun to implement measures to address the material weakness, the implementation of these measures may not fully address the material weakness and deficiency in our internal control over financial reporting. Further, in the future we may determine that we have additional material weaknesses. Our failure to remediate the material weakness or failure to identify and address any other material weaknesses that may be identified in the future could result in material misstatements to our financial statements and could also impair our ability to comply with applicable financial reporting requirements and related regulatory filings on a timely basis, which could cause investors to lose confidence in our reported financial information, which may result in volatility in and a decline in the market price of our securities. See Part II. Item 9A. “Controls and Procedures— Management’s Plan to Remediate the Material Weakness”.</w:t>
      </w:r>
    </w:p>
    <w:p>
      <w:pPr>
        <w:spacing w:after="0" w:line="202" w:lineRule="exact"/>
        <w:rPr>
          <w:sz w:val="20"/>
          <w:szCs w:val="20"/>
          <w:color w:val="auto"/>
        </w:rPr>
      </w:pPr>
    </w:p>
    <w:p>
      <w:pPr>
        <w:ind w:right="380"/>
        <w:spacing w:after="0" w:line="290" w:lineRule="auto"/>
        <w:rPr>
          <w:sz w:val="20"/>
          <w:szCs w:val="20"/>
          <w:color w:val="auto"/>
        </w:rPr>
      </w:pPr>
      <w:r>
        <w:rPr>
          <w:rFonts w:ascii="Arial" w:cs="Arial" w:eastAsia="Arial" w:hAnsi="Arial"/>
          <w:sz w:val="20"/>
          <w:szCs w:val="20"/>
          <w:b w:val="1"/>
          <w:bCs w:val="1"/>
          <w:i w:val="1"/>
          <w:iCs w:val="1"/>
          <w:color w:val="auto"/>
        </w:rPr>
        <w:t>Our principal shareholders and management own a significant percentage of our voting securities and will be able to exert significant control over matters subject to shareholder approval.</w:t>
      </w:r>
    </w:p>
    <w:p>
      <w:pPr>
        <w:spacing w:after="0" w:line="13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As of December 31, 2023, our executive officers, directors, five percent shareholders and their affiliates beneficially owned approximately 34% of the voting power of our outstanding share capital. Therefore, these shareholders will have the ability to influence us through their ownership positions. These shareholders may be able to determine all matters requiring shareholder approval. For example, these shareholders, acting together, may be able to control elections of directors, issuances of equity, including to our employees under equity incentive plans, amendments of our organizational documents, or approval of any merger, amalgamation, sale of assets or other major corporate transaction. These shareholders’ interests may not always coincide with our corporate interests or the interests of other shareholders, and these shareholders may exercise their voting and other rights in a manner with which you may not agree or that may not be in the best interests of our other shareholders. This may prevent or discourage unsolicited acquisition proposals or offers for our ADSs that you may believe are in your best interest as a holder of our ADSs.</w:t>
      </w:r>
    </w:p>
    <w:p>
      <w:pPr>
        <w:spacing w:after="0" w:line="204" w:lineRule="exact"/>
        <w:rPr>
          <w:sz w:val="20"/>
          <w:szCs w:val="20"/>
          <w:color w:val="auto"/>
        </w:rPr>
      </w:pPr>
    </w:p>
    <w:p>
      <w:pPr>
        <w:ind w:right="100"/>
        <w:spacing w:after="0" w:line="264" w:lineRule="auto"/>
        <w:rPr>
          <w:sz w:val="20"/>
          <w:szCs w:val="20"/>
          <w:color w:val="auto"/>
        </w:rPr>
      </w:pPr>
      <w:r>
        <w:rPr>
          <w:rFonts w:ascii="Arial" w:cs="Arial" w:eastAsia="Arial" w:hAnsi="Arial"/>
          <w:sz w:val="20"/>
          <w:szCs w:val="20"/>
          <w:b w:val="1"/>
          <w:bCs w:val="1"/>
          <w:i w:val="1"/>
          <w:iCs w:val="1"/>
          <w:color w:val="auto"/>
        </w:rPr>
        <w:t>A significant portion of our total outstanding shares are restricted from immediate resale, but may be sold into the market in the near future. This could cause the market price of our ADSs to drop significantly, even if our business is doing well.</w:t>
      </w:r>
    </w:p>
    <w:p>
      <w:pPr>
        <w:spacing w:after="0" w:line="167" w:lineRule="exact"/>
        <w:rPr>
          <w:sz w:val="20"/>
          <w:szCs w:val="20"/>
          <w:color w:val="auto"/>
        </w:rPr>
      </w:pPr>
    </w:p>
    <w:p>
      <w:pPr>
        <w:ind w:right="260"/>
        <w:spacing w:after="0" w:line="262" w:lineRule="auto"/>
        <w:rPr>
          <w:sz w:val="20"/>
          <w:szCs w:val="20"/>
          <w:color w:val="auto"/>
        </w:rPr>
      </w:pPr>
      <w:r>
        <w:rPr>
          <w:rFonts w:ascii="Arial" w:cs="Arial" w:eastAsia="Arial" w:hAnsi="Arial"/>
          <w:sz w:val="20"/>
          <w:szCs w:val="20"/>
          <w:color w:val="auto"/>
        </w:rPr>
        <w:t>Sales of a substantial number of our ADSs in the public market could occur at any time. If our shareholders sell, or the market perceives that our shareholders intend to sell, substantial amounts of our ADSs in the public market, the market price of our ADSs could decline significantly.</w:t>
      </w:r>
    </w:p>
    <w:p>
      <w:pPr>
        <w:spacing w:after="0" w:line="177"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On August 2, 2023, 77,752,483 ordinary shares (excluding the 18,000,000 ordinary shares issued to our depositary bank for bulk issuance of ADSs reserved for future issuances upon the exercise or vesting of awards granted under our equity incentive plans) became available for sale in the public market, following the expiration of lock-up agreements entered into by substantially all of our shareholders in connection with the IPO. Sales of a substantial number of such shares, or the perception that such sales may occur, could cause the market price of our ADSs to fall or make it more difficult for our securityholders to sell their ADSs at a time and price that they deem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In October 2023, we completed our Private Placement for aggregate gross proceeds of approximately</w:t>
      </w:r>
    </w:p>
    <w:p>
      <w:pPr>
        <w:spacing w:after="0"/>
        <w:rPr>
          <w:sz w:val="20"/>
          <w:szCs w:val="20"/>
          <w:color w:val="auto"/>
        </w:rPr>
      </w:pPr>
      <w:r>
        <w:rPr>
          <w:rFonts w:ascii="Arial" w:cs="Arial" w:eastAsia="Arial" w:hAnsi="Arial"/>
          <w:sz w:val="20"/>
          <w:szCs w:val="20"/>
          <w:color w:val="auto"/>
        </w:rPr>
        <w:t>$300 million before deducting placement agent fees and other private placement expenses. An aggregate of</w:t>
      </w:r>
    </w:p>
    <w:p>
      <w:pPr>
        <w:sectPr>
          <w:pgSz w:w="11880" w:h="15480" w:orient="portrait"/>
          <w:cols w:equalWidth="0" w:num="1">
            <w:col w:w="9720"/>
          </w:cols>
          <w:pgMar w:left="1080" w:top="1066" w:right="1080" w:bottom="555"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136</w:t>
      </w:r>
    </w:p>
    <w:p>
      <w:pPr>
        <w:sectPr>
          <w:pgSz w:w="11880" w:h="15480" w:orient="portrait"/>
          <w:cols w:equalWidth="0" w:num="1">
            <w:col w:w="9720"/>
          </w:cols>
          <w:pgMar w:left="1080" w:top="1066" w:right="1080" w:bottom="555" w:gutter="0" w:footer="0" w:header="0"/>
          <w:type w:val="continuous"/>
        </w:sectPr>
      </w:pPr>
    </w:p>
    <w:bookmarkStart w:id="138" w:name="page139"/>
    <w:bookmarkEnd w:id="138"/>
    <w:p>
      <w:pPr>
        <w:ind w:right="160"/>
        <w:spacing w:after="0" w:line="246" w:lineRule="auto"/>
        <w:rPr>
          <w:sz w:val="20"/>
          <w:szCs w:val="20"/>
          <w:color w:val="auto"/>
        </w:rPr>
      </w:pPr>
      <w:r>
        <w:rPr>
          <w:rFonts w:ascii="Arial" w:cs="Arial" w:eastAsia="Arial" w:hAnsi="Arial"/>
          <w:sz w:val="20"/>
          <w:szCs w:val="20"/>
          <w:color w:val="auto"/>
        </w:rPr>
        <w:t>21,617,295 ordinary shares and 2,401,920 newly designated non-voting ordinary shares were issued pursuant to the Purchase Agreement. Each holder of the non-voting ordinary shares had the right to convert each non-voting ordinary share held by such holder into one ordinary share, subject to certain beneficial ownership limitations, as described further in the description of the rights of the non-voting ordinary shares included as Exhibit 4.5 to this Annual Report. The purchase price was $12.49 per share (or the equivalent of $37.47 per ADS), which represents the ADS closing price on the Nasdaq Global Market immediately preceding the signing of the Purchase Agreement on September 29, 2023. As of December 31, 2023, all outstanding non-voting ordinary shares had been converted into ordinary shares.</w:t>
      </w:r>
    </w:p>
    <w:p>
      <w:pPr>
        <w:spacing w:after="0" w:line="195"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In addition, promptly following the completion of our IPO, we filed a registration statement registering the issuance of approximately 22,099,376 ordinary shares (which may be in the form of ADSs) subject to options or other equity awards issued or reserved for future issuance under our equity incentive plans. Shares (or ADSs) registered under this registration statement are available for sale in the public market subject to vesting arrangements and exercise of options and, in the case of our affiliates, the restrictions of Rule 144 under the Securities Act. If these additional shares or ADSs are sold, or if it is perceived that they will be sold, in the public market, the trading price of our ADSs could decline.</w:t>
      </w:r>
    </w:p>
    <w:p>
      <w:pPr>
        <w:spacing w:after="0" w:line="197" w:lineRule="exact"/>
        <w:rPr>
          <w:sz w:val="20"/>
          <w:szCs w:val="20"/>
          <w:color w:val="auto"/>
        </w:rPr>
      </w:pPr>
    </w:p>
    <w:p>
      <w:pPr>
        <w:ind w:right="120"/>
        <w:spacing w:after="0" w:line="290" w:lineRule="auto"/>
        <w:rPr>
          <w:sz w:val="20"/>
          <w:szCs w:val="20"/>
          <w:color w:val="auto"/>
        </w:rPr>
      </w:pPr>
      <w:r>
        <w:rPr>
          <w:rFonts w:ascii="Arial" w:cs="Arial" w:eastAsia="Arial" w:hAnsi="Arial"/>
          <w:sz w:val="20"/>
          <w:szCs w:val="20"/>
          <w:b w:val="1"/>
          <w:bCs w:val="1"/>
          <w:i w:val="1"/>
          <w:iCs w:val="1"/>
          <w:color w:val="auto"/>
        </w:rPr>
        <w:t>Holders of our ADSs have fewer rights than our shareholders and must act through the depositary to exercise their rights.</w:t>
      </w:r>
    </w:p>
    <w:p>
      <w:pPr>
        <w:spacing w:after="0" w:line="141"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Holders of our ADSs do not have the same rights as our shareholders and may only exercise their voting rights with respect to the underlying ordinary shares in accordance with the provisions of the deposit agreement. Holders of the ADSs will appoint the depositary or its nominee as their representative to exercise the voting rights attaching to the ordinary shares represented by the ADSs. When a general meeting is convened, if you hold ADSs, you may not receive sufficient notice of a shareholders’ meeting to permit you to withdraw the ordinary shares underlying your ADSs to allow you to vote with respect to any specific matter. We will take all commercially reasonable efforts to cause the depositary to extend voting rights to you in a timely manner, but we cannot assure you that you will receive voting materials in time to instruct the depositary to vote, and it is possible that you,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you may not be able to exercise your right to vote and you may lack recourse if your ADSs are not voted as you request. In addition, in your capacity as an ADS holder, you will not be able to call a shareholders’ meeting.</w:t>
      </w:r>
    </w:p>
    <w:p>
      <w:pPr>
        <w:spacing w:after="0" w:line="205" w:lineRule="exact"/>
        <w:rPr>
          <w:sz w:val="20"/>
          <w:szCs w:val="20"/>
          <w:color w:val="auto"/>
        </w:rPr>
      </w:pPr>
    </w:p>
    <w:p>
      <w:pPr>
        <w:jc w:val="both"/>
        <w:ind w:right="740"/>
        <w:spacing w:after="0" w:line="318" w:lineRule="auto"/>
        <w:rPr>
          <w:sz w:val="20"/>
          <w:szCs w:val="20"/>
          <w:color w:val="auto"/>
        </w:rPr>
      </w:pPr>
      <w:r>
        <w:rPr>
          <w:rFonts w:ascii="Arial" w:cs="Arial" w:eastAsia="Arial" w:hAnsi="Arial"/>
          <w:sz w:val="19"/>
          <w:szCs w:val="19"/>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16"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The deposit agreement governing the ADSs representing our ordinary shares provides that holders and beneficial owners of ADSs irrevocably waive the right to a trial by jury in any legal proceeding arising out of or relating to the deposit agreement, our ordinary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ordinary shares and the ADSs and the transactions contemplated thereby. In addition, New York courts will not enforce a jury trial waiver provision in order to bar a viable setoff or counterclaim sounding in fraud or one which is based on a creditor’s negligence in failing to liquidate collateral upon a guarantor’s demand, or in the case of an intentional tort claim (as opposed to a contract dispute), none of</w:t>
      </w:r>
    </w:p>
    <w:p>
      <w:pPr>
        <w:sectPr>
          <w:pgSz w:w="11880" w:h="15480" w:orient="portrait"/>
          <w:cols w:equalWidth="0" w:num="1">
            <w:col w:w="9720"/>
          </w:cols>
          <w:pgMar w:left="1080" w:top="1066" w:right="1080" w:bottom="555"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137</w:t>
      </w:r>
    </w:p>
    <w:p>
      <w:pPr>
        <w:sectPr>
          <w:pgSz w:w="11880" w:h="15480" w:orient="portrait"/>
          <w:cols w:equalWidth="0" w:num="1">
            <w:col w:w="9720"/>
          </w:cols>
          <w:pgMar w:left="1080" w:top="1066" w:right="1080" w:bottom="555" w:gutter="0" w:footer="0" w:header="0"/>
          <w:type w:val="continuous"/>
        </w:sectPr>
      </w:pPr>
    </w:p>
    <w:bookmarkStart w:id="139" w:name="page140"/>
    <w:bookmarkEnd w:id="139"/>
    <w:p>
      <w:pPr>
        <w:spacing w:after="0" w:line="243" w:lineRule="auto"/>
        <w:rPr>
          <w:sz w:val="20"/>
          <w:szCs w:val="20"/>
          <w:color w:val="auto"/>
        </w:rPr>
      </w:pPr>
      <w:r>
        <w:rPr>
          <w:rFonts w:ascii="Arial" w:cs="Arial" w:eastAsia="Arial" w:hAnsi="Arial"/>
          <w:sz w:val="20"/>
          <w:szCs w:val="20"/>
          <w:color w:val="auto"/>
        </w:rPr>
        <w:t>which we believe are applicable in the case of the deposit agreement, our ordinary shares or the ADSs or the transactions contemplated thereby. No condition, stipulation or provision of the deposit agreement or ADSs serves as a waiver by any holder or beneficial owner of ADSs or by us or the depositary of compliance with any provision of the federal securities laws. If you or any other holder or beneficial owner of ADSs brings a claim against us or the depositary in connection with matters arising under the deposit agreement, our ordinary shares or the ADSs or the transactions contemplated thereby,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08" w:lineRule="exact"/>
        <w:rPr>
          <w:sz w:val="20"/>
          <w:szCs w:val="20"/>
          <w:color w:val="auto"/>
        </w:rPr>
      </w:pPr>
    </w:p>
    <w:p>
      <w:pPr>
        <w:ind w:right="280"/>
        <w:spacing w:after="0" w:line="290" w:lineRule="auto"/>
        <w:rPr>
          <w:sz w:val="20"/>
          <w:szCs w:val="20"/>
          <w:color w:val="auto"/>
        </w:rPr>
      </w:pPr>
      <w:r>
        <w:rPr>
          <w:rFonts w:ascii="Arial" w:cs="Arial" w:eastAsia="Arial" w:hAnsi="Arial"/>
          <w:sz w:val="20"/>
          <w:szCs w:val="20"/>
          <w:b w:val="1"/>
          <w:bCs w:val="1"/>
          <w:i w:val="1"/>
          <w:iCs w:val="1"/>
          <w:color w:val="auto"/>
        </w:rPr>
        <w:t>You may not receive distributions on our ordinary shares represented by the ADSs or any value for them if it is illegal or impractical to make them available to holders of ADSs.</w:t>
      </w:r>
    </w:p>
    <w:p>
      <w:pPr>
        <w:spacing w:after="0" w:line="13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Although we do not have any present plans to declare or pay any dividends on our ordinary shares, in the event we declare and pay any dividends,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register under U.S. securities laws any offering of ADSs, ordinary shares or other securities received through such distributions. We also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199" w:lineRule="exact"/>
        <w:rPr>
          <w:sz w:val="20"/>
          <w:szCs w:val="20"/>
          <w:color w:val="auto"/>
        </w:rPr>
      </w:pPr>
    </w:p>
    <w:p>
      <w:pPr>
        <w:ind w:right="420"/>
        <w:spacing w:after="0" w:line="290" w:lineRule="auto"/>
        <w:rPr>
          <w:sz w:val="20"/>
          <w:szCs w:val="20"/>
          <w:color w:val="auto"/>
        </w:rPr>
      </w:pPr>
      <w:r>
        <w:rPr>
          <w:rFonts w:ascii="Arial" w:cs="Arial" w:eastAsia="Arial" w:hAnsi="Arial"/>
          <w:sz w:val="20"/>
          <w:szCs w:val="20"/>
          <w:b w:val="1"/>
          <w:bCs w:val="1"/>
          <w:i w:val="1"/>
          <w:iCs w:val="1"/>
          <w:color w:val="auto"/>
        </w:rPr>
        <w:t>Your right to participate in any future rights offerings may be limited, which may cause dilution to your holdings.</w:t>
      </w:r>
    </w:p>
    <w:p>
      <w:pPr>
        <w:spacing w:after="0" w:line="13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bank will not make rights available to you unless the rights and any related securities are registered under the Securities Act or are otherwise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you may be unable to participate in our rights offerings and may experience dilution in your holdings.</w:t>
      </w:r>
    </w:p>
    <w:p>
      <w:pPr>
        <w:spacing w:after="0" w:line="204" w:lineRule="exact"/>
        <w:rPr>
          <w:sz w:val="20"/>
          <w:szCs w:val="20"/>
          <w:color w:val="auto"/>
        </w:rPr>
      </w:pPr>
    </w:p>
    <w:p>
      <w:pPr>
        <w:ind w:right="280"/>
        <w:spacing w:after="0" w:line="264" w:lineRule="auto"/>
        <w:rPr>
          <w:sz w:val="20"/>
          <w:szCs w:val="20"/>
          <w:color w:val="auto"/>
        </w:rPr>
      </w:pPr>
      <w:r>
        <w:rPr>
          <w:rFonts w:ascii="Arial" w:cs="Arial" w:eastAsia="Arial" w:hAnsi="Arial"/>
          <w:sz w:val="20"/>
          <w:szCs w:val="20"/>
          <w:b w:val="1"/>
          <w:bCs w:val="1"/>
          <w:i w:val="1"/>
          <w:iCs w:val="1"/>
          <w:color w:val="auto"/>
        </w:rPr>
        <w:t>Because we do not anticipate paying any cash dividends on our ADSs in the foreseeable future, capital appreciation, if any, will be your sole source of gains and you may never receive a return on your investment.</w:t>
      </w:r>
    </w:p>
    <w:p>
      <w:pPr>
        <w:spacing w:after="0" w:line="166"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color w:val="auto"/>
        </w:rPr>
        <w:t>We have never declared or paid a dividend on our ordinary shares in the past, and we currently intend to retain our future earnings, if any, to fund the development and growth of our business. Therefore, you should not rely on an investment in our ADSs to provide dividend income. Our board of directors has complete discretion as to whether to distribute dividends, subject to certain restrictions under Cayman Islands law, including that our company may only pay dividends out of profits or out of the credit standing in our share premium account, and provided always that in no circumstances may a dividend be paid if it would result in</w:t>
      </w:r>
    </w:p>
    <w:p>
      <w:pPr>
        <w:sectPr>
          <w:pgSz w:w="11880" w:h="15480" w:orient="portrait"/>
          <w:cols w:equalWidth="0" w:num="1">
            <w:col w:w="9700"/>
          </w:cols>
          <w:pgMar w:left="1080" w:top="1066" w:right="1100" w:bottom="555"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138</w:t>
      </w:r>
    </w:p>
    <w:p>
      <w:pPr>
        <w:sectPr>
          <w:pgSz w:w="11880" w:h="15480" w:orient="portrait"/>
          <w:cols w:equalWidth="0" w:num="1">
            <w:col w:w="9700"/>
          </w:cols>
          <w:pgMar w:left="1080" w:top="1066" w:right="1100" w:bottom="555" w:gutter="0" w:footer="0" w:header="0"/>
          <w:type w:val="continuous"/>
        </w:sectPr>
      </w:pPr>
    </w:p>
    <w:bookmarkStart w:id="140" w:name="page141"/>
    <w:bookmarkEnd w:id="140"/>
    <w:p>
      <w:pPr>
        <w:spacing w:after="0" w:line="246" w:lineRule="auto"/>
        <w:rPr>
          <w:sz w:val="20"/>
          <w:szCs w:val="20"/>
          <w:color w:val="auto"/>
        </w:rPr>
      </w:pPr>
      <w:r>
        <w:rPr>
          <w:rFonts w:ascii="Arial" w:cs="Arial" w:eastAsia="Arial" w:hAnsi="Arial"/>
          <w:sz w:val="20"/>
          <w:szCs w:val="20"/>
          <w:color w:val="auto"/>
        </w:rPr>
        <w:t>our inability to pay our debts as they fall due in the ordinary course of business. In addition, our shareholders may, subject to our memorandum and articles of association,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ADSs will be your sole source of gains for the foreseeable future.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tax in the Cayman Islands and the United States.</w:t>
      </w:r>
    </w:p>
    <w:p>
      <w:pPr>
        <w:spacing w:after="0" w:line="235"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We are a Cayman Islands corporation as of the date of this Annual Report. We are treated as an exempted company for Cayman Islands tax purposes. We are also treated as a U.S. corporation subject to U.S. federal income tax pursuant to Section 7874 of the Code, and are subject to U.S. federal income tax on our worldwide income. As a result, we are subject to tax both in the Cayman Islands and the United States, which could have a material adverse effect on our financial condition and results of operations.</w:t>
      </w:r>
    </w:p>
    <w:p>
      <w:pPr>
        <w:spacing w:after="0" w:line="188" w:lineRule="exact"/>
        <w:rPr>
          <w:sz w:val="20"/>
          <w:szCs w:val="20"/>
          <w:color w:val="auto"/>
        </w:rPr>
      </w:pPr>
    </w:p>
    <w:p>
      <w:pPr>
        <w:ind w:right="300"/>
        <w:spacing w:after="0" w:line="251" w:lineRule="auto"/>
        <w:rPr>
          <w:sz w:val="20"/>
          <w:szCs w:val="20"/>
          <w:color w:val="auto"/>
        </w:rPr>
      </w:pPr>
      <w:r>
        <w:rPr>
          <w:rFonts w:ascii="Arial" w:cs="Arial" w:eastAsia="Arial" w:hAnsi="Arial"/>
          <w:sz w:val="20"/>
          <w:szCs w:val="20"/>
          <w:color w:val="auto"/>
        </w:rPr>
        <w:t>It is unlikely that we will pay any dividends on our ordinary shares or ADSs in the foreseeable future. However, dividends received by “non- U.S. holders” will be subject to U.S. withholding tax. In addition, because the ordinary shares or ADSs are treated as shares of a U.S. domestic corporation, the U.S. gift, estate and generation-skipping transfer tax rules generally apply to a non-U.S. holder of ordinary shares or ADSs.</w:t>
      </w:r>
    </w:p>
    <w:p>
      <w:pPr>
        <w:spacing w:after="0" w:line="187" w:lineRule="exact"/>
        <w:rPr>
          <w:sz w:val="20"/>
          <w:szCs w:val="20"/>
          <w:color w:val="auto"/>
        </w:rPr>
      </w:pPr>
    </w:p>
    <w:p>
      <w:pPr>
        <w:ind w:right="1120"/>
        <w:spacing w:after="0" w:line="284" w:lineRule="auto"/>
        <w:rPr>
          <w:sz w:val="20"/>
          <w:szCs w:val="20"/>
          <w:color w:val="auto"/>
        </w:rPr>
      </w:pPr>
      <w:r>
        <w:rPr>
          <w:rFonts w:ascii="Arial" w:cs="Arial" w:eastAsia="Arial" w:hAnsi="Arial"/>
          <w:sz w:val="20"/>
          <w:szCs w:val="20"/>
          <w:color w:val="auto"/>
        </w:rPr>
        <w:t>Each holder or prospective holder of our ordinary shares or ADSs should seek tax advice from an independent tax advisor based on such holder’s particular circumstances.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ability to use our net operating loss carryforwards and certain other tax attributes may be limited.</w:t>
      </w:r>
    </w:p>
    <w:p>
      <w:pPr>
        <w:spacing w:after="0" w:line="236"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As of December 31, 2023, we had $84.8 million and $146.5 million of U.S. federal and state net operating loss (“NOL”) carryforwards, respectively, available to offset future taxable income. Under U.S. federal income tax law, federal NOLs incurred in tax years beginning after December 31, 2017, may be carried forward indefinitely, but the deductibility of such federal NOLs is limited to 80% of taxable income for taxable years beginning after December 31, 2020. Any NOLs incurred in tax years beginning before December 31, 2017, may be used to offset up to 100% of future taxable income, but will begin to expire in varying amounts in 2037, unless previously utilized. Similar rules may apply under state tax laws. As of December 31, 2023, we also had aggregate U.S. federal and state R&amp;D credits of approximately $2.2 million and $0.5 million, respectively. U.S. federal R&amp;D credits carryforwards begin to expire in 2039 unless previously utilized. The state R&amp;D credit carryforwards do not expire. Our NOL carryforwards and R&amp;D credits are subject to review and possible adjustment by the U.S. and state tax authorities.</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In addition, under Sections 382 and 383 of the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R&amp;D credits and certain other tax attributes to offset its post-change income or taxes may be limited. This could limit the amount of NOLs, R&amp;D credit carryforwards or other applicable tax attributes that we can utilize annually to offset future taxable income or tax liabilities. Subsequent ownership changes and changes to the U.S. tax rules in respect of the utilization of NOLs, R&amp;D credits and other applicable tax attributes carried forward may further affect the limitation in future years. In addition, at the state level, there may be periods during which the use of NOLs is suspended or otherwise limited, which could accelerate or permanently increase state taxes owed. As a result, we may be unable to use all or a material portion of our NOL carryforwards and other tax attributes, which could adversely affect our future cash flows. We have not undertaken a study under Section 382 of the Code, and it is possible that we have previously undergone one or more ownership changes so that our use of NOLs is subject to limitation. We may experience ownership changes in the future as a result of subsequent shifts in our share ownership, including as a result of our IPO. As a result, if we earn net taxable income, our ability to use our pre-change</w:t>
      </w:r>
    </w:p>
    <w:p>
      <w:pPr>
        <w:sectPr>
          <w:pgSz w:w="11880" w:h="15480" w:orient="portrait"/>
          <w:cols w:equalWidth="0" w:num="1">
            <w:col w:w="9720"/>
          </w:cols>
          <w:pgMar w:left="1080" w:top="1066" w:right="1080" w:bottom="555"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139</w:t>
      </w:r>
    </w:p>
    <w:p>
      <w:pPr>
        <w:sectPr>
          <w:pgSz w:w="11880" w:h="15480" w:orient="portrait"/>
          <w:cols w:equalWidth="0" w:num="1">
            <w:col w:w="9720"/>
          </w:cols>
          <w:pgMar w:left="1080" w:top="1066" w:right="1080" w:bottom="555" w:gutter="0" w:footer="0" w:header="0"/>
          <w:type w:val="continuous"/>
        </w:sectPr>
      </w:pPr>
    </w:p>
    <w:bookmarkStart w:id="141" w:name="page142"/>
    <w:bookmarkEnd w:id="141"/>
    <w:p>
      <w:pPr>
        <w:ind w:right="80"/>
        <w:spacing w:after="0" w:line="262" w:lineRule="auto"/>
        <w:rPr>
          <w:sz w:val="20"/>
          <w:szCs w:val="20"/>
          <w:color w:val="auto"/>
        </w:rPr>
      </w:pPr>
      <w:r>
        <w:rPr>
          <w:rFonts w:ascii="Arial" w:cs="Arial" w:eastAsia="Arial" w:hAnsi="Arial"/>
          <w:sz w:val="20"/>
          <w:szCs w:val="20"/>
          <w:color w:val="auto"/>
        </w:rPr>
        <w:t>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81" w:lineRule="exact"/>
        <w:rPr>
          <w:sz w:val="20"/>
          <w:szCs w:val="20"/>
          <w:color w:val="auto"/>
        </w:rPr>
      </w:pPr>
    </w:p>
    <w:p>
      <w:pPr>
        <w:ind w:right="180"/>
        <w:spacing w:after="0" w:line="265" w:lineRule="auto"/>
        <w:rPr>
          <w:sz w:val="20"/>
          <w:szCs w:val="20"/>
          <w:color w:val="auto"/>
        </w:rPr>
      </w:pPr>
      <w:r>
        <w:rPr>
          <w:rFonts w:ascii="Arial" w:cs="Arial" w:eastAsia="Arial" w:hAnsi="Arial"/>
          <w:sz w:val="20"/>
          <w:szCs w:val="20"/>
          <w:b w:val="1"/>
          <w:bCs w:val="1"/>
          <w:i w:val="1"/>
          <w:iCs w:val="1"/>
          <w:color w:val="auto"/>
        </w:rPr>
        <w:t>We will incur significantly increased costs as a result of operating as a company whose ADSs are publicly traded in the United States, and our management will be required to devote substantial time to new compliance initiatives.</w:t>
      </w:r>
    </w:p>
    <w:p>
      <w:pPr>
        <w:spacing w:after="0" w:line="164"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As a public company in the United States, we will incur significant legal, accounting and other expenses that we did not incur previously. These expenses will likely be even more significant after we no longer qualify as an emerging growth company and/or a smaller reporting company. The Sarbanes-Oxley Act, the Dodd-Frank Wall Street Reform and Consumer Protection Act (the “Dodd-Frank Act”), the listing requirements of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7"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Pursuant to Section 404 of the Sarbanes-Oxley Act, beginning with our Annual Report on Form 10 -K for the year ended December 31, 2023, we will be required to furnish a report by our senior management on our internal control over financial reporting. However, while we remain an emerging growth company or a smaller reporting company as discussed below, we will not be required to include an attestation report on internal controls over financial reporting issued by our independent registered public accounting firm. To prepare for eventual compliance with Section 404, we will be engaged in a process to document and evaluate our internal controls over financial reporting, which is both costly and challenging. In this regard, we will need to continue to dedicate internal resources, potentially engage outside consultants and adopt a detailed work plan to assess and document the adequacy of internal controls over financial reporting, continue steps to improve control processes as appropriate, validate through testing that controls are functioning as documented and implement a continuous reporting and improvement process for internal controls over financial reporting. Despite our efforts, there is a risk that we will not be able to conclude, within the prescribed time frame or at all, that our internal controls over financial reporting is effective as required by Section 404.</w:t>
      </w:r>
    </w:p>
    <w:p>
      <w:pPr>
        <w:spacing w:after="0" w:line="205" w:lineRule="exact"/>
        <w:rPr>
          <w:sz w:val="20"/>
          <w:szCs w:val="20"/>
          <w:color w:val="auto"/>
        </w:rPr>
      </w:pPr>
    </w:p>
    <w:p>
      <w:pPr>
        <w:ind w:right="140"/>
        <w:spacing w:after="0" w:line="265" w:lineRule="auto"/>
        <w:rPr>
          <w:sz w:val="20"/>
          <w:szCs w:val="20"/>
          <w:color w:val="auto"/>
        </w:rPr>
      </w:pPr>
      <w:r>
        <w:rPr>
          <w:rFonts w:ascii="Arial" w:cs="Arial" w:eastAsia="Arial" w:hAnsi="Arial"/>
          <w:sz w:val="20"/>
          <w:szCs w:val="20"/>
          <w:b w:val="1"/>
          <w:bCs w:val="1"/>
          <w:i w:val="1"/>
          <w:iCs w:val="1"/>
          <w:color w:val="auto"/>
        </w:rPr>
        <w:t>We are an emerging growth company and a smaller reporting company, and the reduced reporting requirements applicable to emerging growth companies and smaller reporting companies may make our ADSs less attractive to investors.</w:t>
      </w:r>
    </w:p>
    <w:p>
      <w:pPr>
        <w:spacing w:after="0" w:line="164"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We are an “emerging growth company,” as defined in the JOBS Act. For as long as we continue to be an emerging growth company, we may take advantage of certain exemptions from various public company reporting requirements that are applicable to other public companies that are not emerging growth companies, including not being required to have our internal control over financial reporting audited by our independent registered public accounting firm under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may take advantage of these exemptions until December 31, 2028, the last day of the fiscal year ending after the fifth anniversary of our IPO or until we are no longer an emerging growth company, whichever is earlier. We will cease to be an</w:t>
      </w:r>
    </w:p>
    <w:p>
      <w:pPr>
        <w:sectPr>
          <w:pgSz w:w="11880" w:h="15480" w:orient="portrait"/>
          <w:cols w:equalWidth="0" w:num="1">
            <w:col w:w="9700"/>
          </w:cols>
          <w:pgMar w:left="1080" w:top="1066" w:right="1100" w:bottom="555"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140</w:t>
      </w:r>
    </w:p>
    <w:p>
      <w:pPr>
        <w:sectPr>
          <w:pgSz w:w="11880" w:h="15480" w:orient="portrait"/>
          <w:cols w:equalWidth="0" w:num="1">
            <w:col w:w="9700"/>
          </w:cols>
          <w:pgMar w:left="1080" w:top="1066" w:right="1100" w:bottom="555" w:gutter="0" w:footer="0" w:header="0"/>
          <w:type w:val="continuous"/>
        </w:sectPr>
      </w:pPr>
    </w:p>
    <w:bookmarkStart w:id="142" w:name="page143"/>
    <w:bookmarkEnd w:id="142"/>
    <w:p>
      <w:pPr>
        <w:ind w:right="140"/>
        <w:spacing w:after="0" w:line="251" w:lineRule="auto"/>
        <w:rPr>
          <w:sz w:val="20"/>
          <w:szCs w:val="20"/>
          <w:color w:val="auto"/>
        </w:rPr>
      </w:pPr>
      <w:r>
        <w:rPr>
          <w:rFonts w:ascii="Arial" w:cs="Arial" w:eastAsia="Arial" w:hAnsi="Arial"/>
          <w:sz w:val="20"/>
          <w:szCs w:val="20"/>
          <w:color w:val="auto"/>
        </w:rPr>
        <w:t>emerging growth company prior to the end of such five-year period if certain earlier events occur, including if we become a “large accelerated filer” as defined in Rule 12b-2 under the Exchange Act, our annual gross revenues equal or exceed $1.235 billion or we issue more than $1.0 billion of non-convertible debt in any three-year period prior to such time. Accordingly, the information contained herein may be different than the information you receive from other public companies in which you hold stock.</w:t>
      </w:r>
    </w:p>
    <w:p>
      <w:pPr>
        <w:spacing w:after="0" w:line="188"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In addition, the JOBS Act provides that an emerging growth company can take advantage of an extended transition period for complying with certain new or revised accounting standards until those standards would otherwise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spacing w:after="0" w:line="187" w:lineRule="exact"/>
        <w:rPr>
          <w:sz w:val="20"/>
          <w:szCs w:val="20"/>
          <w:color w:val="auto"/>
        </w:rPr>
      </w:pPr>
    </w:p>
    <w:p>
      <w:pPr>
        <w:ind w:right="80"/>
        <w:spacing w:after="0"/>
        <w:rPr>
          <w:sz w:val="20"/>
          <w:szCs w:val="20"/>
          <w:color w:val="auto"/>
        </w:rPr>
      </w:pPr>
      <w:r>
        <w:rPr>
          <w:rFonts w:ascii="Arial" w:cs="Arial" w:eastAsia="Arial" w:hAnsi="Arial"/>
          <w:sz w:val="20"/>
          <w:szCs w:val="20"/>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ADSs held by non -affiliates is less than $250.0 million measured on the last business day of our second fiscal quarter, or our annual revenue is less than</w:t>
      </w:r>
    </w:p>
    <w:p>
      <w:pPr>
        <w:ind w:right="80"/>
        <w:spacing w:after="0" w:line="284" w:lineRule="auto"/>
        <w:rPr>
          <w:sz w:val="20"/>
          <w:szCs w:val="20"/>
          <w:color w:val="auto"/>
        </w:rPr>
      </w:pPr>
      <w:r>
        <w:rPr>
          <w:rFonts w:ascii="Arial" w:cs="Arial" w:eastAsia="Arial" w:hAnsi="Arial"/>
          <w:sz w:val="20"/>
          <w:szCs w:val="20"/>
          <w:color w:val="auto"/>
        </w:rPr>
        <w:t>$100.0 million during the most recently completed fiscal year and our ADSs held by non-affiliates is less than $700.0 million measured on the last business day of our second fiscal quarter.</w:t>
      </w:r>
    </w:p>
    <w:p>
      <w:pPr>
        <w:spacing w:after="0" w:line="161" w:lineRule="exact"/>
        <w:rPr>
          <w:sz w:val="20"/>
          <w:szCs w:val="20"/>
          <w:color w:val="auto"/>
        </w:rPr>
      </w:pPr>
    </w:p>
    <w:p>
      <w:pPr>
        <w:ind w:right="260"/>
        <w:spacing w:after="0" w:line="290" w:lineRule="auto"/>
        <w:rPr>
          <w:sz w:val="20"/>
          <w:szCs w:val="20"/>
          <w:color w:val="auto"/>
        </w:rPr>
      </w:pPr>
      <w:r>
        <w:rPr>
          <w:rFonts w:ascii="Arial" w:cs="Arial" w:eastAsia="Arial" w:hAnsi="Arial"/>
          <w:sz w:val="20"/>
          <w:szCs w:val="20"/>
          <w:b w:val="1"/>
          <w:bCs w:val="1"/>
          <w:i w:val="1"/>
          <w:iCs w:val="1"/>
          <w:color w:val="auto"/>
        </w:rPr>
        <w:t>Since shareholder rights under Cayman Islands law differ from those under U.S. law, you may have difficulty protecting your shareholder rights.</w:t>
      </w:r>
    </w:p>
    <w:p>
      <w:pPr>
        <w:spacing w:after="0" w:line="139"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We are an exempted company limited by shares incorporated under the laws of the Cayman Islands. Our corporate affairs are governed by our memorandum and articles of association, the Companies Act (as amended) of the Cayman Islands and the common law of the Cayman Islands. The rights of shareholders to take action against our directors, actions by our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200"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The Registrar of Companies of the Cayman Islands shall make available the list of the names of the current directors of the Company (and where applicable the current alternate directors of the Company) for inspection by any person upon payment of a fee by such person. Our directors have discretion under our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92"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Certain corporate governance practices in the Cayman Islands, which is our home country, differ significantly from requirements for companies incorporated in other jurisdictions such as the United States. Currently, we do not plan to rely on home country practice with respect to any corporate governance matter. However, if we choose to follow home country practice in the future, our shareholders may be afforded less protection than they otherwise would under rules and regulations applicable to U.S. domestic issuers.</w:t>
      </w:r>
    </w:p>
    <w:p>
      <w:pPr>
        <w:sectPr>
          <w:pgSz w:w="11880" w:h="15480" w:orient="portrait"/>
          <w:cols w:equalWidth="0" w:num="1">
            <w:col w:w="9700"/>
          </w:cols>
          <w:pgMar w:left="1080" w:top="1066" w:right="1100" w:bottom="555"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141</w:t>
      </w:r>
    </w:p>
    <w:p>
      <w:pPr>
        <w:sectPr>
          <w:pgSz w:w="11880" w:h="15480" w:orient="portrait"/>
          <w:cols w:equalWidth="0" w:num="1">
            <w:col w:w="9700"/>
          </w:cols>
          <w:pgMar w:left="1080" w:top="1066" w:right="1100" w:bottom="555" w:gutter="0" w:footer="0" w:header="0"/>
          <w:type w:val="continuous"/>
        </w:sectPr>
      </w:pPr>
    </w:p>
    <w:bookmarkStart w:id="143" w:name="page144"/>
    <w:bookmarkEnd w:id="143"/>
    <w:p>
      <w:pPr>
        <w:jc w:val="both"/>
        <w:ind w:right="100"/>
        <w:spacing w:after="0" w:line="262" w:lineRule="auto"/>
        <w:rPr>
          <w:sz w:val="20"/>
          <w:szCs w:val="20"/>
          <w:color w:val="auto"/>
        </w:rPr>
      </w:pPr>
      <w:r>
        <w:rPr>
          <w:rFonts w:ascii="Arial" w:cs="Arial" w:eastAsia="Arial" w:hAnsi="Arial"/>
          <w:sz w:val="20"/>
          <w:szCs w:val="20"/>
          <w:color w:val="auto"/>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spacing w:after="0" w:line="181" w:lineRule="exact"/>
        <w:rPr>
          <w:sz w:val="20"/>
          <w:szCs w:val="20"/>
          <w:color w:val="auto"/>
        </w:rPr>
      </w:pPr>
    </w:p>
    <w:p>
      <w:pPr>
        <w:jc w:val="both"/>
        <w:ind w:right="400"/>
        <w:spacing w:after="0" w:line="265" w:lineRule="auto"/>
        <w:rPr>
          <w:sz w:val="20"/>
          <w:szCs w:val="20"/>
          <w:color w:val="auto"/>
        </w:rPr>
      </w:pPr>
      <w:r>
        <w:rPr>
          <w:rFonts w:ascii="Arial" w:cs="Arial" w:eastAsia="Arial" w:hAnsi="Arial"/>
          <w:sz w:val="20"/>
          <w:szCs w:val="20"/>
          <w:b w:val="1"/>
          <w:bCs w:val="1"/>
          <w:i w:val="1"/>
          <w:iCs w:val="1"/>
          <w:color w:val="auto"/>
        </w:rPr>
        <w:t>Provisions in our amended and restated memorandum and articles of association may prevent or frustrate attempts by our shareholders to change our management and hinder efforts to acquire a controlling interest in us, and the market price of our ADSs may be lower as a result.</w:t>
      </w:r>
    </w:p>
    <w:p>
      <w:pPr>
        <w:spacing w:after="0" w:line="164"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There are provisions in our amended and restated memorandum and articles of association that may make it difficult for a third party to acquire, or attempt to acquire, control of our company, even if a change of control was considered favorable by you and other shareholders. For example, as of the date of this Annual Report, our board of directors will have the authority to issue up to 90,187,562 shares of an additional class or classes of shares, which could include preference shares. The board of directors can fix the price, rights, preferences, privileges, and restrictions of the other classes of shares without any further vote or action by our shareholders. The issuance of such shares may delay or prevent a change of control transaction. As a result, the market price of our ADSs and the voting and other rights of our shareholders may be adversely affected. An issuance of other classes of shares may result in the loss of voting control to other shareholders.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Our charter documents will also contain other provisions that could have an anti-takeover effect, including:</w:t>
      </w:r>
    </w:p>
    <w:p>
      <w:pPr>
        <w:spacing w:after="0" w:line="252" w:lineRule="exact"/>
        <w:rPr>
          <w:sz w:val="20"/>
          <w:szCs w:val="20"/>
          <w:color w:val="auto"/>
        </w:rPr>
      </w:pPr>
    </w:p>
    <w:p>
      <w:pPr>
        <w:ind w:left="720" w:hanging="352"/>
        <w:spacing w:after="0"/>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only one of our three classes of directors will be elected each year;</w:t>
      </w:r>
    </w:p>
    <w:p>
      <w:pPr>
        <w:spacing w:after="0" w:line="133" w:lineRule="exact"/>
        <w:rPr>
          <w:rFonts w:ascii="Arial" w:cs="Arial" w:eastAsia="Arial" w:hAnsi="Arial"/>
          <w:sz w:val="20"/>
          <w:szCs w:val="20"/>
          <w:color w:val="auto"/>
        </w:rPr>
      </w:pPr>
    </w:p>
    <w:p>
      <w:pPr>
        <w:ind w:left="720" w:hanging="352"/>
        <w:spacing w:after="0"/>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shareholders will be entitled to remove directors only for cause;</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shareholders will not be permitted to take actions by written consent; and</w:t>
      </w:r>
    </w:p>
    <w:p>
      <w:pPr>
        <w:spacing w:after="0" w:line="133" w:lineRule="exact"/>
        <w:rPr>
          <w:rFonts w:ascii="Arial" w:cs="Arial" w:eastAsia="Arial" w:hAnsi="Arial"/>
          <w:sz w:val="20"/>
          <w:szCs w:val="20"/>
          <w:color w:val="auto"/>
        </w:rPr>
      </w:pPr>
    </w:p>
    <w:p>
      <w:pPr>
        <w:ind w:left="720" w:hanging="353"/>
        <w:spacing w:after="0" w:line="284"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shareholders must give advance notice to nominate directors or submit proposals for consideration at annual general meetings.</w:t>
      </w:r>
    </w:p>
    <w:p>
      <w:pPr>
        <w:spacing w:after="0" w:line="155"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These provisions could discourage potential acquisition proposals and could delay or prevent a change of control transaction. They could also have the effect of discouraging others from making tender offers, including transactions that may be in your best interests. These provisions may also prevent changes in our management or limit the price that investors are willing to pay for our ADSs.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You may be subject to limitations on transfers of your ADSs.</w:t>
      </w:r>
    </w:p>
    <w:p>
      <w:pPr>
        <w:spacing w:after="0" w:line="235"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Your ADSs are transferable on the books of the depositary. However, the depositary may close its transfer books at any time or from time to time when deemed necessary or advisable by it in good faith in connection with the performance of its duties or at our reasonable written request, subject in all cases to compliance with applicable U.S. securities laws.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248" w:lineRule="exact"/>
        <w:rPr>
          <w:sz w:val="20"/>
          <w:szCs w:val="20"/>
          <w:color w:val="auto"/>
        </w:rPr>
      </w:pPr>
    </w:p>
    <w:p>
      <w:pPr>
        <w:ind w:right="540"/>
        <w:spacing w:after="0" w:line="290" w:lineRule="auto"/>
        <w:rPr>
          <w:sz w:val="20"/>
          <w:szCs w:val="20"/>
          <w:color w:val="auto"/>
        </w:rPr>
      </w:pPr>
      <w:r>
        <w:rPr>
          <w:rFonts w:ascii="Arial" w:cs="Arial" w:eastAsia="Arial" w:hAnsi="Arial"/>
          <w:sz w:val="20"/>
          <w:szCs w:val="20"/>
          <w:b w:val="1"/>
          <w:bCs w:val="1"/>
          <w:i w:val="1"/>
          <w:iCs w:val="1"/>
          <w:color w:val="auto"/>
        </w:rPr>
        <w:t>We will incur significantly increased costs as a result of operating as a public company, and our management will be required to devote substantial time to new compliance initiatives.</w:t>
      </w:r>
    </w:p>
    <w:p>
      <w:pPr>
        <w:spacing w:after="0" w:line="139"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As a public company, we will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Act was enacted and</w:t>
      </w:r>
    </w:p>
    <w:p>
      <w:pPr>
        <w:sectPr>
          <w:pgSz w:w="11880" w:h="15480" w:orient="portrait"/>
          <w:cols w:equalWidth="0" w:num="1">
            <w:col w:w="9680"/>
          </w:cols>
          <w:pgMar w:left="1080" w:top="1066" w:right="1120" w:bottom="555" w:gutter="0" w:footer="0" w:header="0"/>
        </w:sect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142</w:t>
      </w:r>
    </w:p>
    <w:p>
      <w:pPr>
        <w:sectPr>
          <w:pgSz w:w="11880" w:h="15480" w:orient="portrait"/>
          <w:cols w:equalWidth="0" w:num="1">
            <w:col w:w="9680"/>
          </w:cols>
          <w:pgMar w:left="1080" w:top="1066" w:right="1120" w:bottom="555" w:gutter="0" w:footer="0" w:header="0"/>
          <w:type w:val="continuous"/>
        </w:sectPr>
      </w:pPr>
    </w:p>
    <w:bookmarkStart w:id="144" w:name="page145"/>
    <w:bookmarkEnd w:id="144"/>
    <w:p>
      <w:pPr>
        <w:spacing w:after="0" w:line="246" w:lineRule="auto"/>
        <w:rPr>
          <w:sz w:val="20"/>
          <w:szCs w:val="20"/>
          <w:color w:val="auto"/>
        </w:rPr>
      </w:pPr>
      <w:r>
        <w:rPr>
          <w:rFonts w:ascii="Arial" w:cs="Arial" w:eastAsia="Arial" w:hAnsi="Arial"/>
          <w:sz w:val="20"/>
          <w:szCs w:val="20"/>
          <w:color w:val="auto"/>
        </w:rPr>
        <w:t>included significant corporate governance and executive compensation related provisions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5"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3" w:lineRule="exact"/>
        <w:rPr>
          <w:sz w:val="20"/>
          <w:szCs w:val="20"/>
          <w:color w:val="auto"/>
        </w:rPr>
      </w:pPr>
    </w:p>
    <w:p>
      <w:pPr>
        <w:ind w:right="340"/>
        <w:spacing w:after="0" w:line="264" w:lineRule="auto"/>
        <w:rPr>
          <w:sz w:val="20"/>
          <w:szCs w:val="20"/>
          <w:color w:val="auto"/>
        </w:rPr>
      </w:pPr>
      <w:r>
        <w:rPr>
          <w:rFonts w:ascii="Arial" w:cs="Arial" w:eastAsia="Arial" w:hAnsi="Arial"/>
          <w:sz w:val="20"/>
          <w:szCs w:val="20"/>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6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in our annual report, as required by Section 404 of the Sarbanes-Oxley Act. Prior to our IPO, we have never been required to test our internal controls within a specified period and, as a result, we may experience difficulty in meeting these reporting requirements in a timely manner.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w:t>
      </w:r>
    </w:p>
    <w:p>
      <w:pPr>
        <w:spacing w:after="0" w:line="200" w:lineRule="exact"/>
        <w:rPr>
          <w:sz w:val="20"/>
          <w:szCs w:val="20"/>
          <w:color w:val="auto"/>
        </w:rPr>
      </w:pPr>
    </w:p>
    <w:p>
      <w:pPr>
        <w:ind w:right="20" w:firstLine="1"/>
        <w:spacing w:after="0" w:line="243" w:lineRule="auto"/>
        <w:rPr>
          <w:sz w:val="20"/>
          <w:szCs w:val="20"/>
          <w:color w:val="auto"/>
        </w:rPr>
      </w:pPr>
      <w:r>
        <w:rPr>
          <w:rFonts w:ascii="Arial" w:cs="Arial" w:eastAsia="Arial" w:hAnsi="Arial"/>
          <w:sz w:val="20"/>
          <w:szCs w:val="20"/>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ectPr>
          <w:pgSz w:w="11880" w:h="15480" w:orient="portrait"/>
          <w:cols w:equalWidth="0" w:num="1">
            <w:col w:w="9720"/>
          </w:cols>
          <w:pgMar w:left="1080" w:top="1066" w:right="1080" w:bottom="555"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143</w:t>
      </w:r>
    </w:p>
    <w:p>
      <w:pPr>
        <w:sectPr>
          <w:pgSz w:w="11880" w:h="15480" w:orient="portrait"/>
          <w:cols w:equalWidth="0" w:num="1">
            <w:col w:w="9720"/>
          </w:cols>
          <w:pgMar w:left="1080" w:top="1066" w:right="1080" w:bottom="555" w:gutter="0" w:footer="0" w:header="0"/>
          <w:type w:val="continuous"/>
        </w:sectPr>
      </w:pPr>
    </w:p>
    <w:bookmarkStart w:id="145" w:name="page146"/>
    <w:bookmarkEnd w:id="145"/>
    <w:p>
      <w:pPr>
        <w:ind w:right="60"/>
        <w:spacing w:after="0" w:line="246" w:lineRule="auto"/>
        <w:rPr>
          <w:sz w:val="20"/>
          <w:szCs w:val="20"/>
          <w:color w:val="auto"/>
        </w:rPr>
      </w:pPr>
      <w:r>
        <w:rPr>
          <w:rFonts w:ascii="Arial" w:cs="Arial" w:eastAsia="Arial" w:hAnsi="Arial"/>
          <w:sz w:val="20"/>
          <w:szCs w:val="20"/>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the market price of our ADSs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ind w:right="80"/>
        <w:spacing w:after="0" w:line="290" w:lineRule="auto"/>
        <w:rPr>
          <w:sz w:val="20"/>
          <w:szCs w:val="20"/>
          <w:color w:val="auto"/>
        </w:rPr>
      </w:pPr>
      <w:r>
        <w:rPr>
          <w:rFonts w:ascii="Arial" w:cs="Arial" w:eastAsia="Arial" w:hAnsi="Arial"/>
          <w:sz w:val="20"/>
          <w:szCs w:val="20"/>
          <w:b w:val="1"/>
          <w:bCs w:val="1"/>
          <w:i w:val="1"/>
          <w:iCs w:val="1"/>
          <w:color w:val="auto"/>
        </w:rPr>
        <w:t>If we are unable to maintain effective internal controls, our business, financial position and results of operations could be adversely affected.</w:t>
      </w:r>
    </w:p>
    <w:p>
      <w:pPr>
        <w:spacing w:after="0" w:line="139" w:lineRule="exact"/>
        <w:rPr>
          <w:sz w:val="20"/>
          <w:szCs w:val="20"/>
          <w:color w:val="auto"/>
        </w:rPr>
      </w:pPr>
    </w:p>
    <w:p>
      <w:pPr>
        <w:ind w:right="100"/>
        <w:spacing w:after="0" w:line="284" w:lineRule="auto"/>
        <w:rPr>
          <w:sz w:val="20"/>
          <w:szCs w:val="20"/>
          <w:color w:val="auto"/>
        </w:rPr>
      </w:pPr>
      <w:r>
        <w:rPr>
          <w:rFonts w:ascii="Arial" w:cs="Arial" w:eastAsia="Arial" w:hAnsi="Arial"/>
          <w:sz w:val="20"/>
          <w:szCs w:val="20"/>
          <w:color w:val="auto"/>
        </w:rPr>
        <w:t>As a public company, we are subject to the requirements of Section 404 of the Sarbanes- Oxley Act, which require annual management assessments of the effectiveness of our internal control over financial reporting.</w:t>
      </w:r>
    </w:p>
    <w:p>
      <w:pPr>
        <w:spacing w:after="0" w:line="155"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has in the past and may in the future identify material weaknesses or deficiencies which may not be remedied in time to meet the deadline imposed by the Sarbanes-Oxley Act. For example, we have identified material weaknesses in our internal control over financial reporting in the past, one of which has not been remediated and continues to exist as of December 31, 2023. These reporting and other obligations place significant demands on our management and administrative and operational resources, including accounting resources.</w:t>
      </w:r>
    </w:p>
    <w:p>
      <w:pPr>
        <w:spacing w:after="0" w:line="17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If we are unable to remediate our material weakness and conclude that our internal control over financial reporting is effective, or if in the future our independent registered public accounting firm determines we have a material weakness in our internal control over financial reporting, this could have an adverse effect on our business, financial position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disclosure controls and procedures may not prevent or detect all errors or acts of fraud.</w:t>
      </w:r>
    </w:p>
    <w:p>
      <w:pPr>
        <w:spacing w:after="0" w:line="23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We are subject to the periodic reporting requirements of the Exchange Act. We designed our disclosure controls and procedures to reasonably ensure that information we must disclose in reports we file or submit pursuant to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94"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color w:val="auto"/>
        </w:rPr>
        <w:t>These inherent limitations include the realities that judgments in decision -making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ectPr>
          <w:pgSz w:w="11880" w:h="15480" w:orient="portrait"/>
          <w:cols w:equalWidth="0" w:num="1">
            <w:col w:w="9680"/>
          </w:cols>
          <w:pgMar w:left="1080" w:top="1066" w:right="112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144</w:t>
      </w:r>
    </w:p>
    <w:p>
      <w:pPr>
        <w:sectPr>
          <w:pgSz w:w="11880" w:h="15480" w:orient="portrait"/>
          <w:cols w:equalWidth="0" w:num="1">
            <w:col w:w="9680"/>
          </w:cols>
          <w:pgMar w:left="1080" w:top="1066" w:right="1120" w:bottom="555" w:gutter="0" w:footer="0" w:header="0"/>
          <w:type w:val="continuous"/>
        </w:sectPr>
      </w:pPr>
    </w:p>
    <w:bookmarkStart w:id="146" w:name="page147"/>
    <w:bookmarkEnd w:id="146"/>
    <w:p>
      <w:pPr>
        <w:ind w:right="300"/>
        <w:spacing w:after="0" w:line="290" w:lineRule="auto"/>
        <w:rPr>
          <w:sz w:val="20"/>
          <w:szCs w:val="20"/>
          <w:color w:val="auto"/>
        </w:rPr>
      </w:pPr>
      <w:r>
        <w:rPr>
          <w:rFonts w:ascii="Arial" w:cs="Arial" w:eastAsia="Arial" w:hAnsi="Arial"/>
          <w:sz w:val="20"/>
          <w:szCs w:val="20"/>
          <w:b w:val="1"/>
          <w:bCs w:val="1"/>
          <w:i w:val="1"/>
          <w:iCs w:val="1"/>
          <w:color w:val="auto"/>
        </w:rPr>
        <w:t>Future changes in financial accounting standards or practices may cause adverse and unexpected revenue fluctuations and adversely affect our reported results of operations.</w:t>
      </w:r>
    </w:p>
    <w:p>
      <w:pPr>
        <w:spacing w:after="0" w:line="141"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See Part II. Item 7. “Management’s Discussion and Analysis of Financial Condition and Results of Operations—Recent Accounting Pronouncements.”</w:t>
      </w:r>
    </w:p>
    <w:p>
      <w:pPr>
        <w:spacing w:after="0" w:line="196" w:lineRule="exact"/>
        <w:rPr>
          <w:sz w:val="20"/>
          <w:szCs w:val="20"/>
          <w:color w:val="auto"/>
        </w:rPr>
      </w:pPr>
    </w:p>
    <w:p>
      <w:pPr>
        <w:ind w:right="420"/>
        <w:spacing w:after="0" w:line="265" w:lineRule="auto"/>
        <w:rPr>
          <w:sz w:val="20"/>
          <w:szCs w:val="20"/>
          <w:color w:val="auto"/>
        </w:rPr>
      </w:pPr>
      <w:r>
        <w:rPr>
          <w:rFonts w:ascii="Arial" w:cs="Arial" w:eastAsia="Arial" w:hAnsi="Arial"/>
          <w:sz w:val="20"/>
          <w:szCs w:val="20"/>
          <w:b w:val="1"/>
          <w:bCs w:val="1"/>
          <w:i w:val="1"/>
          <w:iCs w:val="1"/>
          <w:color w:val="auto"/>
        </w:rPr>
        <w:t>If equity research analysts do not publish research or reports, or publish unfavorable research or reports, about us, our business or our market, the price and trading volume of our ADSs could decline.</w:t>
      </w:r>
    </w:p>
    <w:p>
      <w:pPr>
        <w:spacing w:after="0" w:line="164"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The trading market for our ADSs will be influenced by the research and reports that equity research analysts publish about us and our business. We do not currently have and may never obtain research coverage by equity research analysts. Equity research analysts may elect not to provide research coverage of our ADSs, and such lack of research coverage may adversely affect the market price of our ADSs. In the event we do have equity research analyst coverage, we will not have any control over the analysts or the content and opinions included in their reports. The price of our ADSs could decline if one or more equity research analysts downgrade our ADSs or issue other unfavorable commentary or research about us. If one or more equity research analysts cease coverage of us or fail to publish reports on us regularly, demand for our ADSs could decrease, which in turn could cause the trading price or trading volume of our ADSs to decline.</w:t>
      </w:r>
    </w:p>
    <w:p>
      <w:pPr>
        <w:spacing w:after="0" w:line="202" w:lineRule="exact"/>
        <w:rPr>
          <w:sz w:val="20"/>
          <w:szCs w:val="20"/>
          <w:color w:val="auto"/>
        </w:rPr>
      </w:pPr>
    </w:p>
    <w:p>
      <w:pPr>
        <w:ind w:right="360"/>
        <w:spacing w:after="0" w:line="290" w:lineRule="auto"/>
        <w:rPr>
          <w:sz w:val="20"/>
          <w:szCs w:val="20"/>
          <w:color w:val="auto"/>
        </w:rPr>
      </w:pPr>
      <w:r>
        <w:rPr>
          <w:rFonts w:ascii="Arial" w:cs="Arial" w:eastAsia="Arial" w:hAnsi="Arial"/>
          <w:sz w:val="20"/>
          <w:szCs w:val="20"/>
          <w:b w:val="1"/>
          <w:bCs w:val="1"/>
          <w:i w:val="1"/>
          <w:iCs w:val="1"/>
          <w:color w:val="auto"/>
        </w:rPr>
        <w:t>We could be subject to securities class action litigation or material legal proceedings which could have a negative impact on our reputation or business.</w:t>
      </w:r>
    </w:p>
    <w:p>
      <w:pPr>
        <w:spacing w:after="0" w:line="139"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 In addition, from time to time, we have been and may in the future be involved in legal and regulatory proceedings or investigations concerning matters that arise in the ordinary course of our business. Such proceedings could result in significant fines or penalties, have an adverse impact on our reputation, business and financial condition or results or operations and divert the attention of our management from the operation of our business.</w:t>
      </w:r>
    </w:p>
    <w:p>
      <w:pPr>
        <w:spacing w:after="0" w:line="202" w:lineRule="exact"/>
        <w:rPr>
          <w:sz w:val="20"/>
          <w:szCs w:val="20"/>
          <w:color w:val="auto"/>
        </w:rPr>
      </w:pPr>
    </w:p>
    <w:p>
      <w:pPr>
        <w:ind w:right="160"/>
        <w:spacing w:after="0" w:line="265" w:lineRule="auto"/>
        <w:rPr>
          <w:sz w:val="20"/>
          <w:szCs w:val="20"/>
          <w:color w:val="auto"/>
        </w:rPr>
      </w:pPr>
      <w:r>
        <w:rPr>
          <w:rFonts w:ascii="Arial" w:cs="Arial" w:eastAsia="Arial" w:hAnsi="Arial"/>
          <w:sz w:val="20"/>
          <w:szCs w:val="20"/>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164"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Our headquarters and main research facility are located near San Francisco, California, which in the past has experienced severe earthquakes and fires. If these earthquakes, fires, other natural disasters, terrorism and similar unforeseen events beyond our control prevented us from using all or a significant portion of our headquarters or research facility,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w:t>
      </w:r>
    </w:p>
    <w:p>
      <w:pPr>
        <w:sectPr>
          <w:pgSz w:w="11880" w:h="15480" w:orient="portrait"/>
          <w:cols w:equalWidth="0" w:num="1">
            <w:col w:w="9680"/>
          </w:cols>
          <w:pgMar w:left="1080" w:top="1070" w:right="1120" w:bottom="555"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145</w:t>
      </w:r>
    </w:p>
    <w:p>
      <w:pPr>
        <w:sectPr>
          <w:pgSz w:w="11880" w:h="15480" w:orient="portrait"/>
          <w:cols w:equalWidth="0" w:num="1">
            <w:col w:w="9680"/>
          </w:cols>
          <w:pgMar w:left="1080" w:top="1070" w:right="1120" w:bottom="555" w:gutter="0" w:footer="0" w:header="0"/>
          <w:type w:val="continuous"/>
        </w:sectPr>
      </w:pPr>
    </w:p>
    <w:bookmarkStart w:id="147" w:name="page148"/>
    <w:bookmarkEnd w:id="147"/>
    <w:p>
      <w:pPr>
        <w:ind w:right="740"/>
        <w:spacing w:after="0" w:line="284" w:lineRule="auto"/>
        <w:rPr>
          <w:sz w:val="20"/>
          <w:szCs w:val="20"/>
          <w:color w:val="auto"/>
        </w:rPr>
      </w:pPr>
      <w:r>
        <w:rPr>
          <w:rFonts w:ascii="Arial" w:cs="Arial" w:eastAsia="Arial" w:hAnsi="Arial"/>
          <w:sz w:val="20"/>
          <w:szCs w:val="20"/>
          <w:color w:val="auto"/>
        </w:rPr>
        <w:t>our supply chain, it could have a material adverse effect on our ability to conduct our clinical trials, our development plans and business.</w:t>
      </w:r>
    </w:p>
    <w:p>
      <w:pPr>
        <w:spacing w:after="0" w:line="161"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7"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200" w:lineRule="exact"/>
        <w:rPr>
          <w:sz w:val="20"/>
          <w:szCs w:val="20"/>
          <w:color w:val="auto"/>
        </w:rPr>
      </w:pPr>
    </w:p>
    <w:p>
      <w:pPr>
        <w:spacing w:after="0" w:line="227" w:lineRule="exact"/>
        <w:rPr>
          <w:sz w:val="20"/>
          <w:szCs w:val="20"/>
          <w:color w:val="auto"/>
        </w:rPr>
      </w:pPr>
    </w:p>
    <w:p>
      <w:pPr>
        <w:ind w:right="340"/>
        <w:spacing w:after="0" w:line="251" w:lineRule="auto"/>
        <w:rPr>
          <w:sz w:val="20"/>
          <w:szCs w:val="20"/>
          <w:color w:val="auto"/>
        </w:rPr>
      </w:pPr>
      <w:r>
        <w:rPr>
          <w:rFonts w:ascii="Arial" w:cs="Arial" w:eastAsia="Arial" w:hAnsi="Arial"/>
          <w:sz w:val="20"/>
          <w:szCs w:val="20"/>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failure to meet Nasdaq’s continued listing requirements could result in a delisting of our ADSs.</w:t>
      </w:r>
    </w:p>
    <w:p>
      <w:pPr>
        <w:spacing w:after="0" w:line="236"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If we fail to satisfy the continued listing requirements of Nasdaq, such as the corporate governance requirements or the minimum closing bid price requirement, Nasdaq may take steps to delist our ADSs. Such a delisting would likely have a negative effect on the price of our ADSs and would impair your ability to sell or purchase our ADSs when you wish to do so. In the event of a delisting, any action taken by us to restore compliance with listing requirements may not allow our ADSs to become listed again, stabilize the market price or improve the liquidity of our ADSs, prevent our ADSs from dropping below the Nasdaq minimum bid price requirement or prevent future non-compliance with the listing requirements of Nasdaq.</w:t>
      </w:r>
    </w:p>
    <w:p>
      <w:pPr>
        <w:sectPr>
          <w:pgSz w:w="11880" w:h="15480" w:orient="portrait"/>
          <w:cols w:equalWidth="0" w:num="1">
            <w:col w:w="9720"/>
          </w:cols>
          <w:pgMar w:left="1080" w:top="1066"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146</w:t>
      </w:r>
    </w:p>
    <w:p>
      <w:pPr>
        <w:sectPr>
          <w:pgSz w:w="11880" w:h="15480" w:orient="portrait"/>
          <w:cols w:equalWidth="0" w:num="1">
            <w:col w:w="9720"/>
          </w:cols>
          <w:pgMar w:left="1080" w:top="1066" w:right="1080" w:bottom="555" w:gutter="0" w:footer="0" w:header="0"/>
          <w:type w:val="continuous"/>
        </w:sectPr>
      </w:pPr>
    </w:p>
    <w:bookmarkStart w:id="148" w:name="page149"/>
    <w:bookmarkEnd w:id="148"/>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management and strategy</w:t>
      </w:r>
    </w:p>
    <w:p>
      <w:pPr>
        <w:spacing w:after="0" w:line="235"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We have implemented and maintain various information security processes designed to identify, assess and manage material risks from cybersecurity threats to our critical computer networks, third-party hosted services, communications systems, hardware and software, and our critical data, including intellectual property, confidential information that is proprietary, strategic or competitive in nature, and trade secrets, data we may collect about trial participants in connection with clinical trials, sensitive third-party data, business plans, transactions, and financial information (“Information Systems and Data”).</w:t>
      </w:r>
    </w:p>
    <w:p>
      <w:pPr>
        <w:spacing w:after="0" w:line="189"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 cybersecurity function within the Company helps identify, assess and manage the Company’s cybersecurity threats and risks. Our cybersecurity function identifies and assesses risks from cybersecurity threats by monitoring and evaluating our threat environment using various methods including, for example manual tools, internal or external audits, automated tools, subscribing to and analyzing reports and services that identify cybersecurity threats and threat actors, conducting vulnerability assessments to identify vulnerabilities, conducting scans of the threat environment, and evaluating threats reported to us. Depending on the environment, we implement and maintain various technical, physical, and organizational measures, processes, standards and policies designed to manage and mitigate material risks from cybersecurity threats to our Information Systems and Data, including, for example: an incident response policy, incident detection and response, data encryption, network security controls, system monitoring, penetration testing, employee training, a dedicated cybersecurity staff member, and physical security mechanisms.</w:t>
      </w:r>
    </w:p>
    <w:p>
      <w:pPr>
        <w:spacing w:after="0" w:line="198"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Our assessment and management of material risks from cybersecurity threats are integrated into the Company’s overall risk management processes. For example, the cybersecurity function works with management to prioritize our risk management processes and mitigate cybersecurity threats that are more likely to lead to a material impact to our business.</w:t>
      </w:r>
    </w:p>
    <w:p>
      <w:pPr>
        <w:spacing w:after="0" w:line="187"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We use third-party service providers to assist us from time to time to identify, assess, and manage material risks from cybersecurity threats, including for example cybersecurity software providers, managed cybersecurity service providers, and penetration testing firms. We also use third-party service providers to perform a variety of functions throughout our business, such as application providers and hosting companies. We manage cybersecurity risks associated with our use of these providers by reviewing their security assessments and applicable reports.</w:t>
      </w:r>
    </w:p>
    <w:p>
      <w:pPr>
        <w:spacing w:after="0" w:line="194"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auto"/>
        </w:rPr>
        <w:t>For a description of the risks from cybersecurity threats that may materially affect the Company and how they may do so, see our risk factors under Part 1. Item 1A. Risk Factors in this Annual Report on Form 10-K, including:</w:t>
      </w:r>
    </w:p>
    <w:p>
      <w:pPr>
        <w:spacing w:after="0" w:line="190" w:lineRule="exact"/>
        <w:rPr>
          <w:sz w:val="20"/>
          <w:szCs w:val="20"/>
          <w:color w:val="auto"/>
        </w:rPr>
      </w:pPr>
    </w:p>
    <w:p>
      <w:pPr>
        <w:ind w:left="720" w:hanging="353"/>
        <w:spacing w:after="0" w:line="284" w:lineRule="auto"/>
        <w:tabs>
          <w:tab w:leader="none" w:pos="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Confidentiality agreements with employees and third-parties may not prevent unauthorized disclosure of trade secrets and other proprietary information;</w:t>
      </w:r>
    </w:p>
    <w:p>
      <w:pPr>
        <w:spacing w:after="0" w:line="168" w:lineRule="exact"/>
        <w:rPr>
          <w:rFonts w:ascii="Arial" w:cs="Arial" w:eastAsia="Arial" w:hAnsi="Arial"/>
          <w:sz w:val="20"/>
          <w:szCs w:val="20"/>
          <w:color w:val="auto"/>
        </w:rPr>
      </w:pPr>
    </w:p>
    <w:p>
      <w:pPr>
        <w:jc w:val="both"/>
        <w:ind w:left="720" w:right="560" w:hanging="353"/>
        <w:spacing w:after="0" w:line="262" w:lineRule="auto"/>
        <w:tabs>
          <w:tab w:leader="none" w:pos="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adoption and deployment of AI in our, and any third-party collaborators’ operations, and in particular our and any third-party collaborators’ R&amp;D efforts to explore new targets and develop effective products, may not be effective and may expose us to risk;</w:t>
      </w:r>
    </w:p>
    <w:p>
      <w:pPr>
        <w:spacing w:after="0" w:line="191" w:lineRule="exact"/>
        <w:rPr>
          <w:rFonts w:ascii="Arial" w:cs="Arial" w:eastAsia="Arial" w:hAnsi="Arial"/>
          <w:sz w:val="20"/>
          <w:szCs w:val="20"/>
          <w:color w:val="auto"/>
        </w:rPr>
      </w:pPr>
    </w:p>
    <w:p>
      <w:pPr>
        <w:ind w:left="720" w:right="160" w:hanging="353"/>
        <w:spacing w:after="0" w:line="254" w:lineRule="auto"/>
        <w:tabs>
          <w:tab w:leader="none" w:pos="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If our information technology systems or data, or those of third-parties upon which we rely, are or were compromised or experienced significant disruptions of our information technology systems or data security incidents, we could experience adverse consequences including but not limited to significant financial, legal, regulatory, business and reputational harm; litigation; fines and penalties;</w:t>
      </w:r>
    </w:p>
    <w:p>
      <w:pPr>
        <w:sectPr>
          <w:pgSz w:w="11880" w:h="15480" w:orient="portrait"/>
          <w:cols w:equalWidth="0" w:num="1">
            <w:col w:w="9680"/>
          </w:cols>
          <w:pgMar w:left="1080" w:top="1063" w:right="1120" w:bottom="555"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147</w:t>
      </w:r>
    </w:p>
    <w:p>
      <w:pPr>
        <w:sectPr>
          <w:pgSz w:w="11880" w:h="15480" w:orient="portrait"/>
          <w:cols w:equalWidth="0" w:num="1">
            <w:col w:w="9680"/>
          </w:cols>
          <w:pgMar w:left="1080" w:top="1063" w:right="1120" w:bottom="555" w:gutter="0" w:footer="0" w:header="0"/>
          <w:type w:val="continuous"/>
        </w:sectPr>
      </w:pPr>
    </w:p>
    <w:bookmarkStart w:id="149" w:name="page150"/>
    <w:bookmarkEnd w:id="149"/>
    <w:p>
      <w:pPr>
        <w:ind w:left="720" w:right="80"/>
        <w:spacing w:after="0" w:line="284" w:lineRule="auto"/>
        <w:rPr>
          <w:sz w:val="20"/>
          <w:szCs w:val="20"/>
          <w:color w:val="auto"/>
        </w:rPr>
      </w:pPr>
      <w:r>
        <w:rPr>
          <w:rFonts w:ascii="Arial" w:cs="Arial" w:eastAsia="Arial" w:hAnsi="Arial"/>
          <w:sz w:val="20"/>
          <w:szCs w:val="20"/>
          <w:color w:val="auto"/>
        </w:rPr>
        <w:t>disruptions of our business operations; loss of revenue or profits; loss of customers or sales; or other adverse consequences; and</w:t>
      </w:r>
    </w:p>
    <w:p>
      <w:pPr>
        <w:spacing w:after="0" w:line="170" w:lineRule="exact"/>
        <w:rPr>
          <w:sz w:val="20"/>
          <w:szCs w:val="20"/>
          <w:color w:val="auto"/>
        </w:rPr>
      </w:pPr>
    </w:p>
    <w:p>
      <w:pPr>
        <w:ind w:left="720" w:hanging="353"/>
        <w:spacing w:after="0" w:line="262"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We rely on trade secret and proprietary know-how which can be difficult to trace and enforce and, if we are unable to protect the confidentiality of our trade secrets, our business and competitive position would be harmed.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Governance</w:t>
      </w:r>
    </w:p>
    <w:p>
      <w:pPr>
        <w:spacing w:after="0" w:line="236" w:lineRule="exact"/>
        <w:rPr>
          <w:sz w:val="20"/>
          <w:szCs w:val="20"/>
          <w:color w:val="auto"/>
        </w:rPr>
      </w:pPr>
    </w:p>
    <w:p>
      <w:pPr>
        <w:ind w:right="700"/>
        <w:spacing w:after="0" w:line="282" w:lineRule="auto"/>
        <w:rPr>
          <w:sz w:val="20"/>
          <w:szCs w:val="20"/>
          <w:color w:val="auto"/>
        </w:rPr>
      </w:pPr>
      <w:r>
        <w:rPr>
          <w:rFonts w:ascii="Arial" w:cs="Arial" w:eastAsia="Arial" w:hAnsi="Arial"/>
          <w:sz w:val="19"/>
          <w:szCs w:val="19"/>
          <w:color w:val="auto"/>
        </w:rPr>
        <w:t>Our board of directors addresses the Company’s cybersecurity risk management as part of its general oversight function. Our Audit Committee is responsible for overseeing Company’s cybersecurity risk management processes, including oversight of mitigation of risks from cybersecurity threats.</w:t>
      </w:r>
    </w:p>
    <w:p>
      <w:pPr>
        <w:spacing w:after="0" w:line="160" w:lineRule="exact"/>
        <w:rPr>
          <w:sz w:val="20"/>
          <w:szCs w:val="20"/>
          <w:color w:val="auto"/>
        </w:rPr>
      </w:pPr>
    </w:p>
    <w:p>
      <w:pPr>
        <w:ind w:right="140"/>
        <w:spacing w:after="0" w:line="251" w:lineRule="auto"/>
        <w:rPr>
          <w:sz w:val="20"/>
          <w:szCs w:val="20"/>
          <w:color w:val="auto"/>
        </w:rPr>
      </w:pPr>
      <w:r>
        <w:rPr>
          <w:rFonts w:ascii="Arial" w:cs="Arial" w:eastAsia="Arial" w:hAnsi="Arial"/>
          <w:sz w:val="20"/>
          <w:szCs w:val="20"/>
          <w:color w:val="auto"/>
        </w:rPr>
        <w:t>Our cybersecurity risk assessment and management processes are implemented and maintained by certain Company management, including our Senior Director of Internal Controls and SOX Compliance, who has over 20 years in the areas of internal controls and SOX compliance reporting; our Director of IT Security and Compliance, who has over 20 years of IT experience, the past four of which have been in security; and our CFO, who has over 20 years of business development experience.</w:t>
      </w:r>
    </w:p>
    <w:p>
      <w:pPr>
        <w:spacing w:after="0" w:line="187"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Our cybersecurity function is responsible for hiring appropriate personnel, helping to integrate cybersecurity risk considerations into the Company’s overall risk management strategy, and communicating key priorities to relevant personnel. Our CFO and cybersecurity function are responsible for approving budgets, helping prepare for cybersecurity incidents, approving cybersecurity processes, and reviewing security assessments and other security-related reports.</w:t>
      </w:r>
    </w:p>
    <w:p>
      <w:pPr>
        <w:spacing w:after="0" w:line="187" w:lineRule="exact"/>
        <w:rPr>
          <w:sz w:val="20"/>
          <w:szCs w:val="20"/>
          <w:color w:val="auto"/>
        </w:rPr>
      </w:pPr>
    </w:p>
    <w:p>
      <w:pPr>
        <w:ind w:right="280"/>
        <w:spacing w:after="0" w:line="251" w:lineRule="auto"/>
        <w:rPr>
          <w:sz w:val="20"/>
          <w:szCs w:val="20"/>
          <w:color w:val="auto"/>
        </w:rPr>
      </w:pPr>
      <w:r>
        <w:rPr>
          <w:rFonts w:ascii="Arial" w:cs="Arial" w:eastAsia="Arial" w:hAnsi="Arial"/>
          <w:sz w:val="20"/>
          <w:szCs w:val="20"/>
          <w:color w:val="auto"/>
        </w:rPr>
        <w:t>Our response process to cybersecurity incidents is designed to escalate certain incidents to members of management depending on the circumstances, including the CFO. Our CFO and others work with the Company’s incident response team to help the Company mitigate and remediate cybersecurity incidents of which they are notified. In addition, the Company’s incident response policy includes reporting to the Audit Committee for certain cybersecurity incidents.</w:t>
      </w:r>
    </w:p>
    <w:p>
      <w:pPr>
        <w:spacing w:after="0" w:line="187"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The Audit Committee receives periodic reports from our cybersecurity function concerning the Company’s significant cybersecurity threats and risk and the processes the Company has implemented to address them. The Audit Committee also has access to various reports, summaries or presentations related to cybersecurity threats, risk and mitigation. 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42"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Our principal executive office is located in South San Francisco, California where we lease a total of approximately 11,800 square feet of office space that we use for our administrative and other activities. The lease commenced in July 2023 and will expire on August 31, 2027. We also have a development and operations office located in Shanghai, China where we lease a total of approximately 22,500 square feet of office space. This lease expires on December 31, 2026. We also lease a total of approximately 8,400 square feet of laboratory space located in Shanghai, China for our research and development activities. This lease expires on January 31, 2027. We believe that our facilities are sufficient to meet our current needs and that suitable additional space will be available as and when needed.</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44"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To the best of our knowledge, we are not currently the subject of any material governmental investigation, private lawsuit or other legal proceeding. From time to time, we have been and may in the future be involved in legal and regulatory proceedings or investigations concerning matters that arise in the ordinary course of</w:t>
      </w:r>
    </w:p>
    <w:p>
      <w:pPr>
        <w:sectPr>
          <w:pgSz w:w="11880" w:h="15480" w:orient="portrait"/>
          <w:cols w:equalWidth="0" w:num="1">
            <w:col w:w="9700"/>
          </w:cols>
          <w:pgMar w:left="1080" w:top="1066" w:right="1100" w:bottom="555"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148</w:t>
      </w:r>
    </w:p>
    <w:p>
      <w:pPr>
        <w:sectPr>
          <w:pgSz w:w="11880" w:h="15480" w:orient="portrait"/>
          <w:cols w:equalWidth="0" w:num="1">
            <w:col w:w="9700"/>
          </w:cols>
          <w:pgMar w:left="1080" w:top="1066" w:right="1100" w:bottom="555" w:gutter="0" w:footer="0" w:header="0"/>
          <w:type w:val="continuous"/>
        </w:sectPr>
      </w:pPr>
    </w:p>
    <w:bookmarkStart w:id="150" w:name="page151"/>
    <w:bookmarkEnd w:id="150"/>
    <w:p>
      <w:pPr>
        <w:jc w:val="both"/>
        <w:ind w:right="60"/>
        <w:spacing w:after="0" w:line="262" w:lineRule="auto"/>
        <w:rPr>
          <w:sz w:val="20"/>
          <w:szCs w:val="20"/>
          <w:color w:val="auto"/>
        </w:rPr>
      </w:pPr>
      <w:r>
        <w:rPr>
          <w:rFonts w:ascii="Arial" w:cs="Arial" w:eastAsia="Arial" w:hAnsi="Arial"/>
          <w:sz w:val="20"/>
          <w:szCs w:val="20"/>
          <w:color w:val="auto"/>
        </w:rPr>
        <w:t>our business and that could result in significant fines or penalties, have an adverse impact on our reputation, business and financial condition or results of operations and divert the attention of our management from the operation of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PART II</w:t>
      </w:r>
    </w:p>
    <w:p>
      <w:pPr>
        <w:spacing w:after="0" w:line="239" w:lineRule="exact"/>
        <w:rPr>
          <w:sz w:val="20"/>
          <w:szCs w:val="20"/>
          <w:color w:val="auto"/>
        </w:rPr>
      </w:pPr>
    </w:p>
    <w:p>
      <w:pPr>
        <w:spacing w:after="0" w:line="298"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Our ADSs have been listed on the Nasdaq Global Market under the symbol “GPCR” since February 3, 2023.</w:t>
      </w:r>
    </w:p>
    <w:p>
      <w:pPr>
        <w:spacing w:after="0"/>
        <w:rPr>
          <w:sz w:val="20"/>
          <w:szCs w:val="20"/>
          <w:color w:val="auto"/>
        </w:rPr>
      </w:pPr>
      <w:r>
        <w:rPr>
          <w:rFonts w:ascii="Arial" w:cs="Arial" w:eastAsia="Arial" w:hAnsi="Arial"/>
          <w:sz w:val="20"/>
          <w:szCs w:val="20"/>
          <w:color w:val="auto"/>
        </w:rPr>
        <w:t>Prior to this date, there was no public market for our ADSs.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Ordinary Shares</w:t>
      </w:r>
    </w:p>
    <w:p>
      <w:pPr>
        <w:spacing w:after="0" w:line="243"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As of February 29, 2024 there were 25 holders of record of our ordinary shares. The actual number of beneficial owners of ordinary shares is greater than this number of record holders and includes persons who are beneficial owners but whose shares are held in street name by brokers and other nominees. JPMorgan Chase Bank, N.A. is the depositary for our ADSs.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244"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We have never declared or paid dividends on our ordinary shares. We currently expect to retain all future earnings for use in the operation and expansion of our business and do not anticipate paying cash dividends in the foreseeable future. The declaration, amount and payment of any dividends in the future will be determined by our board of directors, in its discretion, and will depend on a number of factors, including our earnings, capital requirements, overall financial condition and contractual, legal, tax and regulatory restrictions. In addition, our shareholders may, subject to our memorandum and articles of association, by ordinary resolution declare a dividend, but no dividend may exceed the amount recommended by our board of directors. If we elect to pay such dividends in the future, we may reduce or discontinue entirely the payment of such dividends at any time. If we pay any dividends, ADS holders will generally have the right to receive the dividends paid on the underlying ordinary shares, subject to the terms of the deposit agreement by and among us, the depositary and the holders and beneficial owners of ADSs, including the fees and expenses payable thereunder.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Unregistered Sales of Equity Securities</w:t>
      </w:r>
    </w:p>
    <w:p>
      <w:pPr>
        <w:spacing w:after="0" w:line="242" w:lineRule="exact"/>
        <w:rPr>
          <w:sz w:val="20"/>
          <w:szCs w:val="20"/>
          <w:color w:val="auto"/>
        </w:rPr>
      </w:pPr>
    </w:p>
    <w:p>
      <w:pPr>
        <w:ind w:right="220"/>
        <w:spacing w:after="0"/>
        <w:rPr>
          <w:sz w:val="20"/>
          <w:szCs w:val="20"/>
          <w:color w:val="auto"/>
        </w:rPr>
      </w:pPr>
      <w:r>
        <w:rPr>
          <w:rFonts w:ascii="Arial" w:cs="Arial" w:eastAsia="Arial" w:hAnsi="Arial"/>
          <w:sz w:val="20"/>
          <w:szCs w:val="20"/>
          <w:color w:val="auto"/>
        </w:rPr>
        <w:t>On September 29, 2023, we entered into the Purchase Agreement with certain institutional investors (the “Purchasers”), pursuant to which we issued to the Purchasers an aggregate of 21,617,295 ordinary shares and 2,401,920 newly designated non-voting ordinary shares. The Private Placement closed on</w:t>
      </w:r>
    </w:p>
    <w:p>
      <w:pPr>
        <w:ind w:right="20"/>
        <w:spacing w:after="0" w:line="246" w:lineRule="auto"/>
        <w:rPr>
          <w:sz w:val="20"/>
          <w:szCs w:val="20"/>
          <w:color w:val="auto"/>
        </w:rPr>
      </w:pPr>
      <w:r>
        <w:rPr>
          <w:rFonts w:ascii="Arial" w:cs="Arial" w:eastAsia="Arial" w:hAnsi="Arial"/>
          <w:sz w:val="20"/>
          <w:szCs w:val="20"/>
          <w:color w:val="auto"/>
        </w:rPr>
        <w:t>October 3, 2023. Each holder of non-voting ordinary shares had the right to convert each non-voting ordinary share held by such holder into one ordinary share, subject to certain beneficial ownership limitations, as described further in the description of the rights of the non-voting ordinary shares included as Exhibit 4.5 to this Annual Report. The purchase price is $12.49 per Share (or the equivalent of $37.47 per ADS), which represents the ADS closing price on the Nasdaq Global Market immediately preceding the signing of the Purchase Agreement, for aggregate gross proceeds of approximately $300 million before deducting placement agent fees and offering expenses. During the fourth quarter of 2023, all outstanding non-voting ordinary shares converted into ordinary shares.</w:t>
      </w:r>
    </w:p>
    <w:p>
      <w:pPr>
        <w:sectPr>
          <w:pgSz w:w="11880" w:h="15480" w:orient="portrait"/>
          <w:cols w:equalWidth="0" w:num="1">
            <w:col w:w="9640"/>
          </w:cols>
          <w:pgMar w:left="1080" w:top="1066" w:right="116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149</w:t>
      </w:r>
    </w:p>
    <w:p>
      <w:pPr>
        <w:sectPr>
          <w:pgSz w:w="11880" w:h="15480" w:orient="portrait"/>
          <w:cols w:equalWidth="0" w:num="1">
            <w:col w:w="9640"/>
          </w:cols>
          <w:pgMar w:left="1080" w:top="1066" w:right="1160" w:bottom="555" w:gutter="0" w:footer="0" w:header="0"/>
          <w:type w:val="continuous"/>
        </w:sectPr>
      </w:pPr>
    </w:p>
    <w:bookmarkStart w:id="151" w:name="page152"/>
    <w:bookmarkEnd w:id="151"/>
    <w:p>
      <w:pPr>
        <w:ind w:right="140"/>
        <w:spacing w:after="0" w:line="251" w:lineRule="auto"/>
        <w:rPr>
          <w:sz w:val="20"/>
          <w:szCs w:val="20"/>
          <w:color w:val="auto"/>
        </w:rPr>
      </w:pPr>
      <w:r>
        <w:rPr>
          <w:rFonts w:ascii="Arial" w:cs="Arial" w:eastAsia="Arial" w:hAnsi="Arial"/>
          <w:sz w:val="20"/>
          <w:szCs w:val="20"/>
          <w:color w:val="auto"/>
        </w:rPr>
        <w:t>The shares were issued to the Purchasers in reliance upon the exemption from the registration requirements of the Securities Act provided by Section 4(a)(2) thereof, as a transaction by an issuer not involving a public offering. We relied on this exemption from registration based in part on representations made by the Purchasers in the Purchase Agreement that the shares have been acquired for investment only and not with a view to or for sale in connection with any distribution thereof.</w:t>
      </w:r>
    </w:p>
    <w:p>
      <w:pPr>
        <w:spacing w:after="0" w:line="188"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Jefferies LLC and Leerink Partners LLC acted as joint placement agents for the Private Placement. Each received a portion of a combined fee equal to 6.0% of the aggregate gross proceeds, plus the reimbursement of certain expenses.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Proceeds</w:t>
      </w:r>
    </w:p>
    <w:p>
      <w:pPr>
        <w:spacing w:after="0" w:line="242"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On February 2, 2023, the registration statement on Form S -1 (Registration No. 333-269200) for our IPO of our ADSs was declared effective by the SEC. On February 7, 2023, we closed our IPO and 12,351,000 ADSs, each representing three ordinary shares, were issued and sold at a public offering price of $15.00 per ADS (including the underwriters’ exercise in full of their option to purchase up to 1,611,000 additional ADSs). We raised approximately $185.3 million in aggregate offering proceeds.</w:t>
      </w:r>
    </w:p>
    <w:p>
      <w:pPr>
        <w:spacing w:after="0" w:line="18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Jefferies LLC, SVB Securities LLC, Guggenheim Securities, LLC, and BMO Capital Markets Corp. acted as representatives of the underwriters for the offering. We compensated the underwriters of our IPO underwriting discounts and commissions totaling $13.0 million and incurred approximately $5.6 million in estimated offering costs, thus our net offering proceeds, after deducting underwriting discounts and commissions and estimated offering expenses, were approximately $166.7 million. No payments for such expenses were made directly or indirectly to (i) any of our officers or directors or their associates, (ii) any persons owning 10% or more of any class of our equity securities or (iii) any of our affiliates.</w:t>
      </w:r>
    </w:p>
    <w:p>
      <w:pPr>
        <w:spacing w:after="0" w:line="193" w:lineRule="exact"/>
        <w:rPr>
          <w:sz w:val="20"/>
          <w:szCs w:val="20"/>
          <w:color w:val="auto"/>
        </w:rPr>
      </w:pPr>
    </w:p>
    <w:p>
      <w:pPr>
        <w:ind w:right="60"/>
        <w:spacing w:after="0" w:line="284" w:lineRule="auto"/>
        <w:rPr>
          <w:sz w:val="20"/>
          <w:szCs w:val="20"/>
          <w:color w:val="auto"/>
        </w:rPr>
      </w:pPr>
      <w:r>
        <w:rPr>
          <w:rFonts w:ascii="Arial" w:cs="Arial" w:eastAsia="Arial" w:hAnsi="Arial"/>
          <w:sz w:val="20"/>
          <w:szCs w:val="20"/>
          <w:color w:val="auto"/>
        </w:rPr>
        <w:t>There has been no material change in the expected use of the net proceeds from our IPO as described in our final prospectus filed with the SEC on February 6, 2023 pursuant to Rule 424(b)(4).</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 by the Issuer</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Taxation</w:t>
      </w:r>
    </w:p>
    <w:p>
      <w:pPr>
        <w:spacing w:after="0" w:line="242"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The following is a discussion of the material Cayman Islands, PRC and U.S. federal income tax considerations that may be relevant to an investment decision by a potential investor with respect to our ADSs or ordinary shares. This summary should not be considered a comprehensive description of all the tax considerations that may be relevant to the decisions to acquire ADSs or ordinary shares.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Material Cayman Islands Taxation</w:t>
      </w:r>
    </w:p>
    <w:p>
      <w:pPr>
        <w:spacing w:after="0" w:line="240"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Regardless of the application of Section 7874 of the Code (as discussed below), we are also treated as a Cayman Islands corporation for Cayman Islands tax purposes. However, we are not subject to income or capital gains tax under the current laws of the Cayman Islands. We believe there are no other taxes likely to be material to us levied by the government of the Cayman Islands. We are and are expected to continue to be a Cayman Islands corporation as of the date of this Annual Report. We are treated as an exempted company for Cayman Islands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Material PRC Taxation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We are a holding company incorporated in the Cayman Islands.</w:t>
      </w:r>
    </w:p>
    <w:p>
      <w:pPr>
        <w:spacing w:after="0" w:line="239" w:lineRule="exact"/>
        <w:rPr>
          <w:sz w:val="20"/>
          <w:szCs w:val="20"/>
          <w:color w:val="auto"/>
        </w:rPr>
      </w:pPr>
    </w:p>
    <w:p>
      <w:pPr>
        <w:ind w:right="240"/>
        <w:spacing w:after="0" w:line="284" w:lineRule="auto"/>
        <w:rPr>
          <w:sz w:val="20"/>
          <w:szCs w:val="20"/>
          <w:color w:val="auto"/>
        </w:rPr>
      </w:pPr>
      <w:r>
        <w:rPr>
          <w:rFonts w:ascii="Arial" w:cs="Arial" w:eastAsia="Arial" w:hAnsi="Arial"/>
          <w:sz w:val="20"/>
          <w:szCs w:val="20"/>
          <w:color w:val="auto"/>
        </w:rPr>
        <w:t>Under the EIT Law and its implementation rules, an enterprise established outside of China with a “de facto management body” within China is considered a “resident enterprise,” and will be subject to the enterprise</w:t>
      </w:r>
    </w:p>
    <w:p>
      <w:pPr>
        <w:sectPr>
          <w:pgSz w:w="11880" w:h="15480" w:orient="portrait"/>
          <w:cols w:equalWidth="0" w:num="1">
            <w:col w:w="9720"/>
          </w:cols>
          <w:pgMar w:left="1080" w:top="1066" w:right="1080" w:bottom="555"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150</w:t>
      </w:r>
    </w:p>
    <w:p>
      <w:pPr>
        <w:sectPr>
          <w:pgSz w:w="11880" w:h="15480" w:orient="portrait"/>
          <w:cols w:equalWidth="0" w:num="1">
            <w:col w:w="9720"/>
          </w:cols>
          <w:pgMar w:left="1080" w:top="1066" w:right="1080" w:bottom="555" w:gutter="0" w:footer="0" w:header="0"/>
          <w:type w:val="continuous"/>
        </w:sectPr>
      </w:pPr>
    </w:p>
    <w:bookmarkStart w:id="152" w:name="page153"/>
    <w:bookmarkEnd w:id="152"/>
    <w:p>
      <w:pPr>
        <w:ind w:right="80"/>
        <w:spacing w:after="0" w:line="244" w:lineRule="auto"/>
        <w:rPr>
          <w:sz w:val="20"/>
          <w:szCs w:val="20"/>
          <w:color w:val="auto"/>
        </w:rPr>
      </w:pPr>
      <w:r>
        <w:rPr>
          <w:rFonts w:ascii="Arial" w:cs="Arial" w:eastAsia="Arial" w:hAnsi="Arial"/>
          <w:sz w:val="20"/>
          <w:szCs w:val="20"/>
          <w:color w:val="auto"/>
        </w:rPr>
        <w:t>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SAT Circular 82, which provides certain specific criteria for determining whether the “de facto management body” of a Chinese-controlled enterprise that is incorporated offshore is located in China. Although this circular only applies to offshore enterprises controlled by Chinese enterprises or Chinese enterprise groups, not those controlled by Chinese individuals or foreigners, the criteria set forth in the circular may reflect the State Administration of Taxation’s general position on how the “de facto management body” text should be applied in determining the tax resident status of all offshore enterprises. According to SAT Circular 82, all offshore enterprises controlled by a Chinese enterprise or a Chinese enterprise will be regarded as a Chinese tax resident by virtue of having its “de facto management body” in China only if all of the following conditions are met:</w:t>
      </w:r>
    </w:p>
    <w:p>
      <w:pPr>
        <w:spacing w:after="0" w:line="196" w:lineRule="exact"/>
        <w:rPr>
          <w:sz w:val="20"/>
          <w:szCs w:val="20"/>
          <w:color w:val="auto"/>
        </w:rPr>
      </w:pPr>
    </w:p>
    <w:p>
      <w:pPr>
        <w:ind w:left="720" w:hanging="353"/>
        <w:spacing w:after="0"/>
        <w:tabs>
          <w:tab w:leader="none" w:pos="7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primary location of the day-to-day operational management is in China;</w:t>
      </w:r>
    </w:p>
    <w:p>
      <w:pPr>
        <w:spacing w:after="0" w:line="239" w:lineRule="exact"/>
        <w:rPr>
          <w:rFonts w:ascii="Arial" w:cs="Arial" w:eastAsia="Arial" w:hAnsi="Arial"/>
          <w:sz w:val="20"/>
          <w:szCs w:val="20"/>
          <w:color w:val="auto"/>
        </w:rPr>
      </w:pPr>
    </w:p>
    <w:p>
      <w:pPr>
        <w:ind w:left="720" w:hanging="353"/>
        <w:spacing w:after="0" w:line="284" w:lineRule="auto"/>
        <w:tabs>
          <w:tab w:leader="none" w:pos="721" w:val="left"/>
        </w:tabs>
        <w:numPr>
          <w:ilvl w:val="0"/>
          <w:numId w:val="62"/>
        </w:numPr>
        <w:rPr>
          <w:rFonts w:ascii="Arial" w:cs="Arial" w:eastAsia="Arial" w:hAnsi="Arial"/>
          <w:sz w:val="20"/>
          <w:szCs w:val="20"/>
          <w:color w:val="auto"/>
        </w:rPr>
      </w:pPr>
      <w:r>
        <w:rPr>
          <w:rFonts w:ascii="Arial" w:cs="Arial" w:eastAsia="Arial" w:hAnsi="Arial"/>
          <w:sz w:val="20"/>
          <w:szCs w:val="20"/>
          <w:color w:val="auto"/>
        </w:rPr>
        <w:t>decisions relating to the enterprise’s financial and human resource matters are made or are subject to approval by organizations or personnel in China;</w:t>
      </w:r>
    </w:p>
    <w:p>
      <w:pPr>
        <w:spacing w:after="0" w:line="155" w:lineRule="exact"/>
        <w:rPr>
          <w:rFonts w:ascii="Arial" w:cs="Arial" w:eastAsia="Arial" w:hAnsi="Arial"/>
          <w:sz w:val="20"/>
          <w:szCs w:val="20"/>
          <w:color w:val="auto"/>
        </w:rPr>
      </w:pPr>
    </w:p>
    <w:p>
      <w:pPr>
        <w:ind w:left="720" w:right="620" w:hanging="353"/>
        <w:spacing w:after="0" w:line="284" w:lineRule="auto"/>
        <w:tabs>
          <w:tab w:leader="none" w:pos="721"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enterprise’s primary assets, accounting books and records, company seals, and board and shareholder resolutions, are located or maintained in China; and</w:t>
      </w:r>
    </w:p>
    <w:p>
      <w:pPr>
        <w:spacing w:after="0" w:line="156" w:lineRule="exact"/>
        <w:rPr>
          <w:rFonts w:ascii="Arial" w:cs="Arial" w:eastAsia="Arial" w:hAnsi="Arial"/>
          <w:sz w:val="20"/>
          <w:szCs w:val="20"/>
          <w:color w:val="auto"/>
        </w:rPr>
      </w:pPr>
    </w:p>
    <w:p>
      <w:pPr>
        <w:ind w:left="720" w:hanging="353"/>
        <w:spacing w:after="0"/>
        <w:tabs>
          <w:tab w:leader="none" w:pos="7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at least 50% of voting board members or senior executives habitually reside in China.</w:t>
      </w:r>
    </w:p>
    <w:p>
      <w:pPr>
        <w:spacing w:after="0" w:line="239"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We believe that neither we nor any of its subsidiaries outside of China is a Chinese resident enterprise for Chinese tax purposes. We are not controlled by a Chinese enterprise or Chinese enterprise group, and we do not believe that we meet all of the conditions above. We are a company incorporated outside China. As a holding company, a majority of assets are located, and our records (including the resolutions of its board of directors and the resolutions of its shareholders) are maintained, outside China. For the same reasons, we believe our other subsidiaries outside of China are also not Chinese resident enterprises for Chinese tax purposes. However, the tax resident status of an enterprise is subject to determination by the Chinese tax authorities and uncertainties remain with respect to the interpretation of the term “de facto management body.”</w:t>
      </w:r>
    </w:p>
    <w:p>
      <w:pPr>
        <w:spacing w:after="0" w:line="197"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If the Chinese tax authorities determine that we are a Chinese resident enterprise for Enterprise Income Tax (“EIT”), purposes, we may be required to withhold tax at a rate of 10% on dividends we pay to our shareholders, including holders of our ADSs, that are non -resident enterprises. In addition, non-resident enterprise shareholders (including our ADS holders) may be subject to a 10% Chinese withholding tax on gains realized on the sale or other disposition of ordinary shares or ADSs, if such income is treated as sourced from within China. Furthermore, gains derived by our non-Chinese individual shareholders from the sale of our ordinary shares and ADSs may be subject to a 20% Chinese withholding tax. It is unclear whether our non-Chinese individual shareholders (including our ADS holders) would be subject to any Chinese tax (including withholding tax) on dividends received by such non-Chinese individual shareholders in the event we are determined to be a Chinese resident enterprise. If any Chinese tax were to apply to dividends realized by non-Chinese individuals, it will generally apply at a rate of 20%. The Chinese tax liability may be reduced under applicable tax treaties. However, it is unclear whether our non-Chinese shareholders would be able to claim the benefits of any tax treaty between their country of tax residence and China in the event that we are treated as a Chinese resident enterprise.</w:t>
      </w:r>
    </w:p>
    <w:p>
      <w:pPr>
        <w:spacing w:after="0" w:line="200"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See Part I, Item 1A. “Risk Factors – Risks Related to Doing Business in China and Our International Operations-If we are classified as a China resident enterprise for China income tax purposes, such classification could result in unfavorable tax consequences to us and our non-Chinese shareholders or ADS holders.”</w:t>
      </w:r>
    </w:p>
    <w:p>
      <w:pPr>
        <w:spacing w:after="0" w:line="187"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Pursuant to the EIT Law and its implementation rules, if a non-resident enterprise has not set up an organization or establishment in China, or has set up an organization or establishment but the income derived</w:t>
      </w:r>
    </w:p>
    <w:p>
      <w:pPr>
        <w:sectPr>
          <w:pgSz w:w="11880" w:h="15480" w:orient="portrait"/>
          <w:cols w:equalWidth="0" w:num="1">
            <w:col w:w="9700"/>
          </w:cols>
          <w:pgMar w:left="1080" w:top="1066" w:right="1100" w:bottom="555" w:gutter="0" w:footer="0" w:header="0"/>
        </w:sect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151</w:t>
      </w:r>
    </w:p>
    <w:p>
      <w:pPr>
        <w:sectPr>
          <w:pgSz w:w="11880" w:h="15480" w:orient="portrait"/>
          <w:cols w:equalWidth="0" w:num="1">
            <w:col w:w="9700"/>
          </w:cols>
          <w:pgMar w:left="1080" w:top="1066" w:right="1100" w:bottom="555" w:gutter="0" w:footer="0" w:header="0"/>
          <w:type w:val="continuous"/>
        </w:sectPr>
      </w:pPr>
    </w:p>
    <w:bookmarkStart w:id="153" w:name="page154"/>
    <w:bookmarkEnd w:id="153"/>
    <w:p>
      <w:pPr>
        <w:spacing w:after="0" w:line="241" w:lineRule="auto"/>
        <w:rPr>
          <w:sz w:val="20"/>
          <w:szCs w:val="20"/>
          <w:color w:val="auto"/>
        </w:rPr>
      </w:pPr>
      <w:r>
        <w:rPr>
          <w:rFonts w:ascii="Arial" w:cs="Arial" w:eastAsia="Arial" w:hAnsi="Arial"/>
          <w:sz w:val="20"/>
          <w:szCs w:val="20"/>
          <w:color w:val="auto"/>
        </w:rPr>
        <w:t>has no actual connection with such organization or establishment, it will be subject to a withholding tax on its Chinese-sourced income at a rate of 10%. Pursuant to the Arrangement between Mainland China and the Hong Kong Special Administrative Region for the Avoidance of Double Taxation and Tax Evasion on Income, the tax rate in respect to dividends paid by a Chinese enterprise to a Hong Kong enterprise is reduced to 5% from a standard rate of 10% if the Hong Kong enterprise directly holds at least 25% of the Chinese enterprise. Pursuant to the Notice of the State Administration of Taxation on the Issues concerning the Application of the Dividend Clauses of Tax Agreements (“SAT Circular 81”), a Hong Kong resident enterprise must meet the following conditions, among others, in order to enjoy the reduced tax rate: (i) it must directly own the required percentage of equity interests and voting rights in the Chinese resident enterprise; and (ii) it must have directly owned such percentage in the Chinese resident enterprise throughout the 12 months prior to receiving the dividends. Additionally, China has started an anti-tax treaty shopping practice since the issuance of Circular 601 in 2009. On February 3, 2018, the State Administration of Taxation released the Announcement on Issues concerning the “Beneficial Owner” in Tax Treaties (“PN9”), which provides guidelines in determining a beneficial owner qualification under dividends, interest and royalty articles of tax treaties. Chinese tax authorities in general often scrutinize fact patterns case by case in determining foreign shareholders’ qualifications for a reduced treaty withholding tax rate, especially against foreign companies that are perceived as being conduits or lacking commercial substance. Furthermore, according to the Administrative Measures for Non-Resident Enterprises to Enjoy Treatments under Tax Treaties, which became effective in January 2020, where non-resident enterprises judge by themselves that they meet the conditions for entitlement to reduced tax rate according to tax treaties, they may enjoy such entitlement after reporting required information to competent tax authorities provided that they shall collect and retain relevant documents for future reference and inspections. Accordingly, our ShouTi Hong Kong Ltd. Subsidiary may be able to enjoy the 5% tax rate for the dividends it receives from its Chinese incorporated subsidiaries if they satisfy the conditions prescribed under SAT Circular 81, PN9 and other relevant tax rules and regulations and complete the necessary government formalities. However, according to SAT Circular 81, if the relevant tax authorities determine our transactions or arrangements are for the primary purpose of enjoying a favorable tax treatment, the relevant tax authorities may adjust the favorable tax rate on dividends in the future.</w:t>
      </w:r>
    </w:p>
    <w:p>
      <w:pPr>
        <w:spacing w:after="0" w:line="216"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auto"/>
        </w:rPr>
        <w:t>If our Cayman Islands holding company, Structure Therapeutics Inc., is not deemed to be a Chinese resident enterprise, holders of our ordinary shares and ADSs who are not Chinese residents will not be subject to Chinese income tax on dividends distributed by us. With respect to gains realized from the sale or other disposition of the shares or ADSs, there is a possibility that a Chinese tax authority may impose an income tax under the indirect transfer rules set out under the Announcement of the State Administration of Taxation on Several Issues Concerning the Enterprise Income Tax on Indirect Property Transfer by Non-Resident Enterprises (“SAT Circular 7”), except that such transaction could fall under the safe harbor thereunder. See Part I, Item 1A. “Risk Factors – Risks Related to Doing Business in China and Our International Operations -We and our shareholders face uncertainties in China with respect to indirect transfers of equity interests in China resident enterprises.”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Material U.S. Federal Income Tax Consequences</w:t>
      </w:r>
    </w:p>
    <w:p>
      <w:pPr>
        <w:spacing w:after="0" w:line="237"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The following is a summary of the material U.S. federal income tax consequences to U.S. holders and non-U.S. holders (each, as defined below) of the acquisition, ownership and disposition of our ordinary shares or ADSs. This discussion is not a complete analysis of all potential U.S. federal income tax consequences relating thereto, and does not address the potential application of the Medicare contribution tax or the alternative minimum tax, the impact of special tax accounting rules under Section 451(b) of the Code, any estate or gift tax consequences or any tax consequences arising under any state, local or foreign tax laws, or any other U.S. federal tax laws. This discussion is based on the Code, Treasury Regulations promulgated thereunder, judicial decisions and published rulings and administrative pronouncements of the U.S. Internal Revenue Service (the “IRS”), all as in effect as of the date of this Annual Report. These authorities are subject to change and to differing interpretations,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ectPr>
          <w:pgSz w:w="11880" w:h="15480" w:orient="portrait"/>
          <w:cols w:equalWidth="0" w:num="1">
            <w:col w:w="9700"/>
          </w:cols>
          <w:pgMar w:left="1080" w:top="1066" w:right="1100" w:bottom="555"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152</w:t>
      </w:r>
    </w:p>
    <w:p>
      <w:pPr>
        <w:sectPr>
          <w:pgSz w:w="11880" w:h="15480" w:orient="portrait"/>
          <w:cols w:equalWidth="0" w:num="1">
            <w:col w:w="9700"/>
          </w:cols>
          <w:pgMar w:left="1080" w:top="1066" w:right="1100" w:bottom="555" w:gutter="0" w:footer="0" w:header="0"/>
          <w:type w:val="continuous"/>
        </w:sectPr>
      </w:pPr>
    </w:p>
    <w:bookmarkStart w:id="154" w:name="page155"/>
    <w:bookmarkEnd w:id="154"/>
    <w:p>
      <w:pPr>
        <w:spacing w:after="0" w:line="249" w:lineRule="auto"/>
        <w:rPr>
          <w:sz w:val="20"/>
          <w:szCs w:val="20"/>
          <w:color w:val="auto"/>
        </w:rPr>
      </w:pPr>
      <w:r>
        <w:rPr>
          <w:rFonts w:ascii="Arial" w:cs="Arial" w:eastAsia="Arial" w:hAnsi="Arial"/>
          <w:sz w:val="20"/>
          <w:szCs w:val="20"/>
          <w:color w:val="auto"/>
        </w:rPr>
        <w:t>This discussion is limited to holders who hold our ordinary shares or ADSs as a “capital asset” within the meaning of Section 1221 of the Code (generally, property held for investment) .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190" w:lineRule="exact"/>
        <w:rPr>
          <w:sz w:val="20"/>
          <w:szCs w:val="20"/>
          <w:color w:val="auto"/>
        </w:rPr>
      </w:pPr>
    </w:p>
    <w:p>
      <w:pPr>
        <w:jc w:val="both"/>
        <w:ind w:left="720" w:right="3140"/>
        <w:spacing w:after="0" w:line="490" w:lineRule="auto"/>
        <w:rPr>
          <w:sz w:val="20"/>
          <w:szCs w:val="20"/>
          <w:color w:val="auto"/>
        </w:rPr>
      </w:pPr>
      <w:r>
        <w:rPr>
          <w:rFonts w:ascii="Arial" w:cs="Arial" w:eastAsia="Arial" w:hAnsi="Arial"/>
          <w:sz w:val="20"/>
          <w:szCs w:val="20"/>
          <w:color w:val="auto"/>
        </w:rPr>
        <w:t>certain former citizens or long-term residents of the United States; partnerships or other pass-through entities (and investors therein); “controlled foreign corporations”;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“passive foreign investment companies”;</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corporations that accumulate earnings to avoid U.S. federal income tax;</w:t>
      </w:r>
    </w:p>
    <w:p>
      <w:pPr>
        <w:spacing w:after="0" w:line="240" w:lineRule="exact"/>
        <w:rPr>
          <w:sz w:val="20"/>
          <w:szCs w:val="20"/>
          <w:color w:val="auto"/>
        </w:rPr>
      </w:pPr>
    </w:p>
    <w:p>
      <w:pPr>
        <w:ind w:left="720" w:right="260"/>
        <w:spacing w:after="0" w:line="284" w:lineRule="auto"/>
        <w:rPr>
          <w:sz w:val="20"/>
          <w:szCs w:val="20"/>
          <w:color w:val="auto"/>
        </w:rPr>
      </w:pPr>
      <w:r>
        <w:rPr>
          <w:rFonts w:ascii="Arial" w:cs="Arial" w:eastAsia="Arial" w:hAnsi="Arial"/>
          <w:sz w:val="20"/>
          <w:szCs w:val="20"/>
          <w:color w:val="auto"/>
        </w:rPr>
        <w:t>banks, financial institutions, investment funds, insurance companies, brokers, dealers, or traders in securities;</w:t>
      </w:r>
    </w:p>
    <w:p>
      <w:pPr>
        <w:spacing w:after="0" w:line="155" w:lineRule="exact"/>
        <w:rPr>
          <w:sz w:val="20"/>
          <w:szCs w:val="20"/>
          <w:color w:val="auto"/>
        </w:rPr>
      </w:pPr>
    </w:p>
    <w:p>
      <w:pPr>
        <w:ind w:left="720" w:right="3800"/>
        <w:spacing w:after="0" w:line="490" w:lineRule="auto"/>
        <w:rPr>
          <w:sz w:val="20"/>
          <w:szCs w:val="20"/>
          <w:color w:val="auto"/>
        </w:rPr>
      </w:pPr>
      <w:r>
        <w:rPr>
          <w:rFonts w:ascii="Arial" w:cs="Arial" w:eastAsia="Arial" w:hAnsi="Arial"/>
          <w:sz w:val="20"/>
          <w:szCs w:val="20"/>
          <w:color w:val="auto"/>
        </w:rPr>
        <w:t>tax-exempt organizations and governmental organizations; tax-qualified retirement plans;</w:t>
      </w:r>
    </w:p>
    <w:p>
      <w:pPr>
        <w:ind w:left="720" w:right="180"/>
        <w:spacing w:after="0" w:line="284" w:lineRule="auto"/>
        <w:rPr>
          <w:sz w:val="20"/>
          <w:szCs w:val="20"/>
          <w:color w:val="auto"/>
        </w:rPr>
      </w:pPr>
      <w:r>
        <w:rPr>
          <w:rFonts w:ascii="Arial" w:cs="Arial" w:eastAsia="Arial" w:hAnsi="Arial"/>
          <w:sz w:val="20"/>
          <w:szCs w:val="20"/>
          <w:color w:val="auto"/>
        </w:rPr>
        <w:t>persons who acquire our ordinary shares or ADSs through the exercise of an option or otherwise as compensation;</w:t>
      </w:r>
    </w:p>
    <w:p>
      <w:pPr>
        <w:spacing w:after="0" w:line="156" w:lineRule="exact"/>
        <w:rPr>
          <w:sz w:val="20"/>
          <w:szCs w:val="20"/>
          <w:color w:val="auto"/>
        </w:rPr>
      </w:pPr>
    </w:p>
    <w:p>
      <w:pPr>
        <w:ind w:left="720" w:right="160"/>
        <w:spacing w:after="0" w:line="284" w:lineRule="auto"/>
        <w:rPr>
          <w:sz w:val="20"/>
          <w:szCs w:val="20"/>
          <w:color w:val="auto"/>
        </w:rPr>
      </w:pPr>
      <w:r>
        <w:rPr>
          <w:rFonts w:ascii="Arial" w:cs="Arial" w:eastAsia="Arial" w:hAnsi="Arial"/>
          <w:sz w:val="20"/>
          <w:szCs w:val="20"/>
          <w:color w:val="auto"/>
        </w:rPr>
        <w:t>persons that own, or have owned, actually or constructively, more than 5% of our ordinary shares or ADSs;</w:t>
      </w:r>
    </w:p>
    <w:p>
      <w:pPr>
        <w:spacing w:after="0" w:line="155" w:lineRule="exact"/>
        <w:rPr>
          <w:sz w:val="20"/>
          <w:szCs w:val="20"/>
          <w:color w:val="auto"/>
        </w:rPr>
      </w:pPr>
    </w:p>
    <w:p>
      <w:pPr>
        <w:ind w:left="720" w:right="4100"/>
        <w:spacing w:after="0" w:line="490" w:lineRule="auto"/>
        <w:rPr>
          <w:sz w:val="20"/>
          <w:szCs w:val="20"/>
          <w:color w:val="auto"/>
        </w:rPr>
      </w:pPr>
      <w:r>
        <w:rPr>
          <w:rFonts w:ascii="Arial" w:cs="Arial" w:eastAsia="Arial" w:hAnsi="Arial"/>
          <w:sz w:val="20"/>
          <w:szCs w:val="20"/>
          <w:color w:val="auto"/>
        </w:rPr>
        <w:t>persons who have elected to mark securities to market; U.S. expatriates; and</w:t>
      </w:r>
    </w:p>
    <w:p>
      <w:pPr>
        <w:ind w:left="720" w:right="660"/>
        <w:spacing w:after="0" w:line="284" w:lineRule="auto"/>
        <w:rPr>
          <w:sz w:val="20"/>
          <w:szCs w:val="20"/>
          <w:color w:val="auto"/>
        </w:rPr>
      </w:pPr>
      <w:r>
        <w:rPr>
          <w:rFonts w:ascii="Arial" w:cs="Arial" w:eastAsia="Arial" w:hAnsi="Arial"/>
          <w:sz w:val="20"/>
          <w:szCs w:val="20"/>
          <w:color w:val="auto"/>
        </w:rPr>
        <w:t>persons holding our ordinary shares or ADSs as part of a hedging or conversion transaction or straddle, or a constructive sale, or other risk reduction strategy or integrated investment.</w:t>
      </w:r>
    </w:p>
    <w:p>
      <w:pPr>
        <w:spacing w:after="0" w:line="155"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THIS DISCUSSION IS FOR INFORMATIONAL PURPOSES ONLY AND IS NOT TAX ADVICE. PROSPECTIVE INVESTORS SHOULD CONSULT THEIR TAX ADVISORS REGARDING THE PARTICULAR U.S. FEDERAL INCOME TAX CONSEQUENCES TO THEM OF ACQUIRING, OWNING AND DISPOSING OF OUR ORDINARY SHARES OR ADSS, AS WELL AS ANY TAX CONSEQUENCES ARISING UNDER ANY STATE, LOCAL OR FOREIGN TAX LAWS AND ANY OTHER U.S. FEDERAL TAX LAWS.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Definition of U.S. Holder and Non-U.S. Holder</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A U.S. holder is any U.S. person that is a beneficial owner of our ordinary shares or ADSs. A U.S. person, for</w:t>
      </w:r>
    </w:p>
    <w:p>
      <w:pPr>
        <w:spacing w:after="0"/>
        <w:rPr>
          <w:sz w:val="20"/>
          <w:szCs w:val="20"/>
          <w:color w:val="auto"/>
        </w:rPr>
      </w:pPr>
      <w:r>
        <w:rPr>
          <w:rFonts w:ascii="Arial" w:cs="Arial" w:eastAsia="Arial" w:hAnsi="Arial"/>
          <w:sz w:val="20"/>
          <w:szCs w:val="20"/>
          <w:color w:val="auto"/>
        </w:rPr>
        <w:t>U.S. federal income tax purposes, is any of the following:</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an individual citizen or resident of the United States;</w:t>
      </w:r>
    </w:p>
    <w:p>
      <w:pPr>
        <w:spacing w:after="0" w:line="239" w:lineRule="exact"/>
        <w:rPr>
          <w:sz w:val="20"/>
          <w:szCs w:val="20"/>
          <w:color w:val="auto"/>
        </w:rPr>
      </w:pPr>
    </w:p>
    <w:p>
      <w:pPr>
        <w:ind w:left="720" w:right="540"/>
        <w:spacing w:after="0" w:line="284" w:lineRule="auto"/>
        <w:rPr>
          <w:sz w:val="20"/>
          <w:szCs w:val="20"/>
          <w:color w:val="auto"/>
        </w:rPr>
      </w:pPr>
      <w:r>
        <w:rPr>
          <w:rFonts w:ascii="Arial" w:cs="Arial" w:eastAsia="Arial" w:hAnsi="Arial"/>
          <w:sz w:val="20"/>
          <w:szCs w:val="20"/>
          <w:color w:val="auto"/>
        </w:rPr>
        <w:t>a corporation created or organized under the laws of the United States, any state thereof, or the District of Columbia;</w:t>
      </w:r>
    </w:p>
    <w:p>
      <w:pPr>
        <w:sectPr>
          <w:pgSz w:w="11880" w:h="15480" w:orient="portrait"/>
          <w:cols w:equalWidth="0" w:num="1">
            <w:col w:w="9720"/>
          </w:cols>
          <w:pgMar w:left="1080" w:top="1066"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153</w:t>
      </w:r>
    </w:p>
    <w:p>
      <w:pPr>
        <w:sectPr>
          <w:pgSz w:w="11880" w:h="15480" w:orient="portrait"/>
          <w:cols w:equalWidth="0" w:num="1">
            <w:col w:w="9720"/>
          </w:cols>
          <w:pgMar w:left="1080" w:top="1066" w:right="1080" w:bottom="555" w:gutter="0" w:footer="0" w:header="0"/>
          <w:type w:val="continuous"/>
        </w:sectPr>
      </w:pPr>
    </w:p>
    <w:bookmarkStart w:id="155" w:name="page156"/>
    <w:bookmarkEnd w:id="155"/>
    <w:p>
      <w:pPr>
        <w:ind w:left="360"/>
        <w:spacing w:after="0"/>
        <w:rPr>
          <w:sz w:val="20"/>
          <w:szCs w:val="20"/>
          <w:color w:val="auto"/>
        </w:rPr>
      </w:pPr>
      <w:r>
        <w:rPr>
          <w:rFonts w:ascii="Arial" w:cs="Arial" w:eastAsia="Arial" w:hAnsi="Arial"/>
          <w:sz w:val="20"/>
          <w:szCs w:val="20"/>
          <w:color w:val="auto"/>
        </w:rPr>
        <w:t>an estate, the income of which is subject to U.S. federal income tax regardless of its source; or</w:t>
      </w:r>
    </w:p>
    <w:p>
      <w:pPr>
        <w:spacing w:after="0" w:line="239" w:lineRule="exact"/>
        <w:rPr>
          <w:sz w:val="20"/>
          <w:szCs w:val="20"/>
          <w:color w:val="auto"/>
        </w:rPr>
      </w:pPr>
    </w:p>
    <w:p>
      <w:pPr>
        <w:ind w:left="720" w:right="300"/>
        <w:spacing w:after="0" w:line="254" w:lineRule="auto"/>
        <w:rPr>
          <w:sz w:val="20"/>
          <w:szCs w:val="20"/>
          <w:color w:val="auto"/>
        </w:rPr>
      </w:pPr>
      <w:r>
        <w:rPr>
          <w:rFonts w:ascii="Arial" w:cs="Arial" w:eastAsia="Arial" w:hAnsi="Arial"/>
          <w:sz w:val="20"/>
          <w:szCs w:val="20"/>
          <w:color w:val="auto"/>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 purposes of this discussion, a non-U.S. holder is any beneficial owner of our ordinary shares or ADSs that is not a “U.S. person” nor a partnership (including any entity or arrangement treated as a partnership) for U.S. federal income tax purposes.</w:t>
      </w:r>
    </w:p>
    <w:p>
      <w:pPr>
        <w:spacing w:after="0" w:line="177" w:lineRule="exact"/>
        <w:rPr>
          <w:sz w:val="20"/>
          <w:szCs w:val="20"/>
          <w:color w:val="auto"/>
        </w:rPr>
      </w:pPr>
    </w:p>
    <w:p>
      <w:pPr>
        <w:ind w:right="240"/>
        <w:spacing w:after="0" w:line="248" w:lineRule="auto"/>
        <w:rPr>
          <w:sz w:val="20"/>
          <w:szCs w:val="20"/>
          <w:color w:val="auto"/>
        </w:rPr>
      </w:pPr>
      <w:r>
        <w:rPr>
          <w:rFonts w:ascii="Arial" w:cs="Arial" w:eastAsia="Arial" w:hAnsi="Arial"/>
          <w:sz w:val="20"/>
          <w:szCs w:val="20"/>
          <w:color w:val="auto"/>
        </w:rPr>
        <w:t>If an entity or arrangement that is classified as a partnership for U.S. federal income tax purposes holds our ordinary shares or ADSs, the U.S. federal income tax treatment of a partner in the partnership will generally depend on the status of the partner and the activities of the partnership. Partnerships holding our ordinary shares or ADSs and the partners in such partnerships are urged to consult their tax advisors about the particular U.S. federal income tax consequences to them of holding and disposing of our ordinary shares or ADSs.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Classification of the Company as a U.S. Domestic Corporation</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For U.S. federal income tax purposes, a corporation is generally considered to be a tax resident in the jurisdiction of its organization or incorporation. Accordingly, under the generally applicable U.S. federal income tax rules, the Company, which is incorporated under the laws of the Cayman Islands, would be classified as a non-U.S. corporation (and, therefore, not a U.S. tax resident) for U.S. federal income tax purposes. However, Section 7874 of the Code provides an exception to this general rule, under which a non-U.S. incorporated entity may, in certain circumstances, be treated as a U.S. corporation for U.S. federal income tax purposes. These rules are complex and there is limited guidance regarding their application. A number of significant and complicated U.S. federal income tax consequences may result from such classification, and this summary does not attempt to describe all such U.S. federal income tax consequences. Section 7874 of the Code and the Treasury Regulations promulgated thereunder do not address all the possible tax consequences that arise from the Company being treated as a U.S. domestic corporation for U.S. federal income tax purposes. Accordingly, there may be additional or unforeseen U.S. federal income tax consequences to the Company that are not discussed in this summary.</w:t>
      </w:r>
    </w:p>
    <w:p>
      <w:pPr>
        <w:spacing w:after="0" w:line="204"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Under such rules, even though the Company is organized as a Cayman Islands corporation, it will be treated as a U.S. domestic corporation for U.S. federal income tax purposes as a result of the Company’s prior acquisition of a United States target corporation and application of the so-called “inversion” rules under Section 7874 of the Code. As such, the Company will be subject to U.S. federal income tax as if it were organized under the laws of the United States or a state thereof, and its dividends will be treated as dividends from a U.S. corporation. In addition, the Company will be required to file a U.S. federal income tax return annually with the IRS. It is anticipated that such U.S. tax treatment will continue indefinitely and that our ordinary shares and ADSs will be treated indefinitely as shares in a U.S. domestic corporation for U.S. federal income tax purposes. The Company’s status as a domestic corporation for U.S. federal income tax purposes has implications for all shareholders, although only the application to U.S. Holders is discussed in this summary.</w:t>
      </w:r>
    </w:p>
    <w:p>
      <w:pPr>
        <w:spacing w:after="0" w:line="198" w:lineRule="exact"/>
        <w:rPr>
          <w:sz w:val="20"/>
          <w:szCs w:val="20"/>
          <w:color w:val="auto"/>
        </w:rPr>
      </w:pPr>
    </w:p>
    <w:p>
      <w:pPr>
        <w:jc w:val="both"/>
        <w:ind w:right="220"/>
        <w:spacing w:after="0" w:line="262" w:lineRule="auto"/>
        <w:rPr>
          <w:sz w:val="20"/>
          <w:szCs w:val="20"/>
          <w:color w:val="auto"/>
        </w:rPr>
      </w:pPr>
      <w:r>
        <w:rPr>
          <w:rFonts w:ascii="Arial" w:cs="Arial" w:eastAsia="Arial" w:hAnsi="Arial"/>
          <w:sz w:val="20"/>
          <w:szCs w:val="20"/>
          <w:color w:val="auto"/>
        </w:rPr>
        <w:t>The remaining discussion contained in this section titled “Material U.S. Federal Income Tax Considerations” section assumes that the Company will be treated as a domestic corporation for all U.S. federal income tax purposes.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Considerations for U.S. Holders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Distributions</w:t>
      </w:r>
    </w:p>
    <w:p>
      <w:pPr>
        <w:sectPr>
          <w:pgSz w:w="11880" w:h="15480" w:orient="portrait"/>
          <w:cols w:equalWidth="0" w:num="1">
            <w:col w:w="9720"/>
          </w:cols>
          <w:pgMar w:left="1080" w:top="1067"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154</w:t>
      </w:r>
    </w:p>
    <w:p>
      <w:pPr>
        <w:sectPr>
          <w:pgSz w:w="11880" w:h="15480" w:orient="portrait"/>
          <w:cols w:equalWidth="0" w:num="1">
            <w:col w:w="9720"/>
          </w:cols>
          <w:pgMar w:left="1080" w:top="1067" w:right="1080" w:bottom="555" w:gutter="0" w:footer="0" w:header="0"/>
          <w:type w:val="continuous"/>
        </w:sectPr>
      </w:pPr>
    </w:p>
    <w:bookmarkStart w:id="156" w:name="page157"/>
    <w:bookmarkEnd w:id="156"/>
    <w:p>
      <w:pPr>
        <w:ind w:right="60" w:firstLine="1"/>
        <w:spacing w:after="0" w:line="245" w:lineRule="auto"/>
        <w:rPr>
          <w:sz w:val="20"/>
          <w:szCs w:val="20"/>
          <w:color w:val="auto"/>
        </w:rPr>
      </w:pPr>
      <w:r>
        <w:rPr>
          <w:rFonts w:ascii="Arial" w:cs="Arial" w:eastAsia="Arial" w:hAnsi="Arial"/>
          <w:sz w:val="20"/>
          <w:szCs w:val="20"/>
          <w:color w:val="auto"/>
        </w:rPr>
        <w:t>It is unlikely that we will pay any dividends on our ordinary shares or ADSs in the foreseeable future. If we make cash or other property distributions on our ordinary shares or ADSs,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ordinary shares or ADSs, but not below zero. Any excess will be treated as gain realized on the sale or other disposition of our ordinary shares and will be treated as described under “-Sale or Redemption” below. Distributions constituting dividend income to U.S. holders that are individuals may qualify for reduced rates applicable to qualified dividend income. Distributions constituting dividend income to U.S. holders that are U.S. corporations may qualify for the dividends received deduction.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Sale or Redemption</w:t>
      </w:r>
    </w:p>
    <w:p>
      <w:pPr>
        <w:spacing w:after="0" w:line="240"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A U.S. holder will generally recognize capital gain or loss on a sale, exchange, redemption (other than a redemption that is treated as a distribution) or other disposition of our ordinary shares or ADSs equal to the difference between the amount realized upon the disposition and the U.S. holder’s adjusted tax basis in the shares so disposed. Such capital gain or loss will be a long-term capital gain or loss if the U.S. holder’s holding period for the shares disposed of exceeds one year at the time of disposition. Long-term capital gains of non-corporate taxpayers are generally taxed at a lower maximum marginal tax rate than the maximum marginal tax rate applicable to ordinary income. The deductibility of net capital losses by individuals and corporations is subject to limitations.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Currency</w:t>
      </w:r>
    </w:p>
    <w:p>
      <w:pPr>
        <w:spacing w:after="0" w:line="239"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The amount of any distribution paid to a U.S. holder in foreign currency, or the amount of proceeds paid in foreign currency on the sale, exchange or other taxable disposition of our ordinary shares or ADSs, generally will be equal to the U.S. dollar value of such foreign currency based on the exchange rate applicable on the date of receipt (regardless of whether such foreign currency is converted into U.S. dollars at that time). A U.S. holder will have a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tax advisors concerning issues related to foreign currency.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Information Reporting and Backup Withholding</w:t>
      </w:r>
    </w:p>
    <w:p>
      <w:pPr>
        <w:spacing w:after="0" w:line="240"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Information returns will be filed with the IRS in connection with payments of dividends and the proceeds from a sale or other disposition of ordinary shares or ADSs payable to a U.S. Holder. Certain U.S. holders may be subject to backup withholding with respect to the payment of dividends and certain payments of proceeds on the sale or redemption of ordinary shares or ADSs unless such U.S. holder provides proof of an applicable exemption or a correct taxpayer identification number (usually with an IRS Form W-9), and otherwise comply with applicable requirements of the backup withholding rules.</w:t>
      </w:r>
    </w:p>
    <w:p>
      <w:pPr>
        <w:spacing w:after="0" w:line="194"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Backup withholding is not an additional tax. Any amount withheld under the backup withholding rules from a payment to a U.S. holder is allowable as a credit against such U.S. holder’s U.S. federal income tax, which may entitle the U.S. holder to a refund, provided that the U.S. holder timely provides the required information to the IRS. Moreover, certain penalties may be imposed by the IRS on a U.S. holder who is required to furnish information but does not do so in the proper manner.</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Non-U.S. Holders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Distributions</w:t>
      </w:r>
    </w:p>
    <w:p>
      <w:pPr>
        <w:sectPr>
          <w:pgSz w:w="11880" w:h="15480" w:orient="portrait"/>
          <w:cols w:equalWidth="0" w:num="1">
            <w:col w:w="9700"/>
          </w:cols>
          <w:pgMar w:left="1080" w:top="1066" w:right="110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155</w:t>
      </w:r>
    </w:p>
    <w:p>
      <w:pPr>
        <w:sectPr>
          <w:pgSz w:w="11880" w:h="15480" w:orient="portrait"/>
          <w:cols w:equalWidth="0" w:num="1">
            <w:col w:w="9700"/>
          </w:cols>
          <w:pgMar w:left="1080" w:top="1066" w:right="1100" w:bottom="555" w:gutter="0" w:footer="0" w:header="0"/>
          <w:type w:val="continuous"/>
        </w:sectPr>
      </w:pPr>
    </w:p>
    <w:bookmarkStart w:id="157" w:name="page158"/>
    <w:bookmarkEnd w:id="157"/>
    <w:p>
      <w:pPr>
        <w:ind w:right="60" w:firstLine="1"/>
        <w:spacing w:after="0" w:line="246" w:lineRule="auto"/>
        <w:rPr>
          <w:sz w:val="20"/>
          <w:szCs w:val="20"/>
          <w:color w:val="auto"/>
        </w:rPr>
      </w:pPr>
      <w:r>
        <w:rPr>
          <w:rFonts w:ascii="Arial" w:cs="Arial" w:eastAsia="Arial" w:hAnsi="Arial"/>
          <w:sz w:val="20"/>
          <w:szCs w:val="20"/>
          <w:color w:val="auto"/>
        </w:rPr>
        <w:t>It is unlikely that we will pay any dividends on our ordinary shares or ADSs in the foreseeable future. If we make cash or other property distributions on our ordinary shares or ADSs,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ordinary shares, but not below zero. Any excess will be treated as gain realized on the sale or other disposition of our ordinary shares and will be treated as described under “-Gain On Sale or Redemption” below.</w:t>
      </w:r>
    </w:p>
    <w:p>
      <w:pPr>
        <w:spacing w:after="0" w:line="195"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Subject to the discussion below regarding effectively connected income, any dividend income paid to a non-U.S. holder of our ordinary shares or ADSs generally will be subject to U.S. federal withholding tax at a rate of 30% of the gross amount of the dividends, or such lower rate specified by an applicable income tax treaty. To receive the benefit of a reduced treaty rate, a non-U.S. holder must furnish us or our paying agent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 U.S. holder’s behalf, the non-U.S. holder will be required to provide appropriate documentation to the agent, which then will be required to provide certification to us or our paying agent, either directly or through other intermediaries.</w:t>
      </w:r>
    </w:p>
    <w:p>
      <w:pPr>
        <w:spacing w:after="0" w:line="192"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7"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If a non-U.S. holder holds our ordinary shares in connection with the conduct of a trade or business in the United States, and dividends paid on our ordinary shares or ADSs are effectively connected with such holder’s U.S. trade or business (and are attributable to such holder’s permanent establishment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89"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color w:val="auto"/>
        </w:rPr>
        <w:t>However, any such effectively connected dividends paid on our ordinary shares or ADSs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these rules and any applicable income tax treaties that may provide for different rules.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Sale or Redemption</w:t>
      </w:r>
    </w:p>
    <w:p>
      <w:pPr>
        <w:spacing w:after="0" w:line="238"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auto"/>
        </w:rPr>
        <w:t>Subject to the discussion below regarding backup withholding and Sections 1471 to 1474 of the Code (“FATCA”), a non-U.S. holder generally will not be subject to U.S. federal income tax on any gain realized on the sale or other disposition of our ordinary shares or ADSs, unless:</w:t>
      </w:r>
    </w:p>
    <w:p>
      <w:pPr>
        <w:spacing w:after="0" w:line="177" w:lineRule="exact"/>
        <w:rPr>
          <w:sz w:val="20"/>
          <w:szCs w:val="20"/>
          <w:color w:val="auto"/>
        </w:rPr>
      </w:pPr>
    </w:p>
    <w:p>
      <w:pPr>
        <w:ind w:left="720" w:right="520"/>
        <w:spacing w:after="0" w:line="262" w:lineRule="auto"/>
        <w:rPr>
          <w:sz w:val="20"/>
          <w:szCs w:val="20"/>
          <w:color w:val="auto"/>
        </w:rPr>
      </w:pPr>
      <w:r>
        <w:rPr>
          <w:rFonts w:ascii="Arial" w:cs="Arial" w:eastAsia="Arial" w:hAnsi="Arial"/>
          <w:sz w:val="20"/>
          <w:szCs w:val="20"/>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176" w:lineRule="exact"/>
        <w:rPr>
          <w:sz w:val="20"/>
          <w:szCs w:val="20"/>
          <w:color w:val="auto"/>
        </w:rPr>
      </w:pPr>
    </w:p>
    <w:p>
      <w:pPr>
        <w:ind w:left="720" w:right="480"/>
        <w:spacing w:after="0" w:line="284" w:lineRule="auto"/>
        <w:rPr>
          <w:sz w:val="20"/>
          <w:szCs w:val="20"/>
          <w:color w:val="auto"/>
        </w:rPr>
      </w:pPr>
      <w:r>
        <w:rPr>
          <w:rFonts w:ascii="Arial" w:cs="Arial" w:eastAsia="Arial" w:hAnsi="Arial"/>
          <w:sz w:val="20"/>
          <w:szCs w:val="20"/>
          <w:color w:val="auto"/>
        </w:rPr>
        <w:t>the non-U.S. holder is a nonresident alien individual present in the United States for 183 days or more during the taxable year of the disposition, and certain other requirements are met; or</w:t>
      </w:r>
    </w:p>
    <w:p>
      <w:pPr>
        <w:spacing w:after="0" w:line="155" w:lineRule="exact"/>
        <w:rPr>
          <w:sz w:val="20"/>
          <w:szCs w:val="20"/>
          <w:color w:val="auto"/>
        </w:rPr>
      </w:pPr>
    </w:p>
    <w:p>
      <w:pPr>
        <w:ind w:left="720"/>
        <w:spacing w:after="0" w:line="262" w:lineRule="auto"/>
        <w:rPr>
          <w:sz w:val="20"/>
          <w:szCs w:val="20"/>
          <w:color w:val="auto"/>
        </w:rPr>
      </w:pPr>
      <w:r>
        <w:rPr>
          <w:rFonts w:ascii="Arial" w:cs="Arial" w:eastAsia="Arial" w:hAnsi="Arial"/>
          <w:sz w:val="20"/>
          <w:szCs w:val="20"/>
          <w:color w:val="auto"/>
        </w:rPr>
        <w:t>our ordinary shares or ADSs constitute a “United States real property interest” by reason of our status as a United States real property holding corporation, for U.S. federal income tax purposes at any time within the shorter of the five-year period preceding the disposition or the non-U.S. holder’s holding</w:t>
      </w:r>
    </w:p>
    <w:p>
      <w:pPr>
        <w:sectPr>
          <w:pgSz w:w="11880" w:h="15480" w:orient="portrait"/>
          <w:cols w:equalWidth="0" w:num="1">
            <w:col w:w="9700"/>
          </w:cols>
          <w:pgMar w:left="1080" w:top="1066" w:right="1100" w:bottom="555" w:gutter="0" w:footer="0" w:header="0"/>
        </w:sect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156</w:t>
      </w:r>
    </w:p>
    <w:p>
      <w:pPr>
        <w:sectPr>
          <w:pgSz w:w="11880" w:h="15480" w:orient="portrait"/>
          <w:cols w:equalWidth="0" w:num="1">
            <w:col w:w="9700"/>
          </w:cols>
          <w:pgMar w:left="1080" w:top="1066" w:right="1100" w:bottom="555" w:gutter="0" w:footer="0" w:header="0"/>
          <w:type w:val="continuous"/>
        </w:sectPr>
      </w:pPr>
    </w:p>
    <w:bookmarkStart w:id="158" w:name="page159"/>
    <w:bookmarkEnd w:id="158"/>
    <w:p>
      <w:pPr>
        <w:jc w:val="both"/>
        <w:ind w:left="720" w:right="420"/>
        <w:spacing w:after="0" w:line="262" w:lineRule="auto"/>
        <w:rPr>
          <w:sz w:val="20"/>
          <w:szCs w:val="20"/>
          <w:color w:val="auto"/>
        </w:rPr>
      </w:pPr>
      <w:r>
        <w:rPr>
          <w:rFonts w:ascii="Arial" w:cs="Arial" w:eastAsia="Arial" w:hAnsi="Arial"/>
          <w:sz w:val="20"/>
          <w:szCs w:val="20"/>
          <w:color w:val="auto"/>
        </w:rPr>
        <w:t>period for our ordinary shares or ADSs, and our ordinary shares or ADSs, as applicable, are not regularly traded on an established securities market during the calendar year in which the sale or other disposition occurs.</w:t>
      </w:r>
    </w:p>
    <w:p>
      <w:pPr>
        <w:spacing w:after="0" w:line="177"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Gain described in the first bullet point above generally will be subject to U.S. federal income tax on a net income basis at the regular U.S. federal income tax rates in the same manner as if such holder were a resident of the United States. A non- 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88"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A non-U.S. holder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194"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Determining whether we are a United States real property holding corporation in the third bullet point above depends on the fair market value of our U.S. real property interests relative to the fair market value of our other trade or business assets and our foreign real property interests. We believe that we are not currently and do not anticipate becoming a United States real property holding corporation for U.S. federal income tax purposes but cannot give assurance that we are not or will not become a United States real property holding corporation. Even if we are or were to become a United States real property holding corporation, gain arising from the sale or other taxable disposition by a non-U.S. holder of our ordinary shares or ADSs will not be subject to U.S. federal income tax on transfers of United States real property holding corporation shares if the ordinary shares or ADSs are “regularly traded,” as defined by applicable Treasury Regulations, on an established securities market, and such non-U.S. holder owned, actually and constructively, 5% or less of the ordinary shares or ADSs, as applicable, throughout the shorter of, the five-year period ending on the date of the sale or other taxable disposition or, the Non-U.S. holder’s holding period. We do not expect that our ordinary shares will be treated as regularly traded on an established securities market, and there can be no assurance that our ADSs will qualify or continue to qualify as regularly traded on an established securities market. If any gain on a non -U.S. holder’s disposition is taxable because we are a United States real property holding corporation and our ordinary shares or ADSs are not treated as regularly traded on an established securities market, the non-U.S. holder will be taxed on such disposition generally in the same manner as gain that is effectively connected with the conduct of a U.S. trade or business (subject to the provisions under an applicable income tax treaty), except that the branch profits tax generally will not apply.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Information Reporting and Backup Withholding</w:t>
      </w:r>
    </w:p>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Annual reports are required to be filed with the IRS and provided to each non -U.S. holder indicating the amount of dividends on our ordinary shares or ADSs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generally will not apply to payments to a non-U.S. holder of dividends on or the gross proceeds of a disposition of our ordinary shares or ADSs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94" w:lineRule="exact"/>
        <w:rPr>
          <w:sz w:val="20"/>
          <w:szCs w:val="20"/>
          <w:color w:val="auto"/>
        </w:rPr>
      </w:pPr>
    </w:p>
    <w:p>
      <w:pPr>
        <w:jc w:val="both"/>
        <w:ind w:right="40"/>
        <w:spacing w:after="0" w:line="262" w:lineRule="auto"/>
        <w:rPr>
          <w:sz w:val="20"/>
          <w:szCs w:val="20"/>
          <w:color w:val="auto"/>
        </w:rPr>
      </w:pPr>
      <w:r>
        <w:rPr>
          <w:rFonts w:ascii="Arial" w:cs="Arial" w:eastAsia="Arial" w:hAnsi="Arial"/>
          <w:sz w:val="20"/>
          <w:szCs w:val="20"/>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ectPr>
          <w:pgSz w:w="11880" w:h="15480" w:orient="portrait"/>
          <w:cols w:equalWidth="0" w:num="1">
            <w:col w:w="9700"/>
          </w:cols>
          <w:pgMar w:left="1080" w:top="1066" w:right="1100" w:bottom="555" w:gutter="0" w:footer="0" w:header="0"/>
        </w:sect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157</w:t>
      </w:r>
    </w:p>
    <w:p>
      <w:pPr>
        <w:sectPr>
          <w:pgSz w:w="11880" w:h="15480" w:orient="portrait"/>
          <w:cols w:equalWidth="0" w:num="1">
            <w:col w:w="9700"/>
          </w:cols>
          <w:pgMar w:left="1080" w:top="1066" w:right="1100" w:bottom="555" w:gutter="0" w:footer="0" w:header="0"/>
          <w:type w:val="continuous"/>
        </w:sectPr>
      </w:pPr>
    </w:p>
    <w:bookmarkStart w:id="159" w:name="page160"/>
    <w:bookmarkEnd w:id="159"/>
    <w:p>
      <w:pPr>
        <w:spacing w:after="0"/>
        <w:rPr>
          <w:sz w:val="20"/>
          <w:szCs w:val="20"/>
          <w:color w:val="auto"/>
        </w:rPr>
      </w:pPr>
      <w:r>
        <w:rPr>
          <w:rFonts w:ascii="Arial" w:cs="Arial" w:eastAsia="Arial" w:hAnsi="Arial"/>
          <w:sz w:val="20"/>
          <w:szCs w:val="20"/>
          <w:u w:val="single" w:color="auto"/>
          <w:color w:val="auto"/>
        </w:rPr>
        <w:t>Withholding on Foreign Entities or Accounts</w:t>
      </w:r>
    </w:p>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w:t>
      </w:r>
    </w:p>
    <w:p>
      <w:pPr>
        <w:spacing w:after="0" w:line="198" w:lineRule="exact"/>
        <w:rPr>
          <w:sz w:val="20"/>
          <w:szCs w:val="20"/>
          <w:color w:val="auto"/>
        </w:rPr>
      </w:pPr>
    </w:p>
    <w:p>
      <w:pPr>
        <w:ind w:right="180"/>
        <w:spacing w:after="0" w:line="251" w:lineRule="auto"/>
        <w:rPr>
          <w:sz w:val="20"/>
          <w:szCs w:val="20"/>
          <w:color w:val="auto"/>
        </w:rPr>
      </w:pPr>
      <w:r>
        <w:rPr>
          <w:rFonts w:ascii="Arial" w:cs="Arial" w:eastAsia="Arial" w:hAnsi="Arial"/>
          <w:sz w:val="20"/>
          <w:szCs w:val="20"/>
          <w:color w:val="auto"/>
        </w:rPr>
        <w:t>FATCA applies to dividends paid on our ordinary shares and ADSs. Proposed regulations issued by the Treasury Department (on which taxpayers are entitled to rely until final regulations are issued) eliminate the federal withholding tax of 30% imposed by FATCA to gross proceeds of a sale or other disposition of our ordinary shares or ADSs. Prospective investors are encouraged to consult with their own tax advisors regarding the possible implications of this FATCA on their investment in our ordinary shares or ADSs.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ectPr>
          <w:pgSz w:w="11880" w:h="15480" w:orient="portrait"/>
          <w:cols w:equalWidth="0" w:num="1">
            <w:col w:w="9660"/>
          </w:cols>
          <w:pgMar w:left="1080" w:top="1067" w:right="114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158</w:t>
      </w:r>
    </w:p>
    <w:p>
      <w:pPr>
        <w:sectPr>
          <w:pgSz w:w="11880" w:h="15480" w:orient="portrait"/>
          <w:cols w:equalWidth="0" w:num="1">
            <w:col w:w="9660"/>
          </w:cols>
          <w:pgMar w:left="1080" w:top="1067" w:right="1140" w:bottom="555" w:gutter="0" w:footer="0" w:header="0"/>
          <w:type w:val="continuous"/>
        </w:sectPr>
      </w:pPr>
    </w:p>
    <w:bookmarkStart w:id="160" w:name="page161"/>
    <w:bookmarkEnd w:id="160"/>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51" w:lineRule="exact"/>
        <w:rPr>
          <w:sz w:val="20"/>
          <w:szCs w:val="20"/>
          <w:color w:val="auto"/>
        </w:rPr>
      </w:pPr>
    </w:p>
    <w:p>
      <w:pPr>
        <w:ind w:right="160"/>
        <w:spacing w:after="0"/>
        <w:rPr>
          <w:sz w:val="20"/>
          <w:szCs w:val="20"/>
          <w:color w:val="auto"/>
        </w:rPr>
      </w:pPr>
      <w:r>
        <w:rPr>
          <w:rFonts w:ascii="Arial" w:cs="Arial" w:eastAsia="Arial" w:hAnsi="Arial"/>
          <w:sz w:val="20"/>
          <w:szCs w:val="20"/>
          <w:i w:val="1"/>
          <w:iCs w:val="1"/>
          <w:color w:val="auto"/>
        </w:rPr>
        <w:t>You should carefully read, consider, and evaluate the following discussion and analysis of our financial condition and results of operations together with our consolidated financial statements and the related notes included in Part II. Item 8 “Financial Statements and Supplementary Data” of this Annual Report on</w:t>
      </w:r>
    </w:p>
    <w:p>
      <w:pPr>
        <w:ind w:right="20"/>
        <w:spacing w:after="0" w:line="246" w:lineRule="auto"/>
        <w:rPr>
          <w:sz w:val="20"/>
          <w:szCs w:val="20"/>
          <w:color w:val="auto"/>
        </w:rPr>
      </w:pPr>
      <w:r>
        <w:rPr>
          <w:rFonts w:ascii="Arial" w:cs="Arial" w:eastAsia="Arial" w:hAnsi="Arial"/>
          <w:sz w:val="20"/>
          <w:szCs w:val="20"/>
          <w:i w:val="1"/>
          <w:iCs w:val="1"/>
          <w:color w:val="auto"/>
        </w:rPr>
        <w:t>Form 10-K (“Annual Report”) . This discussion and other parts of this Annual Report contain forward-looking statements that involve risks and uncertainties, such as statements of our plans, objectives, expectations and intentions, which are based on the beliefs of our management, as well as assumptions made by, and information currently available to, our management. Our actual results could differ materially from those discussed in these forward-looking statements. Please also see the section titled “Cautionary Note Regarding Forward-Looking Statements.” Factors that could cause or contribute to such differences include, but are not limited to, those discussed in Part I. Item 1A.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2" w:lineRule="exact"/>
        <w:rPr>
          <w:sz w:val="20"/>
          <w:szCs w:val="20"/>
          <w:color w:val="auto"/>
        </w:rPr>
      </w:pPr>
    </w:p>
    <w:p>
      <w:pPr>
        <w:ind w:firstLine="1"/>
        <w:spacing w:after="0" w:line="245" w:lineRule="auto"/>
        <w:rPr>
          <w:sz w:val="20"/>
          <w:szCs w:val="20"/>
          <w:color w:val="auto"/>
        </w:rPr>
      </w:pPr>
      <w:r>
        <w:rPr>
          <w:rFonts w:ascii="Arial" w:cs="Arial" w:eastAsia="Arial" w:hAnsi="Arial"/>
          <w:sz w:val="20"/>
          <w:szCs w:val="20"/>
          <w:color w:val="auto"/>
        </w:rPr>
        <w:t>We are a clinical stage global biopharmaceutical company aiming to develop and deliver novel oral therapeutics to treat a wide range of chronic diseases with unmet medical need. Our differentiated technology platform leverages structure -based drug discovery and computational chemistry expertise and enables us to develop oral small molecule therapeutics for the treatment of various diseases including those impacting the metabolic, cardiovascular, and pulmonary systems. In February 2023, we completed our Initial Public Offering (“IPO”) for net proceeds of approximately $166.7 million, after deducting the underwriting discounts and commissions and estimated offering expenses payable by us. In September 2023, we entered into a share purchase agreement with certain institutional investors (the “Purchase Agreement”), pursuant to which we issued and sold an aggregate of 21,617,295 ordinary shares and 2,401,920 non-voting ordinary shares for net proceeds of approximately $281.5 million (the “Private Placement”).</w:t>
      </w:r>
    </w:p>
    <w:p>
      <w:pPr>
        <w:spacing w:after="0" w:line="193"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Our initial focus is on G-protein coupled receptors (“GPCRs”) as a therapeutic target class. GPCRs regulate numerous diverse physiological and pathological processes, and approximately one in every three marketed medicines targets GPCR-associated pathways. By leveraging our world-class GPCR know-how, we aim to design differentiated small molecule therapies to overcome the limitations of biologics and peptide therapies targeting this family of receptors. We are developing GSBR-1290, our oral small molecule product candidate targeting the validated glucagon-like-peptide-1 receptor (“GLP-1R”) for the treatment of type 2 diabetes mellitus (“T2DM”) and obesity. We completed our Phase 1 single ascending dose (“SAD”) study of GSBR-1290 in September 2022. GSBR-1290 was generally well tolerated and demonstrated</w:t>
      </w:r>
    </w:p>
    <w:p>
      <w:pPr>
        <w:ind w:right="40"/>
        <w:spacing w:after="0" w:line="242" w:lineRule="auto"/>
        <w:rPr>
          <w:sz w:val="20"/>
          <w:szCs w:val="20"/>
          <w:color w:val="auto"/>
        </w:rPr>
      </w:pPr>
      <w:r>
        <w:rPr>
          <w:rFonts w:ascii="Arial" w:cs="Arial" w:eastAsia="Arial" w:hAnsi="Arial"/>
          <w:sz w:val="20"/>
          <w:szCs w:val="20"/>
          <w:color w:val="auto"/>
        </w:rPr>
        <w:t>dose- dependent pharmacokinetic (“PK”) and pharmacodynamic (“PD”) activity. We submitted an investigational new drug (“IND”) application to the U.S. Food and Drug Administration (“FDA”) to support initiation of a Phase 1b study in T2DM and obesity and received FDA allowance in September 2022. We initiated the Phase 1b multiple ascending dose (“MAD”) study of GSBR -1290 in January 2023 and completed dosing in otherwise healthy overweight subjects in March 2023. In May 2023, we submitted a protocol amendment to the FDA and initiated dosing of the Phase 2a proof-of-concept study in T2DM and obesity. We reported topline data for the 28-day Phase 1b MAD study in September 2023, in which GSBR-1290 was generally well-tolerated with no adverse event -related discontinuations and demonstrated an encouraging safety profile and significant weight loss of up to 4.9% placebo- adjusted, supporting once -daily dosing. In December 2023, we reported clinically meaningful topline data from our Phase 2a T2DM cohort, interim results from our Phase 2a obesity cohort and topline data from a Japanese ethno-bridging study of GSBR-1290. These data demonstrated that GSBR-1290 was generally well-tolerated, with no treatment-related SAEs over 12 weeks, with only one participant discontinuing the study due to adverse events in the T2DM cohort and none in the obesity cohort. GSBR- 1290 also showed significant reduction in weight in the obesity cohort at 8 weeks, and significant reductions in hemoglobin A1c (“HbA1c”) and weight in the T2DM cohort. We expect to report the full 12-week Phase 2a obesity data in the latter half of the second quarter of 2024 with additional 24 participant data. We also fully enrolled a formulation bridging and titration optimization study to evaluate capsule versus tablet PK and explore different titration regimens of GSBR-1290. This study is expected to be completed in the latter half of the second quarter of 2024, in preparation for the global Phase 2b study for obesity which we expect to initiate in the fourth quarter of 2024. A Phase 2 study in T2DM is also planned for the second half of 2024.</w:t>
      </w:r>
    </w:p>
    <w:p>
      <w:pPr>
        <w:sectPr>
          <w:pgSz w:w="11880" w:h="15480" w:orient="portrait"/>
          <w:cols w:equalWidth="0" w:num="1">
            <w:col w:w="9700"/>
          </w:cols>
          <w:pgMar w:left="1080" w:top="1063" w:right="1100" w:bottom="555"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159</w:t>
      </w:r>
    </w:p>
    <w:p>
      <w:pPr>
        <w:sectPr>
          <w:pgSz w:w="11880" w:h="15480" w:orient="portrait"/>
          <w:cols w:equalWidth="0" w:num="1">
            <w:col w:w="9700"/>
          </w:cols>
          <w:pgMar w:left="1080" w:top="1063" w:right="1100" w:bottom="555" w:gutter="0" w:footer="0" w:header="0"/>
          <w:type w:val="continuous"/>
        </w:sectPr>
      </w:pPr>
    </w:p>
    <w:bookmarkStart w:id="161" w:name="page162"/>
    <w:bookmarkEnd w:id="161"/>
    <w:p>
      <w:pPr>
        <w:ind w:right="20"/>
        <w:spacing w:after="0" w:line="284" w:lineRule="auto"/>
        <w:rPr>
          <w:sz w:val="20"/>
          <w:szCs w:val="20"/>
          <w:color w:val="auto"/>
        </w:rPr>
      </w:pPr>
      <w:r>
        <w:rPr>
          <w:rFonts w:ascii="Arial" w:cs="Arial" w:eastAsia="Arial" w:hAnsi="Arial"/>
          <w:sz w:val="20"/>
          <w:szCs w:val="20"/>
          <w:color w:val="auto"/>
        </w:rPr>
        <w:t>We are advancing a robust pipeline of small molecule therapeutic candidates for chronic diseases with unmet medical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106680</wp:posOffset>
            </wp:positionV>
            <wp:extent cx="5584190" cy="20116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1">
                      <a:extLst>
                        <a:ext uri="{28A0092B-C50C-407E-A947-70E740481C1C}"/>
                      </a:extLst>
                    </a:blip>
                    <a:srcRect/>
                    <a:stretch>
                      <a:fillRect/>
                    </a:stretch>
                  </pic:blipFill>
                  <pic:spPr bwMode="auto">
                    <a:xfrm>
                      <a:off x="0" y="0"/>
                      <a:ext cx="5584190" cy="201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We outsource clinical drug manufacturing, storage, distribution and quality testing to third-party manufacturers. We believe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 We have established a manufacturing plan in the U.S. and continue to contract in parallel with additional suppliers in the US and other regions outside of China to diversify the manufacturing of our active pharmaceutical ingredient and drug product. As our development programs progress and we build new process efficiencies, we expect to continually evaluate this strategy with the objective of satisfying demand for registration trials and, if approved, the manufacture, sale and distribution of commercial products.</w:t>
      </w:r>
    </w:p>
    <w:p>
      <w:pPr>
        <w:spacing w:after="0" w:line="197"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auto"/>
        </w:rPr>
        <w:t>We are a Cayman Islands exempted company incorporated with limited liability. We were initially formed as a Delaware limited liability company in 2016 under the name ShouTi Inc., and reorganized as a Cayman Islands exempted company in February 2019. Our primary activities to date have included organizing and staffing our company, business and scientific planning, raising capital, conducting research and development activities, entering into strategic and corporate structuring transactions, enabling manufacturing activities in support of our product candidate development efforts, and establishing our intellectual property portfolio, and providing general and administrative support for these activities. We do not have any product candidates approved for sale and have not generated any revenue from our products. Since our inception, we have incurred net operating losses and negative cash flows from operations. We had net losses of $89.6 million and $51.3 million in the years ended December 31, 2023 and 2022, respectively. As of December 31, 2023, we had an accumulated deficit of $206.6 million. Historically, we have financed our operations primarily through the private placement of equity securities. In February 2023, we completed our IPO of our American depositary shares (“ADSs”), in which we issued and sold an aggregate of 12,351,000 ADSs (inclusive of 1,611,000 ADSs pursuant to the exercise by the underwriters of their option) at a price of $15.00 per ADS for net cash proceeds of approximately $166.7 million, net of underwriting discounts and commissions and estimated offering costs. Upon the closing of the IPO, all outstanding shares of redeemable convertible preferred shares automatically converted into 67,018,087 ordinary shares. Subsequent to the closing of the IPO, there were no shares of redeemable convertible preferred shares outstanding. In September 2023, we entered into a share purchase agreement with certain institutional investors (the “Purchasers”), pursuant to which we agreed to sell and issue to the Purchasers an aggregate of 21,617,295 ordinary shares and 2,401,920 newly designated non-voting ordinary shares at a purchase price of $12.49 per share (or the equivalent of $37.47 per ADS), the closing price of our ADS on the Nasdaq Global Market 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September 28, 2023. We completed the Private Placement in October 2023 and received approximately</w:t>
      </w:r>
    </w:p>
    <w:p>
      <w:pPr>
        <w:spacing w:after="0"/>
        <w:rPr>
          <w:sz w:val="20"/>
          <w:szCs w:val="20"/>
          <w:color w:val="auto"/>
        </w:rPr>
      </w:pPr>
      <w:r>
        <w:rPr>
          <w:rFonts w:ascii="Arial" w:cs="Arial" w:eastAsia="Arial" w:hAnsi="Arial"/>
          <w:sz w:val="20"/>
          <w:szCs w:val="20"/>
          <w:color w:val="auto"/>
        </w:rPr>
        <w:t>$281.5 million in net proceeds after deducting placement agent fees and other private placement expenses.</w:t>
      </w:r>
    </w:p>
    <w:p>
      <w:pPr>
        <w:spacing w:after="0" w:line="240" w:lineRule="exact"/>
        <w:rPr>
          <w:sz w:val="20"/>
          <w:szCs w:val="20"/>
          <w:color w:val="auto"/>
        </w:rPr>
      </w:pPr>
    </w:p>
    <w:p>
      <w:pPr>
        <w:ind w:right="420"/>
        <w:spacing w:after="0" w:line="283" w:lineRule="auto"/>
        <w:rPr>
          <w:sz w:val="20"/>
          <w:szCs w:val="20"/>
          <w:color w:val="auto"/>
        </w:rPr>
      </w:pPr>
      <w:r>
        <w:rPr>
          <w:rFonts w:ascii="Arial" w:cs="Arial" w:eastAsia="Arial" w:hAnsi="Arial"/>
          <w:sz w:val="20"/>
          <w:szCs w:val="20"/>
          <w:color w:val="auto"/>
        </w:rPr>
        <w:t>As of December 31, 2023, we have cash, cash equivalents and short-term investments of $467.3 million. Based on our current business plan, we estimate that our existing cash, cash equivalents and short-term</w:t>
      </w:r>
    </w:p>
    <w:p>
      <w:pPr>
        <w:sectPr>
          <w:pgSz w:w="11880" w:h="15480" w:orient="portrait"/>
          <w:cols w:equalWidth="0" w:num="1">
            <w:col w:w="9680"/>
          </w:cols>
          <w:pgMar w:left="1080" w:top="1066" w:right="1120" w:bottom="555" w:gutter="0" w:footer="0" w:header="0"/>
        </w:sect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160</w:t>
      </w:r>
    </w:p>
    <w:p>
      <w:pPr>
        <w:sectPr>
          <w:pgSz w:w="11880" w:h="15480" w:orient="portrait"/>
          <w:cols w:equalWidth="0" w:num="1">
            <w:col w:w="9680"/>
          </w:cols>
          <w:pgMar w:left="1080" w:top="1066" w:right="1120" w:bottom="555" w:gutter="0" w:footer="0" w:header="0"/>
          <w:type w:val="continuous"/>
        </w:sectPr>
      </w:pPr>
    </w:p>
    <w:bookmarkStart w:id="162" w:name="page163"/>
    <w:bookmarkEnd w:id="162"/>
    <w:p>
      <w:pPr>
        <w:ind w:right="300"/>
        <w:spacing w:after="0" w:line="262" w:lineRule="auto"/>
        <w:rPr>
          <w:sz w:val="20"/>
          <w:szCs w:val="20"/>
          <w:color w:val="auto"/>
        </w:rPr>
      </w:pPr>
      <w:r>
        <w:rPr>
          <w:rFonts w:ascii="Arial" w:cs="Arial" w:eastAsia="Arial" w:hAnsi="Arial"/>
          <w:sz w:val="20"/>
          <w:szCs w:val="20"/>
          <w:color w:val="auto"/>
        </w:rPr>
        <w:t>investments will be sufficient to fund our projected operations through at least 2026. We have based this estimate on assumptions that may prove to be wrong, and we may exhaust our available capital resources sooner than we expect.</w:t>
      </w:r>
    </w:p>
    <w:p>
      <w:pPr>
        <w:spacing w:after="0" w:line="177"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We expect to continue to incur significant and increasing expenses and operating losses for the foreseeable future, particularly if and as we continue to invest in our research and development activities and initiate additional clinical trials, expand our product pipeline, hire additional personnel and invest in and grow our business, maintain, expand and protect our intellectual property portfolio, and seek regulatory approvals for and commercialize any approved product candidates. In addition, we expect to incur additional costs associated with operating as a public company, including significant legal, audit, accounting, regulatory, consulting, and tax-related services associated with being a public company, compliance with Nasdaq listing and SEC requirements, director and officer insurance premiums and investor relations costs that we did not incur as a private company. As a result, we will need substantial additional capital to develop our product candidates and fund operations for the foreseeable future. Moreover, we may in the future seek to acquire or invest in additional businesses, products, or technologies that we believe could complement or enhance our product, enhance our technical capabilities or otherwise offer growth opportunities, although we currently have no agreements or understandings with respect to any such acquisitions or investments. Until such time as we can generate significant revenue from our products, if ever, we expect to finance our operations through the public or private sale of equity, government or private party grants, debt financings or other capital sources, including potential collaborations with other companies or other strategic transactions.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third-parties, we may have to relinquish valuable rights to our platform technology, future revenue streams, research programs or product candidates or may have to grant licenses on terms that may not be favorable to us and/or may reduce the value of our ordinary shares. Because of the numerous risks and uncertainties associated with product development, we cannot predict the timing or amount of increased expenses or when or if we will be able to achieve or maintain profitability.</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Geopolitical and Macroeconomic Factors</w:t>
      </w:r>
    </w:p>
    <w:p>
      <w:pPr>
        <w:spacing w:after="0" w:line="242"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Although we did not see a significant financial impact to our business operations as a result of recent geopolitical and macroeconomic developments, such as recent and potential future disruptions in access to bank deposits or lending commitments due to bank failures, global pandemics, geopolitical tensions between the U.S. and China and the ongoing Russia/Ukraine conflict for the year ended December 31, 2023, there may be potential impacts to our business in the future that are highly uncertain and difficult to predict, including our ability to raise additional funds, disruptions to the supply chain and the manufacture or shipment of drug substances and finished drug products for our product candidates for use in our research, preclinical studies and clinical trials, impediments to our clinical trial initiation and recruitment, errors or omissions at our clinical sites and the ability of patients to continue in clinical trials, delays in the FDA’s review and approval processes, our ability to effectively operate across different geographies in which our offices are located, continued increases in interest rates and economic inflation, bank failures, the impact on the global economy due to the Israel -Hamas war, higher prices of supplies, and changes in availability and cost of credit and our ability to access capital. The ultimate impact of these geopolitical and macroeconomic factors, as well as any lasting effects on the way we conduct our business, is highly uncertain and subject to continued change, and we recognize that they may continue to present unique challenges for us.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Lhotse Collaboration Agreement with Schrödinger, LLC</w:t>
      </w:r>
    </w:p>
    <w:p>
      <w:pPr>
        <w:spacing w:after="0" w:line="24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October 2020, Lhotse Bio, Inc., our wholly-owned subsidiary, entered into a Collaboration Agreement (the “Lhotse-Schrödinger Agreement”) with Schrödinger, LLC (together with its affiliates, “Schrödinger”) to discover and develop novel, orally bioavailable, small molecule inhibitors of lysophosphatidic acid 1 receptor (“LPA1R”). Under the Lhotse-Schrödinger Agreement, Schrödinger is obligated to provide computational modeling and design support, including by using its technology platform to perform virtual screens, and</w:t>
      </w:r>
    </w:p>
    <w:p>
      <w:pPr>
        <w:sectPr>
          <w:pgSz w:w="11880" w:h="15480" w:orient="portrait"/>
          <w:cols w:equalWidth="0" w:num="1">
            <w:col w:w="9700"/>
          </w:cols>
          <w:pgMar w:left="1080" w:top="1066" w:right="1100" w:bottom="555"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161</w:t>
      </w:r>
    </w:p>
    <w:p>
      <w:pPr>
        <w:sectPr>
          <w:pgSz w:w="11880" w:h="15480" w:orient="portrait"/>
          <w:cols w:equalWidth="0" w:num="1">
            <w:col w:w="9700"/>
          </w:cols>
          <w:pgMar w:left="1080" w:top="1066" w:right="1100" w:bottom="555" w:gutter="0" w:footer="0" w:header="0"/>
          <w:type w:val="continuous"/>
        </w:sectPr>
      </w:pPr>
    </w:p>
    <w:bookmarkStart w:id="163" w:name="page164"/>
    <w:bookmarkEnd w:id="163"/>
    <w:p>
      <w:pPr>
        <w:ind w:right="20"/>
        <w:spacing w:after="0" w:line="246" w:lineRule="auto"/>
        <w:rPr>
          <w:sz w:val="20"/>
          <w:szCs w:val="20"/>
          <w:color w:val="auto"/>
        </w:rPr>
      </w:pPr>
      <w:r>
        <w:rPr>
          <w:rFonts w:ascii="Arial" w:cs="Arial" w:eastAsia="Arial" w:hAnsi="Arial"/>
          <w:sz w:val="20"/>
          <w:szCs w:val="20"/>
          <w:color w:val="auto"/>
        </w:rPr>
        <w:t>Lhotse is obligated to provide day-to-day chemistry and biology support. Pursuant to the Lhotse -Schrödinger Agreement, a joint steering committee comprised of representatives from both parties oversees the research performed under the agreement. During the term of the Lhotse-Schrödinger Agreement and for a specified period thereafter while Lhotse is engaged in active development of any compound having activity against LPA1R that is discovered or developed under the Lhotse-Schrödinger Agreement, Schrödinger is obligated to work exclusively with Lhotse on the design, research, development and commercialization of compounds that inhibit LPA1R. Lhotse will solely own the research results, work product, inventions and other intellectual property generated under the Lhotse-Schrödinger Agreement that are directed to LPA1R.</w:t>
      </w:r>
    </w:p>
    <w:p>
      <w:pPr>
        <w:spacing w:after="0" w:line="19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Under the Lhotse-Schrödinger Agreement, Lhotse is obligated to pay Schrödinger a quarterly active program payment in the low six digits for each successive three-month period during which Schrödinger continues to perform research work as agreed by the parties, and as of December 31, 2023, we have paid to Schrödinger an aggregate of $0.8 million. If Lhotse develops and commercializes a product containing a compound (a “Lhotse Collaboration Compound”), that is discovered or developed under the Lhotse-Schrödinger Agreement (a “Lhotse Collaboration Product”), Lhotse is obligated to pay Schrödinger development and regulatory milestone payments of up to an aggregate of $17.0 million, regardless of the number of Lhotse Collaboration Products that reach such milestones. Lhotse will also be obligated to pay Schrödinger tiered royalties on a Lhotse Collaboration Product-by- Lhotse Collaboration Product basis equal to low single digit percentages on aggregate worldwide net sales of Lhotse Collaboration Products, subject to specified reductions and offsets. Lhotse’s obligation to pay royalties to Schrödinger will expire on a Lhotse Collaboration Product-by- Lhotse Collaboration Product and country-by-country basis on the later of (i) the expiration of the last-to-expire Lhotse patent claim covering the composition of matter of the Lhotse Collaboration Compound contained in such Lhotse Collaboration Product in such country, (ii) the expiration of regulatory, pediatric, orphan drug, or data exclusivity with respect to such Lhotse Collaboration Product in such country, and (iii) ten years after the first commercial sale of such Lhotse Collaboration Product in such country (the “Lhotse Royalty Term”).</w:t>
      </w:r>
    </w:p>
    <w:p>
      <w:pPr>
        <w:spacing w:after="0" w:line="194"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Unless terminated earlier, the Lhotse-Schrödinger Agreement will continue for three years, subject to extension by mutual written agreement of the parties. Either party may terminate the Lhotse-Schrödinger Agreement for the other party’s uncured material breach, subject to certain notice and cure periods, or for the other party’s bankruptcy or insolvency. Lhotse’s obligation to make milestone and royalty payments (subject to the Royalty Term) to Schrödinger continues after the expiration or termination of the Lhotse-Schrödinger Agreement. As of December 31, 2023, no milestone or royalty payments have been paid or accrued.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Aconcagua Collaboration Agreement with Schrödinger</w:t>
      </w:r>
    </w:p>
    <w:p>
      <w:pPr>
        <w:spacing w:after="0" w:line="24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 November 2023, Aconcagua Bio, Inc., our wholly-owned subsidiary (“Aconcagua”), entered into a collaboration agreement (the “Aconcagua-Schrödinger Agreement”) with Schrödinger to discover and develop novel, small molecule modulators of a specific target. Under the Aconcagua-Schrödinger Agreement, Schrödinger is obligated to provide computational modeling and design support, including by using its technology platform to perform virtual screens, and Aconcagua is obligated to provide day-to-day chemistry and biology support. Pursuant to the Aconcagua-Schrödinger Agreement, a joint steering committee comprised of representatives from both parties oversees the research performed under the agreement. During the term of the Aconcagua-Schrödinger Agreement or if longer, for a specified number of years after the effective date of the Aconcagua-Schrödinger Agreement, Schrödinger is obligated, subject to certain exceptions, to work exclusively with Aconcagua on the design, research, development and commercialization of compounds that inhibit the target. Aconcagua will solely own the research results, work product, inventions and other intellectual property generated under the Aconcagua-Schrödinger Agreement other than improvements to Schrödinger’s background intellectual property.</w:t>
      </w:r>
    </w:p>
    <w:p>
      <w:pPr>
        <w:spacing w:after="0" w:line="203"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During the term of the Aconcagua-Schrödinger Agreement, Aconcagua is obligated to pay Schrödinger a monthly active program payment in the low six digits, which payment includes fees payable for certain Schrödinger software employed in the Collaboration, and as of December 31, 2023, we have paid to Schrödinger an aggregate of $0.3 million. If Aconcagua develops and commercializes a product containing a compound (“Aconcagua Collaboration Compound”) that is discovered or developed under the Aconcagua-Schrödinger Agreement or a derivative thereof (“Aconcagua Collaboration Product”), Aconcagua is obligated</w:t>
      </w:r>
    </w:p>
    <w:p>
      <w:pPr>
        <w:sectPr>
          <w:pgSz w:w="11880" w:h="15480" w:orient="portrait"/>
          <w:cols w:equalWidth="0" w:num="1">
            <w:col w:w="9700"/>
          </w:cols>
          <w:pgMar w:left="1080" w:top="1066" w:right="1100" w:bottom="555"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162</w:t>
      </w:r>
    </w:p>
    <w:p>
      <w:pPr>
        <w:sectPr>
          <w:pgSz w:w="11880" w:h="15480" w:orient="portrait"/>
          <w:cols w:equalWidth="0" w:num="1">
            <w:col w:w="9700"/>
          </w:cols>
          <w:pgMar w:left="1080" w:top="1066" w:right="1100" w:bottom="555" w:gutter="0" w:footer="0" w:header="0"/>
          <w:type w:val="continuous"/>
        </w:sectPr>
      </w:pPr>
    </w:p>
    <w:bookmarkStart w:id="164" w:name="page165"/>
    <w:bookmarkEnd w:id="164"/>
    <w:p>
      <w:pPr>
        <w:spacing w:after="0" w:line="244" w:lineRule="auto"/>
        <w:rPr>
          <w:sz w:val="20"/>
          <w:szCs w:val="20"/>
          <w:color w:val="auto"/>
        </w:rPr>
      </w:pPr>
      <w:r>
        <w:rPr>
          <w:rFonts w:ascii="Arial" w:cs="Arial" w:eastAsia="Arial" w:hAnsi="Arial"/>
          <w:sz w:val="20"/>
          <w:szCs w:val="20"/>
          <w:color w:val="auto"/>
        </w:rPr>
        <w:t>to pay Schrödinger development, regulatory and commercialization milestone payments of up to an aggregate of $89.0 million for the first Aconcagua Collaboration Product to achieve a particular milestone event, regardless of the number of Aconcagua Collaboration Products that reach such milestones. Aconcagua will also be obligated to pay Schrödinger tiered royalties in the low single digit range on aggregate worldwide net sales of all Aconcagua Collaboration Products, subject to specified reductions and offsets. Aconcagua’s obligation to pay royalties to Schrödinger will expire on a Aconcagua Collaboration Product-by- Aconcagua Collaboration Product and country -by- country basis on the later of (i) the expiration of the last-to-expire Aconcagua owned patent claim covering the composition of matter of the Aconcagua Collaboration Compound contained in such Aconcagua Collaboration Product in such country and (ii) ten years after the first commercial sale of such Aconcagua Collaboration Product in such country (“Aconcagua Royalty Term”).</w:t>
      </w:r>
    </w:p>
    <w:p>
      <w:pPr>
        <w:spacing w:after="0" w:line="393" w:lineRule="exact"/>
        <w:rPr>
          <w:sz w:val="20"/>
          <w:szCs w:val="20"/>
          <w:color w:val="auto"/>
        </w:rPr>
      </w:pPr>
    </w:p>
    <w:p>
      <w:pPr>
        <w:ind w:right="60"/>
        <w:spacing w:after="0"/>
        <w:rPr>
          <w:sz w:val="20"/>
          <w:szCs w:val="20"/>
          <w:color w:val="auto"/>
        </w:rPr>
      </w:pPr>
      <w:r>
        <w:rPr>
          <w:rFonts w:ascii="Arial" w:cs="Arial" w:eastAsia="Arial" w:hAnsi="Arial"/>
          <w:sz w:val="20"/>
          <w:szCs w:val="20"/>
          <w:color w:val="auto"/>
        </w:rPr>
        <w:t>Unless terminated earlier, the Aconcagua-Schrödinger Agreement will continue for three years, subject to extension by mutual written agreement of the parties. Either party may terminate the Aconcagua-Schrödinger Agreement for convenience after a specified period or for the other party’s uncured material breach. Aconcagua’s obligation to make milestone and royalty payments (subject to the Aconcagua Royalty Term) to Schrödinger continues after the expiration or termination of the Aconcagua-Schrödinger Agreement, unless the Aconcagua-Schrödinger Agreement is terminated under specified circumstances. As of</w:t>
      </w:r>
    </w:p>
    <w:p>
      <w:pPr>
        <w:spacing w:after="0"/>
        <w:rPr>
          <w:sz w:val="20"/>
          <w:szCs w:val="20"/>
          <w:color w:val="auto"/>
        </w:rPr>
      </w:pPr>
      <w:r>
        <w:rPr>
          <w:rFonts w:ascii="Arial" w:cs="Arial" w:eastAsia="Arial" w:hAnsi="Arial"/>
          <w:sz w:val="20"/>
          <w:szCs w:val="20"/>
          <w:color w:val="auto"/>
        </w:rPr>
        <w:t>December 31, 2023, no milestone or royalty payments have been paid or accrued.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Our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Research and Development</w:t>
      </w:r>
    </w:p>
    <w:p>
      <w:pPr>
        <w:spacing w:after="0" w:line="191"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Our research and development activities primarily consist of discovery, engineering and research associated with our product candidates under development, including preclinical studies and clinical studies. Research and development expenses include personnel-related costs for our management, including salaries, bonuses, benefits and share-based compensation expenses, consulting services, clinical trial expenses, regulatory expenses, publications, and allocated overhead expenses, including rent, equipment, depreciation, information technology costs and utilities.</w:t>
      </w:r>
    </w:p>
    <w:p>
      <w:pPr>
        <w:spacing w:after="0" w:line="155"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We are focusing substantially all of our resources on the development of our product candidates and the discovery of new product candidates through our structure- based drug discovery platform. At this time, we cannot reasonably estimate or know the nature, timing and estimated costs of the efforts that will be necessary to complete the development of our product candidates. The duration, costs and timing of clinical trials and development of our product candidates will depend on a variety of factors, including:</w:t>
      </w:r>
    </w:p>
    <w:p>
      <w:pPr>
        <w:spacing w:after="0" w:line="166" w:lineRule="exact"/>
        <w:rPr>
          <w:sz w:val="20"/>
          <w:szCs w:val="20"/>
          <w:color w:val="auto"/>
        </w:rPr>
      </w:pPr>
    </w:p>
    <w:p>
      <w:pPr>
        <w:ind w:left="720" w:right="60" w:hanging="353"/>
        <w:spacing w:after="0" w:line="284" w:lineRule="auto"/>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scope, rate of progress, expense and results of our clinical trials and preclinical studies and other research and development activities;</w:t>
      </w:r>
    </w:p>
    <w:p>
      <w:pPr>
        <w:spacing w:after="0" w:line="29" w:lineRule="exact"/>
        <w:rPr>
          <w:rFonts w:ascii="Arial" w:cs="Arial" w:eastAsia="Arial" w:hAnsi="Arial"/>
          <w:sz w:val="20"/>
          <w:szCs w:val="20"/>
          <w:color w:val="auto"/>
        </w:rPr>
      </w:pPr>
    </w:p>
    <w:p>
      <w:pPr>
        <w:ind w:left="720" w:hanging="353"/>
        <w:spacing w:after="0"/>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impact of data collection omissions at any of our clinical sites;</w:t>
      </w:r>
    </w:p>
    <w:p>
      <w:pPr>
        <w:spacing w:after="0" w:line="113" w:lineRule="exact"/>
        <w:rPr>
          <w:rFonts w:ascii="Arial" w:cs="Arial" w:eastAsia="Arial" w:hAnsi="Arial"/>
          <w:sz w:val="20"/>
          <w:szCs w:val="20"/>
          <w:color w:val="auto"/>
        </w:rPr>
      </w:pPr>
    </w:p>
    <w:p>
      <w:pPr>
        <w:ind w:left="720" w:hanging="353"/>
        <w:spacing w:after="0"/>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phases of development of our product candidates;</w:t>
      </w:r>
    </w:p>
    <w:p>
      <w:pPr>
        <w:spacing w:after="0" w:line="114" w:lineRule="exact"/>
        <w:rPr>
          <w:rFonts w:ascii="Arial" w:cs="Arial" w:eastAsia="Arial" w:hAnsi="Arial"/>
          <w:sz w:val="20"/>
          <w:szCs w:val="20"/>
          <w:color w:val="auto"/>
        </w:rPr>
      </w:pPr>
    </w:p>
    <w:p>
      <w:pPr>
        <w:ind w:left="720" w:hanging="353"/>
        <w:spacing w:after="0"/>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number of trials required for approval;</w:t>
      </w:r>
    </w:p>
    <w:p>
      <w:pPr>
        <w:spacing w:after="0" w:line="113" w:lineRule="exact"/>
        <w:rPr>
          <w:rFonts w:ascii="Arial" w:cs="Arial" w:eastAsia="Arial" w:hAnsi="Arial"/>
          <w:sz w:val="20"/>
          <w:szCs w:val="20"/>
          <w:color w:val="auto"/>
        </w:rPr>
      </w:pPr>
    </w:p>
    <w:p>
      <w:pPr>
        <w:ind w:left="720" w:hanging="353"/>
        <w:spacing w:after="0"/>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number of sites included in our trials;</w:t>
      </w:r>
    </w:p>
    <w:p>
      <w:pPr>
        <w:spacing w:after="0" w:line="113" w:lineRule="exact"/>
        <w:rPr>
          <w:rFonts w:ascii="Arial" w:cs="Arial" w:eastAsia="Arial" w:hAnsi="Arial"/>
          <w:sz w:val="20"/>
          <w:szCs w:val="20"/>
          <w:color w:val="auto"/>
        </w:rPr>
      </w:pPr>
    </w:p>
    <w:p>
      <w:pPr>
        <w:ind w:left="720" w:hanging="353"/>
        <w:spacing w:after="0"/>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countries in which our trials are conducted;</w:t>
      </w:r>
    </w:p>
    <w:p>
      <w:pPr>
        <w:spacing w:after="0" w:line="113" w:lineRule="exact"/>
        <w:rPr>
          <w:rFonts w:ascii="Arial" w:cs="Arial" w:eastAsia="Arial" w:hAnsi="Arial"/>
          <w:sz w:val="20"/>
          <w:szCs w:val="20"/>
          <w:color w:val="auto"/>
        </w:rPr>
      </w:pPr>
    </w:p>
    <w:p>
      <w:pPr>
        <w:ind w:left="720" w:hanging="353"/>
        <w:spacing w:after="0"/>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per subject trial costs;</w:t>
      </w:r>
    </w:p>
    <w:p>
      <w:pPr>
        <w:spacing w:after="0" w:line="113" w:lineRule="exact"/>
        <w:rPr>
          <w:rFonts w:ascii="Arial" w:cs="Arial" w:eastAsia="Arial" w:hAnsi="Arial"/>
          <w:sz w:val="20"/>
          <w:szCs w:val="20"/>
          <w:color w:val="auto"/>
        </w:rPr>
      </w:pPr>
    </w:p>
    <w:p>
      <w:pPr>
        <w:ind w:left="720" w:hanging="353"/>
        <w:spacing w:after="0"/>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uncertainties in clinical trial enrollment rates or design and drop-out/discontinuation rates;</w:t>
      </w:r>
    </w:p>
    <w:p>
      <w:pPr>
        <w:spacing w:after="0" w:line="114" w:lineRule="exact"/>
        <w:rPr>
          <w:rFonts w:ascii="Arial" w:cs="Arial" w:eastAsia="Arial" w:hAnsi="Arial"/>
          <w:sz w:val="20"/>
          <w:szCs w:val="20"/>
          <w:color w:val="auto"/>
        </w:rPr>
      </w:pPr>
    </w:p>
    <w:p>
      <w:pPr>
        <w:ind w:left="720" w:hanging="353"/>
        <w:spacing w:after="0"/>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significant and changing government regulation;</w:t>
      </w:r>
    </w:p>
    <w:p>
      <w:pPr>
        <w:spacing w:after="0" w:line="113" w:lineRule="exact"/>
        <w:rPr>
          <w:rFonts w:ascii="Arial" w:cs="Arial" w:eastAsia="Arial" w:hAnsi="Arial"/>
          <w:sz w:val="20"/>
          <w:szCs w:val="20"/>
          <w:color w:val="auto"/>
        </w:rPr>
      </w:pPr>
    </w:p>
    <w:p>
      <w:pPr>
        <w:ind w:left="720" w:hanging="353"/>
        <w:spacing w:after="0"/>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timing and receipt of any regulatory approvals;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FDA’s, or other regulatory authority’s influence on clinical trial design;</w:t>
      </w:r>
    </w:p>
    <w:p>
      <w:pPr>
        <w:sectPr>
          <w:pgSz w:w="11880" w:h="15480" w:orient="portrait"/>
          <w:cols w:equalWidth="0" w:num="1">
            <w:col w:w="9700"/>
          </w:cols>
          <w:pgMar w:left="1080" w:top="1066" w:right="1100" w:bottom="555"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163</w:t>
      </w:r>
    </w:p>
    <w:p>
      <w:pPr>
        <w:sectPr>
          <w:pgSz w:w="11880" w:h="15480" w:orient="portrait"/>
          <w:cols w:equalWidth="0" w:num="1">
            <w:col w:w="9700"/>
          </w:cols>
          <w:pgMar w:left="1080" w:top="1066" w:right="1100" w:bottom="555" w:gutter="0" w:footer="0" w:header="0"/>
          <w:type w:val="continuous"/>
        </w:sectPr>
      </w:pPr>
    </w:p>
    <w:bookmarkStart w:id="165" w:name="page166"/>
    <w:bookmarkEnd w:id="165"/>
    <w:p>
      <w:pPr>
        <w:ind w:left="720" w:hanging="353"/>
        <w:spacing w:after="0"/>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making arrangements with third-party contract research organizations (“CROs”);</w:t>
      </w:r>
    </w:p>
    <w:p>
      <w:pPr>
        <w:spacing w:after="0" w:line="133" w:lineRule="exact"/>
        <w:rPr>
          <w:rFonts w:ascii="Arial" w:cs="Arial" w:eastAsia="Arial" w:hAnsi="Arial"/>
          <w:sz w:val="20"/>
          <w:szCs w:val="20"/>
          <w:color w:val="auto"/>
        </w:rPr>
      </w:pPr>
    </w:p>
    <w:p>
      <w:pPr>
        <w:ind w:left="720" w:hanging="353"/>
        <w:spacing w:after="0"/>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cost and timing of manufacturing our product candidates;</w:t>
      </w:r>
    </w:p>
    <w:p>
      <w:pPr>
        <w:spacing w:after="0" w:line="132" w:lineRule="exact"/>
        <w:rPr>
          <w:rFonts w:ascii="Arial" w:cs="Arial" w:eastAsia="Arial" w:hAnsi="Arial"/>
          <w:sz w:val="20"/>
          <w:szCs w:val="20"/>
          <w:color w:val="auto"/>
        </w:rPr>
      </w:pPr>
    </w:p>
    <w:p>
      <w:pPr>
        <w:ind w:left="720" w:right="380" w:hanging="353"/>
        <w:spacing w:after="0" w:line="284" w:lineRule="auto"/>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commercializing product candidates, if and when approved, whether alone or in collaboration with others; the extent to which we establish additional strategic arrangements;</w:t>
      </w:r>
    </w:p>
    <w:p>
      <w:pPr>
        <w:spacing w:after="0" w:line="49" w:lineRule="exact"/>
        <w:rPr>
          <w:rFonts w:ascii="Arial" w:cs="Arial" w:eastAsia="Arial" w:hAnsi="Arial"/>
          <w:sz w:val="20"/>
          <w:szCs w:val="20"/>
          <w:color w:val="auto"/>
        </w:rPr>
      </w:pPr>
    </w:p>
    <w:p>
      <w:pPr>
        <w:ind w:left="720" w:hanging="353"/>
        <w:spacing w:after="0" w:line="284" w:lineRule="auto"/>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obtaining and maintaining patent and trade secret protection and regulatory exclusivity for our product candidates; and</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retention of key research and development personnel.</w:t>
      </w:r>
    </w:p>
    <w:p>
      <w:pPr>
        <w:spacing w:after="0" w:line="239"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A change in the outcome of any of these variables with respect to the development of a product candidate could significantly change the costs, timing and viability associated with the development of that product candidate. For example, if the FDA, or an applicable foreign authority, were to require us to conduct clinical trials beyond those that we currently anticipate will be required for the completion of clinical development of our product candidates, or if we experience significant delays in enrollment in any of our clinical trials, we could be required to expend significant additional financial resources and time on the completion of clinical development. Furthermore, we are unable to predict when or if our product candidates will receive regulatory approval with any certainty.</w:t>
      </w:r>
    </w:p>
    <w:p>
      <w:pPr>
        <w:spacing w:after="0" w:line="194" w:lineRule="exact"/>
        <w:rPr>
          <w:sz w:val="20"/>
          <w:szCs w:val="20"/>
          <w:color w:val="auto"/>
        </w:rPr>
      </w:pPr>
    </w:p>
    <w:p>
      <w:pPr>
        <w:ind w:right="440"/>
        <w:spacing w:after="0" w:line="255" w:lineRule="auto"/>
        <w:rPr>
          <w:sz w:val="20"/>
          <w:szCs w:val="20"/>
          <w:color w:val="auto"/>
        </w:rPr>
      </w:pPr>
      <w:r>
        <w:rPr>
          <w:rFonts w:ascii="Arial" w:cs="Arial" w:eastAsia="Arial" w:hAnsi="Arial"/>
          <w:sz w:val="20"/>
          <w:szCs w:val="20"/>
          <w:color w:val="auto"/>
        </w:rPr>
        <w:t>We expect our research and development expenses to continue to account for a significant portion of our operating expenses, and to increase substantially during the next several years as we seek to complete preclinical studies, initiate and/or complete clinical trials, identify new product candidates and potentially pursue regulatory approval of our product candidates.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232" w:lineRule="exact"/>
        <w:rPr>
          <w:sz w:val="20"/>
          <w:szCs w:val="20"/>
          <w:color w:val="auto"/>
        </w:rPr>
      </w:pPr>
    </w:p>
    <w:p>
      <w:pPr>
        <w:ind w:right="360"/>
        <w:spacing w:after="0" w:line="248" w:lineRule="auto"/>
        <w:rPr>
          <w:sz w:val="20"/>
          <w:szCs w:val="20"/>
          <w:color w:val="auto"/>
        </w:rPr>
      </w:pPr>
      <w:r>
        <w:rPr>
          <w:rFonts w:ascii="Arial" w:cs="Arial" w:eastAsia="Arial" w:hAnsi="Arial"/>
          <w:sz w:val="20"/>
          <w:szCs w:val="20"/>
          <w:color w:val="auto"/>
        </w:rPr>
        <w:t>Our general and administrative expenses consist primarily of personnel-related costs for personnel in executive, legal, finance and other administrative functions, including salaries, bonuses, benefits and share-based compensation expenses, professional fees for legal, consulting, accounting and tax services, allocated overhead expenses, including rent, equipment, depreciation, information technology costs and utilities, and other general operating expenses not otherwise classified as research and development expenses.</w:t>
      </w:r>
    </w:p>
    <w:p>
      <w:pPr>
        <w:spacing w:after="0" w:line="194"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We expect our general and administrative expenses will increase during the next several years as we increase our headcount and expand our infrastructure to support our operations, particularly as a public company. Additionally, in connection with being a public company, we anticipate significant increased expenses related to legal, audit, accounting, regulatory, consulting, and tax-related services, compliance with SEC rules and regulations and Nasdaq listing requirements, director and officer insurance premiums and investor relations costs. Our general and administrative expenses may fluctuate from period to period as we continue to grow.</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and Other Income (Expense), Net</w:t>
      </w:r>
    </w:p>
    <w:p>
      <w:pPr>
        <w:spacing w:after="0" w:line="232" w:lineRule="exact"/>
        <w:rPr>
          <w:sz w:val="20"/>
          <w:szCs w:val="20"/>
          <w:color w:val="auto"/>
        </w:rPr>
      </w:pPr>
    </w:p>
    <w:p>
      <w:pPr>
        <w:ind w:right="200"/>
        <w:spacing w:after="0" w:line="254" w:lineRule="auto"/>
        <w:rPr>
          <w:sz w:val="20"/>
          <w:szCs w:val="20"/>
          <w:color w:val="auto"/>
        </w:rPr>
      </w:pPr>
      <w:r>
        <w:rPr>
          <w:rFonts w:ascii="Arial" w:cs="Arial" w:eastAsia="Arial" w:hAnsi="Arial"/>
          <w:sz w:val="20"/>
          <w:szCs w:val="20"/>
          <w:color w:val="auto"/>
        </w:rPr>
        <w:t>Interest and other income (expense), net primarily consists of interest income earned on our cash, cash equivalents and short-term investments, including amortization and accretion of premiums and discounts on short-term investments, foreign currency exchange gains and losses and interest expense for the amortization of debt issuance costs.</w:t>
      </w:r>
    </w:p>
    <w:p>
      <w:pPr>
        <w:sectPr>
          <w:pgSz w:w="11880" w:h="15480" w:orient="portrait"/>
          <w:cols w:equalWidth="0" w:num="1">
            <w:col w:w="9720"/>
          </w:cols>
          <w:pgMar w:left="1080" w:top="1080"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164</w:t>
      </w:r>
    </w:p>
    <w:p>
      <w:pPr>
        <w:sectPr>
          <w:pgSz w:w="11880" w:h="15480" w:orient="portrait"/>
          <w:cols w:equalWidth="0" w:num="1">
            <w:col w:w="9720"/>
          </w:cols>
          <w:pgMar w:left="1080" w:top="1080" w:right="1080" w:bottom="555" w:gutter="0" w:footer="0" w:header="0"/>
          <w:type w:val="continuous"/>
        </w:sectPr>
      </w:pPr>
    </w:p>
    <w:bookmarkStart w:id="166" w:name="page167"/>
    <w:bookmarkEnd w:id="166"/>
    <w:p>
      <w:pPr>
        <w:spacing w:after="0"/>
        <w:rPr>
          <w:sz w:val="20"/>
          <w:szCs w:val="20"/>
          <w:color w:val="auto"/>
        </w:rPr>
      </w:pPr>
      <w:r>
        <w:rPr>
          <w:rFonts w:ascii="Arial" w:cs="Arial" w:eastAsia="Arial" w:hAnsi="Arial"/>
          <w:sz w:val="20"/>
          <w:szCs w:val="20"/>
          <w:b w:val="1"/>
          <w:bCs w:val="1"/>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Comparison of the Years Ended December 31, 2023 and 2022</w:t>
      </w:r>
    </w:p>
    <w:p>
      <w:pPr>
        <w:spacing w:after="0" w:line="236" w:lineRule="exact"/>
        <w:rPr>
          <w:sz w:val="20"/>
          <w:szCs w:val="20"/>
          <w:color w:val="auto"/>
        </w:rPr>
      </w:pPr>
    </w:p>
    <w:p>
      <w:pPr>
        <w:ind w:right="1060"/>
        <w:spacing w:after="0" w:line="284" w:lineRule="auto"/>
        <w:rPr>
          <w:sz w:val="20"/>
          <w:szCs w:val="20"/>
          <w:color w:val="auto"/>
        </w:rPr>
      </w:pPr>
      <w:r>
        <w:rPr>
          <w:rFonts w:ascii="Arial" w:cs="Arial" w:eastAsia="Arial" w:hAnsi="Arial"/>
          <w:sz w:val="20"/>
          <w:szCs w:val="20"/>
          <w:color w:val="auto"/>
        </w:rPr>
        <w:t>The following table summarizes our consolidated results of operations for the periods indicated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127000</wp:posOffset>
                </wp:positionV>
                <wp:extent cx="616267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0pt" to="485.6pt,10pt" o:allowincell="f" strokecolor="#000000" strokeweight="0.4799pt"/>
            </w:pict>
          </mc:Fallback>
        </mc:AlternateContent>
      </w:r>
    </w:p>
    <w:p>
      <w:pPr>
        <w:spacing w:after="0" w:line="397"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YEAR ENDED</w:t>
      </w:r>
    </w:p>
    <w:tbl>
      <w:tblPr>
        <w:tblLayout w:type="fixed"/>
        <w:tblInd w:w="0" w:type="dxa"/>
        <w:tblCellMar>
          <w:top w:w="0" w:type="dxa"/>
          <w:left w:w="0" w:type="dxa"/>
          <w:bottom w:w="0" w:type="dxa"/>
          <w:right w:w="0" w:type="dxa"/>
        </w:tblCellMar>
      </w:tblPr>
      <w:tr>
        <w:trPr>
          <w:trHeight w:val="203"/>
        </w:trPr>
        <w:tc>
          <w:tcPr>
            <w:tcW w:w="7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3"/>
        </w:trPr>
        <w:tc>
          <w:tcPr>
            <w:tcW w:w="7180" w:type="dxa"/>
            <w:vAlign w:val="bottom"/>
            <w:vMerge w:val="restart"/>
          </w:tcPr>
          <w:p>
            <w:pPr>
              <w:jc w:val="right"/>
              <w:ind w:right="5220"/>
              <w:spacing w:after="0"/>
              <w:rPr>
                <w:sz w:val="20"/>
                <w:szCs w:val="20"/>
                <w:color w:val="auto"/>
              </w:rPr>
            </w:pPr>
            <w:r>
              <w:rPr>
                <w:rFonts w:ascii="Arial" w:cs="Arial" w:eastAsia="Arial" w:hAnsi="Arial"/>
                <w:sz w:val="20"/>
                <w:szCs w:val="20"/>
                <w:color w:val="auto"/>
                <w:w w:val="99"/>
              </w:rPr>
              <w:t>Operating expenses:</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4"/>
              <w:spacing w:after="0" w:line="173"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2"/>
              <w:spacing w:after="0" w:line="173"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0"/>
        </w:trPr>
        <w:tc>
          <w:tcPr>
            <w:tcW w:w="7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80" w:type="dxa"/>
            <w:vAlign w:val="bottom"/>
          </w:tcPr>
          <w:p>
            <w:pPr>
              <w:jc w:val="right"/>
              <w:ind w:right="220"/>
              <w:spacing w:after="0"/>
              <w:rPr>
                <w:sz w:val="20"/>
                <w:szCs w:val="20"/>
                <w:color w:val="auto"/>
              </w:rPr>
            </w:pPr>
            <w:r>
              <w:rPr>
                <w:rFonts w:ascii="Arial" w:cs="Arial" w:eastAsia="Arial" w:hAnsi="Arial"/>
                <w:sz w:val="20"/>
                <w:szCs w:val="20"/>
                <w:color w:val="auto"/>
                <w:w w:val="96"/>
              </w:rPr>
              <w:t>Research and development . . . .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70,103</w:t>
            </w:r>
          </w:p>
        </w:tc>
        <w:tc>
          <w:tcPr>
            <w:tcW w:w="4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36,193</w:t>
            </w:r>
          </w:p>
        </w:tc>
        <w:tc>
          <w:tcPr>
            <w:tcW w:w="0" w:type="dxa"/>
            <w:vAlign w:val="bottom"/>
          </w:tcPr>
          <w:p>
            <w:pPr>
              <w:spacing w:after="0"/>
              <w:rPr>
                <w:sz w:val="1"/>
                <w:szCs w:val="1"/>
                <w:color w:val="auto"/>
              </w:rPr>
            </w:pPr>
          </w:p>
        </w:tc>
      </w:tr>
      <w:tr>
        <w:trPr>
          <w:trHeight w:val="240"/>
        </w:trPr>
        <w:tc>
          <w:tcPr>
            <w:tcW w:w="7180" w:type="dxa"/>
            <w:vAlign w:val="bottom"/>
          </w:tcPr>
          <w:p>
            <w:pPr>
              <w:jc w:val="right"/>
              <w:ind w:right="220"/>
              <w:spacing w:after="0"/>
              <w:rPr>
                <w:sz w:val="20"/>
                <w:szCs w:val="20"/>
                <w:color w:val="auto"/>
              </w:rPr>
            </w:pPr>
            <w:r>
              <w:rPr>
                <w:rFonts w:ascii="Arial" w:cs="Arial" w:eastAsia="Arial" w:hAnsi="Arial"/>
                <w:sz w:val="20"/>
                <w:szCs w:val="20"/>
                <w:color w:val="auto"/>
                <w:w w:val="95"/>
              </w:rPr>
              <w:t>General and administrative . . . . . . . . . . . . . . . . . . . . . . . . . . . . . . . . . . . . . . . . . . .</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32,672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16,368</w:t>
            </w:r>
          </w:p>
        </w:tc>
        <w:tc>
          <w:tcPr>
            <w:tcW w:w="0" w:type="dxa"/>
            <w:vAlign w:val="bottom"/>
          </w:tcPr>
          <w:p>
            <w:pPr>
              <w:spacing w:after="0"/>
              <w:rPr>
                <w:sz w:val="1"/>
                <w:szCs w:val="1"/>
                <w:color w:val="auto"/>
              </w:rPr>
            </w:pPr>
          </w:p>
        </w:tc>
      </w:tr>
      <w:tr>
        <w:trPr>
          <w:trHeight w:val="220"/>
        </w:trPr>
        <w:tc>
          <w:tcPr>
            <w:tcW w:w="7180" w:type="dxa"/>
            <w:vAlign w:val="bottom"/>
          </w:tcPr>
          <w:p>
            <w:pPr>
              <w:jc w:val="right"/>
              <w:ind w:right="220"/>
              <w:spacing w:after="0" w:line="220" w:lineRule="exact"/>
              <w:rPr>
                <w:sz w:val="20"/>
                <w:szCs w:val="20"/>
                <w:color w:val="auto"/>
              </w:rPr>
            </w:pPr>
            <w:r>
              <w:rPr>
                <w:rFonts w:ascii="Arial" w:cs="Arial" w:eastAsia="Arial" w:hAnsi="Arial"/>
                <w:sz w:val="20"/>
                <w:szCs w:val="20"/>
                <w:color w:val="auto"/>
                <w:w w:val="95"/>
              </w:rPr>
              <w:t>. . . . . . . . . . . . . . . . . . . . . . . . . . . . . . . . . . . . . . . . . . . . . .Totaloperatingexpenses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102,775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52,561</w:t>
            </w:r>
          </w:p>
        </w:tc>
        <w:tc>
          <w:tcPr>
            <w:tcW w:w="0" w:type="dxa"/>
            <w:vAlign w:val="bottom"/>
          </w:tcPr>
          <w:p>
            <w:pPr>
              <w:spacing w:after="0"/>
              <w:rPr>
                <w:sz w:val="1"/>
                <w:szCs w:val="1"/>
                <w:color w:val="auto"/>
              </w:rPr>
            </w:pPr>
          </w:p>
        </w:tc>
      </w:tr>
      <w:tr>
        <w:trPr>
          <w:trHeight w:val="209"/>
        </w:trPr>
        <w:tc>
          <w:tcPr>
            <w:tcW w:w="7180" w:type="dxa"/>
            <w:vAlign w:val="bottom"/>
          </w:tcPr>
          <w:p>
            <w:pPr>
              <w:jc w:val="right"/>
              <w:ind w:right="220"/>
              <w:spacing w:after="0" w:line="209" w:lineRule="exact"/>
              <w:rPr>
                <w:sz w:val="20"/>
                <w:szCs w:val="20"/>
                <w:color w:val="auto"/>
              </w:rPr>
            </w:pPr>
            <w:r>
              <w:rPr>
                <w:rFonts w:ascii="Arial" w:cs="Arial" w:eastAsia="Arial" w:hAnsi="Arial"/>
                <w:sz w:val="20"/>
                <w:szCs w:val="20"/>
                <w:color w:val="auto"/>
                <w:w w:val="95"/>
              </w:rPr>
              <w:t>. . . . . . . . . . . . . . . . . . . . . . . . . . . . . . . . . . . . . . . . . . . . . . . . .Lossfromoperations</w:t>
            </w:r>
          </w:p>
        </w:tc>
        <w:tc>
          <w:tcPr>
            <w:tcW w:w="20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Arial" w:cs="Arial" w:eastAsia="Arial" w:hAnsi="Arial"/>
                <w:sz w:val="20"/>
                <w:szCs w:val="20"/>
                <w:color w:val="auto"/>
              </w:rPr>
              <w:t>(102,775)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line="209" w:lineRule="exact"/>
              <w:rPr>
                <w:sz w:val="20"/>
                <w:szCs w:val="20"/>
                <w:color w:val="auto"/>
              </w:rPr>
            </w:pPr>
            <w:r>
              <w:rPr>
                <w:rFonts w:ascii="Arial" w:cs="Arial" w:eastAsia="Arial" w:hAnsi="Arial"/>
                <w:sz w:val="20"/>
                <w:szCs w:val="20"/>
                <w:color w:val="auto"/>
              </w:rPr>
              <w:t>(52,561)</w:t>
            </w:r>
          </w:p>
        </w:tc>
        <w:tc>
          <w:tcPr>
            <w:tcW w:w="0" w:type="dxa"/>
            <w:vAlign w:val="bottom"/>
          </w:tcPr>
          <w:p>
            <w:pPr>
              <w:spacing w:after="0"/>
              <w:rPr>
                <w:sz w:val="1"/>
                <w:szCs w:val="1"/>
                <w:color w:val="auto"/>
              </w:rPr>
            </w:pPr>
          </w:p>
        </w:tc>
      </w:tr>
      <w:tr>
        <w:trPr>
          <w:trHeight w:val="240"/>
        </w:trPr>
        <w:tc>
          <w:tcPr>
            <w:tcW w:w="7180" w:type="dxa"/>
            <w:vAlign w:val="bottom"/>
          </w:tcPr>
          <w:p>
            <w:pPr>
              <w:jc w:val="right"/>
              <w:ind w:right="220"/>
              <w:spacing w:after="0"/>
              <w:rPr>
                <w:sz w:val="20"/>
                <w:szCs w:val="20"/>
                <w:color w:val="auto"/>
              </w:rPr>
            </w:pPr>
            <w:r>
              <w:rPr>
                <w:rFonts w:ascii="Arial" w:cs="Arial" w:eastAsia="Arial" w:hAnsi="Arial"/>
                <w:sz w:val="20"/>
                <w:szCs w:val="20"/>
                <w:color w:val="auto"/>
                <w:w w:val="95"/>
              </w:rPr>
              <w:t>Interest and other income (expense), net . . . . . . . . . . . . . . . . . . . . . . . . . . . . . . . .</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13,391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1,257</w:t>
            </w:r>
          </w:p>
        </w:tc>
        <w:tc>
          <w:tcPr>
            <w:tcW w:w="0" w:type="dxa"/>
            <w:vAlign w:val="bottom"/>
          </w:tcPr>
          <w:p>
            <w:pPr>
              <w:spacing w:after="0"/>
              <w:rPr>
                <w:sz w:val="1"/>
                <w:szCs w:val="1"/>
                <w:color w:val="auto"/>
              </w:rPr>
            </w:pPr>
          </w:p>
        </w:tc>
      </w:tr>
      <w:tr>
        <w:trPr>
          <w:trHeight w:val="210"/>
        </w:trPr>
        <w:tc>
          <w:tcPr>
            <w:tcW w:w="7180" w:type="dxa"/>
            <w:vAlign w:val="bottom"/>
          </w:tcPr>
          <w:p>
            <w:pPr>
              <w:jc w:val="right"/>
              <w:ind w:right="220"/>
              <w:spacing w:after="0" w:line="210" w:lineRule="exact"/>
              <w:rPr>
                <w:sz w:val="20"/>
                <w:szCs w:val="20"/>
                <w:color w:val="auto"/>
              </w:rPr>
            </w:pPr>
            <w:r>
              <w:rPr>
                <w:rFonts w:ascii="Arial" w:cs="Arial" w:eastAsia="Arial" w:hAnsi="Arial"/>
                <w:sz w:val="20"/>
                <w:szCs w:val="20"/>
                <w:color w:val="auto"/>
                <w:w w:val="99"/>
              </w:rPr>
              <w:t>. . . . . . . . . . . . . . . . . . . . . . . . . . . . . . . . . .Lossbeforeprovisionforincometaxes</w:t>
            </w:r>
          </w:p>
        </w:tc>
        <w:tc>
          <w:tcPr>
            <w:tcW w:w="200" w:type="dxa"/>
            <w:vAlign w:val="bottom"/>
          </w:tcPr>
          <w:p>
            <w:pPr>
              <w:spacing w:after="0"/>
              <w:rPr>
                <w:sz w:val="18"/>
                <w:szCs w:val="18"/>
                <w:color w:val="auto"/>
              </w:rPr>
            </w:pPr>
          </w:p>
        </w:tc>
        <w:tc>
          <w:tcPr>
            <w:tcW w:w="960" w:type="dxa"/>
            <w:vAlign w:val="bottom"/>
          </w:tcPr>
          <w:p>
            <w:pPr>
              <w:jc w:val="right"/>
              <w:spacing w:after="0" w:line="210" w:lineRule="exact"/>
              <w:rPr>
                <w:sz w:val="20"/>
                <w:szCs w:val="20"/>
                <w:color w:val="auto"/>
              </w:rPr>
            </w:pPr>
            <w:r>
              <w:rPr>
                <w:rFonts w:ascii="Arial" w:cs="Arial" w:eastAsia="Arial" w:hAnsi="Arial"/>
                <w:sz w:val="20"/>
                <w:szCs w:val="20"/>
                <w:color w:val="auto"/>
              </w:rPr>
              <w:t>(89,384)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line="210" w:lineRule="exact"/>
              <w:rPr>
                <w:sz w:val="20"/>
                <w:szCs w:val="20"/>
                <w:color w:val="auto"/>
              </w:rPr>
            </w:pPr>
            <w:r>
              <w:rPr>
                <w:rFonts w:ascii="Arial" w:cs="Arial" w:eastAsia="Arial" w:hAnsi="Arial"/>
                <w:sz w:val="20"/>
                <w:szCs w:val="20"/>
                <w:color w:val="auto"/>
              </w:rPr>
              <w:t>(51,304)</w:t>
            </w:r>
          </w:p>
        </w:tc>
        <w:tc>
          <w:tcPr>
            <w:tcW w:w="0" w:type="dxa"/>
            <w:vAlign w:val="bottom"/>
          </w:tcPr>
          <w:p>
            <w:pPr>
              <w:spacing w:after="0"/>
              <w:rPr>
                <w:sz w:val="1"/>
                <w:szCs w:val="1"/>
                <w:color w:val="auto"/>
              </w:rPr>
            </w:pPr>
          </w:p>
        </w:tc>
      </w:tr>
      <w:tr>
        <w:trPr>
          <w:trHeight w:val="240"/>
        </w:trPr>
        <w:tc>
          <w:tcPr>
            <w:tcW w:w="7180" w:type="dxa"/>
            <w:vAlign w:val="bottom"/>
          </w:tcPr>
          <w:p>
            <w:pPr>
              <w:jc w:val="right"/>
              <w:ind w:right="220"/>
              <w:spacing w:after="0"/>
              <w:rPr>
                <w:sz w:val="20"/>
                <w:szCs w:val="20"/>
                <w:color w:val="auto"/>
              </w:rPr>
            </w:pPr>
            <w:r>
              <w:rPr>
                <w:rFonts w:ascii="Arial" w:cs="Arial" w:eastAsia="Arial" w:hAnsi="Arial"/>
                <w:sz w:val="20"/>
                <w:szCs w:val="20"/>
                <w:color w:val="auto"/>
                <w:w w:val="93"/>
              </w:rPr>
              <w:t>Provision for income taxes . . . . . . . . . . . . . . . . . . . . . . . . . . . . . . . . . . . . . . . . . . . . .</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39"/>
        </w:trPr>
        <w:tc>
          <w:tcPr>
            <w:tcW w:w="7180" w:type="dxa"/>
            <w:vAlign w:val="bottom"/>
          </w:tcPr>
          <w:p>
            <w:pPr>
              <w:jc w:val="right"/>
              <w:ind w:right="220"/>
              <w:spacing w:after="0"/>
              <w:rPr>
                <w:sz w:val="20"/>
                <w:szCs w:val="20"/>
                <w:color w:val="auto"/>
              </w:rPr>
            </w:pPr>
            <w:r>
              <w:rPr>
                <w:rFonts w:ascii="Arial" w:cs="Arial" w:eastAsia="Arial" w:hAnsi="Arial"/>
                <w:sz w:val="20"/>
                <w:szCs w:val="20"/>
                <w:color w:val="auto"/>
                <w:w w:val="92"/>
              </w:rPr>
              <w:t>. . . . . . . . . . . . . . . . . . . . . . . . . . . . . . . . . . . . . . . . . . . . . . . . . . . . . . . . . . . . .Netloss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(89,620)</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(51,321)</w:t>
            </w:r>
          </w:p>
        </w:tc>
        <w:tc>
          <w:tcPr>
            <w:tcW w:w="0" w:type="dxa"/>
            <w:vAlign w:val="bottom"/>
          </w:tcPr>
          <w:p>
            <w:pPr>
              <w:spacing w:after="0"/>
              <w:rPr>
                <w:sz w:val="1"/>
                <w:szCs w:val="1"/>
                <w:color w:val="auto"/>
              </w:rPr>
            </w:pPr>
          </w:p>
        </w:tc>
      </w:tr>
      <w:tr>
        <w:trPr>
          <w:trHeight w:val="232"/>
        </w:trPr>
        <w:tc>
          <w:tcPr>
            <w:tcW w:w="7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Research and Development Expenses</w:t>
      </w:r>
    </w:p>
    <w:p>
      <w:pPr>
        <w:spacing w:after="0" w:line="231"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Research and development expenses increased by $33.9 million, or 94%, to $70.1 million during the year ended December 31, 2023, compared to $36.2 million during the year ended December 31, 2022. The increase in research and development expenses was primarily due to the advancement of our GLP-1R franchise and other research programs, clinical study activities and increases related to employee expenses, primarily due to an increase in personnel.</w:t>
      </w:r>
    </w:p>
    <w:p>
      <w:pPr>
        <w:spacing w:after="0" w:line="187" w:lineRule="exact"/>
        <w:rPr>
          <w:sz w:val="20"/>
          <w:szCs w:val="20"/>
          <w:color w:val="auto"/>
        </w:rPr>
      </w:pPr>
    </w:p>
    <w:p>
      <w:pPr>
        <w:ind w:right="760"/>
        <w:spacing w:after="0" w:line="284" w:lineRule="auto"/>
        <w:rPr>
          <w:sz w:val="20"/>
          <w:szCs w:val="20"/>
          <w:color w:val="auto"/>
        </w:rPr>
      </w:pPr>
      <w:r>
        <w:rPr>
          <w:rFonts w:ascii="Arial" w:cs="Arial" w:eastAsia="Arial" w:hAnsi="Arial"/>
          <w:sz w:val="20"/>
          <w:szCs w:val="20"/>
          <w:color w:val="auto"/>
        </w:rPr>
        <w:t>The following table summarizes our research and development expenses for the periods indicated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127000</wp:posOffset>
                </wp:positionV>
                <wp:extent cx="616267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0pt" to="485.6pt,10pt" o:allowincell="f" strokecolor="#000000" strokeweight="0.48pt"/>
            </w:pict>
          </mc:Fallback>
        </mc:AlternateContent>
      </w:r>
    </w:p>
    <w:p>
      <w:pPr>
        <w:spacing w:after="0" w:line="398"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YEAR ENDED</w:t>
      </w:r>
    </w:p>
    <w:p>
      <w:pPr>
        <w:spacing w:after="0" w:line="1"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DECEMBER 31,</w:t>
      </w:r>
    </w:p>
    <w:tbl>
      <w:tblPr>
        <w:tblLayout w:type="fixed"/>
        <w:tblInd w:w="0" w:type="dxa"/>
        <w:tblCellMar>
          <w:top w:w="0" w:type="dxa"/>
          <w:left w:w="0" w:type="dxa"/>
          <w:bottom w:w="0" w:type="dxa"/>
          <w:right w:w="0" w:type="dxa"/>
        </w:tblCellMar>
      </w:tblPr>
      <w:tr>
        <w:trPr>
          <w:trHeight w:val="195"/>
        </w:trPr>
        <w:tc>
          <w:tcPr>
            <w:tcW w:w="7180" w:type="dxa"/>
            <w:vAlign w:val="bottom"/>
            <w:gridSpan w:val="2"/>
            <w:vMerge w:val="restart"/>
          </w:tcPr>
          <w:p>
            <w:pPr>
              <w:spacing w:after="0"/>
              <w:rPr>
                <w:sz w:val="20"/>
                <w:szCs w:val="20"/>
                <w:color w:val="auto"/>
              </w:rPr>
            </w:pPr>
            <w:r>
              <w:rPr>
                <w:rFonts w:ascii="Arial" w:cs="Arial" w:eastAsia="Arial" w:hAnsi="Arial"/>
                <w:sz w:val="20"/>
                <w:szCs w:val="20"/>
                <w:color w:val="auto"/>
              </w:rPr>
              <w:t>Product candidate:</w:t>
            </w: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2"/>
        </w:trPr>
        <w:tc>
          <w:tcPr>
            <w:tcW w:w="71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180" w:type="dxa"/>
            <w:vAlign w:val="bottom"/>
            <w:gridSpan w:val="2"/>
          </w:tcPr>
          <w:p>
            <w:pPr>
              <w:ind w:left="120"/>
              <w:spacing w:after="0" w:line="211" w:lineRule="exact"/>
              <w:rPr>
                <w:sz w:val="20"/>
                <w:szCs w:val="20"/>
                <w:color w:val="auto"/>
              </w:rPr>
            </w:pPr>
            <w:r>
              <w:rPr>
                <w:rFonts w:ascii="Arial" w:cs="Arial" w:eastAsia="Arial" w:hAnsi="Arial"/>
                <w:sz w:val="20"/>
                <w:szCs w:val="20"/>
                <w:color w:val="auto"/>
                <w:w w:val="96"/>
              </w:rPr>
              <w:t>ANPA 0073 . . . . . . . . . . . . . . . . . . . . . . . . . . . . . . . . . . . . . . . . . . . . . . . . . . . . . . . .</w:t>
            </w:r>
          </w:p>
        </w:tc>
        <w:tc>
          <w:tcPr>
            <w:tcW w:w="240" w:type="dxa"/>
            <w:vAlign w:val="bottom"/>
          </w:tcPr>
          <w:p>
            <w:pPr>
              <w:jc w:val="right"/>
              <w:ind w:right="40"/>
              <w:spacing w:after="0" w:line="211" w:lineRule="exact"/>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line="211" w:lineRule="exact"/>
              <w:rPr>
                <w:sz w:val="20"/>
                <w:szCs w:val="20"/>
                <w:color w:val="auto"/>
              </w:rPr>
            </w:pPr>
            <w:r>
              <w:rPr>
                <w:rFonts w:ascii="Arial" w:cs="Arial" w:eastAsia="Arial" w:hAnsi="Arial"/>
                <w:sz w:val="20"/>
                <w:szCs w:val="20"/>
                <w:color w:val="auto"/>
              </w:rPr>
              <w:t>3,521</w:t>
            </w:r>
          </w:p>
        </w:tc>
        <w:tc>
          <w:tcPr>
            <w:tcW w:w="460" w:type="dxa"/>
            <w:vAlign w:val="bottom"/>
            <w:gridSpan w:val="2"/>
          </w:tcPr>
          <w:p>
            <w:pPr>
              <w:jc w:val="right"/>
              <w:ind w:right="40"/>
              <w:spacing w:after="0" w:line="211" w:lineRule="exact"/>
              <w:rPr>
                <w:sz w:val="20"/>
                <w:szCs w:val="20"/>
                <w:color w:val="auto"/>
              </w:rPr>
            </w:pPr>
            <w:r>
              <w:rPr>
                <w:rFonts w:ascii="Arial" w:cs="Arial" w:eastAsia="Arial" w:hAnsi="Arial"/>
                <w:sz w:val="20"/>
                <w:szCs w:val="20"/>
                <w:color w:val="auto"/>
              </w:rPr>
              <w:t>$</w:t>
            </w:r>
          </w:p>
        </w:tc>
        <w:tc>
          <w:tcPr>
            <w:tcW w:w="920" w:type="dxa"/>
            <w:vAlign w:val="bottom"/>
          </w:tcPr>
          <w:p>
            <w:pPr>
              <w:jc w:val="right"/>
              <w:spacing w:after="0" w:line="211" w:lineRule="exact"/>
              <w:rPr>
                <w:sz w:val="20"/>
                <w:szCs w:val="20"/>
                <w:color w:val="auto"/>
              </w:rPr>
            </w:pPr>
            <w:r>
              <w:rPr>
                <w:rFonts w:ascii="Arial" w:cs="Arial" w:eastAsia="Arial" w:hAnsi="Arial"/>
                <w:sz w:val="20"/>
                <w:szCs w:val="20"/>
                <w:color w:val="auto"/>
              </w:rPr>
              <w:t>3,383</w:t>
            </w:r>
          </w:p>
        </w:tc>
        <w:tc>
          <w:tcPr>
            <w:tcW w:w="0" w:type="dxa"/>
            <w:vAlign w:val="bottom"/>
          </w:tcPr>
          <w:p>
            <w:pPr>
              <w:spacing w:after="0"/>
              <w:rPr>
                <w:sz w:val="1"/>
                <w:szCs w:val="1"/>
                <w:color w:val="auto"/>
              </w:rPr>
            </w:pPr>
          </w:p>
        </w:tc>
      </w:tr>
      <w:tr>
        <w:trPr>
          <w:trHeight w:val="260"/>
        </w:trPr>
        <w:tc>
          <w:tcPr>
            <w:tcW w:w="7180" w:type="dxa"/>
            <w:vAlign w:val="bottom"/>
            <w:gridSpan w:val="2"/>
          </w:tcPr>
          <w:p>
            <w:pPr>
              <w:ind w:left="120"/>
              <w:spacing w:after="0" w:line="259" w:lineRule="exact"/>
              <w:rPr>
                <w:sz w:val="20"/>
                <w:szCs w:val="20"/>
                <w:color w:val="auto"/>
              </w:rPr>
            </w:pPr>
            <w:r>
              <w:rPr>
                <w:rFonts w:ascii="Arial" w:cs="Arial" w:eastAsia="Arial" w:hAnsi="Arial"/>
                <w:sz w:val="17"/>
                <w:szCs w:val="17"/>
                <w:color w:val="auto"/>
              </w:rPr>
              <w:t>GSBR</w:t>
            </w:r>
            <w:r>
              <w:rPr>
                <w:rFonts w:ascii="MS PMincho" w:cs="MS PMincho" w:eastAsia="MS PMincho" w:hAnsi="MS PMincho"/>
                <w:sz w:val="30"/>
                <w:szCs w:val="30"/>
                <w:color w:val="auto"/>
                <w:vertAlign w:val="superscript"/>
              </w:rPr>
              <w:t>‑</w:t>
            </w:r>
            <w:r>
              <w:rPr>
                <w:rFonts w:ascii="Arial" w:cs="Arial" w:eastAsia="Arial" w:hAnsi="Arial"/>
                <w:sz w:val="17"/>
                <w:szCs w:val="17"/>
                <w:color w:val="auto"/>
              </w:rPr>
              <w:t xml:space="preserve"> 1290 . . . . . . . . . . . . . . . . . . . . . . . . . . . . . . . . . . . . . . . . . . . . . . . . . . . . . . . .</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44,763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18,791</w:t>
            </w:r>
          </w:p>
        </w:tc>
        <w:tc>
          <w:tcPr>
            <w:tcW w:w="0" w:type="dxa"/>
            <w:vAlign w:val="bottom"/>
          </w:tcPr>
          <w:p>
            <w:pPr>
              <w:spacing w:after="0"/>
              <w:rPr>
                <w:sz w:val="1"/>
                <w:szCs w:val="1"/>
                <w:color w:val="auto"/>
              </w:rPr>
            </w:pPr>
          </w:p>
        </w:tc>
      </w:tr>
      <w:tr>
        <w:trPr>
          <w:trHeight w:val="208"/>
        </w:trPr>
        <w:tc>
          <w:tcPr>
            <w:tcW w:w="700" w:type="dxa"/>
            <w:vAlign w:val="bottom"/>
            <w:vMerge w:val="restart"/>
          </w:tcPr>
          <w:p>
            <w:pPr>
              <w:ind w:left="120"/>
              <w:spacing w:after="0" w:line="211" w:lineRule="exact"/>
              <w:rPr>
                <w:sz w:val="20"/>
                <w:szCs w:val="20"/>
                <w:color w:val="auto"/>
              </w:rPr>
            </w:pPr>
            <w:r>
              <w:rPr>
                <w:rFonts w:ascii="Arial" w:cs="Arial" w:eastAsia="Arial" w:hAnsi="Arial"/>
                <w:sz w:val="20"/>
                <w:szCs w:val="20"/>
                <w:color w:val="auto"/>
              </w:rPr>
              <w:t>LTSE</w:t>
            </w:r>
          </w:p>
        </w:tc>
        <w:tc>
          <w:tcPr>
            <w:tcW w:w="6480" w:type="dxa"/>
            <w:vAlign w:val="bottom"/>
          </w:tcPr>
          <w:p>
            <w:pPr>
              <w:spacing w:after="0" w:line="208" w:lineRule="exact"/>
              <w:rPr>
                <w:sz w:val="20"/>
                <w:szCs w:val="20"/>
                <w:color w:val="auto"/>
              </w:rPr>
            </w:pPr>
            <w:r>
              <w:rPr>
                <w:rFonts w:ascii="Arial" w:cs="Arial" w:eastAsia="Arial" w:hAnsi="Arial"/>
                <w:sz w:val="20"/>
                <w:szCs w:val="20"/>
                <w:color w:val="auto"/>
                <w:w w:val="95"/>
              </w:rPr>
              <w:t>2578 . . . . . . . . . . . . . . . . . . . . . . . . . . . . . . . . . . . . . . . . . . . . . . . . . . . . . . . . .</w:t>
            </w:r>
          </w:p>
        </w:tc>
        <w:tc>
          <w:tcPr>
            <w:tcW w:w="240" w:type="dxa"/>
            <w:vAlign w:val="bottom"/>
          </w:tcPr>
          <w:p>
            <w:pPr>
              <w:spacing w:after="0"/>
              <w:rPr>
                <w:sz w:val="18"/>
                <w:szCs w:val="18"/>
                <w:color w:val="auto"/>
              </w:rPr>
            </w:pPr>
          </w:p>
        </w:tc>
        <w:tc>
          <w:tcPr>
            <w:tcW w:w="920" w:type="dxa"/>
            <w:vAlign w:val="bottom"/>
            <w:vMerge w:val="restart"/>
          </w:tcPr>
          <w:p>
            <w:pPr>
              <w:jc w:val="right"/>
              <w:spacing w:after="0" w:line="211" w:lineRule="exact"/>
              <w:rPr>
                <w:sz w:val="20"/>
                <w:szCs w:val="20"/>
                <w:color w:val="auto"/>
              </w:rPr>
            </w:pPr>
            <w:r>
              <w:rPr>
                <w:rFonts w:ascii="Arial" w:cs="Arial" w:eastAsia="Arial" w:hAnsi="Arial"/>
                <w:sz w:val="20"/>
                <w:szCs w:val="20"/>
                <w:color w:val="auto"/>
              </w:rPr>
              <w:t>4,853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spacing w:after="0" w:line="211" w:lineRule="exact"/>
              <w:rPr>
                <w:sz w:val="20"/>
                <w:szCs w:val="20"/>
                <w:color w:val="auto"/>
              </w:rPr>
            </w:pPr>
            <w:r>
              <w:rPr>
                <w:rFonts w:ascii="Arial" w:cs="Arial" w:eastAsia="Arial" w:hAnsi="Arial"/>
                <w:sz w:val="20"/>
                <w:szCs w:val="20"/>
                <w:color w:val="auto"/>
              </w:rPr>
              <w:t>4,936</w:t>
            </w:r>
          </w:p>
        </w:tc>
        <w:tc>
          <w:tcPr>
            <w:tcW w:w="0" w:type="dxa"/>
            <w:vAlign w:val="bottom"/>
          </w:tcPr>
          <w:p>
            <w:pPr>
              <w:spacing w:after="0"/>
              <w:rPr>
                <w:sz w:val="1"/>
                <w:szCs w:val="1"/>
                <w:color w:val="auto"/>
              </w:rPr>
            </w:pPr>
          </w:p>
        </w:tc>
      </w:tr>
      <w:tr>
        <w:trPr>
          <w:trHeight w:val="2"/>
        </w:trPr>
        <w:tc>
          <w:tcPr>
            <w:tcW w:w="700" w:type="dxa"/>
            <w:vAlign w:val="bottom"/>
            <w:vMerge w:val="continue"/>
          </w:tcPr>
          <w:p>
            <w:pPr>
              <w:spacing w:after="0" w:line="20" w:lineRule="exact"/>
              <w:rPr>
                <w:sz w:val="1"/>
                <w:szCs w:val="1"/>
                <w:color w:val="auto"/>
              </w:rPr>
            </w:pPr>
          </w:p>
        </w:tc>
        <w:tc>
          <w:tcPr>
            <w:tcW w:w="6480" w:type="dxa"/>
            <w:vAlign w:val="bottom"/>
          </w:tcPr>
          <w:p>
            <w:pPr>
              <w:spacing w:after="0" w:line="3" w:lineRule="exact"/>
              <w:rPr>
                <w:sz w:val="20"/>
                <w:szCs w:val="20"/>
                <w:color w:val="auto"/>
              </w:rPr>
            </w:pPr>
            <w:r>
              <w:rPr>
                <w:rFonts w:ascii="MS PMincho" w:cs="MS PMincho" w:eastAsia="MS PMincho" w:hAnsi="MS PMincho"/>
                <w:sz w:val="1"/>
                <w:szCs w:val="1"/>
                <w:color w:val="auto"/>
              </w:rPr>
              <w:t>‑</w:t>
            </w:r>
          </w:p>
        </w:tc>
        <w:tc>
          <w:tcPr>
            <w:tcW w:w="24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80" w:type="dxa"/>
            <w:vAlign w:val="bottom"/>
            <w:gridSpan w:val="2"/>
          </w:tcPr>
          <w:p>
            <w:pPr>
              <w:ind w:left="120"/>
              <w:spacing w:after="0" w:line="264" w:lineRule="exact"/>
              <w:rPr>
                <w:sz w:val="20"/>
                <w:szCs w:val="20"/>
                <w:color w:val="auto"/>
              </w:rPr>
            </w:pPr>
            <w:r>
              <w:rPr>
                <w:rFonts w:ascii="Arial" w:cs="Arial" w:eastAsia="Arial" w:hAnsi="Arial"/>
                <w:sz w:val="17"/>
                <w:szCs w:val="17"/>
                <w:color w:val="auto"/>
              </w:rPr>
              <w:t>Other</w:t>
            </w:r>
            <w:r>
              <w:rPr>
                <w:rFonts w:ascii="MS PMincho" w:cs="MS PMincho" w:eastAsia="MS PMincho" w:hAnsi="MS PMincho"/>
                <w:sz w:val="30"/>
                <w:szCs w:val="30"/>
                <w:color w:val="auto"/>
                <w:vertAlign w:val="superscript"/>
              </w:rPr>
              <w:t>‑</w:t>
            </w:r>
            <w:r>
              <w:rPr>
                <w:rFonts w:ascii="Arial" w:cs="Arial" w:eastAsia="Arial" w:hAnsi="Arial"/>
                <w:sz w:val="17"/>
                <w:szCs w:val="17"/>
                <w:color w:val="auto"/>
              </w:rPr>
              <w:t>. . . . . . . . . . . . . . . . . . . . . . . . . . . . . . . . . . . . . . . . . . . . . . . . . . . . . . . . . . . . . .</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16,966</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9,083</w:t>
            </w:r>
          </w:p>
        </w:tc>
        <w:tc>
          <w:tcPr>
            <w:tcW w:w="0" w:type="dxa"/>
            <w:vAlign w:val="bottom"/>
          </w:tcPr>
          <w:p>
            <w:pPr>
              <w:spacing w:after="0"/>
              <w:rPr>
                <w:sz w:val="1"/>
                <w:szCs w:val="1"/>
                <w:color w:val="auto"/>
              </w:rPr>
            </w:pPr>
          </w:p>
        </w:tc>
      </w:tr>
      <w:tr>
        <w:trPr>
          <w:trHeight w:val="240"/>
        </w:trPr>
        <w:tc>
          <w:tcPr>
            <w:tcW w:w="7180" w:type="dxa"/>
            <w:vAlign w:val="bottom"/>
            <w:gridSpan w:val="2"/>
          </w:tcPr>
          <w:p>
            <w:pPr>
              <w:ind w:left="240"/>
              <w:spacing w:after="0"/>
              <w:rPr>
                <w:sz w:val="20"/>
                <w:szCs w:val="20"/>
                <w:color w:val="auto"/>
              </w:rPr>
            </w:pPr>
            <w:r>
              <w:rPr>
                <w:rFonts w:ascii="Arial" w:cs="Arial" w:eastAsia="Arial" w:hAnsi="Arial"/>
                <w:sz w:val="20"/>
                <w:szCs w:val="20"/>
                <w:color w:val="auto"/>
              </w:rPr>
              <w:t>. . . . . . . . . . . . . . . . . . . . . . . . . . . .Totalresearchanddevelopmentexpenses</w:t>
            </w: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70,103</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36,193</w:t>
            </w:r>
          </w:p>
        </w:tc>
        <w:tc>
          <w:tcPr>
            <w:tcW w:w="0" w:type="dxa"/>
            <w:vAlign w:val="bottom"/>
          </w:tcPr>
          <w:p>
            <w:pPr>
              <w:spacing w:after="0"/>
              <w:rPr>
                <w:sz w:val="1"/>
                <w:szCs w:val="1"/>
                <w:color w:val="auto"/>
              </w:rPr>
            </w:pPr>
          </w:p>
        </w:tc>
      </w:tr>
      <w:tr>
        <w:trPr>
          <w:trHeight w:val="233"/>
        </w:trPr>
        <w:tc>
          <w:tcPr>
            <w:tcW w:w="70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232" w:lineRule="exact"/>
        <w:rPr>
          <w:sz w:val="20"/>
          <w:szCs w:val="20"/>
          <w:color w:val="auto"/>
        </w:rPr>
      </w:pPr>
    </w:p>
    <w:p>
      <w:pPr>
        <w:ind w:right="160"/>
        <w:spacing w:after="0" w:line="251" w:lineRule="auto"/>
        <w:rPr>
          <w:sz w:val="20"/>
          <w:szCs w:val="20"/>
          <w:color w:val="auto"/>
        </w:rPr>
      </w:pPr>
      <w:r>
        <w:rPr>
          <w:rFonts w:ascii="Arial" w:cs="Arial" w:eastAsia="Arial" w:hAnsi="Arial"/>
          <w:sz w:val="20"/>
          <w:szCs w:val="20"/>
          <w:color w:val="auto"/>
        </w:rPr>
        <w:t>General and administrative expenses increased by $16.3 million, or 100%, to $32.7 million during the year ended December 31, 2023, compared to $16.4 million during the year ended December 31, 2022. The increase in general and administrative expenses was primarily due to increases in professional services and employee related expenses as we expanded our infrastructure to drive and support the growth in our operations as a publicly-traded company.</w:t>
      </w:r>
    </w:p>
    <w:p>
      <w:pPr>
        <w:sectPr>
          <w:pgSz w:w="11880" w:h="15480" w:orient="portrait"/>
          <w:cols w:equalWidth="0" w:num="1">
            <w:col w:w="9720"/>
          </w:cols>
          <w:pgMar w:left="1080" w:top="1063"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165</w:t>
      </w:r>
    </w:p>
    <w:p>
      <w:pPr>
        <w:sectPr>
          <w:pgSz w:w="11880" w:h="15480" w:orient="portrait"/>
          <w:cols w:equalWidth="0" w:num="1">
            <w:col w:w="9720"/>
          </w:cols>
          <w:pgMar w:left="1080" w:top="1063" w:right="1080" w:bottom="555" w:gutter="0" w:footer="0" w:header="0"/>
          <w:type w:val="continuous"/>
        </w:sectPr>
      </w:pPr>
    </w:p>
    <w:bookmarkStart w:id="167" w:name="page168"/>
    <w:bookmarkEnd w:id="167"/>
    <w:p>
      <w:pPr>
        <w:spacing w:after="0"/>
        <w:rPr>
          <w:sz w:val="20"/>
          <w:szCs w:val="20"/>
          <w:color w:val="auto"/>
        </w:rPr>
      </w:pPr>
      <w:r>
        <w:rPr>
          <w:rFonts w:ascii="Arial" w:cs="Arial" w:eastAsia="Arial" w:hAnsi="Arial"/>
          <w:sz w:val="20"/>
          <w:szCs w:val="20"/>
          <w:i w:val="1"/>
          <w:iCs w:val="1"/>
          <w:color w:val="auto"/>
        </w:rPr>
        <w:t>Interest and Other Income (Expense), Net</w:t>
      </w:r>
    </w:p>
    <w:p>
      <w:pPr>
        <w:spacing w:after="0" w:line="231" w:lineRule="exact"/>
        <w:rPr>
          <w:sz w:val="20"/>
          <w:szCs w:val="20"/>
          <w:color w:val="auto"/>
        </w:rPr>
      </w:pPr>
    </w:p>
    <w:p>
      <w:pPr>
        <w:ind w:right="220"/>
        <w:spacing w:after="0" w:line="251" w:lineRule="auto"/>
        <w:rPr>
          <w:sz w:val="20"/>
          <w:szCs w:val="20"/>
          <w:color w:val="auto"/>
        </w:rPr>
      </w:pPr>
      <w:r>
        <w:rPr>
          <w:rFonts w:ascii="Arial" w:cs="Arial" w:eastAsia="Arial" w:hAnsi="Arial"/>
          <w:sz w:val="20"/>
          <w:szCs w:val="20"/>
          <w:color w:val="auto"/>
        </w:rPr>
        <w:t>Interest and other income (expense), net, increased by $12.1 million to an income of $ 13.4 million during the year ended December 31, 2023, compared to an income of $1.3 million during the year ended December 31, 2022. The increase in interest and other income (expense), net, was primarily due to an increase in interest income from higher interest rates and cash, cash equivalents and short-term investment balances.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From our reorganization as a Cayman Islands exempted company in February 2019 through immediately prior to completion of our IPO, we funded our operations primarily with an aggregate of $198.0 million in gross cash proceeds from the sale of redeemable convertible preferred shares. In February 2023, we completed our IPO and received $166.7 million in net proceeds after deducting underwriting discounts and commissions and estimated offering costs. In October 2023, we completed our Private Placement and received</w:t>
      </w:r>
    </w:p>
    <w:p>
      <w:pPr>
        <w:jc w:val="both"/>
        <w:ind w:right="200"/>
        <w:spacing w:after="0" w:line="262" w:lineRule="auto"/>
        <w:rPr>
          <w:sz w:val="20"/>
          <w:szCs w:val="20"/>
          <w:color w:val="auto"/>
        </w:rPr>
      </w:pPr>
      <w:r>
        <w:rPr>
          <w:rFonts w:ascii="Arial" w:cs="Arial" w:eastAsia="Arial" w:hAnsi="Arial"/>
          <w:sz w:val="20"/>
          <w:szCs w:val="20"/>
          <w:color w:val="auto"/>
        </w:rPr>
        <w:t>$281.5 million in net proceeds after deducting placement agent fees and other private placement expenses. As of December 31, 2023, we had cash, cash equivalents and short-term investments of $467.3 million and an accumulated deficit of $206.6 million.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Funding Requirements</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Prior to our IPO, we financed our operations primarily through the private placement of equity securities and have received aggregate gross proceeds of approximately $198.0 million. Since our inception, we have incurred net operating losses and negative cash flows from operations. We had net losses of $89.6 million and $51.3 million in the years ended December 31, 2023 and 2022, respectively. As of December 31, 2023, we had an accumulated deficit of $206.6 million. In February 2023, we completed our IPO for net proceeds of $166.7 million. In October 2023, we completed our Private Placement and received $281.5 million in net proceeds after deducting placement agent fees and other private placement expenses. Our primary activities to date have included organizing and staffing our company, business and scientific planning, raising capital, conducting research and development activities, entering into strategic and corporate structuring transactions, enabling manufacturing activities in support of our product candidate development efforts, establishing our intellectual property portfolio, and providing general and administrative support for these activities.</w:t>
      </w:r>
    </w:p>
    <w:p>
      <w:pPr>
        <w:spacing w:after="0" w:line="198" w:lineRule="exact"/>
        <w:rPr>
          <w:sz w:val="20"/>
          <w:szCs w:val="20"/>
          <w:color w:val="auto"/>
        </w:rPr>
      </w:pPr>
    </w:p>
    <w:p>
      <w:pPr>
        <w:ind w:right="400"/>
        <w:spacing w:after="0" w:line="251" w:lineRule="auto"/>
        <w:rPr>
          <w:sz w:val="20"/>
          <w:szCs w:val="20"/>
          <w:color w:val="auto"/>
        </w:rPr>
      </w:pPr>
      <w:r>
        <w:rPr>
          <w:rFonts w:ascii="Arial" w:cs="Arial" w:eastAsia="Arial" w:hAnsi="Arial"/>
          <w:sz w:val="20"/>
          <w:szCs w:val="20"/>
          <w:color w:val="auto"/>
        </w:rPr>
        <w:t>As of December 31, 2023, we had cash, cash equivalents and short-term investments of $467.3 million. Based on our current business plan, we believe that our existing cash, cash equivalents and short- term investments will be sufficient to fund our projected operations for the next 12 months from the date of the issuance of our consolidated financial statements. We have based this estimate on assumptions that may prove to be wrong, and we may exhaust our available capital resources sooner than we expect.</w:t>
      </w:r>
    </w:p>
    <w:p>
      <w:pPr>
        <w:spacing w:after="0" w:line="187"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To date, we have not generated any revenue from our products. We do not expect to generate any significant product revenue until we successfully develop and obtain regulatory approval for and commercialize our product candidates, and we do not know when, or if, either will occur. We expect to continue to incur significant and increasing expenses and operating losses for the foreseeable future, particularly if and as we continue to invest in our research and development activities and initiate additional clinical trials, expand our product pipeline, hire additional personnel and invest in and grow our business, maintain, expand and protect our intellectual property portfolio, and seek regulatory approvals for and commercialize any approved product candidates. In addition, we expect to incur additional costs associated with operating as a public company, including significant legal, audit, accounting, regulatory, tax-related, director and officer insurance, investor relations and other expenses that we did not incur as a private company. Moreover, we may in the future seek to acquire or invest in additional businesses, products, or technologies that we believe could complement or enhance our product, enhance our technical capabilities or otherwise offer growth opportunities, although we currently have no agreements or understandings with respect to any such acquisitions or investments. We are subject to the risks typically related to the development of new product candidates, and we may encounter unforeseen expenses, difficulties, complications, delays and other unknown factors that may adversely affect our business.</w:t>
      </w:r>
    </w:p>
    <w:p>
      <w:pPr>
        <w:sectPr>
          <w:pgSz w:w="11880" w:h="15480" w:orient="portrait"/>
          <w:cols w:equalWidth="0" w:num="1">
            <w:col w:w="9720"/>
          </w:cols>
          <w:pgMar w:left="1080" w:top="1075" w:right="1080" w:bottom="555"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166</w:t>
      </w:r>
    </w:p>
    <w:p>
      <w:pPr>
        <w:sectPr>
          <w:pgSz w:w="11880" w:h="15480" w:orient="portrait"/>
          <w:cols w:equalWidth="0" w:num="1">
            <w:col w:w="9720"/>
          </w:cols>
          <w:pgMar w:left="1080" w:top="1075" w:right="1080" w:bottom="555" w:gutter="0" w:footer="0" w:header="0"/>
          <w:type w:val="continuous"/>
        </w:sectPr>
      </w:pPr>
    </w:p>
    <w:bookmarkStart w:id="168" w:name="page169"/>
    <w:bookmarkEnd w:id="168"/>
    <w:p>
      <w:pPr>
        <w:ind w:right="480"/>
        <w:spacing w:after="0" w:line="284" w:lineRule="auto"/>
        <w:rPr>
          <w:sz w:val="20"/>
          <w:szCs w:val="20"/>
          <w:color w:val="auto"/>
        </w:rPr>
      </w:pPr>
      <w:r>
        <w:rPr>
          <w:rFonts w:ascii="Arial" w:cs="Arial" w:eastAsia="Arial" w:hAnsi="Arial"/>
          <w:sz w:val="20"/>
          <w:szCs w:val="20"/>
          <w:color w:val="auto"/>
        </w:rPr>
        <w:t>We will need substantial additional capital to develop our product candidates and fund operations for the foreseeable future. Our future capital requirements will depend on many factors, including:</w:t>
      </w:r>
    </w:p>
    <w:p>
      <w:pPr>
        <w:spacing w:after="0" w:line="170" w:lineRule="exact"/>
        <w:rPr>
          <w:sz w:val="20"/>
          <w:szCs w:val="20"/>
          <w:color w:val="auto"/>
        </w:rPr>
      </w:pPr>
    </w:p>
    <w:p>
      <w:pPr>
        <w:ind w:left="720" w:right="480" w:hanging="353"/>
        <w:spacing w:after="0" w:line="284" w:lineRule="auto"/>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scope, timing, rate of progress and costs of our preclinical development activities, laboratory testing and clinical trials for our product candidates;</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number and scope of clinical programs we decide to pursue;</w:t>
      </w:r>
    </w:p>
    <w:p>
      <w:pPr>
        <w:spacing w:after="0" w:line="132" w:lineRule="exact"/>
        <w:rPr>
          <w:rFonts w:ascii="Arial" w:cs="Arial" w:eastAsia="Arial" w:hAnsi="Arial"/>
          <w:sz w:val="20"/>
          <w:szCs w:val="20"/>
          <w:color w:val="auto"/>
        </w:rPr>
      </w:pPr>
    </w:p>
    <w:p>
      <w:pPr>
        <w:ind w:left="720" w:right="680" w:hanging="353"/>
        <w:spacing w:after="0" w:line="284" w:lineRule="auto"/>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cost, timing and outcome of preparing for and undergoing regulatory review of our product candidates;</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cost and timing of manufacturing our product candidates;</w:t>
      </w:r>
    </w:p>
    <w:p>
      <w:pPr>
        <w:spacing w:after="0" w:line="133" w:lineRule="exact"/>
        <w:rPr>
          <w:rFonts w:ascii="Arial" w:cs="Arial" w:eastAsia="Arial" w:hAnsi="Arial"/>
          <w:sz w:val="20"/>
          <w:szCs w:val="20"/>
          <w:color w:val="auto"/>
        </w:rPr>
      </w:pPr>
    </w:p>
    <w:p>
      <w:pPr>
        <w:ind w:left="720" w:hanging="353"/>
        <w:spacing w:after="0" w:line="284" w:lineRule="auto"/>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cost and timing associated with commercializing our product candidates, if they receive marketing approval;</w:t>
      </w:r>
    </w:p>
    <w:p>
      <w:pPr>
        <w:spacing w:after="0" w:line="48" w:lineRule="exact"/>
        <w:rPr>
          <w:rFonts w:ascii="Arial" w:cs="Arial" w:eastAsia="Arial" w:hAnsi="Arial"/>
          <w:sz w:val="20"/>
          <w:szCs w:val="20"/>
          <w:color w:val="auto"/>
        </w:rPr>
      </w:pPr>
    </w:p>
    <w:p>
      <w:pPr>
        <w:ind w:left="720" w:hanging="353"/>
        <w:spacing w:after="0"/>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extent to which we acquire or in-license other product candidates and technologies;</w:t>
      </w:r>
    </w:p>
    <w:p>
      <w:pPr>
        <w:spacing w:after="0" w:line="133" w:lineRule="exact"/>
        <w:rPr>
          <w:rFonts w:ascii="Arial" w:cs="Arial" w:eastAsia="Arial" w:hAnsi="Arial"/>
          <w:sz w:val="20"/>
          <w:szCs w:val="20"/>
          <w:color w:val="auto"/>
        </w:rPr>
      </w:pPr>
    </w:p>
    <w:p>
      <w:pPr>
        <w:ind w:left="720" w:right="560" w:hanging="353"/>
        <w:spacing w:after="0" w:line="284" w:lineRule="auto"/>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costs of preparing, filing and prosecuting patent applications, maintaining and enforcing our intellectual property rights and defending intellectual property-related claims;</w:t>
      </w:r>
    </w:p>
    <w:p>
      <w:pPr>
        <w:spacing w:after="0" w:line="49" w:lineRule="exact"/>
        <w:rPr>
          <w:rFonts w:ascii="Arial" w:cs="Arial" w:eastAsia="Arial" w:hAnsi="Arial"/>
          <w:sz w:val="20"/>
          <w:szCs w:val="20"/>
          <w:color w:val="auto"/>
        </w:rPr>
      </w:pPr>
    </w:p>
    <w:p>
      <w:pPr>
        <w:ind w:left="720" w:hanging="353"/>
        <w:spacing w:after="0"/>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our ability to establish and maintain collaborations on favorable terms, if at all;</w:t>
      </w:r>
    </w:p>
    <w:p>
      <w:pPr>
        <w:spacing w:after="0" w:line="133" w:lineRule="exact"/>
        <w:rPr>
          <w:rFonts w:ascii="Arial" w:cs="Arial" w:eastAsia="Arial" w:hAnsi="Arial"/>
          <w:sz w:val="20"/>
          <w:szCs w:val="20"/>
          <w:color w:val="auto"/>
        </w:rPr>
      </w:pPr>
    </w:p>
    <w:p>
      <w:pPr>
        <w:ind w:left="720" w:right="40" w:hanging="353"/>
        <w:spacing w:after="0" w:line="262" w:lineRule="auto"/>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70" w:lineRule="exact"/>
        <w:rPr>
          <w:rFonts w:ascii="Arial" w:cs="Arial" w:eastAsia="Arial" w:hAnsi="Arial"/>
          <w:sz w:val="20"/>
          <w:szCs w:val="20"/>
          <w:color w:val="auto"/>
        </w:rPr>
      </w:pPr>
    </w:p>
    <w:p>
      <w:pPr>
        <w:ind w:left="720" w:hanging="353"/>
        <w:spacing w:after="0"/>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our implementation of operational, financial and management systems; and</w:t>
      </w:r>
    </w:p>
    <w:p>
      <w:pPr>
        <w:spacing w:after="0" w:line="133" w:lineRule="exact"/>
        <w:rPr>
          <w:rFonts w:ascii="Arial" w:cs="Arial" w:eastAsia="Arial" w:hAnsi="Arial"/>
          <w:sz w:val="20"/>
          <w:szCs w:val="20"/>
          <w:color w:val="auto"/>
        </w:rPr>
      </w:pPr>
    </w:p>
    <w:p>
      <w:pPr>
        <w:ind w:left="720" w:right="100" w:hanging="353"/>
        <w:spacing w:after="0" w:line="254" w:lineRule="auto"/>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impact of geopolitical and macroeconomic events, including future bank failures, increased geopolitical tensions between the U.S. and China, the Russia/Ukraine conflict, the Israel-Hamas war and global pandemics on U.S. and global economic conditions that may impact our ability to access capital on acceptable terms, if at all.</w:t>
      </w:r>
    </w:p>
    <w:p>
      <w:pPr>
        <w:spacing w:after="0" w:line="186" w:lineRule="exact"/>
        <w:rPr>
          <w:sz w:val="20"/>
          <w:szCs w:val="20"/>
          <w:color w:val="auto"/>
        </w:rPr>
      </w:pPr>
    </w:p>
    <w:p>
      <w:pPr>
        <w:ind w:right="240"/>
        <w:spacing w:after="0" w:line="255" w:lineRule="auto"/>
        <w:rPr>
          <w:sz w:val="20"/>
          <w:szCs w:val="20"/>
          <w:color w:val="auto"/>
        </w:rPr>
      </w:pPr>
      <w:r>
        <w:rPr>
          <w:rFonts w:ascii="Arial" w:cs="Arial" w:eastAsia="Arial" w:hAnsi="Arial"/>
          <w:sz w:val="20"/>
          <w:szCs w:val="20"/>
          <w:color w:val="auto"/>
        </w:rPr>
        <w:t>A change in the outcome of any of these or other variables with respect to the development of our product candidates could significantly change the costs and timing associated with the development of that product candidate. Furthermore, our business plans may change in the future, and we will continue to require additional capital to meet operational needs and capital requirements associated with such plans.</w:t>
      </w:r>
    </w:p>
    <w:p>
      <w:pPr>
        <w:spacing w:after="0" w:line="183"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holder of our ADSs.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your ownership interest. If we raise funds through strategic collaborations or other similar arrangements with third-parties, we may have to relinquish valuable rights to our platform technology, future revenue streams, research programs or product candidates or may have to grant licenses on terms that may not be favorable to us and/or may reduce the value of our ordinary shares.</w:t>
      </w:r>
    </w:p>
    <w:p>
      <w:pPr>
        <w:spacing w:after="0" w:line="200"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color w:val="auto"/>
        </w:rPr>
        <w:t>Our ability to raise additional funds may be adversely impacted by potential worsening global economic conditions and disruptions to and volatility in the credit and financial markets in the United States and worldwide resulting from geopolitical and macroeconomic events such as actual or anticipated changes in interest rates and economic inflation, future bank failures, global pandemics, geopolitical tensions between the U.S. and China and the impact of the Russia/Ukraine conflict and the Israel-Hamas war. If we are unable</w:t>
      </w:r>
    </w:p>
    <w:p>
      <w:pPr>
        <w:sectPr>
          <w:pgSz w:w="11880" w:h="15480" w:orient="portrait"/>
          <w:cols w:equalWidth="0" w:num="1">
            <w:col w:w="9680"/>
          </w:cols>
          <w:pgMar w:left="1080" w:top="1066" w:right="1120" w:bottom="555" w:gutter="0" w:footer="0" w:header="0"/>
        </w:sect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167</w:t>
      </w:r>
    </w:p>
    <w:p>
      <w:pPr>
        <w:sectPr>
          <w:pgSz w:w="11880" w:h="15480" w:orient="portrait"/>
          <w:cols w:equalWidth="0" w:num="1">
            <w:col w:w="9680"/>
          </w:cols>
          <w:pgMar w:left="1080" w:top="1066" w:right="1120" w:bottom="555" w:gutter="0" w:footer="0" w:header="0"/>
          <w:type w:val="continuous"/>
        </w:sectPr>
      </w:pPr>
    </w:p>
    <w:bookmarkStart w:id="169" w:name="page170"/>
    <w:bookmarkEnd w:id="169"/>
    <w:p>
      <w:pPr>
        <w:jc w:val="both"/>
        <w:ind w:right="60"/>
        <w:spacing w:after="0"/>
        <w:rPr>
          <w:sz w:val="20"/>
          <w:szCs w:val="20"/>
          <w:color w:val="auto"/>
        </w:rPr>
      </w:pPr>
      <w:r>
        <w:rPr>
          <w:rFonts w:ascii="Arial" w:cs="Arial" w:eastAsia="Arial" w:hAnsi="Arial"/>
          <w:sz w:val="20"/>
          <w:szCs w:val="20"/>
          <w:color w:val="auto"/>
        </w:rPr>
        <w:t>to obtain additional funding, or funding on acceptable terms, we could be forced to delay, reduce or eliminate some or all of our research and development programs, product portfolio expansion or any commercialization efforts, which could adversely affect our business prospects, or we may be unable to continue operations.</w:t>
      </w:r>
    </w:p>
    <w:p>
      <w:pPr>
        <w:ind w:right="20"/>
        <w:spacing w:after="0" w:line="284" w:lineRule="auto"/>
        <w:rPr>
          <w:sz w:val="20"/>
          <w:szCs w:val="20"/>
          <w:color w:val="auto"/>
        </w:rPr>
      </w:pPr>
      <w:r>
        <w:rPr>
          <w:rFonts w:ascii="Arial" w:cs="Arial" w:eastAsia="Arial" w:hAnsi="Arial"/>
          <w:sz w:val="20"/>
          <w:szCs w:val="20"/>
          <w:color w:val="auto"/>
        </w:rPr>
        <w:t>Because of the numerous risks and uncertainties associated with product development, we cannot predict the timing or amount of increased expenses or when or if we will be able to achieve or maintain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Statements of Cash Flows</w:t>
      </w:r>
    </w:p>
    <w:p>
      <w:pPr>
        <w:spacing w:after="0" w:line="235" w:lineRule="exact"/>
        <w:rPr>
          <w:sz w:val="20"/>
          <w:szCs w:val="20"/>
          <w:color w:val="auto"/>
        </w:rPr>
      </w:pPr>
    </w:p>
    <w:p>
      <w:pPr>
        <w:ind w:right="660"/>
        <w:spacing w:after="0" w:line="284" w:lineRule="auto"/>
        <w:rPr>
          <w:sz w:val="20"/>
          <w:szCs w:val="20"/>
          <w:color w:val="auto"/>
        </w:rPr>
      </w:pPr>
      <w:r>
        <w:rPr>
          <w:rFonts w:ascii="Arial" w:cs="Arial" w:eastAsia="Arial" w:hAnsi="Arial"/>
          <w:sz w:val="20"/>
          <w:szCs w:val="20"/>
          <w:color w:val="auto"/>
        </w:rPr>
        <w:t>The following table sets forth the primary sources and uses of cash for the periods presented below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127635</wp:posOffset>
                </wp:positionV>
                <wp:extent cx="616267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0.05pt" to="485.6pt,10.05pt" o:allowincell="f" strokecolor="#000000" strokeweight="0.4809pt"/>
            </w:pict>
          </mc:Fallback>
        </mc:AlternateContent>
      </w:r>
    </w:p>
    <w:p>
      <w:pPr>
        <w:spacing w:after="0" w:line="399"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YEAR ENDED</w:t>
      </w:r>
    </w:p>
    <w:p>
      <w:pPr>
        <w:spacing w:after="0" w:line="1"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DECEMBER 31,</w:t>
      </w:r>
    </w:p>
    <w:tbl>
      <w:tblPr>
        <w:tblLayout w:type="fixed"/>
        <w:tblInd w:w="0" w:type="dxa"/>
        <w:tblCellMar>
          <w:top w:w="0" w:type="dxa"/>
          <w:left w:w="0" w:type="dxa"/>
          <w:bottom w:w="0" w:type="dxa"/>
          <w:right w:w="0" w:type="dxa"/>
        </w:tblCellMar>
      </w:tblPr>
      <w:tr>
        <w:trPr>
          <w:trHeight w:val="194"/>
        </w:trPr>
        <w:tc>
          <w:tcPr>
            <w:tcW w:w="7180" w:type="dxa"/>
            <w:vAlign w:val="bottom"/>
            <w:vMerge w:val="restart"/>
          </w:tcPr>
          <w:p>
            <w:pPr>
              <w:jc w:val="right"/>
              <w:ind w:right="4300"/>
              <w:spacing w:after="0"/>
              <w:rPr>
                <w:sz w:val="20"/>
                <w:szCs w:val="20"/>
                <w:color w:val="auto"/>
              </w:rPr>
            </w:pPr>
            <w:r>
              <w:rPr>
                <w:rFonts w:ascii="Arial" w:cs="Arial" w:eastAsia="Arial" w:hAnsi="Arial"/>
                <w:sz w:val="20"/>
                <w:szCs w:val="20"/>
                <w:color w:val="auto"/>
                <w:w w:val="99"/>
              </w:rPr>
              <w:t>Net cash (used in) provided by:</w:t>
            </w:r>
          </w:p>
        </w:tc>
        <w:tc>
          <w:tcPr>
            <w:tcW w:w="2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0"/>
        </w:trPr>
        <w:tc>
          <w:tcPr>
            <w:tcW w:w="7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180" w:type="dxa"/>
            <w:vAlign w:val="bottom"/>
          </w:tcPr>
          <w:p>
            <w:pPr>
              <w:jc w:val="right"/>
              <w:ind w:right="220"/>
              <w:spacing w:after="0"/>
              <w:rPr>
                <w:sz w:val="20"/>
                <w:szCs w:val="20"/>
                <w:color w:val="auto"/>
              </w:rPr>
            </w:pPr>
            <w:r>
              <w:rPr>
                <w:rFonts w:ascii="Arial" w:cs="Arial" w:eastAsia="Arial" w:hAnsi="Arial"/>
                <w:sz w:val="20"/>
                <w:szCs w:val="20"/>
                <w:color w:val="auto"/>
                <w:w w:val="94"/>
              </w:rPr>
              <w:t>Operating activities . . . . . . . . . . . .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auto"/>
              </w:rPr>
              <w:t>(79,488)</w:t>
            </w:r>
          </w:p>
        </w:tc>
        <w:tc>
          <w:tcPr>
            <w:tcW w:w="3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(46,120)</w:t>
            </w:r>
          </w:p>
        </w:tc>
        <w:tc>
          <w:tcPr>
            <w:tcW w:w="0" w:type="dxa"/>
            <w:vAlign w:val="bottom"/>
          </w:tcPr>
          <w:p>
            <w:pPr>
              <w:spacing w:after="0"/>
              <w:rPr>
                <w:sz w:val="1"/>
                <w:szCs w:val="1"/>
                <w:color w:val="auto"/>
              </w:rPr>
            </w:pPr>
          </w:p>
        </w:tc>
      </w:tr>
      <w:tr>
        <w:trPr>
          <w:trHeight w:val="230"/>
        </w:trPr>
        <w:tc>
          <w:tcPr>
            <w:tcW w:w="7180" w:type="dxa"/>
            <w:vAlign w:val="bottom"/>
          </w:tcPr>
          <w:p>
            <w:pPr>
              <w:jc w:val="right"/>
              <w:ind w:right="220"/>
              <w:spacing w:after="0"/>
              <w:rPr>
                <w:sz w:val="20"/>
                <w:szCs w:val="20"/>
                <w:color w:val="auto"/>
              </w:rPr>
            </w:pPr>
            <w:r>
              <w:rPr>
                <w:rFonts w:ascii="Arial" w:cs="Arial" w:eastAsia="Arial" w:hAnsi="Arial"/>
                <w:sz w:val="20"/>
                <w:szCs w:val="20"/>
                <w:color w:val="auto"/>
                <w:w w:val="93"/>
              </w:rPr>
              <w:t>Investing activities . . . . . . . . . . . . . . . . . . . . . . . . . . . . . . . . . . . . . . . . . . . . . . . . . . .</w:t>
            </w:r>
          </w:p>
        </w:tc>
        <w:tc>
          <w:tcPr>
            <w:tcW w:w="2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auto"/>
              </w:rPr>
              <w:t>(268,342)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(62,108)</w:t>
            </w:r>
          </w:p>
        </w:tc>
        <w:tc>
          <w:tcPr>
            <w:tcW w:w="0" w:type="dxa"/>
            <w:vAlign w:val="bottom"/>
          </w:tcPr>
          <w:p>
            <w:pPr>
              <w:spacing w:after="0"/>
              <w:rPr>
                <w:sz w:val="1"/>
                <w:szCs w:val="1"/>
                <w:color w:val="auto"/>
              </w:rPr>
            </w:pPr>
          </w:p>
        </w:tc>
      </w:tr>
      <w:tr>
        <w:trPr>
          <w:trHeight w:val="242"/>
        </w:trPr>
        <w:tc>
          <w:tcPr>
            <w:tcW w:w="7180" w:type="dxa"/>
            <w:vAlign w:val="bottom"/>
          </w:tcPr>
          <w:p>
            <w:pPr>
              <w:jc w:val="right"/>
              <w:ind w:right="220"/>
              <w:spacing w:after="0"/>
              <w:rPr>
                <w:sz w:val="20"/>
                <w:szCs w:val="20"/>
                <w:color w:val="auto"/>
              </w:rPr>
            </w:pPr>
            <w:r>
              <w:rPr>
                <w:rFonts w:ascii="Arial" w:cs="Arial" w:eastAsia="Arial" w:hAnsi="Arial"/>
                <w:sz w:val="20"/>
                <w:szCs w:val="20"/>
                <w:color w:val="auto"/>
                <w:w w:val="94"/>
              </w:rPr>
              <w:t>Financing activities . . . . . . . . . . . . . . . . . . . . . . . . . . . . . . . . . . . . . . . . . . . . . . . . . .</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451,531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29,014</w:t>
            </w:r>
          </w:p>
        </w:tc>
        <w:tc>
          <w:tcPr>
            <w:tcW w:w="0" w:type="dxa"/>
            <w:vAlign w:val="bottom"/>
          </w:tcPr>
          <w:p>
            <w:pPr>
              <w:spacing w:after="0"/>
              <w:rPr>
                <w:sz w:val="1"/>
                <w:szCs w:val="1"/>
                <w:color w:val="auto"/>
              </w:rPr>
            </w:pPr>
          </w:p>
        </w:tc>
      </w:tr>
      <w:tr>
        <w:trPr>
          <w:trHeight w:val="239"/>
        </w:trPr>
        <w:tc>
          <w:tcPr>
            <w:tcW w:w="7180" w:type="dxa"/>
            <w:vAlign w:val="bottom"/>
          </w:tcPr>
          <w:p>
            <w:pPr>
              <w:jc w:val="right"/>
              <w:ind w:right="220"/>
              <w:spacing w:after="0"/>
              <w:rPr>
                <w:sz w:val="20"/>
                <w:szCs w:val="20"/>
                <w:color w:val="auto"/>
              </w:rPr>
            </w:pPr>
            <w:r>
              <w:rPr>
                <w:rFonts w:ascii="Arial" w:cs="Arial" w:eastAsia="Arial" w:hAnsi="Arial"/>
                <w:sz w:val="20"/>
                <w:szCs w:val="20"/>
                <w:color w:val="auto"/>
              </w:rPr>
              <w:t>. . . . . . . . . . . . . . . . . .Netincrease(decrease)incashandcashequivalents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103,701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(79,214)</w:t>
            </w:r>
          </w:p>
        </w:tc>
        <w:tc>
          <w:tcPr>
            <w:tcW w:w="0" w:type="dxa"/>
            <w:vAlign w:val="bottom"/>
          </w:tcPr>
          <w:p>
            <w:pPr>
              <w:spacing w:after="0"/>
              <w:rPr>
                <w:sz w:val="1"/>
                <w:szCs w:val="1"/>
                <w:color w:val="auto"/>
              </w:rPr>
            </w:pPr>
          </w:p>
        </w:tc>
      </w:tr>
      <w:tr>
        <w:trPr>
          <w:trHeight w:val="233"/>
        </w:trPr>
        <w:tc>
          <w:tcPr>
            <w:tcW w:w="7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Flows Used in Operating Activities</w:t>
      </w:r>
    </w:p>
    <w:p>
      <w:pPr>
        <w:spacing w:after="0" w:line="231"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During the year ended December 31, 2023, net cash used in operating activities was $79.5 million, consisting primarily of a net loss of $89.6 million, partially offset by non-cash charges of $3.2 million and a decrease in net operating assets of $7.0 million. The increase in net loss was primarily due to the increase in operating expenses as we invest in our research and development efforts and operate as a publicly-traded company. Non-cash charges consisted primarily of share-based compensation, partially offset by net gain from accretion of net investment discounts. The decrease in net operating assets was primarily due to an increase in accrued expenses and other current liabilities, partially offset by an increase in prepaid expenses and other current assets.</w:t>
      </w:r>
    </w:p>
    <w:p>
      <w:pPr>
        <w:spacing w:after="0" w:line="194"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During the year ended December 31, 2022, net cash used in operating activities was $46.1 million, consisting primarily of a net loss of $51.3 million, partially offset by non-cash charges of $2.2 million and a decrease in net operating assets of $3.0 million. The cash used in operations was primarily due to the increase in net loss from the increase in operating expenses as we invest in our research and development efforts and prepared to become a publicly-traded company. Non-cash charges consisted primarily of share-based compensation. The decrease in net operating assets was primarily due to increases in accounts payable and accrued expenses and other current liabilities.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Flows Used in Investing Activities</w:t>
      </w:r>
    </w:p>
    <w:p>
      <w:pPr>
        <w:spacing w:after="0" w:line="232" w:lineRule="exact"/>
        <w:rPr>
          <w:sz w:val="20"/>
          <w:szCs w:val="20"/>
          <w:color w:val="auto"/>
        </w:rPr>
      </w:pPr>
    </w:p>
    <w:p>
      <w:pPr>
        <w:ind w:right="280"/>
        <w:spacing w:after="0" w:line="262" w:lineRule="auto"/>
        <w:rPr>
          <w:sz w:val="20"/>
          <w:szCs w:val="20"/>
          <w:color w:val="auto"/>
        </w:rPr>
      </w:pPr>
      <w:r>
        <w:rPr>
          <w:rFonts w:ascii="Arial" w:cs="Arial" w:eastAsia="Arial" w:hAnsi="Arial"/>
          <w:sz w:val="20"/>
          <w:szCs w:val="20"/>
          <w:color w:val="auto"/>
        </w:rPr>
        <w:t>During the year ended December 31, 2023, net cash used in investing activities was $268.3 million, consisting primarily of net purchases of short-term investments of $266.2 million and purchases of property and equipment of $2.1 million.</w:t>
      </w:r>
    </w:p>
    <w:p>
      <w:pPr>
        <w:spacing w:after="0" w:line="177" w:lineRule="exact"/>
        <w:rPr>
          <w:sz w:val="20"/>
          <w:szCs w:val="20"/>
          <w:color w:val="auto"/>
        </w:rPr>
      </w:pPr>
    </w:p>
    <w:p>
      <w:pPr>
        <w:ind w:right="100"/>
        <w:spacing w:after="0" w:line="284" w:lineRule="auto"/>
        <w:rPr>
          <w:sz w:val="20"/>
          <w:szCs w:val="20"/>
          <w:color w:val="auto"/>
        </w:rPr>
      </w:pPr>
      <w:r>
        <w:rPr>
          <w:rFonts w:ascii="Arial" w:cs="Arial" w:eastAsia="Arial" w:hAnsi="Arial"/>
          <w:sz w:val="20"/>
          <w:szCs w:val="20"/>
          <w:color w:val="auto"/>
        </w:rPr>
        <w:t>During the year ended December 31, 2022, net cash used in investing activities was $62.1 million, consisting primarily of net purchases of short-term investments.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Flows Provided by Financing Activities</w:t>
      </w:r>
    </w:p>
    <w:p>
      <w:pPr>
        <w:spacing w:after="0" w:line="231" w:lineRule="exact"/>
        <w:rPr>
          <w:sz w:val="20"/>
          <w:szCs w:val="20"/>
          <w:color w:val="auto"/>
        </w:rPr>
      </w:pPr>
    </w:p>
    <w:p>
      <w:pPr>
        <w:ind w:right="540"/>
        <w:spacing w:after="0" w:line="312" w:lineRule="auto"/>
        <w:rPr>
          <w:sz w:val="20"/>
          <w:szCs w:val="20"/>
          <w:color w:val="auto"/>
        </w:rPr>
      </w:pPr>
      <w:r>
        <w:rPr>
          <w:rFonts w:ascii="Arial" w:cs="Arial" w:eastAsia="Arial" w:hAnsi="Arial"/>
          <w:sz w:val="19"/>
          <w:szCs w:val="19"/>
          <w:color w:val="auto"/>
        </w:rPr>
        <w:t>During the year ended December 31, 2023, net cash provided by financing activities was $451.5 million, consisting primarily of proceeds from our IPO of $172.3 million, net of underwriting discounts and</w:t>
      </w:r>
    </w:p>
    <w:p>
      <w:pPr>
        <w:sectPr>
          <w:pgSz w:w="11880" w:h="15480" w:orient="portrait"/>
          <w:cols w:equalWidth="0" w:num="1">
            <w:col w:w="9720"/>
          </w:cols>
          <w:pgMar w:left="1080" w:top="1066" w:right="1080" w:bottom="555"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168</w:t>
      </w:r>
    </w:p>
    <w:p>
      <w:pPr>
        <w:sectPr>
          <w:pgSz w:w="11880" w:h="15480" w:orient="portrait"/>
          <w:cols w:equalWidth="0" w:num="1">
            <w:col w:w="9720"/>
          </w:cols>
          <w:pgMar w:left="1080" w:top="1066" w:right="1080" w:bottom="555" w:gutter="0" w:footer="0" w:header="0"/>
          <w:type w:val="continuous"/>
        </w:sectPr>
      </w:pPr>
    </w:p>
    <w:bookmarkStart w:id="170" w:name="page171"/>
    <w:bookmarkEnd w:id="170"/>
    <w:p>
      <w:pPr>
        <w:ind w:right="300"/>
        <w:spacing w:after="0" w:line="284" w:lineRule="auto"/>
        <w:rPr>
          <w:sz w:val="20"/>
          <w:szCs w:val="20"/>
          <w:color w:val="auto"/>
        </w:rPr>
      </w:pPr>
      <w:r>
        <w:rPr>
          <w:rFonts w:ascii="Arial" w:cs="Arial" w:eastAsia="Arial" w:hAnsi="Arial"/>
          <w:sz w:val="20"/>
          <w:szCs w:val="20"/>
          <w:color w:val="auto"/>
        </w:rPr>
        <w:t>commissions, gross proceeds from our Private Placement of $300.0 million, partially offset by payments of offering costs of $21.6 million.</w:t>
      </w:r>
    </w:p>
    <w:p>
      <w:pPr>
        <w:spacing w:after="0" w:line="157" w:lineRule="exact"/>
        <w:rPr>
          <w:sz w:val="20"/>
          <w:szCs w:val="20"/>
          <w:color w:val="auto"/>
        </w:rPr>
      </w:pPr>
    </w:p>
    <w:p>
      <w:pPr>
        <w:jc w:val="both"/>
        <w:ind w:right="520"/>
        <w:spacing w:after="0" w:line="262" w:lineRule="auto"/>
        <w:rPr>
          <w:sz w:val="20"/>
          <w:szCs w:val="20"/>
          <w:color w:val="auto"/>
        </w:rPr>
      </w:pPr>
      <w:r>
        <w:rPr>
          <w:rFonts w:ascii="Arial" w:cs="Arial" w:eastAsia="Arial" w:hAnsi="Arial"/>
          <w:sz w:val="20"/>
          <w:szCs w:val="20"/>
          <w:color w:val="auto"/>
        </w:rPr>
        <w:t>During the year ended December 31, 2022, net cash provided by financing activities was $29.0 million, consisting primarily of net proceeds from the issuance of our Series B redeemable convertible preferred shares, partially offset by payments of offering costs.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w:t>
      </w:r>
    </w:p>
    <w:p>
      <w:pPr>
        <w:spacing w:after="0" w:line="242"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As of December 31, 2023, our contractual obligations consist of facilities lease payments totaling $6.1 million, with $1.8 million expected to be paid within the next 12 months.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4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Our financial statements have been prepared in accordance with U.S. Generally Accepted Accounting Principles (“GAAP”). The preparation of our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knowledge of current events and actions we may undertake in the future and on various other factors that we believe are reasonable under the circumstances, the results of which form the basis for making judgments about the carrying value of assets and liabilities that are not readily apparent from other sources. Actual results may materially differ from these estimates under different assumptions or conditions. We believe that the accounting policies discussed below are critical to understanding our historical and future performance. For more detail on our significant accounting policies, refer to Note 2 to our consolidated financial statements included in Part II. Item 8 “Financial Statements and Supplementary Data” of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Accrued Research and Development Expenses</w:t>
      </w:r>
    </w:p>
    <w:p>
      <w:pPr>
        <w:spacing w:after="0" w:line="236"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We have entered into various agreements with contract manufacturing organizations (“CMOs”) and CROs. Our research and development accruals are estimated based on the level of services performed, progress of the studies, including the phase or completion of events, and contracted costs. The estimated costs of research and development provided, but not yet invoiced, are included in other current liabilities on the balance sheets. If the actual timing of the performance of services or the level of effort varies from the original estimates, we will adjust the accrual accordingly. Payments made to CMOs and CROs under these arrangements in advance of the performance of the related services are recorded as prepaid expenses and other current assets on the balance sheets until the services are rendered. To date, our estimated accruals have not differed materially from the actual costs.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JOBS Act Accounting Election and Smaller Reporting Company Status</w:t>
      </w:r>
    </w:p>
    <w:p>
      <w:pPr>
        <w:spacing w:after="0" w:line="242"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certain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ordinary shares held by non-affiliates is less than $250.0 million</w:t>
      </w:r>
    </w:p>
    <w:p>
      <w:pPr>
        <w:sectPr>
          <w:pgSz w:w="11880" w:h="15480" w:orient="portrait"/>
          <w:cols w:equalWidth="0" w:num="1">
            <w:col w:w="9680"/>
          </w:cols>
          <w:pgMar w:left="1080" w:top="1066" w:right="1120" w:bottom="555" w:gutter="0" w:footer="0" w:header="0"/>
        </w:sect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169</w:t>
      </w:r>
    </w:p>
    <w:p>
      <w:pPr>
        <w:sectPr>
          <w:pgSz w:w="11880" w:h="15480" w:orient="portrait"/>
          <w:cols w:equalWidth="0" w:num="1">
            <w:col w:w="9680"/>
          </w:cols>
          <w:pgMar w:left="1080" w:top="1066" w:right="1120" w:bottom="555" w:gutter="0" w:footer="0" w:header="0"/>
          <w:type w:val="continuous"/>
        </w:sectPr>
      </w:pPr>
    </w:p>
    <w:bookmarkStart w:id="171" w:name="page172"/>
    <w:bookmarkEnd w:id="171"/>
    <w:p>
      <w:pPr>
        <w:spacing w:after="0"/>
        <w:rPr>
          <w:sz w:val="20"/>
          <w:szCs w:val="20"/>
          <w:color w:val="auto"/>
        </w:rPr>
      </w:pPr>
      <w:r>
        <w:rPr>
          <w:rFonts w:ascii="Arial" w:cs="Arial" w:eastAsia="Arial" w:hAnsi="Arial"/>
          <w:sz w:val="20"/>
          <w:szCs w:val="20"/>
          <w:color w:val="auto"/>
        </w:rPr>
        <w:t>measured on the last business day of our second fiscal quarter, or our annual revenue is less than</w:t>
      </w:r>
    </w:p>
    <w:p>
      <w:pPr>
        <w:ind w:right="80"/>
        <w:spacing w:after="0" w:line="284" w:lineRule="auto"/>
        <w:rPr>
          <w:sz w:val="20"/>
          <w:szCs w:val="20"/>
          <w:color w:val="auto"/>
        </w:rPr>
      </w:pPr>
      <w:r>
        <w:rPr>
          <w:rFonts w:ascii="Arial" w:cs="Arial" w:eastAsia="Arial" w:hAnsi="Arial"/>
          <w:sz w:val="20"/>
          <w:szCs w:val="20"/>
          <w:color w:val="auto"/>
        </w:rPr>
        <w:t>$100.0 million during the most recently completed fiscal year and our ordinary shares held by non-affiliates is less than $700.0 million measured on the last business day of our second fiscal quarter.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42" w:lineRule="exact"/>
        <w:rPr>
          <w:sz w:val="20"/>
          <w:szCs w:val="20"/>
          <w:color w:val="auto"/>
        </w:rPr>
      </w:pPr>
    </w:p>
    <w:p>
      <w:pPr>
        <w:ind w:right="40"/>
        <w:spacing w:after="0" w:line="284" w:lineRule="auto"/>
        <w:rPr>
          <w:sz w:val="20"/>
          <w:szCs w:val="20"/>
          <w:color w:val="auto"/>
        </w:rPr>
      </w:pPr>
      <w:r>
        <w:rPr>
          <w:rFonts w:ascii="Arial" w:cs="Arial" w:eastAsia="Arial" w:hAnsi="Arial"/>
          <w:sz w:val="20"/>
          <w:szCs w:val="20"/>
          <w:color w:val="auto"/>
        </w:rPr>
        <w:t>See “Recent Accounting Pronouncements” in Note 2 to our consolidated financial statements included in Part II. Item 8 “Financial Statements and Supplementary Data” of this Annual Report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Sensitivity</w:t>
      </w:r>
    </w:p>
    <w:p>
      <w:pPr>
        <w:spacing w:after="0" w:line="23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market risk inherent in our financial instruments and in our financial position represents the potential loss arising from adverse changes in interest rates. As of December 31, 2023, we had cash, cash equivalents and short-term investments of $467.3 million, consisting of interest-bearing money market funds, U.S. government bonds, U.S. government agency bonds and corporate debt securities, for which the fair value would be affected by changes in the general level of U.S. interest rates. However, due to the short-term maturities and the low-risk profile of our cash equivalents, we do not believe that a hypothetical 10% increase or decrease in the relative value of interest rates would have a material effect on our consolidated financial statements included in Part II, Item 8 “Financial Statements and Supplementary Data” of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Risk</w:t>
      </w:r>
    </w:p>
    <w:p>
      <w:pPr>
        <w:spacing w:after="0" w:line="236"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Our business is primarily conducted in U.S. dollars. Transactions conducted in foreign currencies have not had, and are not expected to have, a material effect on our results of operations, financial position or cash flows. Our operating expenses in countries outside the United States, are payable in foreign currencies and therefore expose us to currency risk. We do not believe that a hypothetical 10% increase or decrease in the relative value of the U.S. dollar to other currencies would have had a material effect on our consolidated financial statements included in Part II, Item 8 “Financial Statements and Supplementary Data” of this Annual Report. We do not currently maintain a program to hedge exposures to non-U.S. dollar currencies.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Risk</w:t>
      </w:r>
    </w:p>
    <w:p>
      <w:pPr>
        <w:spacing w:after="0" w:line="236" w:lineRule="exact"/>
        <w:rPr>
          <w:sz w:val="20"/>
          <w:szCs w:val="20"/>
          <w:color w:val="auto"/>
        </w:rPr>
      </w:pPr>
    </w:p>
    <w:p>
      <w:pPr>
        <w:ind w:right="220"/>
        <w:spacing w:after="0" w:line="251" w:lineRule="auto"/>
        <w:rPr>
          <w:sz w:val="20"/>
          <w:szCs w:val="20"/>
          <w:color w:val="auto"/>
        </w:rPr>
      </w:pPr>
      <w:r>
        <w:rPr>
          <w:rFonts w:ascii="Arial" w:cs="Arial" w:eastAsia="Arial" w:hAnsi="Arial"/>
          <w:sz w:val="20"/>
          <w:szCs w:val="20"/>
          <w:color w:val="auto"/>
        </w:rPr>
        <w:t>We maintain our cash, cash equivalents and short-term investments with several financial institutions, primarily in the United States, and our current deposits are in excess of insured limits. We believe these institutions have sufficient assets and liquidity to conduct their operations in the ordinary course of business with little or no credit risk to us. We have not experienced any losses on our deposits of cash, cash equivalents and short-term investments to date.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Effects of Inflation</w:t>
      </w:r>
    </w:p>
    <w:p>
      <w:pPr>
        <w:spacing w:after="0" w:line="236" w:lineRule="exact"/>
        <w:rPr>
          <w:sz w:val="20"/>
          <w:szCs w:val="20"/>
          <w:color w:val="auto"/>
        </w:rPr>
      </w:pPr>
    </w:p>
    <w:p>
      <w:pPr>
        <w:jc w:val="both"/>
        <w:ind w:right="60"/>
        <w:spacing w:after="0" w:line="262" w:lineRule="auto"/>
        <w:rPr>
          <w:sz w:val="20"/>
          <w:szCs w:val="20"/>
          <w:color w:val="auto"/>
        </w:rPr>
      </w:pPr>
      <w:r>
        <w:rPr>
          <w:rFonts w:ascii="Arial" w:cs="Arial" w:eastAsia="Arial" w:hAnsi="Arial"/>
          <w:sz w:val="20"/>
          <w:szCs w:val="20"/>
          <w:color w:val="auto"/>
        </w:rPr>
        <w:t>Inflation generally affects us by increasing our cost of labor and in the future our clinical trial costs. We do not believe that inflation has had a material effect on our consolidated financial statements included elsewhere in this Annual Report.</w:t>
      </w:r>
    </w:p>
    <w:p>
      <w:pPr>
        <w:sectPr>
          <w:pgSz w:w="11880" w:h="15480" w:orient="portrait"/>
          <w:cols w:equalWidth="0" w:num="1">
            <w:col w:w="9700"/>
          </w:cols>
          <w:pgMar w:left="1080" w:top="1066" w:right="110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170</w:t>
      </w:r>
    </w:p>
    <w:p>
      <w:pPr>
        <w:sectPr>
          <w:pgSz w:w="11880" w:h="15480" w:orient="portrait"/>
          <w:cols w:equalWidth="0" w:num="1">
            <w:col w:w="9700"/>
          </w:cols>
          <w:pgMar w:left="1080" w:top="1066" w:right="1100" w:bottom="555" w:gutter="0" w:footer="0" w:header="0"/>
          <w:type w:val="continuous"/>
        </w:sectPr>
      </w:pPr>
    </w:p>
    <w:bookmarkStart w:id="172" w:name="page173"/>
    <w:bookmarkEnd w:id="172"/>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30"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STRUCTURE THERAPEUTICS INC.</w:t>
      </w:r>
    </w:p>
    <w:p>
      <w:pPr>
        <w:ind w:left="3120"/>
        <w:spacing w:after="0"/>
        <w:rPr>
          <w:sz w:val="20"/>
          <w:szCs w:val="20"/>
          <w:color w:val="auto"/>
        </w:rPr>
      </w:pPr>
      <w:r>
        <w:rPr>
          <w:rFonts w:ascii="Arial" w:cs="Arial" w:eastAsia="Arial" w:hAnsi="Arial"/>
          <w:sz w:val="20"/>
          <w:szCs w:val="20"/>
          <w:b w:val="1"/>
          <w:bCs w:val="1"/>
          <w:color w:val="auto"/>
        </w:rPr>
        <w:t>INDEX TO FINANCIAL STATEMENTS</w:t>
      </w:r>
    </w:p>
    <w:p>
      <w:pPr>
        <w:ind w:left="2860"/>
        <w:spacing w:after="0"/>
        <w:rPr>
          <w:sz w:val="20"/>
          <w:szCs w:val="20"/>
          <w:color w:val="auto"/>
        </w:rPr>
      </w:pPr>
      <w:r>
        <w:rPr>
          <w:rFonts w:ascii="Arial" w:cs="Arial" w:eastAsia="Arial" w:hAnsi="Arial"/>
          <w:sz w:val="20"/>
          <w:szCs w:val="20"/>
          <w:b w:val="1"/>
          <w:bCs w:val="1"/>
          <w:color w:val="auto"/>
        </w:rPr>
        <w:t>Years Ended December 31, 2023 and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182880</wp:posOffset>
                </wp:positionV>
                <wp:extent cx="616267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4pt" to="485.6pt,14.4pt" o:allowincell="f" strokecolor="#000000" strokeweight="0.4809pt"/>
            </w:pict>
          </mc:Fallback>
        </mc:AlternateContent>
      </w:r>
    </w:p>
    <w:p>
      <w:pPr>
        <w:spacing w:after="0" w:line="200" w:lineRule="exact"/>
        <w:rPr>
          <w:sz w:val="20"/>
          <w:szCs w:val="20"/>
          <w:color w:val="auto"/>
        </w:rPr>
      </w:pPr>
    </w:p>
    <w:p>
      <w:pPr>
        <w:spacing w:after="0" w:line="279" w:lineRule="exact"/>
        <w:rPr>
          <w:sz w:val="20"/>
          <w:szCs w:val="20"/>
          <w:color w:val="auto"/>
        </w:rPr>
      </w:pPr>
    </w:p>
    <w:p>
      <w:pPr>
        <w:ind w:left="9160"/>
        <w:spacing w:after="0"/>
        <w:rPr>
          <w:sz w:val="20"/>
          <w:szCs w:val="20"/>
          <w:color w:val="auto"/>
        </w:rPr>
      </w:pPr>
      <w:r>
        <w:rPr>
          <w:rFonts w:ascii="Arial" w:cs="Arial" w:eastAsia="Arial" w:hAnsi="Arial"/>
          <w:sz w:val="20"/>
          <w:szCs w:val="20"/>
          <w:b w:val="1"/>
          <w:bCs w:val="1"/>
          <w:color w:val="auto"/>
        </w:rPr>
        <w:t>Page</w:t>
      </w:r>
    </w:p>
    <w:p>
      <w:pPr>
        <w:spacing w:after="0" w:line="13" w:lineRule="exact"/>
        <w:rPr>
          <w:sz w:val="20"/>
          <w:szCs w:val="20"/>
          <w:color w:val="auto"/>
        </w:rPr>
      </w:pPr>
    </w:p>
    <w:p>
      <w:pPr>
        <w:spacing w:after="0"/>
        <w:tabs>
          <w:tab w:leader="none" w:pos="9360" w:val="left"/>
        </w:tabs>
        <w:rPr>
          <w:sz w:val="20"/>
          <w:szCs w:val="20"/>
          <w:color w:val="auto"/>
        </w:rPr>
      </w:pPr>
      <w:r>
        <w:rPr>
          <w:rFonts w:ascii="Arial" w:cs="Arial" w:eastAsia="Arial" w:hAnsi="Arial"/>
          <w:sz w:val="20"/>
          <w:szCs w:val="20"/>
          <w:color w:val="auto"/>
        </w:rPr>
        <w:t>Report of Ernst &amp; Young LLP, Independent Registered Public Accounting Firm (PCAOB ID 42) . . . .</w:t>
      </w:r>
      <w:r>
        <w:rPr>
          <w:sz w:val="20"/>
          <w:szCs w:val="20"/>
          <w:color w:val="auto"/>
        </w:rPr>
        <w:tab/>
      </w:r>
      <w:r>
        <w:rPr>
          <w:rFonts w:ascii="Arial" w:cs="Arial" w:eastAsia="Arial" w:hAnsi="Arial"/>
          <w:sz w:val="20"/>
          <w:szCs w:val="20"/>
          <w:color w:val="auto"/>
        </w:rPr>
        <w:t>172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5777230</wp:posOffset>
                </wp:positionH>
                <wp:positionV relativeFrom="paragraph">
                  <wp:posOffset>-135890</wp:posOffset>
                </wp:positionV>
                <wp:extent cx="38989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98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9pt,-10.6999pt" to="485.6pt,-10.6999pt" o:allowincell="f" strokecolor="#000000" strokeweight="0.4799pt"/>
            </w:pict>
          </mc:Fallback>
        </mc:AlternateContent>
      </w:r>
    </w:p>
    <w:p>
      <w:pPr>
        <w:spacing w:after="0"/>
        <w:rPr>
          <w:sz w:val="20"/>
          <w:szCs w:val="20"/>
          <w:color w:val="auto"/>
        </w:rPr>
      </w:pPr>
      <w:r>
        <w:rPr>
          <w:rFonts w:ascii="Arial" w:cs="Arial" w:eastAsia="Arial" w:hAnsi="Arial"/>
          <w:sz w:val="20"/>
          <w:szCs w:val="20"/>
          <w:color w:val="auto"/>
        </w:rPr>
        <w:t>Report of PricewaterhouseCoopers LLP, Independent Registered Public Accounting Firm</w:t>
      </w:r>
    </w:p>
    <w:p>
      <w:pPr>
        <w:ind w:left="160"/>
        <w:spacing w:after="0" w:line="236" w:lineRule="auto"/>
        <w:tabs>
          <w:tab w:leader="none" w:pos="9360" w:val="left"/>
        </w:tabs>
        <w:rPr>
          <w:sz w:val="20"/>
          <w:szCs w:val="20"/>
          <w:color w:val="auto"/>
        </w:rPr>
      </w:pPr>
      <w:r>
        <w:rPr>
          <w:rFonts w:ascii="Arial" w:cs="Arial" w:eastAsia="Arial" w:hAnsi="Arial"/>
          <w:sz w:val="20"/>
          <w:szCs w:val="20"/>
          <w:color w:val="auto"/>
        </w:rPr>
        <w:t>(PCAOB ID 238) . . . . . . . . . . . . . . . . . . . . . . . . . . . . . . . . . . . . . . . . . . . . . . . . . . . . . . . . . . . . . . . . . . . . . . .</w:t>
      </w:r>
      <w:r>
        <w:rPr>
          <w:sz w:val="20"/>
          <w:szCs w:val="20"/>
          <w:color w:val="auto"/>
        </w:rPr>
        <w:tab/>
      </w:r>
      <w:r>
        <w:rPr>
          <w:rFonts w:ascii="Arial" w:cs="Arial" w:eastAsia="Arial" w:hAnsi="Arial"/>
          <w:sz w:val="20"/>
          <w:szCs w:val="20"/>
          <w:color w:val="auto"/>
        </w:rPr>
        <w:t>173</w:t>
      </w:r>
    </w:p>
    <w:p>
      <w:pPr>
        <w:spacing w:after="0"/>
        <w:rPr>
          <w:sz w:val="20"/>
          <w:szCs w:val="20"/>
          <w:color w:val="auto"/>
        </w:rPr>
      </w:pPr>
      <w:r>
        <w:rPr>
          <w:rFonts w:ascii="Arial" w:cs="Arial" w:eastAsia="Arial" w:hAnsi="Arial"/>
          <w:sz w:val="20"/>
          <w:szCs w:val="20"/>
          <w:b w:val="1"/>
          <w:bCs w:val="1"/>
          <w:color w:val="auto"/>
        </w:rPr>
        <w:t>Consolidated Financial Statements</w:t>
      </w:r>
    </w:p>
    <w:p>
      <w:pPr>
        <w:spacing w:after="0" w:line="4" w:lineRule="exact"/>
        <w:rPr>
          <w:sz w:val="20"/>
          <w:szCs w:val="20"/>
          <w:color w:val="auto"/>
        </w:rPr>
      </w:pPr>
    </w:p>
    <w:p>
      <w:pPr>
        <w:spacing w:after="0"/>
        <w:tabs>
          <w:tab w:leader="none" w:pos="9360" w:val="left"/>
        </w:tabs>
        <w:rPr>
          <w:sz w:val="20"/>
          <w:szCs w:val="20"/>
          <w:color w:val="auto"/>
        </w:rPr>
      </w:pPr>
      <w:r>
        <w:rPr>
          <w:rFonts w:ascii="Arial" w:cs="Arial" w:eastAsia="Arial" w:hAnsi="Arial"/>
          <w:sz w:val="20"/>
          <w:szCs w:val="20"/>
          <w:color w:val="auto"/>
        </w:rPr>
        <w:t>Consolidated Balance Sheets . . . . . . . . . . . . . . . . . . . . . . . . . . . . . . . . . . . . . . . . . . . . . . . . . . . . . . . . . . . . .</w:t>
      </w:r>
      <w:r>
        <w:rPr>
          <w:sz w:val="20"/>
          <w:szCs w:val="20"/>
          <w:color w:val="auto"/>
        </w:rPr>
        <w:tab/>
      </w:r>
      <w:r>
        <w:rPr>
          <w:rFonts w:ascii="Arial" w:cs="Arial" w:eastAsia="Arial" w:hAnsi="Arial"/>
          <w:sz w:val="20"/>
          <w:szCs w:val="20"/>
          <w:color w:val="auto"/>
        </w:rPr>
        <w:t>174</w:t>
      </w:r>
    </w:p>
    <w:p>
      <w:pPr>
        <w:spacing w:after="0"/>
        <w:tabs>
          <w:tab w:leader="none" w:pos="9360" w:val="left"/>
        </w:tabs>
        <w:rPr>
          <w:sz w:val="20"/>
          <w:szCs w:val="20"/>
          <w:color w:val="auto"/>
        </w:rPr>
      </w:pPr>
      <w:r>
        <w:rPr>
          <w:rFonts w:ascii="Arial" w:cs="Arial" w:eastAsia="Arial" w:hAnsi="Arial"/>
          <w:sz w:val="20"/>
          <w:szCs w:val="20"/>
          <w:color w:val="auto"/>
        </w:rPr>
        <w:t>Consolidated Statements of Operations and Comprehensive Loss . . . . . . . . . . . . . . . . . . . . . . . . . . . . .</w:t>
      </w:r>
      <w:r>
        <w:rPr>
          <w:sz w:val="20"/>
          <w:szCs w:val="20"/>
          <w:color w:val="auto"/>
        </w:rPr>
        <w:tab/>
      </w:r>
      <w:r>
        <w:rPr>
          <w:rFonts w:ascii="Arial" w:cs="Arial" w:eastAsia="Arial" w:hAnsi="Arial"/>
          <w:sz w:val="20"/>
          <w:szCs w:val="20"/>
          <w:color w:val="auto"/>
        </w:rPr>
        <w:t>175</w:t>
      </w:r>
    </w:p>
    <w:p>
      <w:pPr>
        <w:spacing w:after="0"/>
        <w:rPr>
          <w:sz w:val="20"/>
          <w:szCs w:val="20"/>
          <w:color w:val="auto"/>
        </w:rPr>
      </w:pPr>
      <w:r>
        <w:rPr>
          <w:rFonts w:ascii="Arial" w:cs="Arial" w:eastAsia="Arial" w:hAnsi="Arial"/>
          <w:sz w:val="20"/>
          <w:szCs w:val="20"/>
          <w:color w:val="auto"/>
        </w:rPr>
        <w:t>Consolidated Statements of Redeemable Convertible Preferred Shares and Shareholders’ Equity</w:t>
      </w:r>
    </w:p>
    <w:p>
      <w:pPr>
        <w:ind w:left="160"/>
        <w:spacing w:after="0"/>
        <w:tabs>
          <w:tab w:leader="none" w:pos="9360" w:val="left"/>
        </w:tabs>
        <w:rPr>
          <w:sz w:val="20"/>
          <w:szCs w:val="20"/>
          <w:color w:val="auto"/>
        </w:rPr>
      </w:pPr>
      <w:r>
        <w:rPr>
          <w:rFonts w:ascii="Arial" w:cs="Arial" w:eastAsia="Arial" w:hAnsi="Arial"/>
          <w:sz w:val="20"/>
          <w:szCs w:val="20"/>
          <w:color w:val="auto"/>
        </w:rPr>
        <w:t>(Deficit). . . . . . . . . . . . . . . . . . . . . . . . . . . . . . . . . . . . . . . . . . . . . . . . . . . . . . . . . . . . . . . . . . . . . . . . . . . . . . .</w:t>
      </w:r>
      <w:r>
        <w:rPr>
          <w:sz w:val="20"/>
          <w:szCs w:val="20"/>
          <w:color w:val="auto"/>
        </w:rPr>
        <w:tab/>
      </w:r>
      <w:r>
        <w:rPr>
          <w:rFonts w:ascii="Arial" w:cs="Arial" w:eastAsia="Arial" w:hAnsi="Arial"/>
          <w:sz w:val="20"/>
          <w:szCs w:val="20"/>
          <w:color w:val="auto"/>
        </w:rPr>
        <w:t>176</w:t>
      </w:r>
    </w:p>
    <w:p>
      <w:pPr>
        <w:spacing w:after="0"/>
        <w:tabs>
          <w:tab w:leader="none" w:pos="9360" w:val="left"/>
        </w:tabs>
        <w:rPr>
          <w:sz w:val="20"/>
          <w:szCs w:val="20"/>
          <w:color w:val="auto"/>
        </w:rPr>
      </w:pPr>
      <w:r>
        <w:rPr>
          <w:rFonts w:ascii="Arial" w:cs="Arial" w:eastAsia="Arial" w:hAnsi="Arial"/>
          <w:sz w:val="20"/>
          <w:szCs w:val="20"/>
          <w:color w:val="auto"/>
        </w:rPr>
        <w:t>Consolidated Statements of Cash Flows . . . . . . . . . . . . . . . . . . . . . . . . . . . . . . . . . . . . . . . . . . . . . . . . . . . .</w:t>
      </w:r>
      <w:r>
        <w:rPr>
          <w:sz w:val="20"/>
          <w:szCs w:val="20"/>
          <w:color w:val="auto"/>
        </w:rPr>
        <w:tab/>
      </w:r>
      <w:r>
        <w:rPr>
          <w:rFonts w:ascii="Arial" w:cs="Arial" w:eastAsia="Arial" w:hAnsi="Arial"/>
          <w:sz w:val="20"/>
          <w:szCs w:val="20"/>
          <w:color w:val="auto"/>
        </w:rPr>
        <w:t>177</w:t>
      </w:r>
    </w:p>
    <w:p>
      <w:pPr>
        <w:spacing w:after="0"/>
        <w:tabs>
          <w:tab w:leader="none" w:pos="9360" w:val="left"/>
        </w:tabs>
        <w:rPr>
          <w:sz w:val="20"/>
          <w:szCs w:val="20"/>
          <w:color w:val="auto"/>
        </w:rPr>
      </w:pPr>
      <w:r>
        <w:rPr>
          <w:rFonts w:ascii="Arial" w:cs="Arial" w:eastAsia="Arial" w:hAnsi="Arial"/>
          <w:sz w:val="20"/>
          <w:szCs w:val="20"/>
          <w:color w:val="auto"/>
        </w:rPr>
        <w:t>Notes to Consolidated Financial Statements . . . . . . . . . . . . . . . . . . . . . . . . . . . . . . . . . . . . . . . . . . . . . . . .</w:t>
      </w:r>
      <w:r>
        <w:rPr>
          <w:sz w:val="20"/>
          <w:szCs w:val="20"/>
          <w:color w:val="auto"/>
        </w:rPr>
        <w:tab/>
      </w:r>
      <w:r>
        <w:rPr>
          <w:rFonts w:ascii="Arial" w:cs="Arial" w:eastAsia="Arial" w:hAnsi="Arial"/>
          <w:sz w:val="20"/>
          <w:szCs w:val="20"/>
          <w:color w:val="auto"/>
        </w:rPr>
        <w:t>178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161925</wp:posOffset>
                </wp:positionV>
                <wp:extent cx="617156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2.75pt" to="485.6pt,12.75pt" o:allowincell="f" strokecolor="#000000" strokeweight="0.4809pt"/>
            </w:pict>
          </mc:Fallback>
        </mc:AlternateContent>
      </w:r>
    </w:p>
    <w:p>
      <w:pPr>
        <w:sectPr>
          <w:pgSz w:w="11880" w:h="15480" w:orient="portrait"/>
          <w:cols w:equalWidth="0" w:num="1">
            <w:col w:w="9720"/>
          </w:cols>
          <w:pgMar w:left="1080" w:top="1062"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171</w:t>
      </w:r>
    </w:p>
    <w:p>
      <w:pPr>
        <w:sectPr>
          <w:pgSz w:w="11880" w:h="15480" w:orient="portrait"/>
          <w:cols w:equalWidth="0" w:num="1">
            <w:col w:w="9720"/>
          </w:cols>
          <w:pgMar w:left="1080" w:top="1062" w:right="1080" w:bottom="555" w:gutter="0" w:footer="0" w:header="0"/>
          <w:type w:val="continuous"/>
        </w:sectPr>
      </w:pPr>
    </w:p>
    <w:bookmarkStart w:id="173" w:name="page174"/>
    <w:bookmarkEnd w:id="173"/>
    <w:p>
      <w:pPr>
        <w:ind w:right="280" w:firstLine="364"/>
        <w:spacing w:after="0" w:line="491" w:lineRule="auto"/>
        <w:rPr>
          <w:sz w:val="20"/>
          <w:szCs w:val="20"/>
          <w:color w:val="auto"/>
        </w:rPr>
      </w:pPr>
      <w:r>
        <w:rPr>
          <w:rFonts w:ascii="Arial" w:cs="Arial" w:eastAsia="Arial" w:hAnsi="Arial"/>
          <w:sz w:val="20"/>
          <w:szCs w:val="20"/>
          <w:b w:val="1"/>
          <w:bCs w:val="1"/>
          <w:color w:val="auto"/>
        </w:rPr>
        <w:t xml:space="preserve">REPORT OF ERNST &amp; YOUNG LLP, INDEPENDENT REGISTERED PUBLIC ACCOUNTING FIRM </w:t>
      </w:r>
      <w:r>
        <w:rPr>
          <w:rFonts w:ascii="Arial" w:cs="Arial" w:eastAsia="Arial" w:hAnsi="Arial"/>
          <w:sz w:val="20"/>
          <w:szCs w:val="20"/>
          <w:color w:val="auto"/>
        </w:rPr>
        <w:t xml:space="preserve">To the Shareholders and the Board of Directors of Structure Therapeutics Inc. </w:t>
      </w:r>
      <w:r>
        <w:rPr>
          <w:rFonts w:ascii="Arial" w:cs="Arial" w:eastAsia="Arial" w:hAnsi="Arial"/>
          <w:sz w:val="20"/>
          <w:szCs w:val="20"/>
          <w:b w:val="1"/>
          <w:bCs w:val="1"/>
          <w:i w:val="1"/>
          <w:iCs w:val="1"/>
          <w:color w:val="auto"/>
        </w:rPr>
        <w:t>Opinion on the Financial Statements</w:t>
      </w:r>
    </w:p>
    <w:p>
      <w:pPr>
        <w:spacing w:after="0" w:line="247" w:lineRule="auto"/>
        <w:rPr>
          <w:sz w:val="20"/>
          <w:szCs w:val="20"/>
          <w:color w:val="auto"/>
        </w:rPr>
      </w:pPr>
      <w:r>
        <w:rPr>
          <w:rFonts w:ascii="Arial" w:cs="Arial" w:eastAsia="Arial" w:hAnsi="Arial"/>
          <w:sz w:val="20"/>
          <w:szCs w:val="20"/>
          <w:color w:val="auto"/>
        </w:rPr>
        <w:t>We have audited the accompanying consolidated balance sheet of Structure Therapeutics Inc. (the “Company”) as of December 31, 2023, the related consolidated statements of operations and comprehensive loss, redeemable convertible preferred shares and shareholders’ equity (deficit), and cash flows for the year ended December 31, 2023, and the related notes (collectively referred to as the “consolidated financial statements”). In our opinion, the consolidated financial statements present fairly, in all material respects, the financial position of the Company at December 31, 2023, and the results of its operations and its cash flows for the year then ended, in conformity with U.S. generally accepted accounting principles.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236" w:lineRule="exact"/>
        <w:rPr>
          <w:sz w:val="20"/>
          <w:szCs w:val="20"/>
          <w:color w:val="auto"/>
        </w:rPr>
      </w:pPr>
    </w:p>
    <w:p>
      <w:pPr>
        <w:ind w:right="140"/>
        <w:spacing w:after="0" w:line="251"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3" w:lineRule="exact"/>
        <w:rPr>
          <w:sz w:val="20"/>
          <w:szCs w:val="20"/>
          <w:color w:val="auto"/>
        </w:rPr>
      </w:pPr>
    </w:p>
    <w:p>
      <w:pPr>
        <w:ind w:right="200"/>
        <w:spacing w:after="0" w:line="249" w:lineRule="auto"/>
        <w:rPr>
          <w:sz w:val="20"/>
          <w:szCs w:val="20"/>
          <w:color w:val="auto"/>
        </w:rPr>
      </w:pPr>
      <w:r>
        <w:rPr>
          <w:rFonts w:ascii="Arial" w:cs="Arial" w:eastAsia="Arial" w:hAnsi="Arial"/>
          <w:sz w:val="20"/>
          <w:szCs w:val="20"/>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2023.</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San Mateo, California</w:t>
      </w:r>
    </w:p>
    <w:p>
      <w:pPr>
        <w:spacing w:after="0"/>
        <w:rPr>
          <w:sz w:val="20"/>
          <w:szCs w:val="20"/>
          <w:color w:val="auto"/>
        </w:rPr>
      </w:pPr>
      <w:r>
        <w:rPr>
          <w:rFonts w:ascii="Arial" w:cs="Arial" w:eastAsia="Arial" w:hAnsi="Arial"/>
          <w:sz w:val="20"/>
          <w:szCs w:val="20"/>
          <w:color w:val="auto"/>
        </w:rPr>
        <w:t>March 8, 2024</w:t>
      </w:r>
    </w:p>
    <w:p>
      <w:pPr>
        <w:sectPr>
          <w:pgSz w:w="11880" w:h="15480" w:orient="portrait"/>
          <w:cols w:equalWidth="0" w:num="1">
            <w:col w:w="9640"/>
          </w:cols>
          <w:pgMar w:left="1080" w:top="1063" w:right="116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172</w:t>
      </w:r>
    </w:p>
    <w:p>
      <w:pPr>
        <w:sectPr>
          <w:pgSz w:w="11880" w:h="15480" w:orient="portrait"/>
          <w:cols w:equalWidth="0" w:num="1">
            <w:col w:w="9640"/>
          </w:cols>
          <w:pgMar w:left="1080" w:top="1063" w:right="1160" w:bottom="555" w:gutter="0" w:footer="0" w:header="0"/>
          <w:type w:val="continuous"/>
        </w:sectPr>
      </w:pPr>
    </w:p>
    <w:bookmarkStart w:id="174" w:name="page175"/>
    <w:bookmarkEnd w:id="174"/>
    <w:p>
      <w:pPr>
        <w:ind w:right="1480" w:firstLine="1469"/>
        <w:spacing w:after="0" w:line="491"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Board of Directors and Shareholders of Structure Therapeutics Inc. </w:t>
      </w:r>
      <w:r>
        <w:rPr>
          <w:rFonts w:ascii="Arial" w:cs="Arial" w:eastAsia="Arial" w:hAnsi="Arial"/>
          <w:sz w:val="20"/>
          <w:szCs w:val="20"/>
          <w:b w:val="1"/>
          <w:bCs w:val="1"/>
          <w:i w:val="1"/>
          <w:iCs w:val="1"/>
          <w:color w:val="auto"/>
        </w:rPr>
        <w:t>Opinion on the Financial Statements</w:t>
      </w:r>
    </w:p>
    <w:p>
      <w:pPr>
        <w:ind w:right="140"/>
        <w:spacing w:after="0" w:line="246" w:lineRule="auto"/>
        <w:rPr>
          <w:sz w:val="20"/>
          <w:szCs w:val="20"/>
          <w:color w:val="auto"/>
        </w:rPr>
      </w:pPr>
      <w:r>
        <w:rPr>
          <w:rFonts w:ascii="Arial" w:cs="Arial" w:eastAsia="Arial" w:hAnsi="Arial"/>
          <w:sz w:val="20"/>
          <w:szCs w:val="20"/>
          <w:color w:val="auto"/>
        </w:rPr>
        <w:t>We have audited the consolidated balance sheet of Structure Therapeutics Inc. and its subsidiaries (the “Company”) as of December 31, 2022, and the related consolidated statements of operations and comprehensive loss, of redeemable convertible preferred shares and shareholders’ deficit and of cash flows for the year ended December 31, 2022, including the related notes (collectively referred to as the “consolidated financial statements”) . In our opinion, the consolidated financial statements present fairly, in all material respects, financial position of the Company as of December 31, 2022 and the results of its operations and its cash flows for the year ended December 31, 2022 in conformity with accounting principles generally accepted in the United States of America.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235"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240"/>
        <w:spacing w:after="0" w:line="254" w:lineRule="auto"/>
        <w:rPr>
          <w:sz w:val="20"/>
          <w:szCs w:val="20"/>
          <w:color w:val="auto"/>
        </w:rPr>
      </w:pPr>
      <w:r>
        <w:rPr>
          <w:rFonts w:ascii="Arial" w:cs="Arial" w:eastAsia="Arial" w:hAnsi="Arial"/>
          <w:sz w:val="20"/>
          <w:szCs w:val="20"/>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7"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San Jose, California</w:t>
      </w:r>
    </w:p>
    <w:p>
      <w:pPr>
        <w:spacing w:after="0"/>
        <w:rPr>
          <w:sz w:val="20"/>
          <w:szCs w:val="20"/>
          <w:color w:val="auto"/>
        </w:rPr>
      </w:pPr>
      <w:r>
        <w:rPr>
          <w:rFonts w:ascii="Arial" w:cs="Arial" w:eastAsia="Arial" w:hAnsi="Arial"/>
          <w:sz w:val="20"/>
          <w:szCs w:val="20"/>
          <w:color w:val="auto"/>
        </w:rPr>
        <w:t>March 30, 2023</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We served as the Company’s auditor from 2020 to 2023.</w:t>
      </w:r>
    </w:p>
    <w:p>
      <w:pPr>
        <w:sectPr>
          <w:pgSz w:w="11880" w:h="15480" w:orient="portrait"/>
          <w:cols w:equalWidth="0" w:num="1">
            <w:col w:w="9720"/>
          </w:cols>
          <w:pgMar w:left="1080" w:top="1063"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173</w:t>
      </w:r>
    </w:p>
    <w:p>
      <w:pPr>
        <w:sectPr>
          <w:pgSz w:w="11880" w:h="15480" w:orient="portrait"/>
          <w:cols w:equalWidth="0" w:num="1">
            <w:col w:w="9720"/>
          </w:cols>
          <w:pgMar w:left="1080" w:top="1063" w:right="1080" w:bottom="555" w:gutter="0" w:footer="0" w:header="0"/>
          <w:type w:val="continuous"/>
        </w:sectPr>
      </w:pPr>
    </w:p>
    <w:bookmarkStart w:id="175" w:name="page176"/>
    <w:bookmarkEnd w:id="175"/>
    <w:p>
      <w:pPr>
        <w:ind w:left="3200"/>
        <w:spacing w:after="0"/>
        <w:rPr>
          <w:sz w:val="20"/>
          <w:szCs w:val="20"/>
          <w:color w:val="auto"/>
        </w:rPr>
      </w:pPr>
      <w:r>
        <w:rPr>
          <w:rFonts w:ascii="Arial" w:cs="Arial" w:eastAsia="Arial" w:hAnsi="Arial"/>
          <w:sz w:val="20"/>
          <w:szCs w:val="20"/>
          <w:b w:val="1"/>
          <w:bCs w:val="1"/>
          <w:color w:val="auto"/>
        </w:rPr>
        <w:t>STRUCTURE THERAPEUTICS INC.</w:t>
      </w:r>
    </w:p>
    <w:p>
      <w:pPr>
        <w:spacing w:after="0" w:line="20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 THOUSANDS, EXCEPT PER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153035</wp:posOffset>
                </wp:positionV>
                <wp:extent cx="616267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2.05pt" to="485.6pt,12.05pt" o:allowincell="f" strokecolor="#000000" strokeweight="0.48pt"/>
            </w:pict>
          </mc:Fallback>
        </mc:AlternateConten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6"/>
          </w:tcPr>
          <w:p>
            <w:pPr>
              <w:ind w:left="2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9"/>
        </w:trPr>
        <w:tc>
          <w:tcPr>
            <w:tcW w:w="756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5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560" w:type="dxa"/>
            <w:vAlign w:val="bottom"/>
          </w:tcPr>
          <w:p>
            <w:pPr>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60" w:type="dxa"/>
            <w:vAlign w:val="bottom"/>
          </w:tcPr>
          <w:p>
            <w:pPr>
              <w:jc w:val="right"/>
              <w:ind w:right="175"/>
              <w:spacing w:after="0"/>
              <w:rPr>
                <w:sz w:val="20"/>
                <w:szCs w:val="20"/>
                <w:color w:val="auto"/>
              </w:rPr>
            </w:pPr>
            <w:r>
              <w:rPr>
                <w:rFonts w:ascii="Arial" w:cs="Arial" w:eastAsia="Arial" w:hAnsi="Arial"/>
                <w:sz w:val="17"/>
                <w:szCs w:val="17"/>
                <w:color w:val="auto"/>
              </w:rPr>
              <w:t>Cash and cash equivalents . . . . . . . . . . . . . . . . . . . . . . . . . . . . . . . . . . . . . . . . . . . . . . . . . . . . . . .</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129,792</w:t>
            </w:r>
          </w:p>
        </w:tc>
        <w:tc>
          <w:tcPr>
            <w:tcW w:w="400" w:type="dxa"/>
            <w:vAlign w:val="bottom"/>
            <w:gridSpan w:val="3"/>
          </w:tcPr>
          <w:p>
            <w:pPr>
              <w:jc w:val="right"/>
              <w:ind w:right="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26,091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60" w:type="dxa"/>
            <w:vAlign w:val="bottom"/>
          </w:tcPr>
          <w:p>
            <w:pPr>
              <w:jc w:val="right"/>
              <w:ind w:right="175"/>
              <w:spacing w:after="0"/>
              <w:rPr>
                <w:sz w:val="20"/>
                <w:szCs w:val="20"/>
                <w:color w:val="auto"/>
              </w:rPr>
            </w:pPr>
            <w:r>
              <w:rPr>
                <w:rFonts w:ascii="Arial" w:cs="Arial" w:eastAsia="Arial" w:hAnsi="Arial"/>
                <w:sz w:val="17"/>
                <w:szCs w:val="17"/>
                <w:color w:val="auto"/>
              </w:rPr>
              <w:t>Short-term investments . . . . . . . . . . . . . . . . . . . . . . . . . . . . . . . . . . . . . . . . . . . . . . . . . . . . . . . . .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337,531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64,750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60" w:type="dxa"/>
            <w:vAlign w:val="bottom"/>
          </w:tcPr>
          <w:p>
            <w:pPr>
              <w:jc w:val="right"/>
              <w:ind w:right="195"/>
              <w:spacing w:after="0"/>
              <w:rPr>
                <w:sz w:val="20"/>
                <w:szCs w:val="20"/>
                <w:color w:val="auto"/>
              </w:rPr>
            </w:pPr>
            <w:r>
              <w:rPr>
                <w:rFonts w:ascii="Arial" w:cs="Arial" w:eastAsia="Arial" w:hAnsi="Arial"/>
                <w:sz w:val="17"/>
                <w:szCs w:val="17"/>
                <w:color w:val="auto"/>
              </w:rPr>
              <w:t>Prepaid expenses and other current assets . . . . . . . . . . . . . . . . . . . . . . . . . . . . . . . . . . . . . . . . . .</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7560" w:type="dxa"/>
            <w:vAlign w:val="bottom"/>
          </w:tcPr>
          <w:p>
            <w:pPr>
              <w:jc w:val="right"/>
              <w:ind w:right="175"/>
              <w:spacing w:after="0" w:line="177" w:lineRule="exact"/>
              <w:rPr>
                <w:sz w:val="20"/>
                <w:szCs w:val="20"/>
                <w:color w:val="auto"/>
              </w:rPr>
            </w:pPr>
            <w:r>
              <w:rPr>
                <w:rFonts w:ascii="Arial" w:cs="Arial" w:eastAsia="Arial" w:hAnsi="Arial"/>
                <w:sz w:val="17"/>
                <w:szCs w:val="17"/>
                <w:color w:val="auto"/>
              </w:rPr>
              <w:t>. . . . . . . . . . . . . . . . . . . . . . . . . . . . . . . . . . . . . . . . . . . . . . . . . . . . . . . . . . . .Totalcurrentassets</w:t>
            </w:r>
          </w:p>
        </w:tc>
        <w:tc>
          <w:tcPr>
            <w:tcW w:w="18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7"/>
                <w:szCs w:val="17"/>
                <w:color w:val="auto"/>
              </w:rPr>
              <w:t>473,608</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7"/>
                <w:szCs w:val="17"/>
                <w:color w:val="auto"/>
              </w:rPr>
              <w:t>93,089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60" w:type="dxa"/>
            <w:vAlign w:val="bottom"/>
          </w:tcPr>
          <w:p>
            <w:pPr>
              <w:jc w:val="right"/>
              <w:ind w:right="175"/>
              <w:spacing w:after="0"/>
              <w:rPr>
                <w:sz w:val="20"/>
                <w:szCs w:val="20"/>
                <w:color w:val="auto"/>
              </w:rPr>
            </w:pPr>
            <w:r>
              <w:rPr>
                <w:rFonts w:ascii="Arial" w:cs="Arial" w:eastAsia="Arial" w:hAnsi="Arial"/>
                <w:sz w:val="17"/>
                <w:szCs w:val="17"/>
                <w:color w:val="auto"/>
              </w:rPr>
              <w:t>Property and equipment, net . . . . . . . . . . . . . . . . . . . . . . . . . . . . . . . . . . . . . . . . . . . . . . . . . . . . .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3,228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60" w:type="dxa"/>
            <w:vAlign w:val="bottom"/>
          </w:tcPr>
          <w:p>
            <w:pPr>
              <w:jc w:val="right"/>
              <w:ind w:right="195"/>
              <w:spacing w:after="0"/>
              <w:rPr>
                <w:sz w:val="20"/>
                <w:szCs w:val="20"/>
                <w:color w:val="auto"/>
              </w:rPr>
            </w:pPr>
            <w:r>
              <w:rPr>
                <w:rFonts w:ascii="Arial" w:cs="Arial" w:eastAsia="Arial" w:hAnsi="Arial"/>
                <w:sz w:val="17"/>
                <w:szCs w:val="17"/>
                <w:color w:val="auto"/>
                <w:w w:val="99"/>
              </w:rPr>
              <w:t>Operating right-of-use assets . . . . . . . . . . . . . . . . . . . . . . . . . . . . . . . . . . . . . . . . . . . . . . . . . . . . .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5,136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60" w:type="dxa"/>
            <w:vAlign w:val="bottom"/>
          </w:tcPr>
          <w:p>
            <w:pPr>
              <w:jc w:val="right"/>
              <w:ind w:right="175"/>
              <w:spacing w:after="0"/>
              <w:rPr>
                <w:sz w:val="20"/>
                <w:szCs w:val="20"/>
                <w:color w:val="auto"/>
              </w:rPr>
            </w:pPr>
            <w:r>
              <w:rPr>
                <w:rFonts w:ascii="Arial" w:cs="Arial" w:eastAsia="Arial" w:hAnsi="Arial"/>
                <w:sz w:val="17"/>
                <w:szCs w:val="17"/>
                <w:color w:val="auto"/>
              </w:rPr>
              <w:t>Other non-current assets . . . . . . . . . . . . . . . . . . . . . . . . . . . . . . . . . . . . . . . . . . . . . . . . . . . . . . . . .</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jc w:val="right"/>
              <w:ind w:right="175"/>
              <w:spacing w:after="0" w:line="194" w:lineRule="exact"/>
              <w:rPr>
                <w:sz w:val="20"/>
                <w:szCs w:val="20"/>
                <w:color w:val="auto"/>
              </w:rPr>
            </w:pPr>
            <w:r>
              <w:rPr>
                <w:rFonts w:ascii="Arial" w:cs="Arial" w:eastAsia="Arial" w:hAnsi="Arial"/>
                <w:sz w:val="17"/>
                <w:szCs w:val="17"/>
                <w:color w:val="auto"/>
              </w:rPr>
              <w:t>. . . . . . . . . . . . . . . . . . . . . . . . . . . . . . . . . . . . . . . . . . . . . . . . . . . . . . . . . . . . . . . . . .Totalassets</w:t>
            </w:r>
          </w:p>
        </w:tc>
        <w:tc>
          <w:tcPr>
            <w:tcW w:w="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482,017</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97,845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560" w:type="dxa"/>
            <w:vAlign w:val="bottom"/>
          </w:tcPr>
          <w:p>
            <w:pPr>
              <w:spacing w:after="0" w:line="180" w:lineRule="exact"/>
              <w:rPr>
                <w:sz w:val="20"/>
                <w:szCs w:val="20"/>
                <w:color w:val="auto"/>
              </w:rPr>
            </w:pPr>
            <w:r>
              <w:rPr>
                <w:rFonts w:ascii="Arial" w:cs="Arial" w:eastAsia="Arial" w:hAnsi="Arial"/>
                <w:sz w:val="17"/>
                <w:szCs w:val="17"/>
                <w:b w:val="1"/>
                <w:bCs w:val="1"/>
                <w:color w:val="auto"/>
              </w:rPr>
              <w:t>Liabilities, redeemable convertible preferred shares and shareholders’ equity(deficit)</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60" w:type="dxa"/>
            <w:vAlign w:val="bottom"/>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60" w:type="dxa"/>
            <w:vAlign w:val="bottom"/>
          </w:tcPr>
          <w:p>
            <w:pPr>
              <w:jc w:val="right"/>
              <w:ind w:right="175"/>
              <w:spacing w:after="0"/>
              <w:rPr>
                <w:sz w:val="20"/>
                <w:szCs w:val="20"/>
                <w:color w:val="auto"/>
              </w:rPr>
            </w:pPr>
            <w:r>
              <w:rPr>
                <w:rFonts w:ascii="Arial" w:cs="Arial" w:eastAsia="Arial" w:hAnsi="Arial"/>
                <w:sz w:val="17"/>
                <w:szCs w:val="17"/>
                <w:color w:val="auto"/>
                <w:w w:val="99"/>
              </w:rPr>
              <w:t>Accounts payable . . . . . . . . . . . . . . . . . . . . . . . . . . . . . . . . . . . . . . . . . . . . . . . . . . . . . . . . . . . . . . .</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4,742</w:t>
            </w:r>
          </w:p>
        </w:tc>
        <w:tc>
          <w:tcPr>
            <w:tcW w:w="400" w:type="dxa"/>
            <w:vAlign w:val="bottom"/>
            <w:gridSpan w:val="3"/>
          </w:tcPr>
          <w:p>
            <w:pPr>
              <w:jc w:val="right"/>
              <w:ind w:right="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6,009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60" w:type="dxa"/>
            <w:vAlign w:val="bottom"/>
          </w:tcPr>
          <w:p>
            <w:pPr>
              <w:jc w:val="right"/>
              <w:ind w:right="195"/>
              <w:spacing w:after="0"/>
              <w:rPr>
                <w:sz w:val="20"/>
                <w:szCs w:val="20"/>
                <w:color w:val="auto"/>
              </w:rPr>
            </w:pPr>
            <w:r>
              <w:rPr>
                <w:rFonts w:ascii="Arial" w:cs="Arial" w:eastAsia="Arial" w:hAnsi="Arial"/>
                <w:sz w:val="17"/>
                <w:szCs w:val="17"/>
                <w:color w:val="auto"/>
              </w:rPr>
              <w:t>Accrued expenses and other current liabilities . . . . . . . . . . . . . . . . . . . . . . . . . . . . . . . . . . . . . . .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18,558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6,741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60" w:type="dxa"/>
            <w:vAlign w:val="bottom"/>
          </w:tcPr>
          <w:p>
            <w:pPr>
              <w:jc w:val="right"/>
              <w:ind w:right="195"/>
              <w:spacing w:after="0"/>
              <w:rPr>
                <w:sz w:val="20"/>
                <w:szCs w:val="20"/>
                <w:color w:val="auto"/>
              </w:rPr>
            </w:pPr>
            <w:r>
              <w:rPr>
                <w:rFonts w:ascii="Arial" w:cs="Arial" w:eastAsia="Arial" w:hAnsi="Arial"/>
                <w:sz w:val="17"/>
                <w:szCs w:val="17"/>
                <w:color w:val="auto"/>
              </w:rPr>
              <w:t>Operating lease liabilities, current portion . . . . . . . . . . . . . . . . . . . . . . . . . . . . . . . . . . . . . . . . . . . .</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7560" w:type="dxa"/>
            <w:vAlign w:val="bottom"/>
          </w:tcPr>
          <w:p>
            <w:pPr>
              <w:jc w:val="right"/>
              <w:ind w:right="195"/>
              <w:spacing w:after="0" w:line="177" w:lineRule="exact"/>
              <w:rPr>
                <w:sz w:val="20"/>
                <w:szCs w:val="20"/>
                <w:color w:val="auto"/>
              </w:rPr>
            </w:pPr>
            <w:r>
              <w:rPr>
                <w:rFonts w:ascii="Arial" w:cs="Arial" w:eastAsia="Arial" w:hAnsi="Arial"/>
                <w:sz w:val="17"/>
                <w:szCs w:val="17"/>
                <w:color w:val="auto"/>
              </w:rPr>
              <w:t>. . . . . . . . . . . . . . . . . . . . . . . . . . . . . . . . . . . . . . . . . . . . . . . . . . . . . . . . . .Totalcurrentliabilities</w:t>
            </w:r>
          </w:p>
        </w:tc>
        <w:tc>
          <w:tcPr>
            <w:tcW w:w="18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7"/>
                <w:szCs w:val="17"/>
                <w:color w:val="auto"/>
              </w:rPr>
              <w:t>24,740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7"/>
                <w:szCs w:val="17"/>
                <w:color w:val="auto"/>
              </w:rPr>
              <w:t>13,010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60" w:type="dxa"/>
            <w:vAlign w:val="bottom"/>
          </w:tcPr>
          <w:p>
            <w:pPr>
              <w:jc w:val="right"/>
              <w:ind w:right="195"/>
              <w:spacing w:after="0"/>
              <w:rPr>
                <w:sz w:val="20"/>
                <w:szCs w:val="20"/>
                <w:color w:val="auto"/>
              </w:rPr>
            </w:pPr>
            <w:r>
              <w:rPr>
                <w:rFonts w:ascii="Arial" w:cs="Arial" w:eastAsia="Arial" w:hAnsi="Arial"/>
                <w:sz w:val="17"/>
                <w:szCs w:val="17"/>
                <w:color w:val="auto"/>
              </w:rPr>
              <w:t>Operating lease liabilities, net of current portion . . . . . . . . . . . . . . . . . . . . . . . . . . . . . . . . . . . . . .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4,013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7560" w:type="dxa"/>
            <w:vAlign w:val="bottom"/>
          </w:tcPr>
          <w:p>
            <w:pPr>
              <w:jc w:val="right"/>
              <w:ind w:right="195"/>
              <w:spacing w:after="0"/>
              <w:rPr>
                <w:sz w:val="20"/>
                <w:szCs w:val="20"/>
                <w:color w:val="auto"/>
              </w:rPr>
            </w:pPr>
            <w:r>
              <w:rPr>
                <w:rFonts w:ascii="Arial" w:cs="Arial" w:eastAsia="Arial" w:hAnsi="Arial"/>
                <w:sz w:val="17"/>
                <w:szCs w:val="17"/>
                <w:color w:val="auto"/>
                <w:w w:val="99"/>
              </w:rPr>
              <w:t>Other non-current liabilities. . . . . . . . . . . . . . . . . . . . . . . . . . . . . . . . . . . . . . . . . . . . . . . . . . . . . . .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7"/>
        </w:trPr>
        <w:tc>
          <w:tcPr>
            <w:tcW w:w="7560" w:type="dxa"/>
            <w:vAlign w:val="bottom"/>
          </w:tcPr>
          <w:p>
            <w:pPr>
              <w:jc w:val="right"/>
              <w:ind w:right="175"/>
              <w:spacing w:after="0" w:line="177" w:lineRule="exact"/>
              <w:rPr>
                <w:sz w:val="20"/>
                <w:szCs w:val="20"/>
                <w:color w:val="auto"/>
              </w:rPr>
            </w:pPr>
            <w:r>
              <w:rPr>
                <w:rFonts w:ascii="Arial" w:cs="Arial" w:eastAsia="Arial" w:hAnsi="Arial"/>
                <w:sz w:val="17"/>
                <w:szCs w:val="17"/>
                <w:color w:val="auto"/>
              </w:rPr>
              <w:t>. . . . . . . . . . . . . . . . . . . . . . . . . . . . . . . . . . . . . . . . . . . . . . . . . . . . . . . . . . . . . . . . .Totalliabilities</w:t>
            </w: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7"/>
                <w:szCs w:val="17"/>
                <w:color w:val="auto"/>
              </w:rPr>
              <w:t>29,051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7"/>
                <w:szCs w:val="17"/>
                <w:color w:val="auto"/>
              </w:rPr>
              <w:t>13,010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560" w:type="dxa"/>
            <w:vAlign w:val="bottom"/>
          </w:tcPr>
          <w:p>
            <w:pPr>
              <w:spacing w:after="0"/>
              <w:rPr>
                <w:sz w:val="20"/>
                <w:szCs w:val="20"/>
                <w:color w:val="auto"/>
              </w:rPr>
            </w:pPr>
            <w:r>
              <w:rPr>
                <w:rFonts w:ascii="Arial" w:cs="Arial" w:eastAsia="Arial" w:hAnsi="Arial"/>
                <w:sz w:val="17"/>
                <w:szCs w:val="17"/>
                <w:color w:val="auto"/>
              </w:rPr>
              <w:t>Commitments and contingencies (Note 6)</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spacing w:after="0"/>
              <w:rPr>
                <w:sz w:val="20"/>
                <w:szCs w:val="20"/>
                <w:color w:val="auto"/>
              </w:rPr>
            </w:pPr>
            <w:r>
              <w:rPr>
                <w:rFonts w:ascii="Arial" w:cs="Arial" w:eastAsia="Arial" w:hAnsi="Arial"/>
                <w:sz w:val="17"/>
                <w:szCs w:val="17"/>
                <w:color w:val="auto"/>
              </w:rPr>
              <w:t>Series A redeemable convertible preferred shares – $0.0001 par value, 0 and 19,200</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160"/>
              <w:spacing w:after="0"/>
              <w:rPr>
                <w:sz w:val="20"/>
                <w:szCs w:val="20"/>
                <w:color w:val="auto"/>
              </w:rPr>
            </w:pPr>
            <w:r>
              <w:rPr>
                <w:rFonts w:ascii="Arial" w:cs="Arial" w:eastAsia="Arial" w:hAnsi="Arial"/>
                <w:sz w:val="17"/>
                <w:szCs w:val="17"/>
                <w:color w:val="auto"/>
              </w:rPr>
              <w:t>shares authorized, issued and outstanding as of December 31, 2023 and December 31, 2022,</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160"/>
              <w:spacing w:after="0"/>
              <w:rPr>
                <w:sz w:val="20"/>
                <w:szCs w:val="20"/>
                <w:color w:val="auto"/>
              </w:rPr>
            </w:pPr>
            <w:r>
              <w:rPr>
                <w:rFonts w:ascii="Arial" w:cs="Arial" w:eastAsia="Arial" w:hAnsi="Arial"/>
                <w:sz w:val="17"/>
                <w:szCs w:val="17"/>
                <w:color w:val="auto"/>
              </w:rPr>
              <w:t>respectively (liquidation preference of $0 and $32,001 as of December 31, 2023 and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jc w:val="right"/>
              <w:ind w:right="195"/>
              <w:spacing w:after="0"/>
              <w:rPr>
                <w:sz w:val="20"/>
                <w:szCs w:val="20"/>
                <w:color w:val="auto"/>
              </w:rPr>
            </w:pPr>
            <w:r>
              <w:rPr>
                <w:rFonts w:ascii="Arial" w:cs="Arial" w:eastAsia="Arial" w:hAnsi="Arial"/>
                <w:sz w:val="17"/>
                <w:szCs w:val="17"/>
                <w:color w:val="auto"/>
                <w:w w:val="99"/>
              </w:rPr>
              <w:t>December 31, 2022, respectively) . . . . . . . . . . . . . . . . . . . . . . . . . . . . . . . . . . . . . . . . . . . . . . . . .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32,001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spacing w:after="0"/>
              <w:rPr>
                <w:sz w:val="20"/>
                <w:szCs w:val="20"/>
                <w:color w:val="auto"/>
              </w:rPr>
            </w:pPr>
            <w:r>
              <w:rPr>
                <w:rFonts w:ascii="Arial" w:cs="Arial" w:eastAsia="Arial" w:hAnsi="Arial"/>
                <w:sz w:val="17"/>
                <w:szCs w:val="17"/>
                <w:color w:val="auto"/>
              </w:rPr>
              <w:t>Series A+ redeemable convertible preferred shares – $0.0001 par value, 0 and 12,800 shares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160"/>
              <w:spacing w:after="0"/>
              <w:rPr>
                <w:sz w:val="20"/>
                <w:szCs w:val="20"/>
                <w:color w:val="auto"/>
              </w:rPr>
            </w:pPr>
            <w:r>
              <w:rPr>
                <w:rFonts w:ascii="Arial" w:cs="Arial" w:eastAsia="Arial" w:hAnsi="Arial"/>
                <w:sz w:val="17"/>
                <w:szCs w:val="17"/>
                <w:color w:val="auto"/>
              </w:rPr>
              <w:t>authorized, issued and outstanding as of December 31, 2023 and December 31, 2022,</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160"/>
              <w:spacing w:after="0"/>
              <w:rPr>
                <w:sz w:val="20"/>
                <w:szCs w:val="20"/>
                <w:color w:val="auto"/>
              </w:rPr>
            </w:pPr>
            <w:r>
              <w:rPr>
                <w:rFonts w:ascii="Arial" w:cs="Arial" w:eastAsia="Arial" w:hAnsi="Arial"/>
                <w:sz w:val="17"/>
                <w:szCs w:val="17"/>
                <w:color w:val="auto"/>
              </w:rPr>
              <w:t>respectively (liquidation preference of $0 and $26,000 as of December 31, 2023 and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60" w:type="dxa"/>
            <w:vAlign w:val="bottom"/>
          </w:tcPr>
          <w:p>
            <w:pPr>
              <w:jc w:val="right"/>
              <w:ind w:right="195"/>
              <w:spacing w:after="0"/>
              <w:rPr>
                <w:sz w:val="20"/>
                <w:szCs w:val="20"/>
                <w:color w:val="auto"/>
              </w:rPr>
            </w:pPr>
            <w:r>
              <w:rPr>
                <w:rFonts w:ascii="Arial" w:cs="Arial" w:eastAsia="Arial" w:hAnsi="Arial"/>
                <w:sz w:val="17"/>
                <w:szCs w:val="17"/>
                <w:color w:val="auto"/>
              </w:rPr>
              <w:t>December 31, 2022, respectively ) . . . . . . . . . . . . . . . . . . . . . . . . . . . . . . . . . . . . . . . . . . . . . . . .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spacing w:after="0"/>
              <w:rPr>
                <w:sz w:val="20"/>
                <w:szCs w:val="20"/>
                <w:color w:val="auto"/>
              </w:rPr>
            </w:pPr>
            <w:r>
              <w:rPr>
                <w:rFonts w:ascii="Arial" w:cs="Arial" w:eastAsia="Arial" w:hAnsi="Arial"/>
                <w:sz w:val="17"/>
                <w:szCs w:val="17"/>
                <w:color w:val="auto"/>
              </w:rPr>
              <w:t>Series B redeemable convertible preferred stock – $0.0001 par value, 0 and 32,857</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560" w:type="dxa"/>
            <w:vAlign w:val="bottom"/>
          </w:tcPr>
          <w:p>
            <w:pPr>
              <w:ind w:left="160"/>
              <w:spacing w:after="0" w:line="194" w:lineRule="exact"/>
              <w:rPr>
                <w:sz w:val="20"/>
                <w:szCs w:val="20"/>
                <w:color w:val="auto"/>
              </w:rPr>
            </w:pPr>
            <w:r>
              <w:rPr>
                <w:rFonts w:ascii="Arial" w:cs="Arial" w:eastAsia="Arial" w:hAnsi="Arial"/>
                <w:sz w:val="17"/>
                <w:szCs w:val="17"/>
                <w:color w:val="auto"/>
              </w:rPr>
              <w:t>shares authorized, issued and outstanding as of December 31, 2023 and December 31, 2022,</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160"/>
              <w:spacing w:after="0"/>
              <w:rPr>
                <w:sz w:val="20"/>
                <w:szCs w:val="20"/>
                <w:color w:val="auto"/>
              </w:rPr>
            </w:pPr>
            <w:r>
              <w:rPr>
                <w:rFonts w:ascii="Arial" w:cs="Arial" w:eastAsia="Arial" w:hAnsi="Arial"/>
                <w:sz w:val="17"/>
                <w:szCs w:val="17"/>
                <w:color w:val="auto"/>
              </w:rPr>
              <w:t>respectively (liquidation preference of $0 and $133,015 as of December 31, 2023 and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60" w:type="dxa"/>
            <w:vAlign w:val="bottom"/>
          </w:tcPr>
          <w:p>
            <w:pPr>
              <w:jc w:val="right"/>
              <w:ind w:right="195"/>
              <w:spacing w:after="0"/>
              <w:rPr>
                <w:sz w:val="20"/>
                <w:szCs w:val="20"/>
                <w:color w:val="auto"/>
              </w:rPr>
            </w:pPr>
            <w:r>
              <w:rPr>
                <w:rFonts w:ascii="Arial" w:cs="Arial" w:eastAsia="Arial" w:hAnsi="Arial"/>
                <w:sz w:val="17"/>
                <w:szCs w:val="17"/>
                <w:color w:val="auto"/>
                <w:w w:val="99"/>
              </w:rPr>
              <w:t>December 31, 2022, respectively) . . . . . . . . . . . . . . . . . . . . . . . . . . . . . . . . . . . . . . . . . . . . . . . . .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133,015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7560" w:type="dxa"/>
            <w:vAlign w:val="bottom"/>
          </w:tcPr>
          <w:p>
            <w:pPr>
              <w:spacing w:after="0" w:line="177" w:lineRule="exact"/>
              <w:rPr>
                <w:sz w:val="20"/>
                <w:szCs w:val="20"/>
                <w:color w:val="auto"/>
              </w:rPr>
            </w:pPr>
            <w:r>
              <w:rPr>
                <w:rFonts w:ascii="Arial" w:cs="Arial" w:eastAsia="Arial" w:hAnsi="Arial"/>
                <w:sz w:val="17"/>
                <w:szCs w:val="17"/>
                <w:color w:val="auto"/>
              </w:rPr>
              <w:t>Series B 1 redeemable convertible preferred stock – $0.0001 par value, 0 and 2,161</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560" w:type="dxa"/>
            <w:vAlign w:val="bottom"/>
          </w:tcPr>
          <w:p>
            <w:pPr>
              <w:ind w:left="160"/>
              <w:spacing w:after="0" w:line="216" w:lineRule="exact"/>
              <w:rPr>
                <w:sz w:val="20"/>
                <w:szCs w:val="20"/>
                <w:color w:val="auto"/>
              </w:rPr>
            </w:pPr>
            <w:r>
              <w:rPr>
                <w:rFonts w:ascii="Arial" w:cs="Arial" w:eastAsia="Arial" w:hAnsi="Arial"/>
                <w:sz w:val="14"/>
                <w:szCs w:val="14"/>
                <w:color w:val="auto"/>
              </w:rPr>
              <w:t>shares</w:t>
            </w:r>
            <w:r>
              <w:rPr>
                <w:rFonts w:ascii="MS PMincho" w:cs="MS PMincho" w:eastAsia="MS PMincho" w:hAnsi="MS PMincho"/>
                <w:sz w:val="24"/>
                <w:szCs w:val="24"/>
                <w:color w:val="auto"/>
                <w:vertAlign w:val="superscript"/>
              </w:rPr>
              <w:t>‑</w:t>
            </w:r>
            <w:r>
              <w:rPr>
                <w:rFonts w:ascii="Arial" w:cs="Arial" w:eastAsia="Arial" w:hAnsi="Arial"/>
                <w:sz w:val="14"/>
                <w:szCs w:val="14"/>
                <w:color w:val="auto"/>
              </w:rPr>
              <w:t xml:space="preserve"> authorized, issued and outstanding as of December 31, 2023 and December 31, 2022,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160"/>
              <w:spacing w:after="0"/>
              <w:rPr>
                <w:sz w:val="20"/>
                <w:szCs w:val="20"/>
                <w:color w:val="auto"/>
              </w:rPr>
            </w:pPr>
            <w:r>
              <w:rPr>
                <w:rFonts w:ascii="Arial" w:cs="Arial" w:eastAsia="Arial" w:hAnsi="Arial"/>
                <w:sz w:val="17"/>
                <w:szCs w:val="17"/>
                <w:color w:val="auto"/>
              </w:rPr>
              <w:t>respectively (liquidation preference of $0 and $7,000 as of December 31, 2023 and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60" w:type="dxa"/>
            <w:vAlign w:val="bottom"/>
          </w:tcPr>
          <w:p>
            <w:pPr>
              <w:jc w:val="right"/>
              <w:ind w:right="195"/>
              <w:spacing w:after="0"/>
              <w:rPr>
                <w:sz w:val="20"/>
                <w:szCs w:val="20"/>
                <w:color w:val="auto"/>
              </w:rPr>
            </w:pPr>
            <w:r>
              <w:rPr>
                <w:rFonts w:ascii="Arial" w:cs="Arial" w:eastAsia="Arial" w:hAnsi="Arial"/>
                <w:sz w:val="17"/>
                <w:szCs w:val="17"/>
                <w:color w:val="auto"/>
                <w:w w:val="99"/>
              </w:rPr>
              <w:t>December 31, 2022, respectively) . . . . . . . . . . . . . . . . . . . . . . . . . . . . . . . . . . . . . . . . . . . . . . . . .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8,959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spacing w:after="0"/>
              <w:rPr>
                <w:sz w:val="20"/>
                <w:szCs w:val="20"/>
                <w:color w:val="auto"/>
              </w:rPr>
            </w:pPr>
            <w:r>
              <w:rPr>
                <w:rFonts w:ascii="Arial" w:cs="Arial" w:eastAsia="Arial" w:hAnsi="Arial"/>
                <w:sz w:val="17"/>
                <w:szCs w:val="17"/>
                <w:color w:val="auto"/>
              </w:rPr>
              <w:t>Shareholders’ equity (deficit):</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spacing w:after="0"/>
              <w:rPr>
                <w:sz w:val="20"/>
                <w:szCs w:val="20"/>
                <w:color w:val="auto"/>
              </w:rPr>
            </w:pPr>
            <w:r>
              <w:rPr>
                <w:rFonts w:ascii="Arial" w:cs="Arial" w:eastAsia="Arial" w:hAnsi="Arial"/>
                <w:sz w:val="17"/>
                <w:szCs w:val="17"/>
                <w:color w:val="auto"/>
              </w:rPr>
              <w:t>Undesignated shares – $0.0001 par value; 90,188 and 0 shares authorized as of</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60" w:type="dxa"/>
            <w:vAlign w:val="bottom"/>
          </w:tcPr>
          <w:p>
            <w:pPr>
              <w:ind w:left="160"/>
              <w:spacing w:after="0"/>
              <w:rPr>
                <w:sz w:val="20"/>
                <w:szCs w:val="20"/>
                <w:color w:val="auto"/>
              </w:rPr>
            </w:pPr>
            <w:r>
              <w:rPr>
                <w:rFonts w:ascii="Arial" w:cs="Arial" w:eastAsia="Arial" w:hAnsi="Arial"/>
                <w:sz w:val="17"/>
                <w:szCs w:val="17"/>
                <w:color w:val="auto"/>
              </w:rPr>
              <w:t>December 31, 2023 and December 31, 2022, respectively . . . . . . . . . . . . . . . . . . . . . . . .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20"/>
                <w:szCs w:val="20"/>
                <w:color w:val="auto"/>
              </w:rPr>
            </w:pPr>
            <w:r>
              <w:rPr>
                <w:rFonts w:ascii="Arial" w:cs="Arial" w:eastAsia="Arial" w:hAnsi="Arial"/>
                <w:sz w:val="17"/>
                <w:szCs w:val="17"/>
                <w:color w:val="auto"/>
              </w:rPr>
              <w:t>Ordinary shares – $0.0001 par value; 500,000 and 432,982 shares authorized as of</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160"/>
              <w:spacing w:after="0"/>
              <w:rPr>
                <w:sz w:val="20"/>
                <w:szCs w:val="20"/>
                <w:color w:val="auto"/>
              </w:rPr>
            </w:pPr>
            <w:r>
              <w:rPr>
                <w:rFonts w:ascii="Arial" w:cs="Arial" w:eastAsia="Arial" w:hAnsi="Arial"/>
                <w:sz w:val="17"/>
                <w:szCs w:val="17"/>
                <w:color w:val="auto"/>
              </w:rPr>
              <w:t>December 31, 2023 and December 31, 2022, respectively; 139,220 and 10,527 shares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60" w:type="dxa"/>
            <w:vAlign w:val="bottom"/>
          </w:tcPr>
          <w:p>
            <w:pPr>
              <w:jc w:val="right"/>
              <w:ind w:right="195"/>
              <w:spacing w:after="0"/>
              <w:rPr>
                <w:sz w:val="20"/>
                <w:szCs w:val="20"/>
                <w:color w:val="auto"/>
              </w:rPr>
            </w:pPr>
            <w:r>
              <w:rPr>
                <w:rFonts w:ascii="Arial" w:cs="Arial" w:eastAsia="Arial" w:hAnsi="Arial"/>
                <w:sz w:val="17"/>
                <w:szCs w:val="17"/>
                <w:color w:val="auto"/>
              </w:rPr>
              <w:t>issued and outstanding as of December 31, 2023 and December 31, 2022, respectively . . . . .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60" w:type="dxa"/>
            <w:vAlign w:val="bottom"/>
          </w:tcPr>
          <w:p>
            <w:pPr>
              <w:jc w:val="right"/>
              <w:ind w:right="175"/>
              <w:spacing w:after="0"/>
              <w:rPr>
                <w:sz w:val="20"/>
                <w:szCs w:val="20"/>
                <w:color w:val="auto"/>
              </w:rPr>
            </w:pPr>
            <w:r>
              <w:rPr>
                <w:rFonts w:ascii="Arial" w:cs="Arial" w:eastAsia="Arial" w:hAnsi="Arial"/>
                <w:sz w:val="17"/>
                <w:szCs w:val="17"/>
                <w:color w:val="auto"/>
                <w:w w:val="99"/>
              </w:rPr>
              <w:t>Additional paid-in capital . . . . . . . . . . . . . . . . . . . . . . . . . . . . . . . . . . . . . . . . . . . . . . . . . . . . . . . . .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659,003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jc w:val="right"/>
              <w:ind w:right="195"/>
              <w:spacing w:after="0"/>
              <w:rPr>
                <w:sz w:val="20"/>
                <w:szCs w:val="20"/>
                <w:color w:val="auto"/>
              </w:rPr>
            </w:pPr>
            <w:r>
              <w:rPr>
                <w:rFonts w:ascii="Arial" w:cs="Arial" w:eastAsia="Arial" w:hAnsi="Arial"/>
                <w:sz w:val="17"/>
                <w:szCs w:val="17"/>
                <w:color w:val="auto"/>
                <w:w w:val="99"/>
              </w:rPr>
              <w:t>Accumulated other comprehensive income (loss) . . . . . . . . . . . . . . . . . . . . . . . . . . . . . . . . . . . . .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521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6"/>
        </w:trPr>
        <w:tc>
          <w:tcPr>
            <w:tcW w:w="7560" w:type="dxa"/>
            <w:vAlign w:val="bottom"/>
          </w:tcPr>
          <w:p>
            <w:pPr>
              <w:jc w:val="right"/>
              <w:ind w:right="175"/>
              <w:spacing w:after="0"/>
              <w:rPr>
                <w:sz w:val="20"/>
                <w:szCs w:val="20"/>
                <w:color w:val="auto"/>
              </w:rPr>
            </w:pPr>
            <w:r>
              <w:rPr>
                <w:rFonts w:ascii="Arial" w:cs="Arial" w:eastAsia="Arial" w:hAnsi="Arial"/>
                <w:sz w:val="17"/>
                <w:szCs w:val="17"/>
                <w:color w:val="auto"/>
                <w:w w:val="99"/>
              </w:rPr>
              <w:t>Accumulated deficit . . . . . . . . . . . . . . . . . . . . . . . . . . . . . . . . . . . . . . . . . . . . . . . . . . . . . . . . . . . . .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(206,572)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(116,952)</w:t>
            </w:r>
          </w:p>
        </w:tc>
        <w:tc>
          <w:tcPr>
            <w:tcW w:w="0" w:type="dxa"/>
            <w:vAlign w:val="bottom"/>
          </w:tcPr>
          <w:p>
            <w:pPr>
              <w:spacing w:after="0"/>
              <w:rPr>
                <w:sz w:val="1"/>
                <w:szCs w:val="1"/>
                <w:color w:val="auto"/>
              </w:rPr>
            </w:pPr>
          </w:p>
        </w:tc>
      </w:tr>
      <w:tr>
        <w:trPr>
          <w:trHeight w:val="186"/>
        </w:trPr>
        <w:tc>
          <w:tcPr>
            <w:tcW w:w="7560" w:type="dxa"/>
            <w:vAlign w:val="bottom"/>
          </w:tcPr>
          <w:p>
            <w:pPr>
              <w:jc w:val="right"/>
              <w:ind w:right="195"/>
              <w:spacing w:after="0" w:line="186" w:lineRule="exact"/>
              <w:rPr>
                <w:sz w:val="20"/>
                <w:szCs w:val="20"/>
                <w:color w:val="auto"/>
              </w:rPr>
            </w:pPr>
            <w:r>
              <w:rPr>
                <w:rFonts w:ascii="Arial" w:cs="Arial" w:eastAsia="Arial" w:hAnsi="Arial"/>
                <w:sz w:val="17"/>
                <w:szCs w:val="17"/>
                <w:color w:val="auto"/>
              </w:rPr>
              <w:t>. . . . . . . . . . . . . . . . . . . . . . . . . . . . . . . . . . . . . . . . . . . . . . . . .Totalshareholders’equity(deficit)</w:t>
            </w: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452,966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(115,140)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60" w:type="dxa"/>
            <w:vAlign w:val="bottom"/>
          </w:tcPr>
          <w:p>
            <w:pPr>
              <w:jc w:val="right"/>
              <w:ind w:right="195"/>
              <w:spacing w:after="0" w:line="194" w:lineRule="exact"/>
              <w:rPr>
                <w:sz w:val="20"/>
                <w:szCs w:val="20"/>
                <w:color w:val="auto"/>
              </w:rPr>
            </w:pPr>
            <w:r>
              <w:rPr>
                <w:rFonts w:ascii="Arial" w:cs="Arial" w:eastAsia="Arial" w:hAnsi="Arial"/>
                <w:sz w:val="17"/>
                <w:szCs w:val="17"/>
                <w:color w:val="auto"/>
              </w:rPr>
              <w:t>. . .Totalliabilities,redeemableconvertiblepreferredsharesandshareholders’equity(deficit)</w:t>
            </w:r>
          </w:p>
        </w:tc>
        <w:tc>
          <w:tcPr>
            <w:tcW w:w="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482,017</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97,845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150495</wp:posOffset>
                </wp:positionV>
                <wp:extent cx="617156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1.85pt" to="485.6pt,11.85pt" o:allowincell="f" strokecolor="#000000" strokeweight="0.4799pt"/>
            </w:pict>
          </mc:Fallback>
        </mc:AlternateConten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720"/>
          </w:cols>
          <w:pgMar w:left="1080" w:top="1062"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174</w:t>
      </w:r>
    </w:p>
    <w:p>
      <w:pPr>
        <w:sectPr>
          <w:pgSz w:w="11880" w:h="15480" w:orient="portrait"/>
          <w:cols w:equalWidth="0" w:num="1">
            <w:col w:w="9720"/>
          </w:cols>
          <w:pgMar w:left="1080" w:top="1062" w:right="1080" w:bottom="555" w:gutter="0" w:footer="0" w:header="0"/>
          <w:type w:val="continuous"/>
        </w:sectPr>
      </w:pPr>
    </w:p>
    <w:bookmarkStart w:id="176" w:name="page177"/>
    <w:bookmarkEnd w:id="176"/>
    <w:p>
      <w:pPr>
        <w:ind w:left="3200"/>
        <w:spacing w:after="0"/>
        <w:rPr>
          <w:sz w:val="20"/>
          <w:szCs w:val="20"/>
          <w:color w:val="auto"/>
        </w:rPr>
      </w:pPr>
      <w:r>
        <w:rPr>
          <w:rFonts w:ascii="Arial" w:cs="Arial" w:eastAsia="Arial" w:hAnsi="Arial"/>
          <w:sz w:val="20"/>
          <w:szCs w:val="20"/>
          <w:b w:val="1"/>
          <w:bCs w:val="1"/>
          <w:color w:val="auto"/>
        </w:rPr>
        <w:t>STRUCTURE THERAPEUTICS INC.</w:t>
      </w:r>
    </w:p>
    <w:p>
      <w:pPr>
        <w:spacing w:after="0" w:line="239"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 THOUSANDS, EXCEPT PER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177800</wp:posOffset>
                </wp:positionV>
                <wp:extent cx="616267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pt" to="485.6pt,14pt" o:allowincell="f" strokecolor="#000000" strokeweight="0.4799pt"/>
            </w:pict>
          </mc:Fallback>
        </mc:AlternateConten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8"/>
              </w:rPr>
              <w:t>YEAR ENDED DECEMBER 31,</w:t>
            </w:r>
          </w:p>
        </w:tc>
        <w:tc>
          <w:tcPr>
            <w:tcW w:w="0" w:type="dxa"/>
            <w:vAlign w:val="bottom"/>
          </w:tcPr>
          <w:p>
            <w:pPr>
              <w:spacing w:after="0"/>
              <w:rPr>
                <w:sz w:val="1"/>
                <w:szCs w:val="1"/>
                <w:color w:val="auto"/>
              </w:rPr>
            </w:pPr>
          </w:p>
        </w:tc>
      </w:tr>
      <w:tr>
        <w:trPr>
          <w:trHeight w:val="174"/>
        </w:trPr>
        <w:tc>
          <w:tcPr>
            <w:tcW w:w="7280" w:type="dxa"/>
            <w:vAlign w:val="bottom"/>
            <w:vMerge w:val="restart"/>
          </w:tcPr>
          <w:p>
            <w:pPr>
              <w:spacing w:after="0"/>
              <w:rPr>
                <w:sz w:val="20"/>
                <w:szCs w:val="20"/>
                <w:color w:val="auto"/>
              </w:rPr>
            </w:pPr>
            <w:r>
              <w:rPr>
                <w:rFonts w:ascii="Arial" w:cs="Arial" w:eastAsia="Arial" w:hAnsi="Arial"/>
                <w:sz w:val="20"/>
                <w:szCs w:val="20"/>
                <w:color w:val="auto"/>
              </w:rPr>
              <w:t>Operating expenses:</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ind w:right="222"/>
              <w:spacing w:after="0" w:line="175" w:lineRule="exact"/>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1"/>
              <w:spacing w:after="0" w:line="175"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7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80" w:type="dxa"/>
            <w:vAlign w:val="bottom"/>
          </w:tcPr>
          <w:p>
            <w:pPr>
              <w:jc w:val="right"/>
              <w:ind w:right="220"/>
              <w:spacing w:after="0"/>
              <w:rPr>
                <w:sz w:val="20"/>
                <w:szCs w:val="20"/>
                <w:color w:val="auto"/>
              </w:rPr>
            </w:pPr>
            <w:r>
              <w:rPr>
                <w:rFonts w:ascii="Arial" w:cs="Arial" w:eastAsia="Arial" w:hAnsi="Arial"/>
                <w:sz w:val="20"/>
                <w:szCs w:val="20"/>
                <w:color w:val="auto"/>
                <w:w w:val="96"/>
              </w:rPr>
              <w:t>Research and development . . . . . . . . . . . . . . . . . . . . . . . . . . . . . . . . . . . . . . . . . . .</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70,103</w:t>
            </w:r>
          </w:p>
        </w:tc>
        <w:tc>
          <w:tcPr>
            <w:tcW w:w="46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36,193</w:t>
            </w:r>
          </w:p>
        </w:tc>
        <w:tc>
          <w:tcPr>
            <w:tcW w:w="0" w:type="dxa"/>
            <w:vAlign w:val="bottom"/>
          </w:tcPr>
          <w:p>
            <w:pPr>
              <w:spacing w:after="0"/>
              <w:rPr>
                <w:sz w:val="1"/>
                <w:szCs w:val="1"/>
                <w:color w:val="auto"/>
              </w:rPr>
            </w:pPr>
          </w:p>
        </w:tc>
      </w:tr>
      <w:tr>
        <w:trPr>
          <w:trHeight w:val="240"/>
        </w:trPr>
        <w:tc>
          <w:tcPr>
            <w:tcW w:w="7280" w:type="dxa"/>
            <w:vAlign w:val="bottom"/>
          </w:tcPr>
          <w:p>
            <w:pPr>
              <w:jc w:val="right"/>
              <w:ind w:right="220"/>
              <w:spacing w:after="0"/>
              <w:rPr>
                <w:sz w:val="20"/>
                <w:szCs w:val="20"/>
                <w:color w:val="auto"/>
              </w:rPr>
            </w:pPr>
            <w:r>
              <w:rPr>
                <w:rFonts w:ascii="Arial" w:cs="Arial" w:eastAsia="Arial" w:hAnsi="Arial"/>
                <w:sz w:val="20"/>
                <w:szCs w:val="20"/>
                <w:color w:val="auto"/>
                <w:w w:val="95"/>
              </w:rPr>
              <w:t>General and administrative . . . . . . . . . . . . . . . . . . . . . . . . . . . . . . . . . . . . . . . . . . . .</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32,672</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16,368</w:t>
            </w:r>
          </w:p>
        </w:tc>
        <w:tc>
          <w:tcPr>
            <w:tcW w:w="0" w:type="dxa"/>
            <w:vAlign w:val="bottom"/>
          </w:tcPr>
          <w:p>
            <w:pPr>
              <w:spacing w:after="0"/>
              <w:rPr>
                <w:sz w:val="1"/>
                <w:szCs w:val="1"/>
                <w:color w:val="auto"/>
              </w:rPr>
            </w:pPr>
          </w:p>
        </w:tc>
      </w:tr>
      <w:tr>
        <w:trPr>
          <w:trHeight w:val="209"/>
        </w:trPr>
        <w:tc>
          <w:tcPr>
            <w:tcW w:w="7280" w:type="dxa"/>
            <w:vAlign w:val="bottom"/>
          </w:tcPr>
          <w:p>
            <w:pPr>
              <w:jc w:val="right"/>
              <w:ind w:right="220"/>
              <w:spacing w:after="0" w:line="209" w:lineRule="exact"/>
              <w:rPr>
                <w:sz w:val="20"/>
                <w:szCs w:val="20"/>
                <w:color w:val="auto"/>
              </w:rPr>
            </w:pPr>
            <w:r>
              <w:rPr>
                <w:rFonts w:ascii="Arial" w:cs="Arial" w:eastAsia="Arial" w:hAnsi="Arial"/>
                <w:sz w:val="20"/>
                <w:szCs w:val="20"/>
                <w:color w:val="auto"/>
                <w:w w:val="94"/>
              </w:rPr>
              <w:t>. . . . . . . . . . . . . . . . . . . . . . . . . . . . . . . . . . . . . . . . . . . . . . .Totaloperatingexpenses</w:t>
            </w:r>
          </w:p>
        </w:tc>
        <w:tc>
          <w:tcPr>
            <w:tcW w:w="120" w:type="dxa"/>
            <w:vAlign w:val="bottom"/>
          </w:tcPr>
          <w:p>
            <w:pPr>
              <w:spacing w:after="0"/>
              <w:rPr>
                <w:sz w:val="18"/>
                <w:szCs w:val="18"/>
                <w:color w:val="auto"/>
              </w:rPr>
            </w:pPr>
          </w:p>
        </w:tc>
        <w:tc>
          <w:tcPr>
            <w:tcW w:w="980" w:type="dxa"/>
            <w:vAlign w:val="bottom"/>
          </w:tcPr>
          <w:p>
            <w:pPr>
              <w:jc w:val="right"/>
              <w:spacing w:after="0" w:line="209" w:lineRule="exact"/>
              <w:rPr>
                <w:sz w:val="20"/>
                <w:szCs w:val="20"/>
                <w:color w:val="auto"/>
              </w:rPr>
            </w:pPr>
            <w:r>
              <w:rPr>
                <w:rFonts w:ascii="Arial" w:cs="Arial" w:eastAsia="Arial" w:hAnsi="Arial"/>
                <w:sz w:val="20"/>
                <w:szCs w:val="20"/>
                <w:color w:val="auto"/>
              </w:rPr>
              <w:t>102,775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09" w:lineRule="exact"/>
              <w:rPr>
                <w:sz w:val="20"/>
                <w:szCs w:val="20"/>
                <w:color w:val="auto"/>
              </w:rPr>
            </w:pPr>
            <w:r>
              <w:rPr>
                <w:rFonts w:ascii="Arial" w:cs="Arial" w:eastAsia="Arial" w:hAnsi="Arial"/>
                <w:sz w:val="20"/>
                <w:szCs w:val="20"/>
                <w:color w:val="auto"/>
              </w:rPr>
              <w:t>52,561</w:t>
            </w:r>
          </w:p>
        </w:tc>
        <w:tc>
          <w:tcPr>
            <w:tcW w:w="0" w:type="dxa"/>
            <w:vAlign w:val="bottom"/>
          </w:tcPr>
          <w:p>
            <w:pPr>
              <w:spacing w:after="0"/>
              <w:rPr>
                <w:sz w:val="1"/>
                <w:szCs w:val="1"/>
                <w:color w:val="auto"/>
              </w:rPr>
            </w:pPr>
          </w:p>
        </w:tc>
      </w:tr>
      <w:tr>
        <w:trPr>
          <w:trHeight w:val="230"/>
        </w:trPr>
        <w:tc>
          <w:tcPr>
            <w:tcW w:w="7280" w:type="dxa"/>
            <w:vAlign w:val="bottom"/>
          </w:tcPr>
          <w:p>
            <w:pPr>
              <w:jc w:val="right"/>
              <w:ind w:right="220"/>
              <w:spacing w:after="0"/>
              <w:rPr>
                <w:sz w:val="20"/>
                <w:szCs w:val="20"/>
                <w:color w:val="auto"/>
              </w:rPr>
            </w:pPr>
            <w:r>
              <w:rPr>
                <w:rFonts w:ascii="Arial" w:cs="Arial" w:eastAsia="Arial" w:hAnsi="Arial"/>
                <w:sz w:val="20"/>
                <w:szCs w:val="20"/>
                <w:color w:val="auto"/>
                <w:w w:val="93"/>
              </w:rPr>
              <w:t>Loss from operations . . . . . . . . . . . . . . . . . . . . . . . . . . . . . . . . . . . . . . . . . . . . . . . . .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(102,775)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(52,561)</w:t>
            </w:r>
          </w:p>
        </w:tc>
        <w:tc>
          <w:tcPr>
            <w:tcW w:w="0" w:type="dxa"/>
            <w:vAlign w:val="bottom"/>
          </w:tcPr>
          <w:p>
            <w:pPr>
              <w:spacing w:after="0"/>
              <w:rPr>
                <w:sz w:val="1"/>
                <w:szCs w:val="1"/>
                <w:color w:val="auto"/>
              </w:rPr>
            </w:pPr>
          </w:p>
        </w:tc>
      </w:tr>
      <w:tr>
        <w:trPr>
          <w:trHeight w:val="240"/>
        </w:trPr>
        <w:tc>
          <w:tcPr>
            <w:tcW w:w="7280" w:type="dxa"/>
            <w:vAlign w:val="bottom"/>
          </w:tcPr>
          <w:p>
            <w:pPr>
              <w:jc w:val="right"/>
              <w:ind w:right="220"/>
              <w:spacing w:after="0"/>
              <w:rPr>
                <w:sz w:val="20"/>
                <w:szCs w:val="20"/>
                <w:color w:val="auto"/>
              </w:rPr>
            </w:pPr>
            <w:r>
              <w:rPr>
                <w:rFonts w:ascii="Arial" w:cs="Arial" w:eastAsia="Arial" w:hAnsi="Arial"/>
                <w:sz w:val="20"/>
                <w:szCs w:val="20"/>
                <w:color w:val="auto"/>
                <w:w w:val="95"/>
              </w:rPr>
              <w:t>Interest and other income (expense), net . . . . . . . . . . . . . . . . . . . . . . . . . . . . . . . . .</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13,391</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1,257</w:t>
            </w:r>
          </w:p>
        </w:tc>
        <w:tc>
          <w:tcPr>
            <w:tcW w:w="0" w:type="dxa"/>
            <w:vAlign w:val="bottom"/>
          </w:tcPr>
          <w:p>
            <w:pPr>
              <w:spacing w:after="0"/>
              <w:rPr>
                <w:sz w:val="1"/>
                <w:szCs w:val="1"/>
                <w:color w:val="auto"/>
              </w:rPr>
            </w:pPr>
          </w:p>
        </w:tc>
      </w:tr>
      <w:tr>
        <w:trPr>
          <w:trHeight w:val="210"/>
        </w:trPr>
        <w:tc>
          <w:tcPr>
            <w:tcW w:w="7280" w:type="dxa"/>
            <w:vAlign w:val="bottom"/>
          </w:tcPr>
          <w:p>
            <w:pPr>
              <w:jc w:val="right"/>
              <w:ind w:right="220"/>
              <w:spacing w:after="0" w:line="210" w:lineRule="exact"/>
              <w:rPr>
                <w:sz w:val="20"/>
                <w:szCs w:val="20"/>
                <w:color w:val="auto"/>
              </w:rPr>
            </w:pPr>
            <w:r>
              <w:rPr>
                <w:rFonts w:ascii="Arial" w:cs="Arial" w:eastAsia="Arial" w:hAnsi="Arial"/>
                <w:sz w:val="20"/>
                <w:szCs w:val="20"/>
                <w:color w:val="auto"/>
                <w:w w:val="99"/>
              </w:rPr>
              <w:t>. . . . . . . . . . . . . . . . . . . . . . . . . . . . . . . . . . .Lossbeforeprovisionforincometaxes</w:t>
            </w:r>
          </w:p>
        </w:tc>
        <w:tc>
          <w:tcPr>
            <w:tcW w:w="120" w:type="dxa"/>
            <w:vAlign w:val="bottom"/>
          </w:tcPr>
          <w:p>
            <w:pPr>
              <w:spacing w:after="0"/>
              <w:rPr>
                <w:sz w:val="18"/>
                <w:szCs w:val="18"/>
                <w:color w:val="auto"/>
              </w:rPr>
            </w:pPr>
          </w:p>
        </w:tc>
        <w:tc>
          <w:tcPr>
            <w:tcW w:w="980" w:type="dxa"/>
            <w:vAlign w:val="bottom"/>
          </w:tcPr>
          <w:p>
            <w:pPr>
              <w:jc w:val="right"/>
              <w:spacing w:after="0" w:line="210" w:lineRule="exact"/>
              <w:rPr>
                <w:sz w:val="20"/>
                <w:szCs w:val="20"/>
                <w:color w:val="auto"/>
              </w:rPr>
            </w:pPr>
            <w:r>
              <w:rPr>
                <w:rFonts w:ascii="Arial" w:cs="Arial" w:eastAsia="Arial" w:hAnsi="Arial"/>
                <w:sz w:val="20"/>
                <w:szCs w:val="20"/>
                <w:color w:val="auto"/>
              </w:rPr>
              <w:t>(89,384)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10" w:lineRule="exact"/>
              <w:rPr>
                <w:sz w:val="20"/>
                <w:szCs w:val="20"/>
                <w:color w:val="auto"/>
              </w:rPr>
            </w:pPr>
            <w:r>
              <w:rPr>
                <w:rFonts w:ascii="Arial" w:cs="Arial" w:eastAsia="Arial" w:hAnsi="Arial"/>
                <w:sz w:val="20"/>
                <w:szCs w:val="20"/>
                <w:color w:val="auto"/>
              </w:rPr>
              <w:t>(51,304)</w:t>
            </w:r>
          </w:p>
        </w:tc>
        <w:tc>
          <w:tcPr>
            <w:tcW w:w="0" w:type="dxa"/>
            <w:vAlign w:val="bottom"/>
          </w:tcPr>
          <w:p>
            <w:pPr>
              <w:spacing w:after="0"/>
              <w:rPr>
                <w:sz w:val="1"/>
                <w:szCs w:val="1"/>
                <w:color w:val="auto"/>
              </w:rPr>
            </w:pPr>
          </w:p>
        </w:tc>
      </w:tr>
      <w:tr>
        <w:trPr>
          <w:trHeight w:val="240"/>
        </w:trPr>
        <w:tc>
          <w:tcPr>
            <w:tcW w:w="7280" w:type="dxa"/>
            <w:vAlign w:val="bottom"/>
          </w:tcPr>
          <w:p>
            <w:pPr>
              <w:jc w:val="right"/>
              <w:ind w:right="220"/>
              <w:spacing w:after="0"/>
              <w:rPr>
                <w:sz w:val="20"/>
                <w:szCs w:val="20"/>
                <w:color w:val="auto"/>
              </w:rPr>
            </w:pPr>
            <w:r>
              <w:rPr>
                <w:rFonts w:ascii="Arial" w:cs="Arial" w:eastAsia="Arial" w:hAnsi="Arial"/>
                <w:sz w:val="20"/>
                <w:szCs w:val="20"/>
                <w:color w:val="auto"/>
                <w:w w:val="93"/>
              </w:rPr>
              <w:t>Provision for income taxes . . . . . . . . . . . . . . . . . . . . . . . . . . . . . . . . . . . . . . . . . . . . . .</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09"/>
        </w:trPr>
        <w:tc>
          <w:tcPr>
            <w:tcW w:w="7280" w:type="dxa"/>
            <w:vAlign w:val="bottom"/>
          </w:tcPr>
          <w:p>
            <w:pPr>
              <w:jc w:val="right"/>
              <w:ind w:right="220"/>
              <w:spacing w:after="0" w:line="209" w:lineRule="exact"/>
              <w:rPr>
                <w:sz w:val="20"/>
                <w:szCs w:val="20"/>
                <w:color w:val="auto"/>
              </w:rPr>
            </w:pPr>
            <w:r>
              <w:rPr>
                <w:rFonts w:ascii="Arial" w:cs="Arial" w:eastAsia="Arial" w:hAnsi="Arial"/>
                <w:sz w:val="20"/>
                <w:szCs w:val="20"/>
                <w:color w:val="auto"/>
                <w:w w:val="92"/>
              </w:rPr>
              <w:t>. . . . . . . . . . . . . . . . . . . . . . . . . . . . . . . . . . . . . . . . . . . . . . . . . . . . . . . . . . . . . .Netloss</w:t>
            </w:r>
          </w:p>
        </w:tc>
        <w:tc>
          <w:tcPr>
            <w:tcW w:w="120" w:type="dxa"/>
            <w:vAlign w:val="bottom"/>
          </w:tcPr>
          <w:p>
            <w:pPr>
              <w:spacing w:after="0"/>
              <w:rPr>
                <w:sz w:val="18"/>
                <w:szCs w:val="18"/>
                <w:color w:val="auto"/>
              </w:rPr>
            </w:pPr>
          </w:p>
        </w:tc>
        <w:tc>
          <w:tcPr>
            <w:tcW w:w="980" w:type="dxa"/>
            <w:vAlign w:val="bottom"/>
          </w:tcPr>
          <w:p>
            <w:pPr>
              <w:jc w:val="right"/>
              <w:spacing w:after="0" w:line="209" w:lineRule="exact"/>
              <w:rPr>
                <w:sz w:val="20"/>
                <w:szCs w:val="20"/>
                <w:color w:val="auto"/>
              </w:rPr>
            </w:pPr>
            <w:r>
              <w:rPr>
                <w:rFonts w:ascii="Arial" w:cs="Arial" w:eastAsia="Arial" w:hAnsi="Arial"/>
                <w:sz w:val="20"/>
                <w:szCs w:val="20"/>
                <w:color w:val="auto"/>
              </w:rPr>
              <w:t>(89,620)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09" w:lineRule="exact"/>
              <w:rPr>
                <w:sz w:val="20"/>
                <w:szCs w:val="20"/>
                <w:color w:val="auto"/>
              </w:rPr>
            </w:pPr>
            <w:r>
              <w:rPr>
                <w:rFonts w:ascii="Arial" w:cs="Arial" w:eastAsia="Arial" w:hAnsi="Arial"/>
                <w:sz w:val="20"/>
                <w:szCs w:val="20"/>
                <w:color w:val="auto"/>
              </w:rPr>
              <w:t>(51,321)</w:t>
            </w:r>
          </w:p>
        </w:tc>
        <w:tc>
          <w:tcPr>
            <w:tcW w:w="0" w:type="dxa"/>
            <w:vAlign w:val="bottom"/>
          </w:tcPr>
          <w:p>
            <w:pPr>
              <w:spacing w:after="0"/>
              <w:rPr>
                <w:sz w:val="1"/>
                <w:szCs w:val="1"/>
                <w:color w:val="auto"/>
              </w:rPr>
            </w:pPr>
          </w:p>
        </w:tc>
      </w:tr>
      <w:tr>
        <w:trPr>
          <w:trHeight w:val="230"/>
        </w:trPr>
        <w:tc>
          <w:tcPr>
            <w:tcW w:w="7280" w:type="dxa"/>
            <w:vAlign w:val="bottom"/>
          </w:tcPr>
          <w:p>
            <w:pPr>
              <w:jc w:val="right"/>
              <w:ind w:right="1580"/>
              <w:spacing w:after="0"/>
              <w:rPr>
                <w:sz w:val="20"/>
                <w:szCs w:val="20"/>
                <w:color w:val="auto"/>
              </w:rPr>
            </w:pPr>
            <w:r>
              <w:rPr>
                <w:rFonts w:ascii="Arial" w:cs="Arial" w:eastAsia="Arial" w:hAnsi="Arial"/>
                <w:sz w:val="20"/>
                <w:szCs w:val="20"/>
                <w:color w:val="auto"/>
              </w:rPr>
              <w:t>Less: Accretion of redeemable convertible preferred shares to</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(1,515)</w:t>
            </w:r>
          </w:p>
        </w:tc>
        <w:tc>
          <w:tcPr>
            <w:tcW w:w="0" w:type="dxa"/>
            <w:vAlign w:val="bottom"/>
          </w:tcPr>
          <w:p>
            <w:pPr>
              <w:spacing w:after="0"/>
              <w:rPr>
                <w:sz w:val="1"/>
                <w:szCs w:val="1"/>
                <w:color w:val="auto"/>
              </w:rPr>
            </w:pPr>
          </w:p>
        </w:tc>
      </w:tr>
      <w:tr>
        <w:trPr>
          <w:trHeight w:val="240"/>
        </w:trPr>
        <w:tc>
          <w:tcPr>
            <w:tcW w:w="7280" w:type="dxa"/>
            <w:vAlign w:val="bottom"/>
          </w:tcPr>
          <w:p>
            <w:pPr>
              <w:jc w:val="right"/>
              <w:ind w:right="220"/>
              <w:spacing w:after="0"/>
              <w:rPr>
                <w:sz w:val="20"/>
                <w:szCs w:val="20"/>
                <w:color w:val="auto"/>
              </w:rPr>
            </w:pPr>
            <w:r>
              <w:rPr>
                <w:rFonts w:ascii="Arial" w:cs="Arial" w:eastAsia="Arial" w:hAnsi="Arial"/>
                <w:sz w:val="20"/>
                <w:szCs w:val="20"/>
                <w:color w:val="auto"/>
                <w:w w:val="96"/>
              </w:rPr>
              <w:t>their redemption value . . . . . . . . . . . . . . . . . . . . . . . . . . . . . . . . . . . . . . . . . . . . . . .</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280" w:type="dxa"/>
            <w:vAlign w:val="bottom"/>
          </w:tcPr>
          <w:p>
            <w:pPr>
              <w:jc w:val="right"/>
              <w:ind w:right="220"/>
              <w:spacing w:after="0"/>
              <w:rPr>
                <w:sz w:val="20"/>
                <w:szCs w:val="20"/>
                <w:color w:val="auto"/>
              </w:rPr>
            </w:pPr>
            <w:r>
              <w:rPr>
                <w:rFonts w:ascii="Arial" w:cs="Arial" w:eastAsia="Arial" w:hAnsi="Arial"/>
                <w:sz w:val="20"/>
                <w:szCs w:val="20"/>
                <w:color w:val="auto"/>
              </w:rPr>
              <w:t>. . . . . . . . . . . . . . . . . . . . . . . . . . . . .Netlossattributabletoordinaryshareholders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(89,620)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(52,836)</w:t>
            </w:r>
          </w:p>
        </w:tc>
        <w:tc>
          <w:tcPr>
            <w:tcW w:w="0" w:type="dxa"/>
            <w:vAlign w:val="bottom"/>
          </w:tcPr>
          <w:p>
            <w:pPr>
              <w:spacing w:after="0"/>
              <w:rPr>
                <w:sz w:val="1"/>
                <w:szCs w:val="1"/>
                <w:color w:val="auto"/>
              </w:rPr>
            </w:pPr>
          </w:p>
        </w:tc>
      </w:tr>
      <w:tr>
        <w:trPr>
          <w:trHeight w:val="240"/>
        </w:trPr>
        <w:tc>
          <w:tcPr>
            <w:tcW w:w="7280" w:type="dxa"/>
            <w:vAlign w:val="bottom"/>
          </w:tcPr>
          <w:p>
            <w:pPr>
              <w:jc w:val="right"/>
              <w:ind w:right="220"/>
              <w:spacing w:after="0"/>
              <w:rPr>
                <w:sz w:val="20"/>
                <w:szCs w:val="20"/>
                <w:color w:val="auto"/>
              </w:rPr>
            </w:pPr>
            <w:r>
              <w:rPr>
                <w:rFonts w:ascii="Arial" w:cs="Arial" w:eastAsia="Arial" w:hAnsi="Arial"/>
                <w:sz w:val="20"/>
                <w:szCs w:val="20"/>
                <w:color w:val="auto"/>
              </w:rPr>
              <w:t>. . . . .Netlosspershareattributabletoordinaryshareholders,basicanddiluted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(0.81)</w:t>
            </w:r>
          </w:p>
        </w:tc>
        <w:tc>
          <w:tcPr>
            <w:tcW w:w="220" w:type="dxa"/>
            <w:vAlign w:val="bottom"/>
            <w:gridSpan w:val="2"/>
          </w:tcPr>
          <w:p>
            <w:pPr>
              <w:spacing w:after="0"/>
              <w:rPr>
                <w:sz w:val="20"/>
                <w:szCs w:val="20"/>
                <w:color w:val="auto"/>
              </w:rPr>
            </w:pPr>
          </w:p>
        </w:tc>
        <w:tc>
          <w:tcPr>
            <w:tcW w:w="24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(5.51)</w:t>
            </w:r>
          </w:p>
        </w:tc>
        <w:tc>
          <w:tcPr>
            <w:tcW w:w="0" w:type="dxa"/>
            <w:vAlign w:val="bottom"/>
          </w:tcPr>
          <w:p>
            <w:pPr>
              <w:spacing w:after="0"/>
              <w:rPr>
                <w:sz w:val="1"/>
                <w:szCs w:val="1"/>
                <w:color w:val="auto"/>
              </w:rPr>
            </w:pPr>
          </w:p>
        </w:tc>
      </w:tr>
      <w:tr>
        <w:trPr>
          <w:trHeight w:val="210"/>
        </w:trPr>
        <w:tc>
          <w:tcPr>
            <w:tcW w:w="7280" w:type="dxa"/>
            <w:vAlign w:val="bottom"/>
          </w:tcPr>
          <w:p>
            <w:pPr>
              <w:spacing w:after="0" w:line="210" w:lineRule="exact"/>
              <w:rPr>
                <w:sz w:val="20"/>
                <w:szCs w:val="20"/>
                <w:color w:val="auto"/>
              </w:rPr>
            </w:pPr>
            <w:r>
              <w:rPr>
                <w:rFonts w:ascii="Arial" w:cs="Arial" w:eastAsia="Arial" w:hAnsi="Arial"/>
                <w:sz w:val="20"/>
                <w:szCs w:val="20"/>
                <w:color w:val="auto"/>
              </w:rPr>
              <w:t>Weighted-average ordinary shares used in computing net loss per share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7280" w:type="dxa"/>
            <w:vAlign w:val="bottom"/>
          </w:tcPr>
          <w:p>
            <w:pPr>
              <w:jc w:val="right"/>
              <w:ind w:right="220"/>
              <w:spacing w:after="0"/>
              <w:rPr>
                <w:sz w:val="20"/>
                <w:szCs w:val="20"/>
                <w:color w:val="auto"/>
              </w:rPr>
            </w:pPr>
            <w:r>
              <w:rPr>
                <w:rFonts w:ascii="Arial" w:cs="Arial" w:eastAsia="Arial" w:hAnsi="Arial"/>
                <w:sz w:val="20"/>
                <w:szCs w:val="20"/>
                <w:color w:val="auto"/>
                <w:w w:val="98"/>
              </w:rPr>
              <w:t>attributable to ordinary shareholders, basic and diluted . . . . . . . . . . . . . . . . . . . .</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110,198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9,584</w:t>
            </w:r>
          </w:p>
        </w:tc>
        <w:tc>
          <w:tcPr>
            <w:tcW w:w="0" w:type="dxa"/>
            <w:vAlign w:val="bottom"/>
          </w:tcPr>
          <w:p>
            <w:pPr>
              <w:spacing w:after="0"/>
              <w:rPr>
                <w:sz w:val="1"/>
                <w:szCs w:val="1"/>
                <w:color w:val="auto"/>
              </w:rPr>
            </w:pPr>
          </w:p>
        </w:tc>
      </w:tr>
      <w:tr>
        <w:trPr>
          <w:trHeight w:val="210"/>
        </w:trPr>
        <w:tc>
          <w:tcPr>
            <w:tcW w:w="7280" w:type="dxa"/>
            <w:vAlign w:val="bottom"/>
          </w:tcPr>
          <w:p>
            <w:pPr>
              <w:spacing w:after="0" w:line="210" w:lineRule="exact"/>
              <w:rPr>
                <w:sz w:val="20"/>
                <w:szCs w:val="20"/>
                <w:color w:val="auto"/>
              </w:rPr>
            </w:pPr>
            <w:r>
              <w:rPr>
                <w:rFonts w:ascii="Arial" w:cs="Arial" w:eastAsia="Arial" w:hAnsi="Arial"/>
                <w:sz w:val="20"/>
                <w:szCs w:val="20"/>
                <w:color w:val="auto"/>
              </w:rPr>
              <w:t>Other comprehensive loss: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280" w:type="dxa"/>
            <w:vAlign w:val="bottom"/>
          </w:tcPr>
          <w:p>
            <w:pPr>
              <w:jc w:val="right"/>
              <w:ind w:right="220"/>
              <w:spacing w:after="0"/>
              <w:rPr>
                <w:sz w:val="20"/>
                <w:szCs w:val="20"/>
                <w:color w:val="auto"/>
              </w:rPr>
            </w:pPr>
            <w:r>
              <w:rPr>
                <w:rFonts w:ascii="Arial" w:cs="Arial" w:eastAsia="Arial" w:hAnsi="Arial"/>
                <w:sz w:val="20"/>
                <w:szCs w:val="20"/>
                <w:color w:val="auto"/>
                <w:w w:val="96"/>
              </w:rPr>
              <w:t>Unrealized gain (loss) on investments, net . . . . . . . . . . . . . . . . . . . . . . . . . . . . . . .</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631</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w:t>
            </w:r>
          </w:p>
        </w:tc>
        <w:tc>
          <w:tcPr>
            <w:tcW w:w="0" w:type="dxa"/>
            <w:vAlign w:val="bottom"/>
          </w:tcPr>
          <w:p>
            <w:pPr>
              <w:spacing w:after="0"/>
              <w:rPr>
                <w:sz w:val="1"/>
                <w:szCs w:val="1"/>
                <w:color w:val="auto"/>
              </w:rPr>
            </w:pPr>
          </w:p>
        </w:tc>
      </w:tr>
      <w:tr>
        <w:trPr>
          <w:trHeight w:val="220"/>
        </w:trPr>
        <w:tc>
          <w:tcPr>
            <w:tcW w:w="7280" w:type="dxa"/>
            <w:vAlign w:val="bottom"/>
          </w:tcPr>
          <w:p>
            <w:pPr>
              <w:jc w:val="right"/>
              <w:ind w:right="220"/>
              <w:spacing w:after="0" w:line="220" w:lineRule="exact"/>
              <w:rPr>
                <w:sz w:val="20"/>
                <w:szCs w:val="20"/>
                <w:color w:val="auto"/>
              </w:rPr>
            </w:pPr>
            <w:r>
              <w:rPr>
                <w:rFonts w:ascii="Arial" w:cs="Arial" w:eastAsia="Arial" w:hAnsi="Arial"/>
                <w:sz w:val="20"/>
                <w:szCs w:val="20"/>
                <w:color w:val="auto"/>
                <w:w w:val="99"/>
              </w:rPr>
              <w:t>. . . . . . . . . . . . . . . . . . . . . . . . . . . . . . . . .Totalothercomprehensiveincome(loss)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631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(110)</w:t>
            </w:r>
          </w:p>
        </w:tc>
        <w:tc>
          <w:tcPr>
            <w:tcW w:w="0" w:type="dxa"/>
            <w:vAlign w:val="bottom"/>
          </w:tcPr>
          <w:p>
            <w:pPr>
              <w:spacing w:after="0"/>
              <w:rPr>
                <w:sz w:val="1"/>
                <w:szCs w:val="1"/>
                <w:color w:val="auto"/>
              </w:rPr>
            </w:pPr>
          </w:p>
        </w:tc>
      </w:tr>
      <w:tr>
        <w:trPr>
          <w:trHeight w:val="239"/>
        </w:trPr>
        <w:tc>
          <w:tcPr>
            <w:tcW w:w="7280" w:type="dxa"/>
            <w:vAlign w:val="bottom"/>
          </w:tcPr>
          <w:p>
            <w:pPr>
              <w:jc w:val="right"/>
              <w:ind w:right="220"/>
              <w:spacing w:after="0"/>
              <w:rPr>
                <w:sz w:val="20"/>
                <w:szCs w:val="20"/>
                <w:color w:val="auto"/>
              </w:rPr>
            </w:pPr>
            <w:r>
              <w:rPr>
                <w:rFonts w:ascii="Arial" w:cs="Arial" w:eastAsia="Arial" w:hAnsi="Arial"/>
                <w:sz w:val="20"/>
                <w:szCs w:val="20"/>
                <w:color w:val="auto"/>
                <w:w w:val="94"/>
              </w:rPr>
              <w:t>. . . . . . . . . . . . . . . . . . . . . . . . . . . . . . . . . . . . . . . . . . . . . . . . . . .Comprehensiveloss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(88,989)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(51,431)</w:t>
            </w:r>
          </w:p>
        </w:tc>
        <w:tc>
          <w:tcPr>
            <w:tcW w:w="0" w:type="dxa"/>
            <w:vAlign w:val="bottom"/>
          </w:tcPr>
          <w:p>
            <w:pPr>
              <w:spacing w:after="0"/>
              <w:rPr>
                <w:sz w:val="1"/>
                <w:szCs w:val="1"/>
                <w:color w:val="auto"/>
              </w:rPr>
            </w:pPr>
          </w:p>
        </w:tc>
      </w:tr>
      <w:tr>
        <w:trPr>
          <w:trHeight w:val="232"/>
        </w:trPr>
        <w:tc>
          <w:tcPr>
            <w:tcW w:w="7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720"/>
          </w:cols>
          <w:pgMar w:left="1080" w:top="1063"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175</w:t>
      </w:r>
    </w:p>
    <w:p>
      <w:pPr>
        <w:sectPr>
          <w:pgSz w:w="11880" w:h="15480" w:orient="portrait"/>
          <w:cols w:equalWidth="0" w:num="1">
            <w:col w:w="9720"/>
          </w:cols>
          <w:pgMar w:left="1080" w:top="1063" w:right="1080" w:bottom="555" w:gutter="0" w:footer="0" w:header="0"/>
          <w:type w:val="continuous"/>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25"/>
        <w:spacing w:after="0"/>
        <w:rPr>
          <w:sz w:val="20"/>
          <w:szCs w:val="20"/>
          <w:color w:val="auto"/>
        </w:rPr>
      </w:pPr>
      <w:r>
        <w:rPr>
          <w:rFonts w:ascii="Arial" w:cs="Arial" w:eastAsia="Arial" w:hAnsi="Arial"/>
          <w:sz w:val="20"/>
          <w:szCs w:val="20"/>
          <w:b w:val="1"/>
          <w:bCs w:val="1"/>
          <w:color w:val="auto"/>
        </w:rPr>
        <w:t>STRUCTURE THERAPEUTICS INC.</w:t>
      </w:r>
    </w:p>
    <w:p>
      <w:pPr>
        <w:spacing w:after="0" w:line="192" w:lineRule="exact"/>
        <w:rPr>
          <w:sz w:val="20"/>
          <w:szCs w:val="20"/>
          <w:color w:val="auto"/>
        </w:rPr>
      </w:pPr>
    </w:p>
    <w:p>
      <w:pPr>
        <w:ind w:left="725"/>
        <w:spacing w:after="0"/>
        <w:rPr>
          <w:sz w:val="20"/>
          <w:szCs w:val="20"/>
          <w:color w:val="auto"/>
        </w:rPr>
      </w:pPr>
      <w:r>
        <w:rPr>
          <w:rFonts w:ascii="Arial" w:cs="Arial" w:eastAsia="Arial" w:hAnsi="Arial"/>
          <w:sz w:val="20"/>
          <w:szCs w:val="20"/>
          <w:b w:val="1"/>
          <w:bCs w:val="1"/>
          <w:color w:val="auto"/>
        </w:rPr>
        <w:t>CONSOLIDATED STATEMENTS OF REDEEMABLE CONVERTIBLE PREFERRED SHARES AND SHAREHOLDERS’ EQUITY (DEFICIT)</w:t>
      </w:r>
    </w:p>
    <w:p>
      <w:pPr>
        <w:spacing w:after="0" w:line="55" w:lineRule="exact"/>
        <w:rPr>
          <w:sz w:val="20"/>
          <w:szCs w:val="20"/>
          <w:color w:val="auto"/>
        </w:rPr>
      </w:pPr>
    </w:p>
    <w:p>
      <w:pPr>
        <w:jc w:val="center"/>
        <w:ind w:right="-384"/>
        <w:spacing w:after="0"/>
        <w:rPr>
          <w:sz w:val="20"/>
          <w:szCs w:val="20"/>
          <w:color w:val="auto"/>
        </w:rPr>
      </w:pPr>
      <w:r>
        <w:rPr>
          <w:rFonts w:ascii="Arial" w:cs="Arial" w:eastAsia="Arial" w:hAnsi="Arial"/>
          <w:sz w:val="20"/>
          <w:szCs w:val="20"/>
          <w:b w:val="1"/>
          <w:bCs w:val="1"/>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439420</wp:posOffset>
                </wp:positionH>
                <wp:positionV relativeFrom="paragraph">
                  <wp:posOffset>169545</wp:posOffset>
                </wp:positionV>
                <wp:extent cx="818324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8324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pt,13.35pt" to="678.95pt,13.35pt" o:allowincell="f" strokecolor="#000000" strokeweight="0.48pt"/>
            </w:pict>
          </mc:Fallback>
        </mc:AlternateContent>
      </w:r>
    </w:p>
    <w:p>
      <w:pPr>
        <w:sectPr>
          <w:pgSz w:w="15480" w:h="11880" w:orient="landscape"/>
          <w:cols w:equalWidth="0" w:num="1">
            <w:col w:w="13585"/>
          </w:cols>
          <w:pgMar w:left="1115" w:top="1440" w:right="7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218" w:type="dxa"/>
            <w:vAlign w:val="bottom"/>
            <w:textDirection w:val="tbRl"/>
          </w:tcPr>
          <w:p>
            <w:pPr>
              <w:spacing w:after="0"/>
              <w:rPr>
                <w:sz w:val="20"/>
                <w:szCs w:val="20"/>
                <w:color w:val="auto"/>
              </w:rPr>
            </w:pPr>
            <w:r>
              <w:rPr>
                <w:rFonts w:ascii="Arial" w:cs="Arial" w:eastAsia="Arial" w:hAnsi="Arial"/>
                <w:sz w:val="19"/>
                <w:szCs w:val="19"/>
                <w:color w:val="auto"/>
              </w:rPr>
              <w:t>176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21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15"/>
          </w:tcPr>
          <w:p>
            <w:pPr>
              <w:jc w:val="right"/>
              <w:ind w:right="245"/>
              <w:spacing w:after="0"/>
              <w:rPr>
                <w:sz w:val="20"/>
                <w:szCs w:val="20"/>
                <w:color w:val="auto"/>
              </w:rPr>
            </w:pPr>
            <w:r>
              <w:rPr>
                <w:rFonts w:ascii="Arial" w:cs="Arial" w:eastAsia="Arial" w:hAnsi="Arial"/>
                <w:sz w:val="11"/>
                <w:szCs w:val="11"/>
                <w:b w:val="1"/>
                <w:bCs w:val="1"/>
                <w:color w:val="auto"/>
              </w:rPr>
              <w:t>REDEEMABLE CONVERTIBLE PREFERRED SHARES</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160" w:type="dxa"/>
            <w:vAlign w:val="bottom"/>
          </w:tcPr>
          <w:p>
            <w:pPr>
              <w:spacing w:after="0"/>
              <w:rPr>
                <w:sz w:val="10"/>
                <w:szCs w:val="10"/>
                <w:color w:val="auto"/>
              </w:rPr>
            </w:pPr>
          </w:p>
        </w:tc>
        <w:tc>
          <w:tcPr>
            <w:tcW w:w="1060" w:type="dxa"/>
            <w:vAlign w:val="bottom"/>
            <w:tcBorders>
              <w:bottom w:val="single" w:sz="8" w:color="auto"/>
            </w:tcBorders>
            <w:gridSpan w:val="4"/>
          </w:tcPr>
          <w:p>
            <w:pPr>
              <w:jc w:val="right"/>
              <w:ind w:right="225"/>
              <w:spacing w:after="0" w:line="124" w:lineRule="exact"/>
              <w:rPr>
                <w:sz w:val="20"/>
                <w:szCs w:val="20"/>
                <w:color w:val="auto"/>
              </w:rPr>
            </w:pPr>
            <w:r>
              <w:rPr>
                <w:rFonts w:ascii="Arial" w:cs="Arial" w:eastAsia="Arial" w:hAnsi="Arial"/>
                <w:sz w:val="11"/>
                <w:szCs w:val="11"/>
                <w:b w:val="1"/>
                <w:bCs w:val="1"/>
                <w:color w:val="auto"/>
              </w:rPr>
              <w:t>SERIES A</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Borders>
              <w:bottom w:val="single" w:sz="8" w:color="auto"/>
            </w:tcBorders>
            <w:gridSpan w:val="4"/>
          </w:tcPr>
          <w:p>
            <w:pPr>
              <w:jc w:val="right"/>
              <w:ind w:right="185"/>
              <w:spacing w:after="0" w:line="124" w:lineRule="exact"/>
              <w:rPr>
                <w:sz w:val="20"/>
                <w:szCs w:val="20"/>
                <w:color w:val="auto"/>
              </w:rPr>
            </w:pPr>
            <w:r>
              <w:rPr>
                <w:rFonts w:ascii="Arial" w:cs="Arial" w:eastAsia="Arial" w:hAnsi="Arial"/>
                <w:sz w:val="11"/>
                <w:szCs w:val="11"/>
                <w:b w:val="1"/>
                <w:bCs w:val="1"/>
                <w:color w:val="auto"/>
              </w:rPr>
              <w:t>SERIES A+</w:t>
            </w:r>
          </w:p>
        </w:tc>
        <w:tc>
          <w:tcPr>
            <w:tcW w:w="60" w:type="dxa"/>
            <w:vAlign w:val="bottom"/>
          </w:tcPr>
          <w:p>
            <w:pPr>
              <w:spacing w:after="0"/>
              <w:rPr>
                <w:sz w:val="10"/>
                <w:szCs w:val="10"/>
                <w:color w:val="auto"/>
              </w:rPr>
            </w:pPr>
          </w:p>
        </w:tc>
        <w:tc>
          <w:tcPr>
            <w:tcW w:w="1160" w:type="dxa"/>
            <w:vAlign w:val="bottom"/>
            <w:tcBorders>
              <w:bottom w:val="single" w:sz="8" w:color="auto"/>
            </w:tcBorders>
            <w:gridSpan w:val="4"/>
          </w:tcPr>
          <w:p>
            <w:pPr>
              <w:jc w:val="center"/>
              <w:spacing w:after="0" w:line="124" w:lineRule="exact"/>
              <w:rPr>
                <w:sz w:val="20"/>
                <w:szCs w:val="20"/>
                <w:color w:val="auto"/>
              </w:rPr>
            </w:pPr>
            <w:r>
              <w:rPr>
                <w:rFonts w:ascii="Arial" w:cs="Arial" w:eastAsia="Arial" w:hAnsi="Arial"/>
                <w:sz w:val="11"/>
                <w:szCs w:val="11"/>
                <w:b w:val="1"/>
                <w:bCs w:val="1"/>
                <w:color w:val="auto"/>
              </w:rPr>
              <w:t>SERIES B</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Borders>
              <w:bottom w:val="single" w:sz="8" w:color="auto"/>
            </w:tcBorders>
            <w:gridSpan w:val="4"/>
          </w:tcPr>
          <w:p>
            <w:pPr>
              <w:jc w:val="right"/>
              <w:ind w:right="165"/>
              <w:spacing w:after="0" w:line="124" w:lineRule="exact"/>
              <w:rPr>
                <w:sz w:val="20"/>
                <w:szCs w:val="20"/>
                <w:color w:val="auto"/>
              </w:rPr>
            </w:pPr>
            <w:r>
              <w:rPr>
                <w:rFonts w:ascii="Arial" w:cs="Arial" w:eastAsia="Arial" w:hAnsi="Arial"/>
                <w:sz w:val="11"/>
                <w:szCs w:val="11"/>
                <w:b w:val="1"/>
                <w:bCs w:val="1"/>
                <w:color w:val="auto"/>
              </w:rPr>
              <w:t>SERIES B-1</w:t>
            </w:r>
          </w:p>
        </w:tc>
        <w:tc>
          <w:tcPr>
            <w:tcW w:w="0" w:type="dxa"/>
            <w:vAlign w:val="bottom"/>
          </w:tcPr>
          <w:p>
            <w:pPr>
              <w:spacing w:after="0"/>
              <w:rPr>
                <w:sz w:val="1"/>
                <w:szCs w:val="1"/>
                <w:color w:val="auto"/>
              </w:rPr>
            </w:pPr>
          </w:p>
        </w:tc>
      </w:tr>
      <w:tr>
        <w:trPr>
          <w:trHeight w:val="117"/>
        </w:trPr>
        <w:tc>
          <w:tcPr>
            <w:tcW w:w="216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2021</w:t>
            </w:r>
          </w:p>
        </w:tc>
        <w:tc>
          <w:tcPr>
            <w:tcW w:w="460" w:type="dxa"/>
            <w:vAlign w:val="bottom"/>
          </w:tcPr>
          <w:p>
            <w:pPr>
              <w:jc w:val="right"/>
              <w:spacing w:after="0" w:line="117" w:lineRule="exact"/>
              <w:rPr>
                <w:sz w:val="20"/>
                <w:szCs w:val="20"/>
                <w:color w:val="auto"/>
              </w:rPr>
            </w:pPr>
            <w:r>
              <w:rPr>
                <w:rFonts w:ascii="Arial" w:cs="Arial" w:eastAsia="Arial" w:hAnsi="Arial"/>
                <w:sz w:val="11"/>
                <w:szCs w:val="11"/>
                <w:b w:val="1"/>
                <w:bCs w:val="1"/>
                <w:color w:val="auto"/>
                <w:w w:val="95"/>
              </w:rPr>
              <w:t>SHARES</w:t>
            </w:r>
          </w:p>
        </w:tc>
        <w:tc>
          <w:tcPr>
            <w:tcW w:w="80" w:type="dxa"/>
            <w:vAlign w:val="bottom"/>
          </w:tcPr>
          <w:p>
            <w:pPr>
              <w:spacing w:after="0"/>
              <w:rPr>
                <w:sz w:val="10"/>
                <w:szCs w:val="10"/>
                <w:color w:val="auto"/>
              </w:rPr>
            </w:pPr>
          </w:p>
        </w:tc>
        <w:tc>
          <w:tcPr>
            <w:tcW w:w="52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w w:val="99"/>
              </w:rPr>
              <w:t>AMOUNT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17" w:lineRule="exact"/>
              <w:rPr>
                <w:sz w:val="20"/>
                <w:szCs w:val="20"/>
                <w:color w:val="auto"/>
              </w:rPr>
            </w:pPr>
            <w:r>
              <w:rPr>
                <w:rFonts w:ascii="Arial" w:cs="Arial" w:eastAsia="Arial" w:hAnsi="Arial"/>
                <w:sz w:val="11"/>
                <w:szCs w:val="11"/>
                <w:b w:val="1"/>
                <w:bCs w:val="1"/>
                <w:color w:val="auto"/>
                <w:w w:val="95"/>
              </w:rPr>
              <w:t>SHARES</w:t>
            </w:r>
          </w:p>
        </w:tc>
        <w:tc>
          <w:tcPr>
            <w:tcW w:w="100" w:type="dxa"/>
            <w:vAlign w:val="bottom"/>
          </w:tcPr>
          <w:p>
            <w:pPr>
              <w:spacing w:after="0"/>
              <w:rPr>
                <w:sz w:val="10"/>
                <w:szCs w:val="10"/>
                <w:color w:val="auto"/>
              </w:rPr>
            </w:pPr>
          </w:p>
        </w:tc>
        <w:tc>
          <w:tcPr>
            <w:tcW w:w="52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w w:val="99"/>
              </w:rPr>
              <w:t>AMOUNT</w:t>
            </w:r>
          </w:p>
        </w:tc>
        <w:tc>
          <w:tcPr>
            <w:tcW w:w="60" w:type="dxa"/>
            <w:vAlign w:val="bottom"/>
          </w:tcPr>
          <w:p>
            <w:pPr>
              <w:spacing w:after="0"/>
              <w:rPr>
                <w:sz w:val="10"/>
                <w:szCs w:val="10"/>
                <w:color w:val="auto"/>
              </w:rPr>
            </w:pPr>
          </w:p>
        </w:tc>
        <w:tc>
          <w:tcPr>
            <w:tcW w:w="560" w:type="dxa"/>
            <w:vAlign w:val="bottom"/>
            <w:gridSpan w:val="2"/>
          </w:tcPr>
          <w:p>
            <w:pPr>
              <w:jc w:val="right"/>
              <w:ind w:right="100"/>
              <w:spacing w:after="0" w:line="117" w:lineRule="exact"/>
              <w:rPr>
                <w:sz w:val="20"/>
                <w:szCs w:val="20"/>
                <w:color w:val="auto"/>
              </w:rPr>
            </w:pPr>
            <w:r>
              <w:rPr>
                <w:rFonts w:ascii="Arial" w:cs="Arial" w:eastAsia="Arial" w:hAnsi="Arial"/>
                <w:sz w:val="11"/>
                <w:szCs w:val="11"/>
                <w:b w:val="1"/>
                <w:bCs w:val="1"/>
                <w:color w:val="auto"/>
                <w:w w:val="95"/>
              </w:rPr>
              <w:t>SHARES</w:t>
            </w:r>
          </w:p>
        </w:tc>
        <w:tc>
          <w:tcPr>
            <w:tcW w:w="600" w:type="dxa"/>
            <w:vAlign w:val="bottom"/>
            <w:gridSpan w:val="2"/>
          </w:tcPr>
          <w:p>
            <w:pPr>
              <w:jc w:val="right"/>
              <w:ind w:right="5"/>
              <w:spacing w:after="0" w:line="117"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17" w:lineRule="exact"/>
              <w:rPr>
                <w:sz w:val="20"/>
                <w:szCs w:val="20"/>
                <w:color w:val="auto"/>
              </w:rPr>
            </w:pPr>
            <w:r>
              <w:rPr>
                <w:rFonts w:ascii="Arial" w:cs="Arial" w:eastAsia="Arial" w:hAnsi="Arial"/>
                <w:sz w:val="11"/>
                <w:szCs w:val="11"/>
                <w:b w:val="1"/>
                <w:bCs w:val="1"/>
                <w:color w:val="auto"/>
                <w:w w:val="95"/>
              </w:rPr>
              <w:t>SHARES</w:t>
            </w:r>
          </w:p>
        </w:tc>
        <w:tc>
          <w:tcPr>
            <w:tcW w:w="100" w:type="dxa"/>
            <w:vAlign w:val="bottom"/>
          </w:tcPr>
          <w:p>
            <w:pPr>
              <w:spacing w:after="0"/>
              <w:rPr>
                <w:sz w:val="10"/>
                <w:szCs w:val="10"/>
                <w:color w:val="auto"/>
              </w:rPr>
            </w:pPr>
          </w:p>
        </w:tc>
        <w:tc>
          <w:tcPr>
            <w:tcW w:w="5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w w:val="99"/>
              </w:rPr>
              <w:t>AMOUNT</w:t>
            </w:r>
          </w:p>
        </w:tc>
        <w:tc>
          <w:tcPr>
            <w:tcW w:w="0" w:type="dxa"/>
            <w:vAlign w:val="bottom"/>
          </w:tcPr>
          <w:p>
            <w:pPr>
              <w:spacing w:after="0"/>
              <w:rPr>
                <w:sz w:val="1"/>
                <w:szCs w:val="1"/>
                <w:color w:val="auto"/>
              </w:rPr>
            </w:pPr>
          </w:p>
        </w:tc>
      </w:tr>
      <w:tr>
        <w:trPr>
          <w:trHeight w:val="93"/>
        </w:trPr>
        <w:tc>
          <w:tcPr>
            <w:tcW w:w="2160" w:type="dxa"/>
            <w:vAlign w:val="bottom"/>
            <w:vMerge w:val="continue"/>
          </w:tcPr>
          <w:p>
            <w:pPr>
              <w:ind w:left="1640"/>
              <w:spacing w:after="0" w:line="93" w:lineRule="exact"/>
              <w:rPr>
                <w:sz w:val="20"/>
                <w:szCs w:val="20"/>
                <w:color w:val="auto"/>
              </w:rPr>
            </w:pPr>
            <w:r>
              <w:rPr>
                <w:rFonts w:ascii="Arial" w:cs="Arial" w:eastAsia="Arial" w:hAnsi="Arial"/>
                <w:sz w:val="10"/>
                <w:szCs w:val="10"/>
                <w:color w:val="auto"/>
              </w:rPr>
              <w:t>. . . . . .</w:t>
            </w:r>
          </w:p>
        </w:tc>
        <w:tc>
          <w:tcPr>
            <w:tcW w:w="46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19,200</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rPr>
              <w:t>$</w:t>
            </w:r>
          </w:p>
        </w:tc>
        <w:tc>
          <w:tcPr>
            <w:tcW w:w="44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32,001</w:t>
            </w:r>
          </w:p>
        </w:tc>
        <w:tc>
          <w:tcPr>
            <w:tcW w:w="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12,800</w:t>
            </w: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rPr>
              <w:t>$</w:t>
            </w:r>
          </w:p>
        </w:tc>
        <w:tc>
          <w:tcPr>
            <w:tcW w:w="44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26,000</w:t>
            </w:r>
          </w:p>
        </w:tc>
        <w:tc>
          <w:tcPr>
            <w:tcW w:w="60" w:type="dxa"/>
            <w:vAlign w:val="bottom"/>
          </w:tcPr>
          <w:p>
            <w:pPr>
              <w:spacing w:after="0"/>
              <w:rPr>
                <w:sz w:val="8"/>
                <w:szCs w:val="8"/>
                <w:color w:val="auto"/>
              </w:rPr>
            </w:pPr>
          </w:p>
        </w:tc>
        <w:tc>
          <w:tcPr>
            <w:tcW w:w="46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24,702</w:t>
            </w:r>
          </w:p>
        </w:tc>
        <w:tc>
          <w:tcPr>
            <w:tcW w:w="100" w:type="dxa"/>
            <w:vAlign w:val="bottom"/>
          </w:tcPr>
          <w:p>
            <w:pPr>
              <w:spacing w:after="0"/>
              <w:rPr>
                <w:sz w:val="8"/>
                <w:szCs w:val="8"/>
                <w:color w:val="auto"/>
              </w:rPr>
            </w:pPr>
          </w:p>
        </w:tc>
        <w:tc>
          <w:tcPr>
            <w:tcW w:w="100" w:type="dxa"/>
            <w:vAlign w:val="bottom"/>
            <w:tcBorders>
              <w:top w:val="single" w:sz="8" w:color="auto"/>
            </w:tcBorders>
          </w:tcPr>
          <w:p>
            <w:pPr>
              <w:jc w:val="center"/>
              <w:spacing w:after="0" w:line="93" w:lineRule="exact"/>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100,000</w:t>
            </w:r>
          </w:p>
        </w:tc>
        <w:tc>
          <w:tcPr>
            <w:tcW w:w="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2,161</w:t>
            </w: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color w:val="auto"/>
              </w:rPr>
              <w:t>$</w:t>
            </w:r>
          </w:p>
        </w:tc>
        <w:tc>
          <w:tcPr>
            <w:tcW w:w="40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8,959</w:t>
            </w:r>
          </w:p>
        </w:tc>
        <w:tc>
          <w:tcPr>
            <w:tcW w:w="0" w:type="dxa"/>
            <w:vAlign w:val="bottom"/>
          </w:tcPr>
          <w:p>
            <w:pPr>
              <w:spacing w:after="0"/>
              <w:rPr>
                <w:sz w:val="1"/>
                <w:szCs w:val="1"/>
                <w:color w:val="auto"/>
              </w:rPr>
            </w:pPr>
          </w:p>
        </w:tc>
      </w:tr>
      <w:tr>
        <w:trPr>
          <w:trHeight w:val="127"/>
        </w:trPr>
        <w:tc>
          <w:tcPr>
            <w:tcW w:w="2160" w:type="dxa"/>
            <w:vAlign w:val="bottom"/>
          </w:tcPr>
          <w:p>
            <w:pPr>
              <w:spacing w:after="0"/>
              <w:rPr>
                <w:sz w:val="20"/>
                <w:szCs w:val="20"/>
                <w:color w:val="auto"/>
              </w:rPr>
            </w:pPr>
            <w:r>
              <w:rPr>
                <w:rFonts w:ascii="Arial" w:cs="Arial" w:eastAsia="Arial" w:hAnsi="Arial"/>
                <w:sz w:val="11"/>
                <w:szCs w:val="11"/>
                <w:color w:val="auto"/>
              </w:rPr>
              <w:t>Issuance of Series B redeemable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160" w:type="dxa"/>
            <w:vAlign w:val="bottom"/>
          </w:tcPr>
          <w:p>
            <w:pPr>
              <w:ind w:left="160"/>
              <w:spacing w:after="0"/>
              <w:rPr>
                <w:sz w:val="20"/>
                <w:szCs w:val="20"/>
                <w:color w:val="auto"/>
              </w:rPr>
            </w:pPr>
            <w:r>
              <w:rPr>
                <w:rFonts w:ascii="Arial" w:cs="Arial" w:eastAsia="Arial" w:hAnsi="Arial"/>
                <w:sz w:val="11"/>
                <w:szCs w:val="11"/>
                <w:color w:val="auto"/>
              </w:rPr>
              <w:t>convertible preferred shares, net of</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7"/>
        </w:trPr>
        <w:tc>
          <w:tcPr>
            <w:tcW w:w="2160" w:type="dxa"/>
            <w:vAlign w:val="bottom"/>
          </w:tcPr>
          <w:p>
            <w:pPr>
              <w:ind w:left="160"/>
              <w:spacing w:after="0"/>
              <w:rPr>
                <w:sz w:val="20"/>
                <w:szCs w:val="20"/>
                <w:color w:val="auto"/>
              </w:rPr>
            </w:pPr>
            <w:r>
              <w:rPr>
                <w:rFonts w:ascii="Arial" w:cs="Arial" w:eastAsia="Arial" w:hAnsi="Arial"/>
                <w:sz w:val="11"/>
                <w:szCs w:val="11"/>
                <w:color w:val="auto"/>
              </w:rPr>
              <w:t>issuance costs of $1,515 . . . . . . . . .</w:t>
            </w: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8,155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31,500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rPr>
                <w:sz w:val="20"/>
                <w:szCs w:val="20"/>
                <w:color w:val="auto"/>
              </w:rPr>
            </w:pPr>
            <w:r>
              <w:rPr>
                <w:rFonts w:ascii="Arial" w:cs="Arial" w:eastAsia="Arial" w:hAnsi="Arial"/>
                <w:sz w:val="11"/>
                <w:szCs w:val="11"/>
                <w:color w:val="auto"/>
              </w:rPr>
              <w:t>Accretion of Series B redeemable</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160" w:type="dxa"/>
            <w:vAlign w:val="bottom"/>
          </w:tcPr>
          <w:p>
            <w:pPr>
              <w:ind w:left="160"/>
              <w:spacing w:after="0"/>
              <w:rPr>
                <w:sz w:val="20"/>
                <w:szCs w:val="20"/>
                <w:color w:val="auto"/>
              </w:rPr>
            </w:pPr>
            <w:r>
              <w:rPr>
                <w:rFonts w:ascii="Arial" w:cs="Arial" w:eastAsia="Arial" w:hAnsi="Arial"/>
                <w:sz w:val="11"/>
                <w:szCs w:val="11"/>
                <w:color w:val="auto"/>
              </w:rPr>
              <w:t>convertible preferred shares to their</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2160" w:type="dxa"/>
            <w:vAlign w:val="bottom"/>
          </w:tcPr>
          <w:p>
            <w:pPr>
              <w:ind w:left="160"/>
              <w:spacing w:after="0"/>
              <w:rPr>
                <w:sz w:val="20"/>
                <w:szCs w:val="20"/>
                <w:color w:val="auto"/>
              </w:rPr>
            </w:pPr>
            <w:r>
              <w:rPr>
                <w:rFonts w:ascii="Arial" w:cs="Arial" w:eastAsia="Arial" w:hAnsi="Arial"/>
                <w:sz w:val="11"/>
                <w:szCs w:val="11"/>
                <w:color w:val="auto"/>
              </w:rPr>
              <w:t>redemption value . . . . . . . . . . . . . .</w:t>
            </w: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1,515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rPr>
                <w:sz w:val="20"/>
                <w:szCs w:val="20"/>
                <w:color w:val="auto"/>
              </w:rPr>
            </w:pPr>
            <w:r>
              <w:rPr>
                <w:rFonts w:ascii="Arial" w:cs="Arial" w:eastAsia="Arial" w:hAnsi="Arial"/>
                <w:sz w:val="11"/>
                <w:szCs w:val="11"/>
                <w:color w:val="auto"/>
              </w:rPr>
              <w:t>Repurchase of unvested restricted</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7"/>
        </w:trPr>
        <w:tc>
          <w:tcPr>
            <w:tcW w:w="2160" w:type="dxa"/>
            <w:vAlign w:val="bottom"/>
          </w:tcPr>
          <w:p>
            <w:pPr>
              <w:ind w:left="160"/>
              <w:spacing w:after="0"/>
              <w:rPr>
                <w:sz w:val="20"/>
                <w:szCs w:val="20"/>
                <w:color w:val="auto"/>
              </w:rPr>
            </w:pPr>
            <w:r>
              <w:rPr>
                <w:rFonts w:ascii="Arial" w:cs="Arial" w:eastAsia="Arial" w:hAnsi="Arial"/>
                <w:sz w:val="11"/>
                <w:szCs w:val="11"/>
                <w:color w:val="auto"/>
              </w:rPr>
              <w:t>share awards . . . . . . . . . . . . . . . .</w:t>
            </w: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rPr>
                <w:sz w:val="20"/>
                <w:szCs w:val="20"/>
                <w:color w:val="auto"/>
              </w:rPr>
            </w:pPr>
            <w:r>
              <w:rPr>
                <w:rFonts w:ascii="Arial" w:cs="Arial" w:eastAsia="Arial" w:hAnsi="Arial"/>
                <w:sz w:val="11"/>
                <w:szCs w:val="11"/>
                <w:color w:val="auto"/>
              </w:rPr>
              <w:t>Issuance of ordinary share upon</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7"/>
        </w:trPr>
        <w:tc>
          <w:tcPr>
            <w:tcW w:w="2160" w:type="dxa"/>
            <w:vAlign w:val="bottom"/>
          </w:tcPr>
          <w:p>
            <w:pPr>
              <w:ind w:left="160"/>
              <w:spacing w:after="0"/>
              <w:rPr>
                <w:sz w:val="20"/>
                <w:szCs w:val="20"/>
                <w:color w:val="auto"/>
              </w:rPr>
            </w:pPr>
            <w:r>
              <w:rPr>
                <w:rFonts w:ascii="Arial" w:cs="Arial" w:eastAsia="Arial" w:hAnsi="Arial"/>
                <w:sz w:val="11"/>
                <w:szCs w:val="11"/>
                <w:color w:val="auto"/>
              </w:rPr>
              <w:t>exercise of vested share options . . . .</w:t>
            </w: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rPr>
                <w:sz w:val="20"/>
                <w:szCs w:val="20"/>
                <w:color w:val="auto"/>
              </w:rPr>
            </w:pPr>
            <w:r>
              <w:rPr>
                <w:rFonts w:ascii="Arial" w:cs="Arial" w:eastAsia="Arial" w:hAnsi="Arial"/>
                <w:sz w:val="11"/>
                <w:szCs w:val="11"/>
                <w:color w:val="auto"/>
              </w:rPr>
              <w:t>Share-based compensation expense . . .</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2160" w:type="dxa"/>
            <w:vAlign w:val="bottom"/>
          </w:tcPr>
          <w:p>
            <w:pPr>
              <w:spacing w:after="0"/>
              <w:rPr>
                <w:sz w:val="20"/>
                <w:szCs w:val="20"/>
                <w:color w:val="auto"/>
              </w:rPr>
            </w:pPr>
            <w:r>
              <w:rPr>
                <w:rFonts w:ascii="Arial" w:cs="Arial" w:eastAsia="Arial" w:hAnsi="Arial"/>
                <w:sz w:val="11"/>
                <w:szCs w:val="11"/>
                <w:color w:val="auto"/>
              </w:rPr>
              <w:t>Unrealized loss on investments, net . . . .</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160" w:type="dxa"/>
            <w:vAlign w:val="bottom"/>
          </w:tcPr>
          <w:p>
            <w:pPr>
              <w:spacing w:after="0"/>
              <w:rPr>
                <w:sz w:val="20"/>
                <w:szCs w:val="20"/>
                <w:color w:val="auto"/>
              </w:rPr>
            </w:pPr>
            <w:r>
              <w:rPr>
                <w:rFonts w:ascii="Arial" w:cs="Arial" w:eastAsia="Arial" w:hAnsi="Arial"/>
                <w:sz w:val="11"/>
                <w:szCs w:val="11"/>
                <w:color w:val="auto"/>
              </w:rPr>
              <w:t>Net loss  . . . . . . . . . . . . . . . . . . . . .</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160" w:type="dxa"/>
            <w:vAlign w:val="bottom"/>
          </w:tcPr>
          <w:p>
            <w:pPr>
              <w:spacing w:after="0" w:line="120" w:lineRule="exact"/>
              <w:rPr>
                <w:sz w:val="20"/>
                <w:szCs w:val="20"/>
                <w:color w:val="auto"/>
              </w:rPr>
            </w:pPr>
            <w:r>
              <w:rPr>
                <w:rFonts w:ascii="Arial" w:cs="Arial" w:eastAsia="Arial" w:hAnsi="Arial"/>
                <w:sz w:val="11"/>
                <w:szCs w:val="11"/>
                <w:color w:val="auto"/>
              </w:rPr>
              <w:t>. . . . . .</w:t>
            </w:r>
            <w:r>
              <w:rPr>
                <w:rFonts w:ascii="Arial" w:cs="Arial" w:eastAsia="Arial" w:hAnsi="Arial"/>
                <w:sz w:val="11"/>
                <w:szCs w:val="11"/>
                <w:b w:val="1"/>
                <w:bCs w:val="1"/>
                <w:color w:val="auto"/>
              </w:rPr>
              <w:t>BalanceatDecember31,2022</w:t>
            </w:r>
          </w:p>
        </w:tc>
        <w:tc>
          <w:tcPr>
            <w:tcW w:w="46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19,200</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0" w:lineRule="exact"/>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32,001</w:t>
            </w: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12,800</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0" w:lineRule="exact"/>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26,000</w:t>
            </w:r>
          </w:p>
        </w:tc>
        <w:tc>
          <w:tcPr>
            <w:tcW w:w="6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32,857</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center"/>
              <w:spacing w:after="0" w:line="120" w:lineRule="exact"/>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133,015</w:t>
            </w: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2,161</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0" w:lineRule="exact"/>
              <w:rPr>
                <w:sz w:val="20"/>
                <w:szCs w:val="20"/>
                <w:color w:val="auto"/>
              </w:rPr>
            </w:pPr>
            <w:r>
              <w:rPr>
                <w:rFonts w:ascii="Arial" w:cs="Arial" w:eastAsia="Arial" w:hAnsi="Arial"/>
                <w:sz w:val="11"/>
                <w:szCs w:val="11"/>
                <w:color w:val="auto"/>
              </w:rPr>
              <w:t>$</w:t>
            </w:r>
          </w:p>
        </w:tc>
        <w:tc>
          <w:tcPr>
            <w:tcW w:w="4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8,959</w:t>
            </w:r>
          </w:p>
        </w:tc>
        <w:tc>
          <w:tcPr>
            <w:tcW w:w="0" w:type="dxa"/>
            <w:vAlign w:val="bottom"/>
          </w:tcPr>
          <w:p>
            <w:pPr>
              <w:spacing w:after="0"/>
              <w:rPr>
                <w:sz w:val="1"/>
                <w:szCs w:val="1"/>
                <w:color w:val="auto"/>
              </w:rPr>
            </w:pPr>
          </w:p>
        </w:tc>
      </w:tr>
      <w:tr>
        <w:trPr>
          <w:trHeight w:val="105"/>
        </w:trPr>
        <w:tc>
          <w:tcPr>
            <w:tcW w:w="2160" w:type="dxa"/>
            <w:vAlign w:val="bottom"/>
          </w:tcPr>
          <w:p>
            <w:pPr>
              <w:spacing w:after="0" w:line="105" w:lineRule="exact"/>
              <w:rPr>
                <w:sz w:val="20"/>
                <w:szCs w:val="20"/>
                <w:color w:val="auto"/>
              </w:rPr>
            </w:pPr>
            <w:r>
              <w:rPr>
                <w:rFonts w:ascii="Arial" w:cs="Arial" w:eastAsia="Arial" w:hAnsi="Arial"/>
                <w:sz w:val="11"/>
                <w:szCs w:val="11"/>
                <w:color w:val="auto"/>
              </w:rPr>
              <w:t>Conversion of redeemable convertible</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160" w:type="dxa"/>
            <w:vAlign w:val="bottom"/>
          </w:tcPr>
          <w:p>
            <w:pPr>
              <w:ind w:left="160"/>
              <w:spacing w:after="0"/>
              <w:rPr>
                <w:sz w:val="20"/>
                <w:szCs w:val="20"/>
                <w:color w:val="auto"/>
              </w:rPr>
            </w:pPr>
            <w:r>
              <w:rPr>
                <w:rFonts w:ascii="Arial" w:cs="Arial" w:eastAsia="Arial" w:hAnsi="Arial"/>
                <w:sz w:val="11"/>
                <w:szCs w:val="11"/>
                <w:color w:val="auto"/>
              </w:rPr>
              <w:t>preferred shares into ordinary</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160" w:type="dxa"/>
            <w:vAlign w:val="bottom"/>
          </w:tcPr>
          <w:p>
            <w:pPr>
              <w:ind w:left="160"/>
              <w:spacing w:after="0"/>
              <w:rPr>
                <w:sz w:val="20"/>
                <w:szCs w:val="20"/>
                <w:color w:val="auto"/>
              </w:rPr>
            </w:pPr>
            <w:r>
              <w:rPr>
                <w:rFonts w:ascii="Arial" w:cs="Arial" w:eastAsia="Arial" w:hAnsi="Arial"/>
                <w:sz w:val="11"/>
                <w:szCs w:val="11"/>
                <w:color w:val="auto"/>
              </w:rPr>
              <w:t>shares upon initial public offering . . . .</w:t>
            </w:r>
          </w:p>
        </w:tc>
        <w:tc>
          <w:tcPr>
            <w:tcW w:w="460" w:type="dxa"/>
            <w:vAlign w:val="bottom"/>
          </w:tcPr>
          <w:p>
            <w:pPr>
              <w:jc w:val="right"/>
              <w:spacing w:after="0"/>
              <w:rPr>
                <w:sz w:val="20"/>
                <w:szCs w:val="20"/>
                <w:color w:val="auto"/>
              </w:rPr>
            </w:pPr>
            <w:r>
              <w:rPr>
                <w:rFonts w:ascii="Arial" w:cs="Arial" w:eastAsia="Arial" w:hAnsi="Arial"/>
                <w:sz w:val="11"/>
                <w:szCs w:val="11"/>
                <w:color w:val="auto"/>
              </w:rPr>
              <w:t>(19,200)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(32,001)</w:t>
            </w:r>
          </w:p>
        </w:tc>
        <w:tc>
          <w:tcPr>
            <w:tcW w:w="540" w:type="dxa"/>
            <w:vAlign w:val="bottom"/>
            <w:gridSpan w:val="3"/>
          </w:tcPr>
          <w:p>
            <w:pPr>
              <w:jc w:val="right"/>
              <w:spacing w:after="0"/>
              <w:rPr>
                <w:sz w:val="20"/>
                <w:szCs w:val="20"/>
                <w:color w:val="auto"/>
              </w:rPr>
            </w:pPr>
            <w:r>
              <w:rPr>
                <w:rFonts w:ascii="Arial" w:cs="Arial" w:eastAsia="Arial" w:hAnsi="Arial"/>
                <w:sz w:val="11"/>
                <w:szCs w:val="11"/>
                <w:color w:val="auto"/>
              </w:rPr>
              <w:t>(12,800)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(26,000)</w:t>
            </w:r>
          </w:p>
        </w:tc>
        <w:tc>
          <w:tcPr>
            <w:tcW w:w="620" w:type="dxa"/>
            <w:vAlign w:val="bottom"/>
            <w:gridSpan w:val="3"/>
          </w:tcPr>
          <w:p>
            <w:pPr>
              <w:jc w:val="right"/>
              <w:ind w:right="100"/>
              <w:spacing w:after="0"/>
              <w:rPr>
                <w:sz w:val="20"/>
                <w:szCs w:val="20"/>
                <w:color w:val="auto"/>
              </w:rPr>
            </w:pPr>
            <w:r>
              <w:rPr>
                <w:rFonts w:ascii="Arial" w:cs="Arial" w:eastAsia="Arial" w:hAnsi="Arial"/>
                <w:sz w:val="11"/>
                <w:szCs w:val="11"/>
                <w:color w:val="auto"/>
              </w:rPr>
              <w:t>(32,857)</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(133,015)</w:t>
            </w:r>
          </w:p>
        </w:tc>
        <w:tc>
          <w:tcPr>
            <w:tcW w:w="540" w:type="dxa"/>
            <w:vAlign w:val="bottom"/>
            <w:gridSpan w:val="3"/>
          </w:tcPr>
          <w:p>
            <w:pPr>
              <w:jc w:val="right"/>
              <w:spacing w:after="0"/>
              <w:rPr>
                <w:sz w:val="20"/>
                <w:szCs w:val="20"/>
                <w:color w:val="auto"/>
              </w:rPr>
            </w:pPr>
            <w:r>
              <w:rPr>
                <w:rFonts w:ascii="Arial" w:cs="Arial" w:eastAsia="Arial" w:hAnsi="Arial"/>
                <w:sz w:val="11"/>
                <w:szCs w:val="11"/>
                <w:color w:val="auto"/>
              </w:rPr>
              <w:t>(2,161)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(8,959)</w:t>
            </w:r>
          </w:p>
        </w:tc>
        <w:tc>
          <w:tcPr>
            <w:tcW w:w="0" w:type="dxa"/>
            <w:vAlign w:val="bottom"/>
          </w:tcPr>
          <w:p>
            <w:pPr>
              <w:spacing w:after="0"/>
              <w:rPr>
                <w:sz w:val="1"/>
                <w:szCs w:val="1"/>
                <w:color w:val="auto"/>
              </w:rPr>
            </w:pPr>
          </w:p>
        </w:tc>
      </w:tr>
      <w:tr>
        <w:trPr>
          <w:trHeight w:val="126"/>
        </w:trPr>
        <w:tc>
          <w:tcPr>
            <w:tcW w:w="2160" w:type="dxa"/>
            <w:vAlign w:val="bottom"/>
          </w:tcPr>
          <w:p>
            <w:pPr>
              <w:spacing w:after="0"/>
              <w:rPr>
                <w:sz w:val="20"/>
                <w:szCs w:val="20"/>
                <w:color w:val="auto"/>
              </w:rPr>
            </w:pPr>
            <w:r>
              <w:rPr>
                <w:rFonts w:ascii="Arial" w:cs="Arial" w:eastAsia="Arial" w:hAnsi="Arial"/>
                <w:sz w:val="11"/>
                <w:szCs w:val="11"/>
                <w:color w:val="auto"/>
              </w:rPr>
              <w:t>Issuance of ordinary shares upon initial</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160" w:type="dxa"/>
            <w:vAlign w:val="bottom"/>
          </w:tcPr>
          <w:p>
            <w:pPr>
              <w:ind w:left="160"/>
              <w:spacing w:after="0"/>
              <w:rPr>
                <w:sz w:val="20"/>
                <w:szCs w:val="20"/>
                <w:color w:val="auto"/>
              </w:rPr>
            </w:pPr>
            <w:r>
              <w:rPr>
                <w:rFonts w:ascii="Arial" w:cs="Arial" w:eastAsia="Arial" w:hAnsi="Arial"/>
                <w:sz w:val="11"/>
                <w:szCs w:val="11"/>
                <w:color w:val="auto"/>
              </w:rPr>
              <w:t>public offering, net of issuance costs</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2160" w:type="dxa"/>
            <w:vAlign w:val="bottom"/>
          </w:tcPr>
          <w:p>
            <w:pPr>
              <w:ind w:left="160"/>
              <w:spacing w:after="0"/>
              <w:rPr>
                <w:sz w:val="20"/>
                <w:szCs w:val="20"/>
                <w:color w:val="auto"/>
              </w:rPr>
            </w:pPr>
            <w:r>
              <w:rPr>
                <w:rFonts w:ascii="Arial" w:cs="Arial" w:eastAsia="Arial" w:hAnsi="Arial"/>
                <w:sz w:val="11"/>
                <w:szCs w:val="11"/>
                <w:color w:val="auto"/>
              </w:rPr>
              <w:t>and underwriting discount of $18,586 .</w:t>
            </w: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rPr>
                <w:sz w:val="20"/>
                <w:szCs w:val="20"/>
                <w:color w:val="auto"/>
              </w:rPr>
            </w:pPr>
            <w:r>
              <w:rPr>
                <w:rFonts w:ascii="Arial" w:cs="Arial" w:eastAsia="Arial" w:hAnsi="Arial"/>
                <w:sz w:val="11"/>
                <w:szCs w:val="11"/>
                <w:color w:val="auto"/>
              </w:rPr>
              <w:t>Net exercise of ordinary share warrants . .</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7"/>
        </w:trPr>
        <w:tc>
          <w:tcPr>
            <w:tcW w:w="2160" w:type="dxa"/>
            <w:vAlign w:val="bottom"/>
          </w:tcPr>
          <w:p>
            <w:pPr>
              <w:spacing w:after="0"/>
              <w:rPr>
                <w:sz w:val="20"/>
                <w:szCs w:val="20"/>
                <w:color w:val="auto"/>
              </w:rPr>
            </w:pPr>
            <w:r>
              <w:rPr>
                <w:rFonts w:ascii="Arial" w:cs="Arial" w:eastAsia="Arial" w:hAnsi="Arial"/>
                <w:sz w:val="11"/>
                <w:szCs w:val="11"/>
                <w:color w:val="auto"/>
              </w:rPr>
              <w:t>Exchange of ordinary shares to</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2160" w:type="dxa"/>
            <w:vAlign w:val="bottom"/>
          </w:tcPr>
          <w:p>
            <w:pPr>
              <w:ind w:left="160"/>
              <w:spacing w:after="0"/>
              <w:rPr>
                <w:sz w:val="20"/>
                <w:szCs w:val="20"/>
                <w:color w:val="auto"/>
              </w:rPr>
            </w:pPr>
            <w:r>
              <w:rPr>
                <w:rFonts w:ascii="Arial" w:cs="Arial" w:eastAsia="Arial" w:hAnsi="Arial"/>
                <w:sz w:val="11"/>
                <w:szCs w:val="11"/>
                <w:color w:val="auto"/>
              </w:rPr>
              <w:t>non-voting ordinary shares . . . . . . . .</w:t>
            </w: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160" w:type="dxa"/>
            <w:vAlign w:val="bottom"/>
          </w:tcPr>
          <w:p>
            <w:pPr>
              <w:spacing w:after="0"/>
              <w:rPr>
                <w:sz w:val="20"/>
                <w:szCs w:val="20"/>
                <w:color w:val="auto"/>
              </w:rPr>
            </w:pPr>
            <w:r>
              <w:rPr>
                <w:rFonts w:ascii="Arial" w:cs="Arial" w:eastAsia="Arial" w:hAnsi="Arial"/>
                <w:sz w:val="11"/>
                <w:szCs w:val="11"/>
                <w:color w:val="auto"/>
              </w:rPr>
              <w:t>Issuance of ordinary shares and non-</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160" w:type="dxa"/>
            <w:vAlign w:val="bottom"/>
          </w:tcPr>
          <w:p>
            <w:pPr>
              <w:ind w:left="160"/>
              <w:spacing w:after="0"/>
              <w:rPr>
                <w:sz w:val="20"/>
                <w:szCs w:val="20"/>
                <w:color w:val="auto"/>
              </w:rPr>
            </w:pPr>
            <w:r>
              <w:rPr>
                <w:rFonts w:ascii="Arial" w:cs="Arial" w:eastAsia="Arial" w:hAnsi="Arial"/>
                <w:sz w:val="11"/>
                <w:szCs w:val="11"/>
                <w:color w:val="auto"/>
              </w:rPr>
              <w:t>voting ordinary shares in private</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60" w:type="dxa"/>
            <w:vAlign w:val="bottom"/>
          </w:tcPr>
          <w:p>
            <w:pPr>
              <w:ind w:left="160"/>
              <w:spacing w:after="0"/>
              <w:rPr>
                <w:sz w:val="20"/>
                <w:szCs w:val="20"/>
                <w:color w:val="auto"/>
              </w:rPr>
            </w:pPr>
            <w:r>
              <w:rPr>
                <w:rFonts w:ascii="Arial" w:cs="Arial" w:eastAsia="Arial" w:hAnsi="Arial"/>
                <w:sz w:val="11"/>
                <w:szCs w:val="11"/>
                <w:color w:val="auto"/>
              </w:rPr>
              <w:t>placement financing, net of</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160" w:type="dxa"/>
            <w:vAlign w:val="bottom"/>
          </w:tcPr>
          <w:p>
            <w:pPr>
              <w:ind w:left="160"/>
              <w:spacing w:after="0"/>
              <w:rPr>
                <w:sz w:val="20"/>
                <w:szCs w:val="20"/>
                <w:color w:val="auto"/>
              </w:rPr>
            </w:pPr>
            <w:r>
              <w:rPr>
                <w:rFonts w:ascii="Arial" w:cs="Arial" w:eastAsia="Arial" w:hAnsi="Arial"/>
                <w:sz w:val="11"/>
                <w:szCs w:val="11"/>
                <w:color w:val="auto"/>
              </w:rPr>
              <w:t>issuance costs and underwriting</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2160" w:type="dxa"/>
            <w:vAlign w:val="bottom"/>
          </w:tcPr>
          <w:p>
            <w:pPr>
              <w:ind w:left="160"/>
              <w:spacing w:after="0"/>
              <w:rPr>
                <w:sz w:val="20"/>
                <w:szCs w:val="20"/>
                <w:color w:val="auto"/>
              </w:rPr>
            </w:pPr>
            <w:r>
              <w:rPr>
                <w:rFonts w:ascii="Arial" w:cs="Arial" w:eastAsia="Arial" w:hAnsi="Arial"/>
                <w:sz w:val="11"/>
                <w:szCs w:val="11"/>
                <w:color w:val="auto"/>
              </w:rPr>
              <w:t>discount of $18,538 . . . . . . . . . . . .</w:t>
            </w: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160" w:type="dxa"/>
            <w:vAlign w:val="bottom"/>
          </w:tcPr>
          <w:p>
            <w:pPr>
              <w:spacing w:after="0"/>
              <w:rPr>
                <w:sz w:val="20"/>
                <w:szCs w:val="20"/>
                <w:color w:val="auto"/>
              </w:rPr>
            </w:pPr>
            <w:r>
              <w:rPr>
                <w:rFonts w:ascii="Arial" w:cs="Arial" w:eastAsia="Arial" w:hAnsi="Arial"/>
                <w:sz w:val="11"/>
                <w:szCs w:val="11"/>
                <w:color w:val="auto"/>
              </w:rPr>
              <w:t>Issuance of ordinary shares upon</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2160" w:type="dxa"/>
            <w:vAlign w:val="bottom"/>
          </w:tcPr>
          <w:p>
            <w:pPr>
              <w:ind w:left="160"/>
              <w:spacing w:after="0"/>
              <w:rPr>
                <w:sz w:val="20"/>
                <w:szCs w:val="20"/>
                <w:color w:val="auto"/>
              </w:rPr>
            </w:pPr>
            <w:r>
              <w:rPr>
                <w:rFonts w:ascii="Arial" w:cs="Arial" w:eastAsia="Arial" w:hAnsi="Arial"/>
                <w:sz w:val="11"/>
                <w:szCs w:val="11"/>
                <w:color w:val="auto"/>
              </w:rPr>
              <w:t>exercise of vested share options . . . .</w:t>
            </w: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rPr>
                <w:sz w:val="20"/>
                <w:szCs w:val="20"/>
                <w:color w:val="auto"/>
              </w:rPr>
            </w:pPr>
            <w:r>
              <w:rPr>
                <w:rFonts w:ascii="Arial" w:cs="Arial" w:eastAsia="Arial" w:hAnsi="Arial"/>
                <w:sz w:val="11"/>
                <w:szCs w:val="11"/>
                <w:color w:val="auto"/>
              </w:rPr>
              <w:t>Conversion of non-voting ordinary</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7"/>
        </w:trPr>
        <w:tc>
          <w:tcPr>
            <w:tcW w:w="2160" w:type="dxa"/>
            <w:vAlign w:val="bottom"/>
          </w:tcPr>
          <w:p>
            <w:pPr>
              <w:ind w:left="160"/>
              <w:spacing w:after="0"/>
              <w:rPr>
                <w:sz w:val="20"/>
                <w:szCs w:val="20"/>
                <w:color w:val="auto"/>
              </w:rPr>
            </w:pPr>
            <w:r>
              <w:rPr>
                <w:rFonts w:ascii="Arial" w:cs="Arial" w:eastAsia="Arial" w:hAnsi="Arial"/>
                <w:sz w:val="11"/>
                <w:szCs w:val="11"/>
                <w:color w:val="auto"/>
              </w:rPr>
              <w:t>shares into ordinary shares  . . . . . . .</w:t>
            </w: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rPr>
                <w:sz w:val="20"/>
                <w:szCs w:val="20"/>
                <w:color w:val="auto"/>
              </w:rPr>
            </w:pPr>
            <w:r>
              <w:rPr>
                <w:rFonts w:ascii="Arial" w:cs="Arial" w:eastAsia="Arial" w:hAnsi="Arial"/>
                <w:sz w:val="11"/>
                <w:szCs w:val="11"/>
                <w:color w:val="auto"/>
              </w:rPr>
              <w:t>Share-based compensation expense . . .</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7"/>
        </w:trPr>
        <w:tc>
          <w:tcPr>
            <w:tcW w:w="2160" w:type="dxa"/>
            <w:vAlign w:val="bottom"/>
          </w:tcPr>
          <w:p>
            <w:pPr>
              <w:spacing w:after="0"/>
              <w:rPr>
                <w:sz w:val="20"/>
                <w:szCs w:val="20"/>
                <w:color w:val="auto"/>
              </w:rPr>
            </w:pPr>
            <w:r>
              <w:rPr>
                <w:rFonts w:ascii="Arial" w:cs="Arial" w:eastAsia="Arial" w:hAnsi="Arial"/>
                <w:sz w:val="11"/>
                <w:szCs w:val="11"/>
                <w:color w:val="auto"/>
              </w:rPr>
              <w:t>Unrealized gain on investments, net . . . .</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160" w:type="dxa"/>
            <w:vAlign w:val="bottom"/>
          </w:tcPr>
          <w:p>
            <w:pPr>
              <w:spacing w:after="0"/>
              <w:rPr>
                <w:sz w:val="20"/>
                <w:szCs w:val="20"/>
                <w:color w:val="auto"/>
              </w:rPr>
            </w:pPr>
            <w:r>
              <w:rPr>
                <w:rFonts w:ascii="Arial" w:cs="Arial" w:eastAsia="Arial" w:hAnsi="Arial"/>
                <w:sz w:val="11"/>
                <w:szCs w:val="11"/>
                <w:color w:val="auto"/>
              </w:rPr>
              <w:t>Net loss  . . . . . . . . . . . . . . . . . . . . .</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7"/>
        </w:trPr>
        <w:tc>
          <w:tcPr>
            <w:tcW w:w="2160" w:type="dxa"/>
            <w:vAlign w:val="bottom"/>
          </w:tcPr>
          <w:p>
            <w:pPr>
              <w:spacing w:after="0" w:line="119" w:lineRule="exact"/>
              <w:rPr>
                <w:sz w:val="20"/>
                <w:szCs w:val="20"/>
                <w:color w:val="auto"/>
              </w:rPr>
            </w:pPr>
            <w:r>
              <w:rPr>
                <w:rFonts w:ascii="Arial" w:cs="Arial" w:eastAsia="Arial" w:hAnsi="Arial"/>
                <w:sz w:val="11"/>
                <w:szCs w:val="11"/>
                <w:color w:val="auto"/>
              </w:rPr>
              <w:t>. . . . . .</w:t>
            </w:r>
            <w:r>
              <w:rPr>
                <w:rFonts w:ascii="Arial" w:cs="Arial" w:eastAsia="Arial" w:hAnsi="Arial"/>
                <w:sz w:val="11"/>
                <w:szCs w:val="11"/>
                <w:b w:val="1"/>
                <w:bCs w:val="1"/>
                <w:color w:val="auto"/>
              </w:rPr>
              <w:t>BalanceatDecember31,2023</w:t>
            </w:r>
          </w:p>
        </w:tc>
        <w:tc>
          <w:tcPr>
            <w:tcW w:w="46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19" w:lineRule="exact"/>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19" w:lineRule="exact"/>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center"/>
              <w:spacing w:after="0" w:line="119" w:lineRule="exact"/>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19" w:lineRule="exact"/>
              <w:rPr>
                <w:sz w:val="20"/>
                <w:szCs w:val="20"/>
                <w:color w:val="auto"/>
              </w:rPr>
            </w:pPr>
            <w:r>
              <w:rPr>
                <w:rFonts w:ascii="Arial" w:cs="Arial" w:eastAsia="Arial" w:hAnsi="Arial"/>
                <w:sz w:val="11"/>
                <w:szCs w:val="11"/>
                <w:color w:val="auto"/>
              </w:rPr>
              <w:t>$</w:t>
            </w:r>
          </w:p>
        </w:tc>
        <w:tc>
          <w:tcPr>
            <w:tcW w:w="40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84455</wp:posOffset>
                </wp:positionV>
                <wp:extent cx="819150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915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6.65pt" to="644.65pt,6.65pt" o:allowincell="f" strokecolor="#000000" strokeweight="0.4799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3"/>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6"/>
        </w:trPr>
        <w:tc>
          <w:tcPr>
            <w:tcW w:w="840" w:type="dxa"/>
            <w:vAlign w:val="bottom"/>
            <w:gridSpan w:val="3"/>
          </w:tcPr>
          <w:p>
            <w:pPr>
              <w:ind w:left="200"/>
              <w:spacing w:after="0"/>
              <w:rPr>
                <w:sz w:val="20"/>
                <w:szCs w:val="20"/>
                <w:color w:val="auto"/>
              </w:rPr>
            </w:pPr>
            <w:r>
              <w:rPr>
                <w:rFonts w:ascii="Arial" w:cs="Arial" w:eastAsia="Arial" w:hAnsi="Arial"/>
                <w:sz w:val="11"/>
                <w:szCs w:val="11"/>
                <w:b w:val="1"/>
                <w:bCs w:val="1"/>
                <w:color w:val="auto"/>
              </w:rPr>
              <w:t>ORDINARY</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ind w:left="200"/>
              <w:spacing w:after="0"/>
              <w:rPr>
                <w:sz w:val="20"/>
                <w:szCs w:val="20"/>
                <w:color w:val="auto"/>
              </w:rPr>
            </w:pPr>
            <w:r>
              <w:rPr>
                <w:rFonts w:ascii="Arial" w:cs="Arial" w:eastAsia="Arial" w:hAnsi="Arial"/>
                <w:sz w:val="11"/>
                <w:szCs w:val="11"/>
                <w:b w:val="1"/>
                <w:bCs w:val="1"/>
                <w:color w:val="auto"/>
                <w:w w:val="99"/>
              </w:rPr>
              <w:t>NON-VOTING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w w:val="97"/>
              </w:rPr>
              <w:t>ADDITIONAL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265"/>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r>
      <w:tr>
        <w:trPr>
          <w:trHeight w:val="155"/>
        </w:trPr>
        <w:tc>
          <w:tcPr>
            <w:tcW w:w="840" w:type="dxa"/>
            <w:vAlign w:val="bottom"/>
            <w:tcBorders>
              <w:bottom w:val="single" w:sz="8" w:color="auto"/>
            </w:tcBorders>
            <w:gridSpan w:val="3"/>
          </w:tcPr>
          <w:p>
            <w:pPr>
              <w:ind w:left="300"/>
              <w:spacing w:after="0"/>
              <w:rPr>
                <w:sz w:val="20"/>
                <w:szCs w:val="20"/>
                <w:color w:val="auto"/>
              </w:rPr>
            </w:pPr>
            <w:r>
              <w:rPr>
                <w:rFonts w:ascii="Arial" w:cs="Arial" w:eastAsia="Arial" w:hAnsi="Arial"/>
                <w:sz w:val="11"/>
                <w:szCs w:val="11"/>
                <w:b w:val="1"/>
                <w:bCs w:val="1"/>
                <w:color w:val="auto"/>
              </w:rPr>
              <w:t>SHARES</w:t>
            </w: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8"/>
              </w:rPr>
              <w:t>ORDINARY 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05"/>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w w:val="97"/>
              </w:rPr>
              <w:t>COMPREHENSIVE</w:t>
            </w:r>
          </w:p>
        </w:tc>
        <w:tc>
          <w:tcPr>
            <w:tcW w:w="960" w:type="dxa"/>
            <w:vAlign w:val="bottom"/>
            <w:gridSpan w:val="3"/>
          </w:tcPr>
          <w:p>
            <w:pPr>
              <w:ind w:left="10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1"/>
                <w:szCs w:val="11"/>
                <w:b w:val="1"/>
                <w:bCs w:val="1"/>
                <w:color w:val="auto"/>
              </w:rPr>
              <w:t>SHAREHOLDERS’</w:t>
            </w:r>
          </w:p>
        </w:tc>
      </w:tr>
      <w:tr>
        <w:trPr>
          <w:trHeight w:val="121"/>
        </w:trPr>
        <w:tc>
          <w:tcPr>
            <w:tcW w:w="460" w:type="dxa"/>
            <w:vAlign w:val="bottom"/>
          </w:tcPr>
          <w:p>
            <w:pPr>
              <w:jc w:val="right"/>
              <w:spacing w:after="0" w:line="121" w:lineRule="exact"/>
              <w:rPr>
                <w:sz w:val="20"/>
                <w:szCs w:val="20"/>
                <w:color w:val="auto"/>
              </w:rPr>
            </w:pPr>
            <w:r>
              <w:rPr>
                <w:rFonts w:ascii="Arial" w:cs="Arial" w:eastAsia="Arial" w:hAnsi="Arial"/>
                <w:sz w:val="11"/>
                <w:szCs w:val="11"/>
                <w:b w:val="1"/>
                <w:bCs w:val="1"/>
                <w:color w:val="auto"/>
                <w:w w:val="95"/>
              </w:rPr>
              <w:t>SHARES</w:t>
            </w:r>
          </w:p>
        </w:tc>
        <w:tc>
          <w:tcPr>
            <w:tcW w:w="80" w:type="dxa"/>
            <w:vAlign w:val="bottom"/>
          </w:tcPr>
          <w:p>
            <w:pPr>
              <w:spacing w:after="0"/>
              <w:rPr>
                <w:sz w:val="10"/>
                <w:szCs w:val="10"/>
                <w:color w:val="auto"/>
              </w:rPr>
            </w:pPr>
          </w:p>
        </w:tc>
        <w:tc>
          <w:tcPr>
            <w:tcW w:w="5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w w:val="99"/>
              </w:rPr>
              <w:t>AMOUNT</w:t>
            </w:r>
          </w:p>
        </w:tc>
        <w:tc>
          <w:tcPr>
            <w:tcW w:w="80" w:type="dxa"/>
            <w:vAlign w:val="bottom"/>
          </w:tcPr>
          <w:p>
            <w:pPr>
              <w:spacing w:after="0"/>
              <w:rPr>
                <w:sz w:val="10"/>
                <w:szCs w:val="10"/>
                <w:color w:val="auto"/>
              </w:rPr>
            </w:pPr>
          </w:p>
        </w:tc>
        <w:tc>
          <w:tcPr>
            <w:tcW w:w="460" w:type="dxa"/>
            <w:vAlign w:val="bottom"/>
          </w:tcPr>
          <w:p>
            <w:pPr>
              <w:spacing w:after="0" w:line="121" w:lineRule="exact"/>
              <w:rPr>
                <w:sz w:val="20"/>
                <w:szCs w:val="20"/>
                <w:color w:val="auto"/>
              </w:rPr>
            </w:pPr>
            <w:r>
              <w:rPr>
                <w:rFonts w:ascii="Arial" w:cs="Arial" w:eastAsia="Arial" w:hAnsi="Arial"/>
                <w:sz w:val="11"/>
                <w:szCs w:val="11"/>
                <w:b w:val="1"/>
                <w:bCs w:val="1"/>
                <w:color w:val="auto"/>
                <w:w w:val="95"/>
              </w:rPr>
              <w:t>SHARES</w:t>
            </w:r>
          </w:p>
        </w:tc>
        <w:tc>
          <w:tcPr>
            <w:tcW w:w="120" w:type="dxa"/>
            <w:vAlign w:val="bottom"/>
          </w:tcPr>
          <w:p>
            <w:pPr>
              <w:spacing w:after="0"/>
              <w:rPr>
                <w:sz w:val="10"/>
                <w:szCs w:val="10"/>
                <w:color w:val="auto"/>
              </w:rPr>
            </w:pPr>
          </w:p>
        </w:tc>
        <w:tc>
          <w:tcPr>
            <w:tcW w:w="5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w w:val="95"/>
              </w:rPr>
              <w:t>AMOUNT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45"/>
              <w:spacing w:after="0" w:line="121" w:lineRule="exact"/>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265"/>
              <w:spacing w:after="0" w:line="121" w:lineRule="exact"/>
              <w:rPr>
                <w:sz w:val="20"/>
                <w:szCs w:val="20"/>
                <w:color w:val="auto"/>
              </w:rPr>
            </w:pPr>
            <w:r>
              <w:rPr>
                <w:rFonts w:ascii="Arial" w:cs="Arial" w:eastAsia="Arial" w:hAnsi="Arial"/>
                <w:sz w:val="11"/>
                <w:szCs w:val="11"/>
                <w:b w:val="1"/>
                <w:bCs w:val="1"/>
                <w:color w:val="auto"/>
              </w:rPr>
              <w:t>LOSS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145"/>
              <w:spacing w:after="0" w:line="121" w:lineRule="exact"/>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0"/>
                <w:szCs w:val="10"/>
                <w:color w:val="auto"/>
              </w:rPr>
            </w:pPr>
          </w:p>
        </w:tc>
        <w:tc>
          <w:tcPr>
            <w:tcW w:w="98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EQUITY (DEFICIT)</w:t>
            </w:r>
          </w:p>
        </w:tc>
      </w:tr>
      <w:tr>
        <w:trPr>
          <w:trHeight w:val="137"/>
        </w:trPr>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10,894</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(64,736)</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(64,735)</w:t>
            </w:r>
          </w:p>
        </w:tc>
        <w:tc>
          <w:tcPr>
            <w:tcW w:w="20" w:type="dxa"/>
            <w:vAlign w:val="bottom"/>
          </w:tcPr>
          <w:p>
            <w:pPr>
              <w:spacing w:after="0"/>
              <w:rPr>
                <w:sz w:val="11"/>
                <w:szCs w:val="11"/>
                <w:color w:val="auto"/>
              </w:rPr>
            </w:pPr>
          </w:p>
        </w:tc>
      </w:tr>
      <w:tr>
        <w:trPr>
          <w:trHeight w:val="336"/>
        </w:trPr>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379"/>
        </w:trPr>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(895)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(1,515)</w:t>
            </w:r>
          </w:p>
        </w:tc>
      </w:tr>
      <w:tr>
        <w:trPr>
          <w:trHeight w:val="253"/>
        </w:trPr>
        <w:tc>
          <w:tcPr>
            <w:tcW w:w="460" w:type="dxa"/>
            <w:vAlign w:val="bottom"/>
          </w:tcPr>
          <w:p>
            <w:pPr>
              <w:jc w:val="right"/>
              <w:spacing w:after="0"/>
              <w:rPr>
                <w:sz w:val="20"/>
                <w:szCs w:val="20"/>
                <w:color w:val="auto"/>
              </w:rPr>
            </w:pPr>
            <w:r>
              <w:rPr>
                <w:rFonts w:ascii="Arial" w:cs="Arial" w:eastAsia="Arial" w:hAnsi="Arial"/>
                <w:sz w:val="11"/>
                <w:szCs w:val="11"/>
                <w:color w:val="auto"/>
              </w:rPr>
              <w:t>(450)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(6)</w:t>
            </w:r>
          </w:p>
        </w:tc>
      </w:tr>
      <w:tr>
        <w:trPr>
          <w:trHeight w:val="253"/>
        </w:trPr>
        <w:tc>
          <w:tcPr>
            <w:tcW w:w="460" w:type="dxa"/>
            <w:vAlign w:val="bottom"/>
          </w:tcPr>
          <w:p>
            <w:pPr>
              <w:jc w:val="right"/>
              <w:spacing w:after="0"/>
              <w:rPr>
                <w:sz w:val="20"/>
                <w:szCs w:val="20"/>
                <w:color w:val="auto"/>
              </w:rPr>
            </w:pPr>
            <w:r>
              <w:rPr>
                <w:rFonts w:ascii="Arial" w:cs="Arial" w:eastAsia="Arial" w:hAnsi="Arial"/>
                <w:sz w:val="11"/>
                <w:szCs w:val="11"/>
                <w:color w:val="auto"/>
              </w:rPr>
              <w:t>83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33</w:t>
            </w:r>
          </w:p>
        </w:tc>
        <w:tc>
          <w:tcPr>
            <w:tcW w:w="20" w:type="dxa"/>
            <w:vAlign w:val="bottom"/>
          </w:tcPr>
          <w:p>
            <w:pPr>
              <w:spacing w:after="0"/>
              <w:rPr>
                <w:sz w:val="22"/>
                <w:szCs w:val="22"/>
                <w:color w:val="auto"/>
              </w:rPr>
            </w:pPr>
          </w:p>
        </w:tc>
      </w:tr>
      <w:tr>
        <w:trPr>
          <w:trHeight w:val="126"/>
        </w:trPr>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2,514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2,514</w:t>
            </w:r>
          </w:p>
        </w:tc>
        <w:tc>
          <w:tcPr>
            <w:tcW w:w="20" w:type="dxa"/>
            <w:vAlign w:val="bottom"/>
          </w:tcPr>
          <w:p>
            <w:pPr>
              <w:spacing w:after="0"/>
              <w:rPr>
                <w:sz w:val="10"/>
                <w:szCs w:val="10"/>
                <w:color w:val="auto"/>
              </w:rPr>
            </w:pPr>
          </w:p>
        </w:tc>
      </w:tr>
      <w:tr>
        <w:trPr>
          <w:trHeight w:val="126"/>
        </w:trPr>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(110)</w:t>
            </w:r>
          </w:p>
        </w:tc>
      </w:tr>
      <w:tr>
        <w:trPr>
          <w:trHeight w:val="147"/>
        </w:trPr>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(51,321)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(51,321)</w:t>
            </w:r>
          </w:p>
        </w:tc>
      </w:tr>
      <w:tr>
        <w:trPr>
          <w:trHeight w:val="128"/>
        </w:trPr>
        <w:tc>
          <w:tcPr>
            <w:tcW w:w="46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10,527</w:t>
            </w:r>
          </w:p>
        </w:tc>
        <w:tc>
          <w:tcPr>
            <w:tcW w:w="8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line="120" w:lineRule="exact"/>
              <w:rPr>
                <w:sz w:val="20"/>
                <w:szCs w:val="20"/>
                <w:color w:val="auto"/>
              </w:rPr>
            </w:pPr>
            <w:r>
              <w:rPr>
                <w:rFonts w:ascii="Arial" w:cs="Arial" w:eastAsia="Arial" w:hAnsi="Arial"/>
                <w:sz w:val="11"/>
                <w:szCs w:val="11"/>
                <w:color w:val="auto"/>
              </w:rPr>
              <w:t>$</w:t>
            </w:r>
          </w:p>
        </w:tc>
        <w:tc>
          <w:tcPr>
            <w:tcW w:w="2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line="120"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0" w:lineRule="exact"/>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1,921</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0" w:lineRule="exact"/>
              <w:rPr>
                <w:sz w:val="20"/>
                <w:szCs w:val="20"/>
                <w:color w:val="auto"/>
              </w:rPr>
            </w:pPr>
            <w:r>
              <w:rPr>
                <w:rFonts w:ascii="Arial" w:cs="Arial" w:eastAsia="Arial" w:hAnsi="Arial"/>
                <w:sz w:val="11"/>
                <w:szCs w:val="11"/>
                <w:color w:val="auto"/>
              </w:rPr>
              <w:t>$</w:t>
            </w:r>
          </w:p>
        </w:tc>
        <w:tc>
          <w:tcPr>
            <w:tcW w:w="8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(110)</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0" w:lineRule="exact"/>
              <w:rPr>
                <w:sz w:val="20"/>
                <w:szCs w:val="20"/>
                <w:color w:val="auto"/>
              </w:rPr>
            </w:pPr>
            <w:r>
              <w:rPr>
                <w:rFonts w:ascii="Arial" w:cs="Arial" w:eastAsia="Arial" w:hAnsi="Arial"/>
                <w:sz w:val="11"/>
                <w:szCs w:val="11"/>
                <w:color w:val="auto"/>
              </w:rPr>
              <w:t>$</w:t>
            </w:r>
          </w:p>
        </w:tc>
        <w:tc>
          <w:tcPr>
            <w:tcW w:w="72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(116,952)</w:t>
            </w:r>
          </w:p>
        </w:tc>
        <w:tc>
          <w:tcPr>
            <w:tcW w:w="1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line="120" w:lineRule="exact"/>
              <w:rPr>
                <w:sz w:val="20"/>
                <w:szCs w:val="20"/>
                <w:color w:val="auto"/>
              </w:rPr>
            </w:pPr>
            <w:r>
              <w:rPr>
                <w:rFonts w:ascii="Arial" w:cs="Arial" w:eastAsia="Arial" w:hAnsi="Arial"/>
                <w:sz w:val="11"/>
                <w:szCs w:val="11"/>
                <w:color w:val="auto"/>
              </w:rPr>
              <w:t>$</w:t>
            </w: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(115,140)</w:t>
            </w:r>
          </w:p>
        </w:tc>
        <w:tc>
          <w:tcPr>
            <w:tcW w:w="20" w:type="dxa"/>
            <w:vAlign w:val="bottom"/>
            <w:tcBorders>
              <w:bottom w:val="single" w:sz="8" w:color="auto"/>
            </w:tcBorders>
          </w:tcPr>
          <w:p>
            <w:pPr>
              <w:spacing w:after="0"/>
              <w:rPr>
                <w:sz w:val="11"/>
                <w:szCs w:val="11"/>
                <w:color w:val="auto"/>
              </w:rPr>
            </w:pPr>
          </w:p>
        </w:tc>
      </w:tr>
      <w:tr>
        <w:trPr>
          <w:trHeight w:val="358"/>
        </w:trPr>
        <w:tc>
          <w:tcPr>
            <w:tcW w:w="460" w:type="dxa"/>
            <w:vAlign w:val="bottom"/>
          </w:tcPr>
          <w:p>
            <w:pPr>
              <w:jc w:val="right"/>
              <w:spacing w:after="0"/>
              <w:rPr>
                <w:sz w:val="20"/>
                <w:szCs w:val="20"/>
                <w:color w:val="auto"/>
              </w:rPr>
            </w:pPr>
            <w:r>
              <w:rPr>
                <w:rFonts w:ascii="Arial" w:cs="Arial" w:eastAsia="Arial" w:hAnsi="Arial"/>
                <w:sz w:val="11"/>
                <w:szCs w:val="11"/>
                <w:color w:val="auto"/>
              </w:rPr>
              <w:t>67,018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199,968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199,975</w:t>
            </w:r>
          </w:p>
        </w:tc>
        <w:tc>
          <w:tcPr>
            <w:tcW w:w="20" w:type="dxa"/>
            <w:vAlign w:val="bottom"/>
          </w:tcPr>
          <w:p>
            <w:pPr>
              <w:spacing w:after="0"/>
              <w:rPr>
                <w:sz w:val="24"/>
                <w:szCs w:val="24"/>
                <w:color w:val="auto"/>
              </w:rPr>
            </w:pPr>
          </w:p>
        </w:tc>
      </w:tr>
      <w:tr>
        <w:trPr>
          <w:trHeight w:val="379"/>
        </w:trPr>
        <w:tc>
          <w:tcPr>
            <w:tcW w:w="460" w:type="dxa"/>
            <w:vAlign w:val="bottom"/>
          </w:tcPr>
          <w:p>
            <w:pPr>
              <w:jc w:val="right"/>
              <w:spacing w:after="0"/>
              <w:rPr>
                <w:sz w:val="20"/>
                <w:szCs w:val="20"/>
                <w:color w:val="auto"/>
              </w:rPr>
            </w:pPr>
            <w:r>
              <w:rPr>
                <w:rFonts w:ascii="Arial" w:cs="Arial" w:eastAsia="Arial" w:hAnsi="Arial"/>
                <w:sz w:val="11"/>
                <w:szCs w:val="11"/>
                <w:color w:val="auto"/>
              </w:rPr>
              <w:t>37,053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166,667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166,670</w:t>
            </w:r>
          </w:p>
        </w:tc>
        <w:tc>
          <w:tcPr>
            <w:tcW w:w="20" w:type="dxa"/>
            <w:vAlign w:val="bottom"/>
          </w:tcPr>
          <w:p>
            <w:pPr>
              <w:spacing w:after="0"/>
              <w:rPr>
                <w:sz w:val="24"/>
                <w:szCs w:val="24"/>
                <w:color w:val="auto"/>
              </w:rPr>
            </w:pPr>
          </w:p>
        </w:tc>
      </w:tr>
      <w:tr>
        <w:trPr>
          <w:trHeight w:val="147"/>
        </w:trPr>
        <w:tc>
          <w:tcPr>
            <w:tcW w:w="460" w:type="dxa"/>
            <w:vAlign w:val="bottom"/>
          </w:tcPr>
          <w:p>
            <w:pPr>
              <w:jc w:val="right"/>
              <w:spacing w:after="0"/>
              <w:rPr>
                <w:sz w:val="20"/>
                <w:szCs w:val="20"/>
                <w:color w:val="auto"/>
              </w:rPr>
            </w:pPr>
            <w:r>
              <w:rPr>
                <w:rFonts w:ascii="Arial" w:cs="Arial" w:eastAsia="Arial" w:hAnsi="Arial"/>
                <w:sz w:val="11"/>
                <w:szCs w:val="11"/>
                <w:color w:val="auto"/>
              </w:rPr>
              <w:t>106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232"/>
        </w:trPr>
        <w:tc>
          <w:tcPr>
            <w:tcW w:w="460" w:type="dxa"/>
            <w:vAlign w:val="bottom"/>
          </w:tcPr>
          <w:p>
            <w:pPr>
              <w:jc w:val="right"/>
              <w:spacing w:after="0"/>
              <w:rPr>
                <w:sz w:val="20"/>
                <w:szCs w:val="20"/>
                <w:color w:val="auto"/>
              </w:rPr>
            </w:pPr>
            <w:r>
              <w:rPr>
                <w:rFonts w:ascii="Arial" w:cs="Arial" w:eastAsia="Arial" w:hAnsi="Arial"/>
                <w:sz w:val="11"/>
                <w:szCs w:val="11"/>
                <w:color w:val="auto"/>
              </w:rPr>
              <w:t>(7,411)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(1)</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7,411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632"/>
        </w:trPr>
        <w:tc>
          <w:tcPr>
            <w:tcW w:w="460" w:type="dxa"/>
            <w:vAlign w:val="bottom"/>
          </w:tcPr>
          <w:p>
            <w:pPr>
              <w:jc w:val="right"/>
              <w:spacing w:after="0"/>
              <w:rPr>
                <w:sz w:val="20"/>
                <w:szCs w:val="20"/>
                <w:color w:val="auto"/>
              </w:rPr>
            </w:pPr>
            <w:r>
              <w:rPr>
                <w:rFonts w:ascii="Arial" w:cs="Arial" w:eastAsia="Arial" w:hAnsi="Arial"/>
                <w:sz w:val="11"/>
                <w:szCs w:val="11"/>
                <w:color w:val="auto"/>
              </w:rPr>
              <w:t>21,617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2</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2,401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281,457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281,459</w:t>
            </w:r>
          </w:p>
        </w:tc>
        <w:tc>
          <w:tcPr>
            <w:tcW w:w="20" w:type="dxa"/>
            <w:vAlign w:val="bottom"/>
          </w:tcPr>
          <w:p>
            <w:pPr>
              <w:spacing w:after="0"/>
              <w:rPr>
                <w:sz w:val="24"/>
                <w:szCs w:val="24"/>
                <w:color w:val="auto"/>
              </w:rPr>
            </w:pPr>
          </w:p>
        </w:tc>
      </w:tr>
      <w:tr>
        <w:trPr>
          <w:trHeight w:val="253"/>
        </w:trPr>
        <w:tc>
          <w:tcPr>
            <w:tcW w:w="460" w:type="dxa"/>
            <w:vAlign w:val="bottom"/>
          </w:tcPr>
          <w:p>
            <w:pPr>
              <w:jc w:val="right"/>
              <w:spacing w:after="0"/>
              <w:rPr>
                <w:sz w:val="20"/>
                <w:szCs w:val="20"/>
                <w:color w:val="auto"/>
              </w:rPr>
            </w:pPr>
            <w:r>
              <w:rPr>
                <w:rFonts w:ascii="Arial" w:cs="Arial" w:eastAsia="Arial" w:hAnsi="Arial"/>
                <w:sz w:val="11"/>
                <w:szCs w:val="11"/>
                <w:color w:val="auto"/>
              </w:rPr>
              <w:t>498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800</w:t>
            </w:r>
          </w:p>
        </w:tc>
        <w:tc>
          <w:tcPr>
            <w:tcW w:w="20" w:type="dxa"/>
            <w:vAlign w:val="bottom"/>
          </w:tcPr>
          <w:p>
            <w:pPr>
              <w:spacing w:after="0"/>
              <w:rPr>
                <w:sz w:val="22"/>
                <w:szCs w:val="22"/>
                <w:color w:val="auto"/>
              </w:rPr>
            </w:pPr>
          </w:p>
        </w:tc>
      </w:tr>
      <w:tr>
        <w:trPr>
          <w:trHeight w:val="253"/>
        </w:trPr>
        <w:tc>
          <w:tcPr>
            <w:tcW w:w="460" w:type="dxa"/>
            <w:vAlign w:val="bottom"/>
          </w:tcPr>
          <w:p>
            <w:pPr>
              <w:jc w:val="right"/>
              <w:spacing w:after="0"/>
              <w:rPr>
                <w:sz w:val="20"/>
                <w:szCs w:val="20"/>
                <w:color w:val="auto"/>
              </w:rPr>
            </w:pPr>
            <w:r>
              <w:rPr>
                <w:rFonts w:ascii="Arial" w:cs="Arial" w:eastAsia="Arial" w:hAnsi="Arial"/>
                <w:sz w:val="11"/>
                <w:szCs w:val="11"/>
                <w:color w:val="auto"/>
              </w:rPr>
              <w:t>9,812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1</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(9,812)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6"/>
        </w:trPr>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8,191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8,191</w:t>
            </w:r>
          </w:p>
        </w:tc>
        <w:tc>
          <w:tcPr>
            <w:tcW w:w="20" w:type="dxa"/>
            <w:vAlign w:val="bottom"/>
          </w:tcPr>
          <w:p>
            <w:pPr>
              <w:spacing w:after="0"/>
              <w:rPr>
                <w:sz w:val="10"/>
                <w:szCs w:val="10"/>
                <w:color w:val="auto"/>
              </w:rPr>
            </w:pPr>
          </w:p>
        </w:tc>
      </w:tr>
      <w:tr>
        <w:trPr>
          <w:trHeight w:val="127"/>
        </w:trPr>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631</w:t>
            </w:r>
          </w:p>
        </w:tc>
        <w:tc>
          <w:tcPr>
            <w:tcW w:w="20" w:type="dxa"/>
            <w:vAlign w:val="bottom"/>
          </w:tcPr>
          <w:p>
            <w:pPr>
              <w:spacing w:after="0"/>
              <w:rPr>
                <w:sz w:val="11"/>
                <w:szCs w:val="11"/>
                <w:color w:val="auto"/>
              </w:rPr>
            </w:pPr>
          </w:p>
        </w:tc>
      </w:tr>
      <w:tr>
        <w:trPr>
          <w:trHeight w:val="147"/>
        </w:trPr>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(89,620)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(89,620)</w:t>
            </w:r>
          </w:p>
        </w:tc>
      </w:tr>
      <w:tr>
        <w:trPr>
          <w:trHeight w:val="127"/>
        </w:trPr>
        <w:tc>
          <w:tcPr>
            <w:tcW w:w="46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139,220</w:t>
            </w:r>
          </w:p>
        </w:tc>
        <w:tc>
          <w:tcPr>
            <w:tcW w:w="8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line="119" w:lineRule="exact"/>
              <w:rPr>
                <w:sz w:val="20"/>
                <w:szCs w:val="20"/>
                <w:color w:val="auto"/>
              </w:rPr>
            </w:pPr>
            <w:r>
              <w:rPr>
                <w:rFonts w:ascii="Arial" w:cs="Arial" w:eastAsia="Arial" w:hAnsi="Arial"/>
                <w:sz w:val="11"/>
                <w:szCs w:val="11"/>
                <w:color w:val="auto"/>
              </w:rPr>
              <w:t>$</w:t>
            </w:r>
          </w:p>
        </w:tc>
        <w:tc>
          <w:tcPr>
            <w:tcW w:w="20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14</w:t>
            </w:r>
          </w:p>
        </w:tc>
        <w:tc>
          <w:tcPr>
            <w:tcW w:w="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line="119"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19" w:lineRule="exact"/>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659,003</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19" w:lineRule="exact"/>
              <w:rPr>
                <w:sz w:val="20"/>
                <w:szCs w:val="20"/>
                <w:color w:val="auto"/>
              </w:rPr>
            </w:pPr>
            <w:r>
              <w:rPr>
                <w:rFonts w:ascii="Arial" w:cs="Arial" w:eastAsia="Arial" w:hAnsi="Arial"/>
                <w:sz w:val="11"/>
                <w:szCs w:val="11"/>
                <w:color w:val="auto"/>
              </w:rPr>
              <w:t>$</w:t>
            </w:r>
          </w:p>
        </w:tc>
        <w:tc>
          <w:tcPr>
            <w:tcW w:w="80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521</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19" w:lineRule="exact"/>
              <w:rPr>
                <w:sz w:val="20"/>
                <w:szCs w:val="20"/>
                <w:color w:val="auto"/>
              </w:rPr>
            </w:pPr>
            <w:r>
              <w:rPr>
                <w:rFonts w:ascii="Arial" w:cs="Arial" w:eastAsia="Arial" w:hAnsi="Arial"/>
                <w:sz w:val="11"/>
                <w:szCs w:val="11"/>
                <w:color w:val="auto"/>
              </w:rPr>
              <w:t>$</w:t>
            </w:r>
          </w:p>
        </w:tc>
        <w:tc>
          <w:tcPr>
            <w:tcW w:w="7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(206,572)</w:t>
            </w:r>
          </w:p>
        </w:tc>
        <w:tc>
          <w:tcPr>
            <w:tcW w:w="1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line="119" w:lineRule="exact"/>
              <w:rPr>
                <w:sz w:val="20"/>
                <w:szCs w:val="20"/>
                <w:color w:val="auto"/>
              </w:rPr>
            </w:pPr>
            <w:r>
              <w:rPr>
                <w:rFonts w:ascii="Arial" w:cs="Arial" w:eastAsia="Arial" w:hAnsi="Arial"/>
                <w:sz w:val="11"/>
                <w:szCs w:val="11"/>
                <w:color w:val="auto"/>
              </w:rPr>
              <w:t>$</w:t>
            </w:r>
          </w:p>
        </w:tc>
        <w:tc>
          <w:tcPr>
            <w:tcW w:w="7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452,966</w:t>
            </w:r>
          </w:p>
        </w:tc>
        <w:tc>
          <w:tcPr>
            <w:tcW w:w="20" w:type="dxa"/>
            <w:vAlign w:val="bottom"/>
            <w:tcBorders>
              <w:bottom w:val="single" w:sz="8" w:color="auto"/>
            </w:tcBorders>
          </w:tcPr>
          <w:p>
            <w:pPr>
              <w:spacing w:after="0"/>
              <w:rPr>
                <w:sz w:val="11"/>
                <w:szCs w:val="11"/>
                <w:color w:val="auto"/>
              </w:rPr>
            </w:pPr>
          </w:p>
        </w:tc>
      </w:tr>
    </w:tbl>
    <w:p>
      <w:pPr>
        <w:spacing w:after="0" w:line="200" w:lineRule="exact"/>
        <w:rPr>
          <w:sz w:val="20"/>
          <w:szCs w:val="20"/>
          <w:color w:val="auto"/>
        </w:rPr>
      </w:pPr>
    </w:p>
    <w:p>
      <w:pPr>
        <w:sectPr>
          <w:pgSz w:w="15480" w:h="11880" w:orient="landscape"/>
          <w:cols w:equalWidth="0" w:num="3">
            <w:col w:w="218" w:space="467"/>
            <w:col w:w="6740" w:space="100"/>
            <w:col w:w="6060"/>
          </w:cols>
          <w:pgMar w:left="1115" w:top="1440" w:right="780" w:bottom="1440" w:gutter="0" w:footer="0" w:header="0"/>
          <w:type w:val="continuous"/>
        </w:sectPr>
      </w:pPr>
    </w:p>
    <w:p>
      <w:pPr>
        <w:spacing w:after="0" w:line="90" w:lineRule="exact"/>
        <w:rPr>
          <w:sz w:val="20"/>
          <w:szCs w:val="20"/>
          <w:color w:val="auto"/>
        </w:rPr>
      </w:pPr>
    </w:p>
    <w:p>
      <w:pPr>
        <w:ind w:left="3085"/>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5480" w:h="11880" w:orient="landscape"/>
          <w:cols w:equalWidth="0" w:num="1">
            <w:col w:w="13585"/>
          </w:cols>
          <w:pgMar w:left="1115" w:top="1440" w:right="780" w:bottom="1440" w:gutter="0" w:footer="0" w:header="0"/>
          <w:type w:val="continuous"/>
        </w:sectPr>
      </w:pPr>
    </w:p>
    <w:bookmarkStart w:id="178" w:name="page179"/>
    <w:bookmarkEnd w:id="178"/>
    <w:p>
      <w:pPr>
        <w:ind w:left="3200"/>
        <w:spacing w:after="0"/>
        <w:rPr>
          <w:sz w:val="20"/>
          <w:szCs w:val="20"/>
          <w:color w:val="auto"/>
        </w:rPr>
      </w:pPr>
      <w:r>
        <w:rPr>
          <w:rFonts w:ascii="Arial" w:cs="Arial" w:eastAsia="Arial" w:hAnsi="Arial"/>
          <w:sz w:val="20"/>
          <w:szCs w:val="20"/>
          <w:b w:val="1"/>
          <w:bCs w:val="1"/>
          <w:color w:val="auto"/>
        </w:rPr>
        <w:t>STRUCTURE THERAPEUTICS INC.</w:t>
      </w:r>
    </w:p>
    <w:p>
      <w:pPr>
        <w:spacing w:after="0" w:line="239" w:lineRule="exact"/>
        <w:rPr>
          <w:sz w:val="20"/>
          <w:szCs w:val="20"/>
          <w:color w:val="auto"/>
        </w:rPr>
      </w:pPr>
    </w:p>
    <w:p>
      <w:pPr>
        <w:ind w:left="248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177800</wp:posOffset>
                </wp:positionV>
                <wp:extent cx="616267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pt" to="485.6pt,14pt" o:allowincell="f" strokecolor="#000000" strokeweight="0.4799pt"/>
            </w:pict>
          </mc:Fallback>
        </mc:AlternateConten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80" w:type="dxa"/>
            <w:vAlign w:val="bottom"/>
          </w:tcPr>
          <w:p>
            <w:pPr>
              <w:spacing w:after="0"/>
              <w:rPr>
                <w:sz w:val="17"/>
                <w:szCs w:val="17"/>
                <w:color w:val="auto"/>
              </w:rPr>
            </w:pPr>
          </w:p>
        </w:tc>
        <w:tc>
          <w:tcPr>
            <w:tcW w:w="2360" w:type="dxa"/>
            <w:vAlign w:val="bottom"/>
            <w:gridSpan w:val="6"/>
          </w:tcPr>
          <w:p>
            <w:pPr>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76"/>
        </w:trPr>
        <w:tc>
          <w:tcPr>
            <w:tcW w:w="73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70"/>
              <w:spacing w:after="0" w:line="176" w:lineRule="exact"/>
              <w:rPr>
                <w:sz w:val="20"/>
                <w:szCs w:val="20"/>
                <w:color w:val="auto"/>
              </w:rPr>
            </w:pPr>
            <w:r>
              <w:rPr>
                <w:rFonts w:ascii="Arial" w:cs="Arial" w:eastAsia="Arial" w:hAnsi="Arial"/>
                <w:sz w:val="16"/>
                <w:szCs w:val="16"/>
                <w:b w:val="1"/>
                <w:bCs w:val="1"/>
                <w:color w:val="auto"/>
              </w:rPr>
              <w:t>2023</w:t>
            </w: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70"/>
              <w:spacing w:after="0" w:line="176" w:lineRule="exact"/>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3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8"/>
                <w:szCs w:val="18"/>
                <w:color w:val="auto"/>
                <w:w w:val="98"/>
              </w:rPr>
              <w:t>Net loss . . . . . . . . . . . . . . . . . . . . . . . . . . . . . . . . . . . . . . . . . . . . . . . . . . . . . . . . . . . . . . . . . . .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(89,620)</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8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9"/>
              </w:rPr>
              <w:t>Share-based compensation expense. . . . . . . . . . . . . . . . . . . . . . . . . . . . . . . . . . . . . . . . . .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8"/>
              </w:rPr>
              <w:t>Depreciation expense . . . . . . . . . . . . . . . . . . . . . . . . . . . . . . . . . . . . . . . . . . . . . . . . . . . . . .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8"/>
              </w:rPr>
              <w:t>Accretion of asset retirement obligation . . . . . . . . . . . . . . . . . . . . . . . . . . . . . . . . . . . . . . . .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9"/>
              </w:rPr>
              <w:t>Non-cash lease expense . . . . . . . . . . . . . . . . . . . . . . . . . . . . . . . . . . . . . . . . . . . . . . . . . . .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9"/>
              </w:rPr>
              <w:t>Accretion of net investment discounts . . . . . . . . . . . . . . . . . . . . . . . . . . . . . . . . . . . . . . . . .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tcPr>
          <w:p>
            <w:pPr>
              <w:jc w:val="right"/>
              <w:ind w:right="375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80" w:type="dxa"/>
            <w:vAlign w:val="bottom"/>
          </w:tcPr>
          <w:p>
            <w:pPr>
              <w:jc w:val="right"/>
              <w:ind w:right="150"/>
              <w:spacing w:after="0"/>
              <w:rPr>
                <w:sz w:val="20"/>
                <w:szCs w:val="20"/>
                <w:color w:val="auto"/>
              </w:rPr>
            </w:pPr>
            <w:r>
              <w:rPr>
                <w:rFonts w:ascii="Arial" w:cs="Arial" w:eastAsia="Arial" w:hAnsi="Arial"/>
                <w:sz w:val="18"/>
                <w:szCs w:val="18"/>
                <w:color w:val="auto"/>
              </w:rPr>
              <w:t>Prepaid expenses and other current assets . . . . . . . . . . . . . . . . . . . . . . . . . . . . . . . . . . .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80" w:type="dxa"/>
            <w:vAlign w:val="bottom"/>
          </w:tcPr>
          <w:p>
            <w:pPr>
              <w:jc w:val="right"/>
              <w:ind w:right="150"/>
              <w:spacing w:after="0"/>
              <w:rPr>
                <w:sz w:val="20"/>
                <w:szCs w:val="20"/>
                <w:color w:val="auto"/>
              </w:rPr>
            </w:pPr>
            <w:r>
              <w:rPr>
                <w:rFonts w:ascii="Arial" w:cs="Arial" w:eastAsia="Arial" w:hAnsi="Arial"/>
                <w:sz w:val="18"/>
                <w:szCs w:val="18"/>
                <w:color w:val="auto"/>
              </w:rPr>
              <w:t>Other non-current assets . . . . . . . . . . . . . . . . . . . . . . . . . . . . . . . . . . . . . . . . . . . . . . . . . .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9"/>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9"/>
              </w:rPr>
              <w:t>Accounts payable . . . . . . . . . . . . . . . . . . . . . . . . . . . . . . . . . . . . . . . . . . . . . . . . . . . . . . . .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80" w:type="dxa"/>
            <w:vAlign w:val="bottom"/>
          </w:tcPr>
          <w:p>
            <w:pPr>
              <w:jc w:val="right"/>
              <w:ind w:right="150"/>
              <w:spacing w:after="0"/>
              <w:rPr>
                <w:sz w:val="20"/>
                <w:szCs w:val="20"/>
                <w:color w:val="auto"/>
              </w:rPr>
            </w:pPr>
            <w:r>
              <w:rPr>
                <w:rFonts w:ascii="Arial" w:cs="Arial" w:eastAsia="Arial" w:hAnsi="Arial"/>
                <w:sz w:val="18"/>
                <w:szCs w:val="18"/>
                <w:color w:val="auto"/>
              </w:rPr>
              <w:t>Accrued expenses and other current liabilities . . . . . . . . . . . . . . . . . . . . . . . . . . . . . . . . .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80" w:type="dxa"/>
            <w:vAlign w:val="bottom"/>
          </w:tcPr>
          <w:p>
            <w:pPr>
              <w:jc w:val="right"/>
              <w:ind w:right="150"/>
              <w:spacing w:after="0"/>
              <w:rPr>
                <w:sz w:val="20"/>
                <w:szCs w:val="20"/>
                <w:color w:val="auto"/>
              </w:rPr>
            </w:pPr>
            <w:r>
              <w:rPr>
                <w:rFonts w:ascii="Arial" w:cs="Arial" w:eastAsia="Arial" w:hAnsi="Arial"/>
                <w:sz w:val="18"/>
                <w:szCs w:val="18"/>
                <w:color w:val="auto"/>
              </w:rPr>
              <w:t>Operating lease liabilities . . . . . . . . . . . . . . . . . . . . . . . . . . . . . . . . . . . . . . . . . . . . . . . . . . .</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8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 . . . . . . . . . . . . . . . . . . . . . . . . . . . . . . . . . . . . . . . .Netcashusedinoperatingactivities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(79,488)</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(46,120)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80" w:type="dxa"/>
            <w:vAlign w:val="bottom"/>
          </w:tcPr>
          <w:p>
            <w:pPr>
              <w:spacing w:after="0" w:line="191" w:lineRule="exact"/>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7"/>
              </w:rPr>
              <w:t>Purchases of short-term investments . . . . . . . . . . . . . . . . . . . . . . . . . . . . . . . . . . . . . . . . . . .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(417,356)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7"/>
              </w:rPr>
              <w:t>Maturities of short-term investments. . . . . . . . . . . . . . . . . . . . . . . . . . . . . . . . . . . . . . . . . . . .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151,181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7"/>
              </w:rPr>
              <w:t>Purchases of property and equipment . . . . . . . . . . . . . . . . . . . . . . . . . . . . . . . . . . . . . . . . . . .</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8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 . . . . . . . . . . . . . . . . . . . . . . . . . . . . . . . . . . . . . . . .Netcashusedininvestingactivities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(268,342)</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(62,108)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380" w:type="dxa"/>
            <w:vAlign w:val="bottom"/>
          </w:tcPr>
          <w:p>
            <w:pPr>
              <w:spacing w:after="0" w:line="189" w:lineRule="exact"/>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380" w:type="dxa"/>
            <w:vAlign w:val="bottom"/>
          </w:tcPr>
          <w:p>
            <w:pPr>
              <w:spacing w:after="0"/>
              <w:rPr>
                <w:sz w:val="20"/>
                <w:szCs w:val="20"/>
                <w:color w:val="auto"/>
              </w:rPr>
            </w:pPr>
            <w:r>
              <w:rPr>
                <w:rFonts w:ascii="Arial" w:cs="Arial" w:eastAsia="Arial" w:hAnsi="Arial"/>
                <w:sz w:val="18"/>
                <w:szCs w:val="18"/>
                <w:color w:val="auto"/>
              </w:rPr>
              <w:t>Proceeds from issuance of common stock in initial public offering, net of underwriting</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8"/>
              </w:rPr>
              <w:t>discount and commissions . . . . . . . . . . . . . . . . . . . . . . . . . . . . . . . . . . . . . . . . . . . . . . . . . .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172,296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7380" w:type="dxa"/>
            <w:vAlign w:val="bottom"/>
          </w:tcPr>
          <w:p>
            <w:pPr>
              <w:spacing w:after="0"/>
              <w:rPr>
                <w:sz w:val="20"/>
                <w:szCs w:val="20"/>
                <w:color w:val="auto"/>
              </w:rPr>
            </w:pPr>
            <w:r>
              <w:rPr>
                <w:rFonts w:ascii="Arial" w:cs="Arial" w:eastAsia="Arial" w:hAnsi="Arial"/>
                <w:sz w:val="18"/>
                <w:szCs w:val="18"/>
                <w:color w:val="auto"/>
              </w:rPr>
              <w:t>Proceeds from issuance of Series B redeemable convertible preferred shares, net of</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8"/>
              </w:rPr>
              <w:t>issuance costs. . . . . . . . . . . . . . . . . . . . . . . . . . . . . . . . . . . . . . . . . . . . . . . . . . . . . . . . . . . .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8"/>
              </w:rPr>
              <w:t>Proceeds from private placement financing, gross . . . . . . . . . . . . . . . . . . . . . . . . . . . . . . . .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7"/>
              </w:rPr>
              <w:t>Payments of offering costs . . . . . . . . . . . . . . . . . . . . . . . . . . . . . . . . . . . . . . . . . . . . . . . . . . .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(21,565)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6"/>
              </w:rPr>
              <w:t>Repurchases of restricted shares . . . . . . . . . . . . . . . . . . . . . . . . . . . . . . . . . . . . . . . . . . . . . .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7"/>
              </w:rPr>
              <w:t>Proceeds from exercise of share options . . . . . . . . . . . . . . . . . . . . . . . . . . . . . . . . . . . . . . . . .</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380" w:type="dxa"/>
            <w:vAlign w:val="bottom"/>
          </w:tcPr>
          <w:p>
            <w:pPr>
              <w:jc w:val="right"/>
              <w:ind w:right="150"/>
              <w:spacing w:after="0" w:line="199" w:lineRule="exact"/>
              <w:rPr>
                <w:sz w:val="20"/>
                <w:szCs w:val="20"/>
                <w:color w:val="auto"/>
              </w:rPr>
            </w:pPr>
            <w:r>
              <w:rPr>
                <w:rFonts w:ascii="Arial" w:cs="Arial" w:eastAsia="Arial" w:hAnsi="Arial"/>
                <w:sz w:val="18"/>
                <w:szCs w:val="18"/>
                <w:color w:val="auto"/>
              </w:rPr>
              <w:t>. . . . . . . . . . . . . . . . . . . . . . . . . . . . . . . . . . . . .Netcashprovidedbyfinancingactivities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451,531</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29,014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380" w:type="dxa"/>
            <w:vAlign w:val="bottom"/>
          </w:tcPr>
          <w:p>
            <w:pPr>
              <w:jc w:val="right"/>
              <w:ind w:right="150"/>
              <w:spacing w:after="0" w:line="185" w:lineRule="exact"/>
              <w:rPr>
                <w:sz w:val="20"/>
                <w:szCs w:val="20"/>
                <w:color w:val="auto"/>
              </w:rPr>
            </w:pPr>
            <w:r>
              <w:rPr>
                <w:rFonts w:ascii="Arial" w:cs="Arial" w:eastAsia="Arial" w:hAnsi="Arial"/>
                <w:sz w:val="18"/>
                <w:szCs w:val="18"/>
                <w:color w:val="auto"/>
              </w:rPr>
              <w:t>. . . . . . . . . . . . . . . . . . . . . . . . . . . . . . . . . . . . . . . .Netchangeincashandcashequivalents</w:t>
            </w:r>
          </w:p>
        </w:tc>
        <w:tc>
          <w:tcPr>
            <w:tcW w:w="200" w:type="dxa"/>
            <w:vAlign w:val="bottom"/>
          </w:tcPr>
          <w:p>
            <w:pPr>
              <w:spacing w:after="0"/>
              <w:rPr>
                <w:sz w:val="16"/>
                <w:szCs w:val="16"/>
                <w:color w:val="auto"/>
              </w:rPr>
            </w:pPr>
          </w:p>
        </w:tc>
        <w:tc>
          <w:tcPr>
            <w:tcW w:w="880" w:type="dxa"/>
            <w:vAlign w:val="bottom"/>
          </w:tcPr>
          <w:p>
            <w:pPr>
              <w:jc w:val="right"/>
              <w:spacing w:after="0" w:line="185" w:lineRule="exact"/>
              <w:rPr>
                <w:sz w:val="20"/>
                <w:szCs w:val="20"/>
                <w:color w:val="auto"/>
              </w:rPr>
            </w:pPr>
            <w:r>
              <w:rPr>
                <w:rFonts w:ascii="Arial" w:cs="Arial" w:eastAsia="Arial" w:hAnsi="Arial"/>
                <w:sz w:val="18"/>
                <w:szCs w:val="18"/>
                <w:color w:val="auto"/>
              </w:rPr>
              <w:t>103,701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line="185" w:lineRule="exact"/>
              <w:rPr>
                <w:sz w:val="20"/>
                <w:szCs w:val="20"/>
                <w:color w:val="auto"/>
              </w:rPr>
            </w:pPr>
            <w:r>
              <w:rPr>
                <w:rFonts w:ascii="Arial" w:cs="Arial" w:eastAsia="Arial" w:hAnsi="Arial"/>
                <w:sz w:val="18"/>
                <w:szCs w:val="18"/>
                <w:color w:val="auto"/>
              </w:rPr>
              <w:t>(79,214)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8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9"/>
              </w:rPr>
              <w:t>Beginning of the period . . . . . . . . . . . . . . . . . . . . . . . . . . . . . . . . . . . . . . . . . . . . . . . . . . . . .</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26,091</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tcPr>
          <w:p>
            <w:pPr>
              <w:jc w:val="right"/>
              <w:ind w:right="150"/>
              <w:spacing w:after="0" w:line="206" w:lineRule="exact"/>
              <w:rPr>
                <w:sz w:val="20"/>
                <w:szCs w:val="20"/>
                <w:color w:val="auto"/>
              </w:rPr>
            </w:pPr>
            <w:r>
              <w:rPr>
                <w:rFonts w:ascii="Arial" w:cs="Arial" w:eastAsia="Arial" w:hAnsi="Arial"/>
                <w:sz w:val="18"/>
                <w:szCs w:val="18"/>
                <w:color w:val="auto"/>
              </w:rPr>
              <w:t>. . . . . . . . . . . . . . . . . . . . . . . . . . . . . . . . . . . . . . . . . . . . . . . . . . . . . . . . . .Endoftheperiod</w:t>
            </w:r>
          </w:p>
        </w:tc>
        <w:tc>
          <w:tcPr>
            <w:tcW w:w="200" w:type="dxa"/>
            <w:vAlign w:val="bottom"/>
            <w:tcBorders>
              <w:bottom w:val="single" w:sz="8" w:color="auto"/>
            </w:tcBorders>
          </w:tcPr>
          <w:p>
            <w:pPr>
              <w:spacing w:after="0" w:line="20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129,792</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0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26,091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80" w:type="dxa"/>
            <w:vAlign w:val="bottom"/>
          </w:tcPr>
          <w:p>
            <w:pPr>
              <w:spacing w:after="0" w:line="191" w:lineRule="exact"/>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380" w:type="dxa"/>
            <w:vAlign w:val="bottom"/>
          </w:tcPr>
          <w:p>
            <w:pPr>
              <w:spacing w:after="0"/>
              <w:rPr>
                <w:sz w:val="20"/>
                <w:szCs w:val="20"/>
                <w:color w:val="auto"/>
              </w:rPr>
            </w:pPr>
            <w:r>
              <w:rPr>
                <w:rFonts w:ascii="Arial" w:cs="Arial" w:eastAsia="Arial" w:hAnsi="Arial"/>
                <w:sz w:val="18"/>
                <w:szCs w:val="18"/>
                <w:color w:val="auto"/>
              </w:rPr>
              <w:t>Conversion of redeemable convertible preferred shares into ordinary shares upon initial</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8"/>
              </w:rPr>
              <w:t>public offering . . . . . . . . . . . . . . . . . . . . . . . . . . . . . . . . . . . . . . . . . . . . . . . . . . . . . . . . . . . .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199,975</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380" w:type="dxa"/>
            <w:vAlign w:val="bottom"/>
          </w:tcPr>
          <w:p>
            <w:pPr>
              <w:jc w:val="right"/>
              <w:ind w:right="150"/>
              <w:spacing w:after="0"/>
              <w:rPr>
                <w:sz w:val="20"/>
                <w:szCs w:val="20"/>
                <w:color w:val="auto"/>
              </w:rPr>
            </w:pPr>
            <w:r>
              <w:rPr>
                <w:rFonts w:ascii="Arial" w:cs="Arial" w:eastAsia="Arial" w:hAnsi="Arial"/>
                <w:sz w:val="18"/>
                <w:szCs w:val="18"/>
                <w:color w:val="auto"/>
              </w:rPr>
              <w:t>. . . . . . . . . . . . . . . . . . . . . . . . . .Exchangeofordinarysharestonon-votingordinaryshares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80" w:type="dxa"/>
            <w:vAlign w:val="bottom"/>
          </w:tcPr>
          <w:p>
            <w:pPr>
              <w:jc w:val="right"/>
              <w:ind w:right="150"/>
              <w:spacing w:after="0"/>
              <w:rPr>
                <w:sz w:val="20"/>
                <w:szCs w:val="20"/>
                <w:color w:val="auto"/>
              </w:rPr>
            </w:pPr>
            <w:r>
              <w:rPr>
                <w:rFonts w:ascii="Arial" w:cs="Arial" w:eastAsia="Arial" w:hAnsi="Arial"/>
                <w:sz w:val="18"/>
                <w:szCs w:val="18"/>
                <w:color w:val="auto"/>
              </w:rPr>
              <w:t>. . . . . . . . . . . . . . . . . . . . . . .Conversionofnon-votingordinarysharesintoordinaryshares</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80" w:type="dxa"/>
            <w:vAlign w:val="bottom"/>
          </w:tcPr>
          <w:p>
            <w:pPr>
              <w:spacing w:after="0" w:line="191" w:lineRule="exact"/>
              <w:rPr>
                <w:sz w:val="20"/>
                <w:szCs w:val="20"/>
                <w:color w:val="auto"/>
              </w:rPr>
            </w:pPr>
            <w:r>
              <w:rPr>
                <w:rFonts w:ascii="Arial" w:cs="Arial" w:eastAsia="Arial" w:hAnsi="Arial"/>
                <w:sz w:val="18"/>
                <w:szCs w:val="18"/>
                <w:color w:val="auto"/>
              </w:rPr>
              <w:t>Purchases of property and equipment in accounts payable and accrued expenses and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9"/>
              </w:rPr>
              <w:t>other current liabilities . . . . . . . . . . . . . . . . . . . . . . . . . . . . . . . . . . . . . . . . . . . . . . . . . . . . .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380" w:type="dxa"/>
            <w:vAlign w:val="bottom"/>
          </w:tcPr>
          <w:p>
            <w:pPr>
              <w:jc w:val="right"/>
              <w:ind w:right="150"/>
              <w:spacing w:after="0"/>
              <w:rPr>
                <w:sz w:val="20"/>
                <w:szCs w:val="20"/>
                <w:color w:val="auto"/>
              </w:rPr>
            </w:pPr>
            <w:r>
              <w:rPr>
                <w:rFonts w:ascii="Arial" w:cs="Arial" w:eastAsia="Arial" w:hAnsi="Arial"/>
                <w:sz w:val="18"/>
                <w:szCs w:val="18"/>
                <w:color w:val="auto"/>
              </w:rPr>
              <w:t>. . . . . . .Operatingleaseright-of-useassetsobtainedinexchangefornewleaseliabilities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5,508</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tcPr>
          <w:p>
            <w:pPr>
              <w:jc w:val="right"/>
              <w:ind w:right="150"/>
              <w:spacing w:after="0"/>
              <w:rPr>
                <w:sz w:val="20"/>
                <w:szCs w:val="20"/>
                <w:color w:val="auto"/>
              </w:rPr>
            </w:pPr>
            <w:r>
              <w:rPr>
                <w:rFonts w:ascii="Arial" w:cs="Arial" w:eastAsia="Arial" w:hAnsi="Arial"/>
                <w:sz w:val="18"/>
                <w:szCs w:val="18"/>
                <w:color w:val="auto"/>
              </w:rPr>
              <w:t>. . . . . . . . . . . . . . . . . . . . . . . . . . . . . . . . . . . . . . . .Recognitionofassetretirementobligation</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380" w:type="dxa"/>
            <w:vAlign w:val="bottom"/>
          </w:tcPr>
          <w:p>
            <w:pPr>
              <w:spacing w:after="0" w:line="189" w:lineRule="exact"/>
              <w:rPr>
                <w:sz w:val="20"/>
                <w:szCs w:val="20"/>
                <w:color w:val="auto"/>
              </w:rPr>
            </w:pPr>
            <w:r>
              <w:rPr>
                <w:rFonts w:ascii="Arial" w:cs="Arial" w:eastAsia="Arial" w:hAnsi="Arial"/>
                <w:sz w:val="18"/>
                <w:szCs w:val="18"/>
                <w:color w:val="auto"/>
              </w:rPr>
              <w:t>Deferred offering costs included in accounts payable and accrued expenses and other</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80" w:type="dxa"/>
            <w:vAlign w:val="bottom"/>
          </w:tcPr>
          <w:p>
            <w:pPr>
              <w:jc w:val="right"/>
              <w:ind w:right="150"/>
              <w:spacing w:after="0"/>
              <w:rPr>
                <w:sz w:val="20"/>
                <w:szCs w:val="20"/>
                <w:color w:val="auto"/>
              </w:rPr>
            </w:pPr>
            <w:r>
              <w:rPr>
                <w:rFonts w:ascii="Arial" w:cs="Arial" w:eastAsia="Arial" w:hAnsi="Arial"/>
                <w:sz w:val="18"/>
                <w:szCs w:val="18"/>
                <w:color w:val="auto"/>
                <w:w w:val="98"/>
              </w:rPr>
              <w:t>current liabilities . . . . . . . . . . . . . . . . . . . . . . . . . . . . . . . . . . . . . . . . . . . . . . . . . . . . . . . . . .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380" w:type="dxa"/>
            <w:vAlign w:val="bottom"/>
          </w:tcPr>
          <w:p>
            <w:pPr>
              <w:jc w:val="right"/>
              <w:ind w:right="150"/>
              <w:spacing w:after="0"/>
              <w:rPr>
                <w:sz w:val="20"/>
                <w:szCs w:val="20"/>
                <w:color w:val="auto"/>
              </w:rPr>
            </w:pPr>
            <w:r>
              <w:rPr>
                <w:rFonts w:ascii="Arial" w:cs="Arial" w:eastAsia="Arial" w:hAnsi="Arial"/>
                <w:sz w:val="18"/>
                <w:szCs w:val="18"/>
                <w:color w:val="auto"/>
              </w:rPr>
              <w:t>. . . . . . . . .Accretionofredeemableconvertiblepreferredsharestotheirredemptionvalue</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143510</wp:posOffset>
                </wp:positionV>
                <wp:extent cx="617156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1.3pt" to="485.6pt,11.3pt" o:allowincell="f" strokecolor="#000000" strokeweight="0.4809pt"/>
            </w:pict>
          </mc:Fallback>
        </mc:AlternateConten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720"/>
          </w:cols>
          <w:pgMar w:left="1080" w:top="1063"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177</w:t>
      </w:r>
    </w:p>
    <w:p>
      <w:pPr>
        <w:sectPr>
          <w:pgSz w:w="11880" w:h="15480" w:orient="portrait"/>
          <w:cols w:equalWidth="0" w:num="1">
            <w:col w:w="9720"/>
          </w:cols>
          <w:pgMar w:left="1080" w:top="1063" w:right="1080" w:bottom="555" w:gutter="0" w:footer="0" w:header="0"/>
          <w:type w:val="continuous"/>
        </w:sectPr>
      </w:pPr>
    </w:p>
    <w:bookmarkStart w:id="179" w:name="page180"/>
    <w:bookmarkEnd w:id="179"/>
    <w:p>
      <w:pPr>
        <w:jc w:val="center"/>
        <w:ind w:right="-39"/>
        <w:spacing w:after="0"/>
        <w:rPr>
          <w:sz w:val="20"/>
          <w:szCs w:val="20"/>
          <w:color w:val="auto"/>
        </w:rPr>
      </w:pPr>
      <w:r>
        <w:rPr>
          <w:rFonts w:ascii="Arial" w:cs="Arial" w:eastAsia="Arial" w:hAnsi="Arial"/>
          <w:sz w:val="20"/>
          <w:szCs w:val="20"/>
          <w:color w:val="auto"/>
        </w:rPr>
        <w:t>STRUCTURE THERAPEUTICS INC.</w:t>
      </w:r>
    </w:p>
    <w:p>
      <w:pPr>
        <w:jc w:val="center"/>
        <w:ind w:right="-39"/>
        <w:spacing w:after="0"/>
        <w:rPr>
          <w:sz w:val="20"/>
          <w:szCs w:val="20"/>
          <w:color w:val="auto"/>
        </w:rPr>
      </w:pPr>
      <w:r>
        <w:rPr>
          <w:rFonts w:ascii="Arial" w:cs="Arial" w:eastAsia="Arial" w:hAnsi="Arial"/>
          <w:sz w:val="20"/>
          <w:szCs w:val="20"/>
          <w:color w:val="auto"/>
        </w:rPr>
        <w:t>NOTES TO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Nature of the Business</w:t>
      </w:r>
    </w:p>
    <w:p>
      <w:pPr>
        <w:spacing w:after="0" w:line="242"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Structure Therapeutics Inc. (the “Company”) is a clinical stage global biopharmaceutical company aiming to develop and deliver novel oral therapeutics to treat a wide range of chronic diseases with unmet medical need. The Company was incorporated in February 2019 in the Cayman Islands, with operating subsidiaries in the United States and China. In June 2022, the Company changed its name from ShouTi Inc. to Structure Therapeutics Inc.</w:t>
      </w:r>
    </w:p>
    <w:p>
      <w:pPr>
        <w:spacing w:after="0" w:line="187"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Prior to the formation of the Company, the operating activities were carried out by the subsidiaries of the Company. Structure Therapeutics USA Inc., a Delaware corporation (“StructureTx US”), was incorporated on June 6, 2016 (previously known as ShouTi Inc.). On January 20, 2017, StructureTx US was reorganized as a limited liability company. Annapurna Bio, Inc. (“Annapurna”), a Delaware corporation, was incorporated on January 26, 2017, and Gasherbrum Bio, Inc. (“Gasherbrum”), a Delaware corporation, was incorporated on April 19, 2017.</w:t>
      </w:r>
    </w:p>
    <w:p>
      <w:pPr>
        <w:spacing w:after="0" w:line="189"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On April 18, 2019, Annapurna, Gasherbrum, StructureTx US and the Company entered into a share exchange agreement (the “Share Exchange Agreement”). As a result of the Share Exchange Agreement, StructureTx US, Annapurna and Gasherbrum became wholly-owned subsidiaries of the Company. At the closing of the Share Exchange Agreement on April 18, 2019, the Company issued to the shareholders of Annapurna, Gasherbrum, and StructureTx US an aggregate of 10,766,250 ordinary shares (the “Share Exchange”). On April 19, 2019, ShouTi LLC was converted into ShouTi Inc., a Delaware corporation, which subsequently changed its name to Structure Therapeutics USA Inc. The Share Exchange was accounted for as a capital transaction.</w:t>
      </w:r>
    </w:p>
    <w:p>
      <w:pPr>
        <w:spacing w:after="0" w:line="194"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On June 28, 2019, ShouTi Hong Kong Ltd (“ShouTi Hong Kong”) was incorporated as a wholly-owned subsidiary of the Company. On July 26, 2019, Shanghai ShouTi Biotechnology Co., Ltd (“ Shanghai ShouTi”) was incorporated as a wholly-owned subsidiary of ShouTi Hong Kong. On April 1, 2020, Lhotse Bio, Inc. (“Lhotse”) was incorporated as a wholly-owned subsidiary of the Company.</w:t>
      </w:r>
    </w:p>
    <w:p>
      <w:pPr>
        <w:spacing w:after="0" w:line="183"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On February 10, 2021, the Company incorporated Basecamp Bio Inc. (“Basecamp Bio”) in the Cayman Islands with a wholly owned subsidiary, Basecamp Bio Hong Kong Limited (“Basecamp HK”) in Hong Kong. Shanghai Basecamp Biotechnology Co., Ltd., a wholly owned subsidiary of Basecamp HK, was established on March 26, 2021 in Shanghai, China. The purpose of Basecamp Bio is to develop certain of the Company’s technologies in Mainland China.</w:t>
      </w:r>
    </w:p>
    <w:p>
      <w:pPr>
        <w:spacing w:after="0" w:line="187" w:lineRule="exact"/>
        <w:rPr>
          <w:sz w:val="20"/>
          <w:szCs w:val="20"/>
          <w:color w:val="auto"/>
        </w:rPr>
      </w:pPr>
    </w:p>
    <w:p>
      <w:pPr>
        <w:ind w:right="180"/>
        <w:spacing w:after="0" w:line="284" w:lineRule="auto"/>
        <w:rPr>
          <w:sz w:val="20"/>
          <w:szCs w:val="20"/>
          <w:color w:val="auto"/>
        </w:rPr>
      </w:pPr>
      <w:r>
        <w:rPr>
          <w:rFonts w:ascii="Arial" w:cs="Arial" w:eastAsia="Arial" w:hAnsi="Arial"/>
          <w:sz w:val="20"/>
          <w:szCs w:val="20"/>
          <w:color w:val="auto"/>
        </w:rPr>
        <w:t>On July 11, 2023, Aconcagua Bio, Inc. (“Aconcagua”) and Gimigela Bio, Inc. (“Gimigela”) were incorporated in the United States as wholly-owned subsidiaries of the Company.</w:t>
      </w:r>
    </w:p>
    <w:p>
      <w:pPr>
        <w:spacing w:after="0" w:line="155" w:lineRule="exact"/>
        <w:rPr>
          <w:sz w:val="20"/>
          <w:szCs w:val="20"/>
          <w:color w:val="auto"/>
        </w:rPr>
      </w:pPr>
    </w:p>
    <w:p>
      <w:pPr>
        <w:ind w:right="320"/>
        <w:spacing w:after="0" w:line="284" w:lineRule="auto"/>
        <w:rPr>
          <w:sz w:val="20"/>
          <w:szCs w:val="20"/>
          <w:color w:val="auto"/>
        </w:rPr>
      </w:pPr>
      <w:r>
        <w:rPr>
          <w:rFonts w:ascii="Arial" w:cs="Arial" w:eastAsia="Arial" w:hAnsi="Arial"/>
          <w:sz w:val="20"/>
          <w:szCs w:val="20"/>
          <w:color w:val="auto"/>
        </w:rPr>
        <w:t>The accompanying consolidated financial statements include the accounts of the Company and its wholly-owned subsidiaries.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Initial Public Offering</w:t>
      </w:r>
    </w:p>
    <w:p>
      <w:pPr>
        <w:spacing w:after="0" w:line="235" w:lineRule="exact"/>
        <w:rPr>
          <w:sz w:val="20"/>
          <w:szCs w:val="20"/>
          <w:color w:val="auto"/>
        </w:rPr>
      </w:pPr>
    </w:p>
    <w:p>
      <w:pPr>
        <w:ind w:right="280"/>
        <w:spacing w:after="0" w:line="282" w:lineRule="auto"/>
        <w:rPr>
          <w:sz w:val="20"/>
          <w:szCs w:val="20"/>
          <w:color w:val="auto"/>
        </w:rPr>
      </w:pPr>
      <w:r>
        <w:rPr>
          <w:rFonts w:ascii="Arial" w:cs="Arial" w:eastAsia="Arial" w:hAnsi="Arial"/>
          <w:sz w:val="19"/>
          <w:szCs w:val="19"/>
          <w:color w:val="auto"/>
        </w:rPr>
        <w:t>In February 2023, the Company closed its initial public offering (“IPO”) of American Depositary Shares (“ADSs”). Each ADS represents three ordinary shares. The net proceeds from the IPO were approximately $166.7 million after deducting underwriting discounts and commissions and estimated offering costs.</w:t>
      </w:r>
    </w:p>
    <w:p>
      <w:pPr>
        <w:spacing w:after="0" w:line="160"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Upon the closing of the IPO, all outstanding shares of the Company’s redeemable convertible preferred shares converted into 67,018,087 ordinary shares. In connection with the completion of its IPO, the Company’s memorandum of association was amended and restated to provide for 500,000,000 authorized ordinary shares with a par value of $0.0001 per share and 100,000,000 authorized undesignated shares with</w:t>
      </w:r>
    </w:p>
    <w:p>
      <w:pPr>
        <w:sectPr>
          <w:pgSz w:w="11880" w:h="15480" w:orient="portrait"/>
          <w:cols w:equalWidth="0" w:num="1">
            <w:col w:w="9680"/>
          </w:cols>
          <w:pgMar w:left="1080" w:top="1061" w:right="1120" w:bottom="555"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178</w:t>
      </w:r>
    </w:p>
    <w:p>
      <w:pPr>
        <w:sectPr>
          <w:pgSz w:w="11880" w:h="15480" w:orient="portrait"/>
          <w:cols w:equalWidth="0" w:num="1">
            <w:col w:w="9680"/>
          </w:cols>
          <w:pgMar w:left="1080" w:top="1061" w:right="1120" w:bottom="555" w:gutter="0" w:footer="0" w:header="0"/>
          <w:type w:val="continuous"/>
        </w:sectPr>
      </w:pPr>
    </w:p>
    <w:bookmarkStart w:id="180" w:name="page181"/>
    <w:bookmarkEnd w:id="180"/>
    <w:p>
      <w:pPr>
        <w:jc w:val="center"/>
        <w:ind w:right="-19"/>
        <w:spacing w:after="0"/>
        <w:rPr>
          <w:sz w:val="20"/>
          <w:szCs w:val="20"/>
          <w:color w:val="auto"/>
        </w:rPr>
      </w:pPr>
      <w:r>
        <w:rPr>
          <w:rFonts w:ascii="Arial" w:cs="Arial" w:eastAsia="Arial" w:hAnsi="Arial"/>
          <w:sz w:val="20"/>
          <w:szCs w:val="20"/>
          <w:color w:val="auto"/>
        </w:rPr>
        <w:t>STRUCTURE THERAPEUTICS INC.</w:t>
      </w:r>
    </w:p>
    <w:p>
      <w:pPr>
        <w:jc w:val="center"/>
        <w:ind w:right="-19"/>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ind w:right="120"/>
        <w:spacing w:after="0" w:line="284" w:lineRule="auto"/>
        <w:rPr>
          <w:sz w:val="20"/>
          <w:szCs w:val="20"/>
          <w:color w:val="auto"/>
        </w:rPr>
      </w:pPr>
      <w:r>
        <w:rPr>
          <w:rFonts w:ascii="Arial" w:cs="Arial" w:eastAsia="Arial" w:hAnsi="Arial"/>
          <w:sz w:val="20"/>
          <w:szCs w:val="20"/>
          <w:color w:val="auto"/>
        </w:rPr>
        <w:t>a par value of $0.0001 per share, of such class or classes as may be designated by the Company’s board of directors in accordance with the Company’s articles of association.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Private Placement</w:t>
      </w:r>
    </w:p>
    <w:p>
      <w:pPr>
        <w:spacing w:after="0" w:line="235"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On September 29, 2023, the Company entered into a share purchase agreement with certain institutional investors (the “Purchasers”), pursuant to which the Company agreed to sell and issue to the Purchasers an aggregate of 21,617,295 ordinary shares and 2,401,920 newly designated non -voting ordinary shares at a purchase price of $12.49 per Share (or the equivalent of $37.47 per ADS), the closing price of its ADS on the Nasdaq Global Market on September 28, 2023 (the “Private Placement”). Each holder of non-voting ordinary shares had the right to convert each non-voting ordinary share held by such holder into one ordinary share, subject to certain beneficial ownership limitations. The Private Placement closed on October 3, 2023, and the Company received $281.5 million in net proceeds after deducting placement agent fees and other private placement expenses. As of December 31, 2023, all outstanding non-voting ordinary shares had been converted into ordinary shares.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 and Capital Resources</w:t>
      </w:r>
    </w:p>
    <w:p>
      <w:pPr>
        <w:spacing w:after="0" w:line="235"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Company has incurred significant net operating losses and negative cash flows from operations since inception and had an accumulated deficit of $206.6 million as of December 31, 2023. Prior to completion of its IPO, the Company has financed its operations primarily through the private placement of equity securities. In February 2023, the Company completed its IPO for net proceeds of approximately $ 166.7 million, after deducting underwriting discounts and estimated offering costs. In October 2023, the Company closed its Private Placement for net proceeds of approximately $281.5 million after deducting placement agent fees and other private placement expenses.</w:t>
      </w:r>
    </w:p>
    <w:p>
      <w:pPr>
        <w:spacing w:after="0" w:line="194" w:lineRule="exact"/>
        <w:rPr>
          <w:sz w:val="20"/>
          <w:szCs w:val="20"/>
          <w:color w:val="auto"/>
        </w:rPr>
      </w:pPr>
    </w:p>
    <w:p>
      <w:pPr>
        <w:jc w:val="both"/>
        <w:ind w:right="860"/>
        <w:spacing w:after="0" w:line="254" w:lineRule="auto"/>
        <w:rPr>
          <w:sz w:val="20"/>
          <w:szCs w:val="20"/>
          <w:color w:val="auto"/>
        </w:rPr>
      </w:pPr>
      <w:r>
        <w:rPr>
          <w:rFonts w:ascii="Arial" w:cs="Arial" w:eastAsia="Arial" w:hAnsi="Arial"/>
          <w:sz w:val="20"/>
          <w:szCs w:val="20"/>
          <w:color w:val="auto"/>
        </w:rPr>
        <w:t>As of December 31, 2023, the Company had cash, cash equivalents and short -term investments of $467.3 million. Based on its current business plan, the Company believes that its current cash, cash equivalents and short-term investments will be sufficient to fund its projected operations for at least 12 months from the date of the issuance of these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Impact of Geopolitical and Macroeconomic Factors</w:t>
      </w:r>
    </w:p>
    <w:p>
      <w:pPr>
        <w:spacing w:after="0" w:line="235"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There may be significant uncertainty resulting from the impact of other geopolitical and macroeconomic factors, including global pandemics, inflation, supply chain issues, rising interest rates, future bank failures, increased geopolitical tensions between the U.S. and China and the impact of the Russia/Ukraine conflict and the Israel-Hamas war. No adjustments have been made to these financial statements as a result of these uncertainties.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Summary of Significant Accounting Policies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236"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auto"/>
        </w:rPr>
        <w:t>The consolidated financial statements and related disclosures have been prepared in conformity with accounting principles generally accepted in the United States of America (“GAAP”). The consolidated financial statements include the accounts of the Company and its wholly-owned subsidiaries. All intercompany accounts and transactions have been eliminated in consolidation. The functional and reporting currency of the Company and its subsidiaries is the U.S. dollar. The aggregate foreign currency transaction loss included in determining net loss was not material for the periods presented.</w:t>
      </w:r>
    </w:p>
    <w:p>
      <w:pPr>
        <w:sectPr>
          <w:pgSz w:w="11880" w:h="15480" w:orient="portrait"/>
          <w:cols w:equalWidth="0" w:num="1">
            <w:col w:w="9700"/>
          </w:cols>
          <w:pgMar w:left="1080" w:top="1061" w:right="110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179</w:t>
      </w:r>
    </w:p>
    <w:p>
      <w:pPr>
        <w:sectPr>
          <w:pgSz w:w="11880" w:h="15480" w:orient="portrait"/>
          <w:cols w:equalWidth="0" w:num="1">
            <w:col w:w="9700"/>
          </w:cols>
          <w:pgMar w:left="1080" w:top="1061" w:right="1100" w:bottom="555" w:gutter="0" w:footer="0" w:header="0"/>
          <w:type w:val="continuous"/>
        </w:sectPr>
      </w:pPr>
    </w:p>
    <w:bookmarkStart w:id="181" w:name="page182"/>
    <w:bookmarkEnd w:id="181"/>
    <w:p>
      <w:pPr>
        <w:jc w:val="center"/>
        <w:ind w:right="-19"/>
        <w:spacing w:after="0"/>
        <w:rPr>
          <w:sz w:val="20"/>
          <w:szCs w:val="20"/>
          <w:color w:val="auto"/>
        </w:rPr>
      </w:pPr>
      <w:r>
        <w:rPr>
          <w:rFonts w:ascii="Arial" w:cs="Arial" w:eastAsia="Arial" w:hAnsi="Arial"/>
          <w:sz w:val="20"/>
          <w:szCs w:val="20"/>
          <w:color w:val="auto"/>
        </w:rPr>
        <w:t>STRUCTURE THERAPEUTICS INC.</w:t>
      </w:r>
    </w:p>
    <w:p>
      <w:pPr>
        <w:jc w:val="center"/>
        <w:ind w:right="-19"/>
        <w:spacing w:after="0"/>
        <w:rPr>
          <w:sz w:val="20"/>
          <w:szCs w:val="20"/>
          <w:color w:val="auto"/>
        </w:rPr>
      </w:pPr>
      <w:r>
        <w:rPr>
          <w:rFonts w:ascii="Arial" w:cs="Arial" w:eastAsia="Arial" w:hAnsi="Arial"/>
          <w:sz w:val="20"/>
          <w:szCs w:val="20"/>
          <w:color w:val="auto"/>
        </w:rPr>
        <w:t>NOTES TO CONSOLIDATED FINANCIAL STATEMENTS (CONTINUED)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235"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as well as the reported amounts of expenses during the reporting periods. Such estimates include lease liability, accruals for research and development activities, ordinary share valuation prior to the IPO, and related share-based compensation and certain other accrued liabilities. Actual results could differ from those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Segments</w:t>
      </w:r>
    </w:p>
    <w:p>
      <w:pPr>
        <w:spacing w:after="0" w:line="235"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The Company operates and manages its business as one reportable and operating segment, which is the business of research and development of medicines that target chronic diseases with unmet medical need. The Company’s Chief Executive Officer, who is the chief operating decision maker, reviews financial information on an aggregate basis for purposes of allocating resources and evaluating financial performance. The Company’s long-lived assets are primarily in China.</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Concentration of Credit Risk</w:t>
      </w:r>
    </w:p>
    <w:p>
      <w:pPr>
        <w:spacing w:after="0" w:line="23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Company is exposed to credit risk from its deposits of cash, cash equivalents and short-term investments in excess of the amount of insurance provided on such deposits. The Company invests its cash, cash equivalents and short-term investments in money market funds, corporate debt securities, U.S. government bonds and U.S. government agency bonds. The Company limits its credit risk associated with cash, cash equivalents and short -term investments by investing in investment-grade securities and using banks and institutions it believes are creditworthy. The Company has not experienced any losses on its deposits of cash, cash equivalents and short-term investments to date. The Company has no off -balance sheet concentrations of credit risk, such as foreign currency exchange contracts, option contracts or other hedging arrangements.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and Uncertainties</w:t>
      </w:r>
    </w:p>
    <w:p>
      <w:pPr>
        <w:spacing w:after="0" w:line="23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Company is subject to risks and uncertainties common to early-stage companies in the biotechnology industry, including, but not limited to, development by competitors of new technological innovations,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resources, adequate personnel, infrastructure and extensive compliance and reporting.</w:t>
      </w:r>
    </w:p>
    <w:p>
      <w:pPr>
        <w:spacing w:after="0" w:line="194" w:lineRule="exact"/>
        <w:rPr>
          <w:sz w:val="20"/>
          <w:szCs w:val="20"/>
          <w:color w:val="auto"/>
        </w:rPr>
      </w:pPr>
    </w:p>
    <w:p>
      <w:pPr>
        <w:ind w:right="260"/>
        <w:spacing w:after="0" w:line="262" w:lineRule="auto"/>
        <w:rPr>
          <w:sz w:val="20"/>
          <w:szCs w:val="20"/>
          <w:color w:val="auto"/>
        </w:rPr>
      </w:pPr>
      <w:r>
        <w:rPr>
          <w:rFonts w:ascii="Arial" w:cs="Arial" w:eastAsia="Arial" w:hAnsi="Arial"/>
          <w:sz w:val="20"/>
          <w:szCs w:val="20"/>
          <w:color w:val="auto"/>
        </w:rPr>
        <w:t>The Company’s product candidates are still in development and, to date, none of the Company’s product candidates have been approved for sale and, therefore, the Company has not generated any revenue from any of its products.</w:t>
      </w:r>
    </w:p>
    <w:p>
      <w:pPr>
        <w:spacing w:after="0" w:line="177"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any revenue from any of its products. The Company operates in an environment of rapid change in technology and substantial competition from other pharmaceutical and biotechnology companies.</w:t>
      </w:r>
    </w:p>
    <w:p>
      <w:pPr>
        <w:sectPr>
          <w:pgSz w:w="11880" w:h="15480" w:orient="portrait"/>
          <w:cols w:equalWidth="0" w:num="1">
            <w:col w:w="9700"/>
          </w:cols>
          <w:pgMar w:left="1080" w:top="1061" w:right="110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180</w:t>
      </w:r>
    </w:p>
    <w:p>
      <w:pPr>
        <w:sectPr>
          <w:pgSz w:w="11880" w:h="15480" w:orient="portrait"/>
          <w:cols w:equalWidth="0" w:num="1">
            <w:col w:w="9700"/>
          </w:cols>
          <w:pgMar w:left="1080" w:top="1061" w:right="1100" w:bottom="555" w:gutter="0" w:footer="0" w:header="0"/>
          <w:type w:val="continuous"/>
        </w:sectPr>
      </w:pPr>
    </w:p>
    <w:bookmarkStart w:id="182" w:name="page183"/>
    <w:bookmarkEnd w:id="182"/>
    <w:p>
      <w:pPr>
        <w:jc w:val="center"/>
        <w:spacing w:after="0"/>
        <w:rPr>
          <w:sz w:val="20"/>
          <w:szCs w:val="20"/>
          <w:color w:val="auto"/>
        </w:rPr>
      </w:pPr>
      <w:r>
        <w:rPr>
          <w:rFonts w:ascii="Arial" w:cs="Arial" w:eastAsia="Arial" w:hAnsi="Arial"/>
          <w:sz w:val="20"/>
          <w:szCs w:val="20"/>
          <w:color w:val="auto"/>
        </w:rPr>
        <w:t>STRUCTURE THERAPEUTICS INC.</w:t>
      </w:r>
    </w:p>
    <w:p>
      <w:pPr>
        <w:jc w:val="center"/>
        <w:ind w:right="-19"/>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The Company relies and expects to continue to rely on a small number of vendors to manufacture supplies and materials for use in its clinical trial programs. These programs could be adversely affected by a significant interruption in these manufacturing services.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235" w:lineRule="exact"/>
        <w:rPr>
          <w:sz w:val="20"/>
          <w:szCs w:val="20"/>
          <w:color w:val="auto"/>
        </w:rPr>
      </w:pPr>
    </w:p>
    <w:p>
      <w:pPr>
        <w:jc w:val="both"/>
        <w:ind w:right="260"/>
        <w:spacing w:after="0" w:line="262" w:lineRule="auto"/>
        <w:rPr>
          <w:sz w:val="20"/>
          <w:szCs w:val="20"/>
          <w:color w:val="auto"/>
        </w:rPr>
      </w:pPr>
      <w:r>
        <w:rPr>
          <w:rFonts w:ascii="Arial" w:cs="Arial" w:eastAsia="Arial" w:hAnsi="Arial"/>
          <w:sz w:val="20"/>
          <w:szCs w:val="20"/>
          <w:color w:val="auto"/>
        </w:rPr>
        <w:t>The Company considers all highly-liquid investments purchased with maturities of 90 days or less from the original date of purchase to be cash equivalents. As of December 31, 2023 and 2022, the Company’s cash and cash equivalents consist of cash deposited with banks and investments in money market funds.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Short-Term Investments</w:t>
      </w:r>
    </w:p>
    <w:p>
      <w:pPr>
        <w:spacing w:after="0" w:line="235"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The Company classifies its investments as available-for-sale and records them at fair value based upon market prices at period end. Unrealized gains and losses that are deemed temporary in nature are recorded in accumulated other comprehensive income as a separate component of shareholders’ equity (deficit). Dividend and interest income are recognized when earned. Realized gains and losses are included in earnings and are derived using the specific identification method for determining the cost of investments sold. The Company may sell these securities at any time for use in current operations.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Losses</w:t>
      </w:r>
    </w:p>
    <w:p>
      <w:pPr>
        <w:spacing w:after="0" w:line="235"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For short-term investments in an unrealized loss position, the Company periodically assesses its portfolio for impairment. The assessment first considers the intent or requirement to sell the available-for-sale debt securities. If either of these criteria are met, the amortized cost basis is written down to fair value through earnings.</w:t>
      </w:r>
    </w:p>
    <w:p>
      <w:pPr>
        <w:spacing w:after="0" w:line="18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If not met, the Company evaluates whether the decline resulted from credit losses or other factors by considering the extent to which fair value is less than amortized cost, any changes to the rating of the short-term investments by a rating agency, and any adverse conditions specifically related to the short-term investments, among other factors. If this assessment indicates that a credit loss exists, the present value of cash flows expected to be collected from the short -term investments is compared to the amortized cost basis of the short-term investments. If the present value of cash flows expected to be collected is less than the amortized cost basis, a credit loss exists and an allowance for credit losses is recorded, with a corresponding adjustment to interest and other income (expense), net, limited by the amount that the fair value is less than the amortized cost basis. The Company has elected to exclude accrued interest from both the fair value and the amortized cost basis of the available-for-sale debt securities for the purposes of identifying and measuring an impairment. The Company writes off accrued interest as a reduction of interest income when an issuer has defaulted on interest payments due on a security. Any impairment that has not been recorded through an allowance for credit losses is recognized in other comprehensive loss. At December 31, 2023 and 2022, gross unrealized losses on the Company’s available-for-sale securities were not material and, accordingly, no credit loss reserves were recognized.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235" w:lineRule="exact"/>
        <w:rPr>
          <w:sz w:val="20"/>
          <w:szCs w:val="20"/>
          <w:color w:val="auto"/>
        </w:rPr>
      </w:pPr>
    </w:p>
    <w:p>
      <w:pPr>
        <w:ind w:right="240"/>
        <w:spacing w:after="0" w:line="262" w:lineRule="auto"/>
        <w:rPr>
          <w:sz w:val="20"/>
          <w:szCs w:val="20"/>
          <w:color w:val="auto"/>
        </w:rPr>
      </w:pPr>
      <w:r>
        <w:rPr>
          <w:rFonts w:ascii="Arial" w:cs="Arial" w:eastAsia="Arial" w:hAnsi="Arial"/>
          <w:sz w:val="20"/>
          <w:szCs w:val="20"/>
          <w:color w:val="auto"/>
        </w:rPr>
        <w:t>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w:t>
      </w:r>
    </w:p>
    <w:p>
      <w:pPr>
        <w:spacing w:after="0" w:line="177" w:lineRule="exact"/>
        <w:rPr>
          <w:sz w:val="20"/>
          <w:szCs w:val="20"/>
          <w:color w:val="auto"/>
        </w:rPr>
      </w:pPr>
    </w:p>
    <w:p>
      <w:pPr>
        <w:ind w:right="280"/>
        <w:spacing w:after="0" w:line="284" w:lineRule="auto"/>
        <w:rPr>
          <w:sz w:val="20"/>
          <w:szCs w:val="20"/>
          <w:color w:val="auto"/>
        </w:rPr>
      </w:pPr>
      <w:r>
        <w:rPr>
          <w:rFonts w:ascii="Arial" w:cs="Arial" w:eastAsia="Arial" w:hAnsi="Arial"/>
          <w:sz w:val="20"/>
          <w:szCs w:val="20"/>
          <w:color w:val="auto"/>
        </w:rPr>
        <w:t>The carrying value of cash and cash equivalents, accounts payable and accrued liabilities approximate fair value due to their relatively short maturities. The Company determines the fair value of financial and non-</w:t>
      </w:r>
    </w:p>
    <w:p>
      <w:pPr>
        <w:sectPr>
          <w:pgSz w:w="11880" w:h="15480" w:orient="portrait"/>
          <w:cols w:equalWidth="0" w:num="1">
            <w:col w:w="9700"/>
          </w:cols>
          <w:pgMar w:left="1080" w:top="1061" w:right="110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181</w:t>
      </w:r>
    </w:p>
    <w:p>
      <w:pPr>
        <w:sectPr>
          <w:pgSz w:w="11880" w:h="15480" w:orient="portrait"/>
          <w:cols w:equalWidth="0" w:num="1">
            <w:col w:w="9700"/>
          </w:cols>
          <w:pgMar w:left="1080" w:top="1061" w:right="1100" w:bottom="555" w:gutter="0" w:footer="0" w:header="0"/>
          <w:type w:val="continuous"/>
        </w:sectPr>
      </w:pPr>
    </w:p>
    <w:bookmarkStart w:id="183" w:name="page184"/>
    <w:bookmarkEnd w:id="183"/>
    <w:p>
      <w:pPr>
        <w:jc w:val="center"/>
        <w:ind w:right="-39"/>
        <w:spacing w:after="0"/>
        <w:rPr>
          <w:sz w:val="20"/>
          <w:szCs w:val="20"/>
          <w:color w:val="auto"/>
        </w:rPr>
      </w:pPr>
      <w:r>
        <w:rPr>
          <w:rFonts w:ascii="Arial" w:cs="Arial" w:eastAsia="Arial" w:hAnsi="Arial"/>
          <w:sz w:val="20"/>
          <w:szCs w:val="20"/>
          <w:color w:val="auto"/>
        </w:rPr>
        <w:t>STRUCTURE THERAPEUTICS INC.</w:t>
      </w:r>
    </w:p>
    <w:p>
      <w:pPr>
        <w:jc w:val="center"/>
        <w:ind w:right="-39"/>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ind w:right="160"/>
        <w:spacing w:after="0" w:line="284" w:lineRule="auto"/>
        <w:rPr>
          <w:sz w:val="20"/>
          <w:szCs w:val="20"/>
          <w:color w:val="auto"/>
        </w:rPr>
      </w:pPr>
      <w:r>
        <w:rPr>
          <w:rFonts w:ascii="Arial" w:cs="Arial" w:eastAsia="Arial" w:hAnsi="Arial"/>
          <w:sz w:val="20"/>
          <w:szCs w:val="20"/>
          <w:color w:val="auto"/>
        </w:rPr>
        <w:t>financial assets and liabilities using the fair value hierarchy which establishes three levels of inputs that may be used to measure fair value (see Note 4).</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Property and Equipment, Net</w:t>
      </w:r>
    </w:p>
    <w:p>
      <w:pPr>
        <w:spacing w:after="0" w:line="235"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Property and equipment, net is stated at cost less accumulated depreciation. Depreciation is calculated using the straight-line method over the estimated useful lives of the assets, generally two to five years. Leasehold improvements are amortized using the straight -line method over the shorter of the assets’ estimated useful lives or the remaining term of the lease. When assets are retired or otherwise disposed of, the cost and accumulated depreciation are removed from the balance sheet, and any resulting gain or loss is reflected in operating expenses in the period realized. Maintenance and repairs are charged to operating expenses as incurred.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of Long-Lived Assets</w:t>
      </w:r>
    </w:p>
    <w:p>
      <w:pPr>
        <w:spacing w:after="0" w:line="235"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Long-lived assets consist primarily of property and equipment, net, and are reviewed for impairment whenever events or changes in circumstances indicate that the carrying amount of an asset may not be recoverable. If circumstances require that a long- lived asset be tested for possible impairment, the Company compares the undiscounted cash flows expected to be generated by the asset group to the carrying amount of the asset group. If the carrying amount of the long-lived asset is not recoverable on an undiscounted cash flow basis, an impairment is recognized to the extent that the carrying amount exceeds its fair value. During the years ended December 31, 2023 and 2022, the Company did not recognize any such impairment charges.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Offering Costs</w:t>
      </w:r>
    </w:p>
    <w:p>
      <w:pPr>
        <w:spacing w:after="0" w:line="235"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The Company capitalizes, within other non-current assets, certain legal, accounting and other third-party fees that are directly related to the Company’s in-process equity financings, including its IPO and Private Placements,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will be immediately written off to general and administrative expenses. Upon closing the IPO and Private Placement, all deferred offering costs were charged against the proceeds from the IPO and Private Placement and recorded in shareholders equity (deficit) as a reduction of additional paid-in capital. As of December 31, 2023 and 2022, deferred offering costs were $0 and $3.4 million,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Accrued Research and Development Expenses</w:t>
      </w:r>
    </w:p>
    <w:p>
      <w:pPr>
        <w:spacing w:after="0" w:line="236"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The Company has entered into various agreements with contract manufacturing organizations (“CMOs”) and contract research organizations (“CROs”) .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other current liabilities on the consolidated balance sheets. If the actual timing of the performance of services or the level of effort varies from the original estimates, the Company will adjust the accrual accordingly. Payments made to CMOs and CROs under these arrangements in advance of the performance of the related services are recorded as prepaid expenses and other current assets on the consolidated balance sheets until the services are rendered.</w:t>
      </w:r>
    </w:p>
    <w:p>
      <w:pPr>
        <w:sectPr>
          <w:pgSz w:w="11880" w:h="15480" w:orient="portrait"/>
          <w:cols w:equalWidth="0" w:num="1">
            <w:col w:w="9680"/>
          </w:cols>
          <w:pgMar w:left="1080" w:top="1061" w:right="112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182</w:t>
      </w:r>
    </w:p>
    <w:p>
      <w:pPr>
        <w:sectPr>
          <w:pgSz w:w="11880" w:h="15480" w:orient="portrait"/>
          <w:cols w:equalWidth="0" w:num="1">
            <w:col w:w="9680"/>
          </w:cols>
          <w:pgMar w:left="1080" w:top="1061" w:right="1120" w:bottom="555" w:gutter="0" w:footer="0" w:header="0"/>
          <w:type w:val="continuous"/>
        </w:sectPr>
      </w:pPr>
    </w:p>
    <w:bookmarkStart w:id="184" w:name="page185"/>
    <w:bookmarkEnd w:id="184"/>
    <w:p>
      <w:pPr>
        <w:jc w:val="center"/>
        <w:ind w:right="-19"/>
        <w:spacing w:after="0"/>
        <w:rPr>
          <w:sz w:val="20"/>
          <w:szCs w:val="20"/>
          <w:color w:val="auto"/>
        </w:rPr>
      </w:pPr>
      <w:r>
        <w:rPr>
          <w:rFonts w:ascii="Arial" w:cs="Arial" w:eastAsia="Arial" w:hAnsi="Arial"/>
          <w:sz w:val="20"/>
          <w:szCs w:val="20"/>
          <w:color w:val="auto"/>
        </w:rPr>
        <w:t>STRUCTURE THERAPEUTICS INC.</w:t>
      </w:r>
    </w:p>
    <w:p>
      <w:pPr>
        <w:jc w:val="center"/>
        <w:ind w:right="-19"/>
        <w:spacing w:after="0"/>
        <w:rPr>
          <w:sz w:val="20"/>
          <w:szCs w:val="20"/>
          <w:color w:val="auto"/>
        </w:rPr>
      </w:pPr>
      <w:r>
        <w:rPr>
          <w:rFonts w:ascii="Arial" w:cs="Arial" w:eastAsia="Arial" w:hAnsi="Arial"/>
          <w:sz w:val="20"/>
          <w:szCs w:val="20"/>
          <w:color w:val="auto"/>
        </w:rPr>
        <w:t>NOTES TO CONSOLIDATED FINANCIAL STATEMENTS (CONTINUED)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Leases</w:t>
      </w:r>
    </w:p>
    <w:p>
      <w:pPr>
        <w:spacing w:after="0" w:line="23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Company determines if an arrangement is, or contains, a lease at inception and then classifies the lease as operating or financing based on the underlying terms and conditions of the contract. Leases with terms greater than one year are initially recognized on the consolidated balance sheets as right-of- use assets and lease liabilities based on the present value of lease payments over the expected lease term. The Company has also elected to not apply the recognition requirement to any leases within its existing classes of assets with a term of 12 months or less and does not include any options to purchase the underlying asset that the Company is reasonably certain to exercise. As most of the Company’s leases do not provide an implicit rate, the Company uses its incremental borrowing rate based on the information available at commencement date in determining the present value of future payments. Lease expense for lease payments is recognized on a straight-line basis over the lease term. Variable lease payments are excluded from the right-of-use assets and operating lease liabilities and are recognized in the period in which the obligation for those payments is incurred. The Company elected the practical expedient not to separate non-lease components from lease components for the Company’s facility leases and to account for the lease and non-lease components as a single lease component.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Redeemable Convertible Preferred Shares</w:t>
      </w:r>
    </w:p>
    <w:p>
      <w:pPr>
        <w:spacing w:after="0" w:line="236"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Company recorded all shares of redeemable convertible preferred shares at the amount of proceeds received, less amounts allocated to redeemable convertible preferred shares tranche liability and issuance costs. The fair value of Series B-1 redeemable convertible preferred shares issued in connection with the Basecamp Bio share exchange transaction was estimated at fair value based on market-based factors similar to those used in determining the fair value of ordinary shares. Though not mandatorily redeemable, the redeemable convertible preferred shares were recorded outside of permanent equity because in certain events considered not solely within the Company’s control, such as a merger, acquisition, or sale of all or substantially all of the Company’s assets (each, a “deemed liquidation event”), the redeemable convertible preferred shares could become redeemable at the option of the holders of at least a majority of the then outstanding shares on or after April 29, 2026. The Company made an accounting policy election to recognize changes in the redemption value of redeemable convertible preferred shares immediately as they occur and adjust the carrying value of redeemable convertible preferred shares to equal it to its redemption value at the end of each reporting period. All outstanding shares of the redeemable convertible preferred shares converted into ordinary shares upon effectiveness of the Company’s IPO in 2023.</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Expenses</w:t>
      </w:r>
    </w:p>
    <w:p>
      <w:pPr>
        <w:spacing w:after="0" w:line="235" w:lineRule="exact"/>
        <w:rPr>
          <w:sz w:val="20"/>
          <w:szCs w:val="20"/>
          <w:color w:val="auto"/>
        </w:rPr>
      </w:pPr>
    </w:p>
    <w:p>
      <w:pPr>
        <w:ind w:right="200"/>
        <w:spacing w:after="0" w:line="251" w:lineRule="auto"/>
        <w:rPr>
          <w:sz w:val="20"/>
          <w:szCs w:val="20"/>
          <w:color w:val="auto"/>
        </w:rPr>
      </w:pPr>
      <w:r>
        <w:rPr>
          <w:rFonts w:ascii="Arial" w:cs="Arial" w:eastAsia="Arial" w:hAnsi="Arial"/>
          <w:sz w:val="20"/>
          <w:szCs w:val="20"/>
          <w:color w:val="auto"/>
        </w:rPr>
        <w:t>Research and development expenses include costs directly attributable to the conduct of research and development programs, including payroll and related expenses, costs for CMOs, costs for CROs, materials, supplies, consulting costs, and the allocated portions of facility costs, such as rent, utilities, insurance, information technology costs and general support services. Research and development costs are expensed within the consolidated statements of operations and comprehensive loss as incurred.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Ordinary Shares</w:t>
      </w:r>
    </w:p>
    <w:p>
      <w:pPr>
        <w:spacing w:after="0" w:line="235"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Prior to the IPO, the fair value of the Company’s ordinary shares was determined by its Board of Directors with input from management and third-party valuation specialists. The Company’s approach to estimate the fair value of the Company’s ordinary shares is consistent with the methods outlined in the American Institute of Certified Public Accountants Practice Aid, Valuation of Privately-Held-Company Equity Securities Issued as Compensation. Determining the best estimated fair value of the Company’s ordinary shares requires significant judgment and management considers several factors, including the Company’s stage of development, equity market conditions affecting comparable public companies, significant milestones and</w:t>
      </w:r>
    </w:p>
    <w:p>
      <w:pPr>
        <w:sectPr>
          <w:pgSz w:w="11880" w:h="15480" w:orient="portrait"/>
          <w:cols w:equalWidth="0" w:num="1">
            <w:col w:w="9700"/>
          </w:cols>
          <w:pgMar w:left="1080" w:top="1061" w:right="1100" w:bottom="555"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183</w:t>
      </w:r>
    </w:p>
    <w:p>
      <w:pPr>
        <w:sectPr>
          <w:pgSz w:w="11880" w:h="15480" w:orient="portrait"/>
          <w:cols w:equalWidth="0" w:num="1">
            <w:col w:w="9700"/>
          </w:cols>
          <w:pgMar w:left="1080" w:top="1061" w:right="1100" w:bottom="555" w:gutter="0" w:footer="0" w:header="0"/>
          <w:type w:val="continuous"/>
        </w:sectPr>
      </w:pPr>
    </w:p>
    <w:bookmarkStart w:id="185" w:name="page186"/>
    <w:bookmarkEnd w:id="185"/>
    <w:p>
      <w:pPr>
        <w:jc w:val="center"/>
        <w:ind w:right="-19"/>
        <w:spacing w:after="0"/>
        <w:rPr>
          <w:sz w:val="20"/>
          <w:szCs w:val="20"/>
          <w:color w:val="auto"/>
        </w:rPr>
      </w:pPr>
      <w:r>
        <w:rPr>
          <w:rFonts w:ascii="Arial" w:cs="Arial" w:eastAsia="Arial" w:hAnsi="Arial"/>
          <w:sz w:val="20"/>
          <w:szCs w:val="20"/>
          <w:color w:val="auto"/>
        </w:rPr>
        <w:t>STRUCTURE THERAPEUTICS INC.</w:t>
      </w:r>
    </w:p>
    <w:p>
      <w:pPr>
        <w:jc w:val="center"/>
        <w:ind w:right="-39"/>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ind w:right="320"/>
        <w:spacing w:after="0" w:line="262" w:lineRule="auto"/>
        <w:rPr>
          <w:sz w:val="20"/>
          <w:szCs w:val="20"/>
          <w:color w:val="auto"/>
        </w:rPr>
      </w:pPr>
      <w:r>
        <w:rPr>
          <w:rFonts w:ascii="Arial" w:cs="Arial" w:eastAsia="Arial" w:hAnsi="Arial"/>
          <w:sz w:val="20"/>
          <w:szCs w:val="20"/>
          <w:color w:val="auto"/>
        </w:rPr>
        <w:t>progress of research and development efforts. Subsequent to the Company’s IPO, the fair value of the Company’s ordinary shares is determined based on its closing market price of the Company’s ADS, which each represents three ordinary shares.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Share-Based Compensation</w:t>
      </w:r>
    </w:p>
    <w:p>
      <w:pPr>
        <w:spacing w:after="0" w:line="235"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 -line basis over the requisite service period, which is generally the vesting period. The Company accounts for forfeitures as they occur. Option valuation models, including the Black-Scholes option-pricing model, require the input of several assumptions.</w:t>
      </w:r>
    </w:p>
    <w:p>
      <w:pPr>
        <w:spacing w:after="0" w:line="194"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The Company has granted share options to employees based in China. The exercise of share options granted to such employees was conditioned on a liquidity event, such as an IPO or change in control, which was not considered probable until consummated. The liquidity event condition was satisfied upon the closing of the IPO, and the Company recognized cumulative share-based compensation expense for share options granted to employees based in China.</w:t>
      </w:r>
    </w:p>
    <w:p>
      <w:pPr>
        <w:spacing w:after="0" w:line="187"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In February 2023, the Company’s board of directors approved the grant of performance share options for 1,200,000 ordinary shares, which were granted under the 2023 Equity Incentive Plan. Each share option will vest over four years, subject to the achievement in the first year following the grant of certain clinical milestones as determined by the Company’s compensation committee, and subject to the employees’ continuous service through each vesting date. The achievement of performance milestones was not probable as of December 31, 2023. As such, no share-based compensation expense was recognized for performance share options during the year ended December 31, 2023.</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36"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Income taxes are accounted for using an asset and liability approach that requires the recognition of deferred tax assets and liabilities for the expected future tax consequences of temporary differences between the consolidated financial statement and tax bases of assets and liabilities at the applicable enacted tax rates. The Company will establish a valuation allowance for deferred tax assets if it is more likely than not that these items will expire before the Company is able to realize its benefits or that future deductibility is uncertain.</w:t>
      </w:r>
    </w:p>
    <w:p>
      <w:pPr>
        <w:spacing w:after="0" w:line="174"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auto"/>
        </w:rPr>
        <w:t>The Company recognizes the tax benefit from uncertain tax positions only if it is more likely than not that the tax position will be sustained on examination by the tax authorities, based on the technical merits of the position. The tax position is measured based on the largest benefit that has a greater than 50% likelihood of being realized upon ultimate settlement. The Company recognizes interest and penalties related to income tax matters in its provision for income taxes. As of December 31, 2023 and 2022, the unrecognized income tax benefits were $0.9 million and $0.3 million,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Loss Per Share Attributable to Ordinary Shareholders</w:t>
      </w:r>
    </w:p>
    <w:p>
      <w:pPr>
        <w:spacing w:after="0" w:line="235"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Basic net loss per ordinary share is calculated by dividing the net loss attributable to ordinary shareholders by the weighted-average number of ordinary shares, including non-voting ordinary shares, outstanding during the period, without consideration of potentially dilutive securities. Net loss attributable to ordinary shareholders is computed as net loss less accretion of redeemable convertible preferred shares. Diluted net loss per share is computed by dividing the net loss attributable to ordinary shareholders by the weighted-</w:t>
      </w:r>
    </w:p>
    <w:p>
      <w:pPr>
        <w:sectPr>
          <w:pgSz w:w="11880" w:h="15480" w:orient="portrait"/>
          <w:cols w:equalWidth="0" w:num="1">
            <w:col w:w="9680"/>
          </w:cols>
          <w:pgMar w:left="1080" w:top="1061" w:right="1120" w:bottom="555"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184</w:t>
      </w:r>
    </w:p>
    <w:p>
      <w:pPr>
        <w:sectPr>
          <w:pgSz w:w="11880" w:h="15480" w:orient="portrait"/>
          <w:cols w:equalWidth="0" w:num="1">
            <w:col w:w="9680"/>
          </w:cols>
          <w:pgMar w:left="1080" w:top="1061" w:right="1120" w:bottom="555" w:gutter="0" w:footer="0" w:header="0"/>
          <w:type w:val="continuous"/>
        </w:sectPr>
      </w:pPr>
    </w:p>
    <w:bookmarkStart w:id="186" w:name="page187"/>
    <w:bookmarkEnd w:id="186"/>
    <w:p>
      <w:pPr>
        <w:jc w:val="center"/>
        <w:spacing w:after="0"/>
        <w:rPr>
          <w:sz w:val="20"/>
          <w:szCs w:val="20"/>
          <w:color w:val="auto"/>
        </w:rPr>
      </w:pPr>
      <w:r>
        <w:rPr>
          <w:rFonts w:ascii="Arial" w:cs="Arial" w:eastAsia="Arial" w:hAnsi="Arial"/>
          <w:sz w:val="20"/>
          <w:szCs w:val="20"/>
          <w:color w:val="auto"/>
        </w:rPr>
        <w:t>STRUCTURE THERAPEUTICS INC.</w:t>
      </w:r>
    </w:p>
    <w:p>
      <w:pPr>
        <w:jc w:val="center"/>
        <w:ind w:right="-19"/>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average number of ordinary shares, including non-voting ordinary shares, and potentially dilutive securities outstanding for the period. For purposes of the diluted net loss per share calculation, the redeemable convertible preferred shares, ordinary share warrants, unvested restricted ordinary shares subject to repurchase and share options are considered to be potentially dilutive securities. Basic and diluted net loss per share attributable to ordinary shareholders is presented in conformity with the two-class method required for participating securities as the redeemable convertible preferred shares are considered a participating security because they participate in dividends with ordinary shares. The holders of redeemable convertible preferred shares do not have a contractual obligation to share in the Company’s losses. As such, the net loss was attributed entirely to ordinary shareholders, including non-voting ordinary shares. Because the Company has reported a net loss for all periods presented, diluted net loss per ordinary share is the same as basic net loss per ordinary share for those periods.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Comprehensive Income (Loss)</w:t>
      </w:r>
    </w:p>
    <w:p>
      <w:pPr>
        <w:spacing w:after="0" w:line="235" w:lineRule="exact"/>
        <w:rPr>
          <w:sz w:val="20"/>
          <w:szCs w:val="20"/>
          <w:color w:val="auto"/>
        </w:rPr>
      </w:pPr>
    </w:p>
    <w:p>
      <w:pPr>
        <w:ind w:right="520"/>
        <w:spacing w:after="0" w:line="254" w:lineRule="auto"/>
        <w:rPr>
          <w:sz w:val="20"/>
          <w:szCs w:val="20"/>
          <w:color w:val="auto"/>
        </w:rPr>
      </w:pPr>
      <w:r>
        <w:rPr>
          <w:rFonts w:ascii="Arial" w:cs="Arial" w:eastAsia="Arial" w:hAnsi="Arial"/>
          <w:sz w:val="20"/>
          <w:szCs w:val="20"/>
          <w:color w:val="auto"/>
        </w:rPr>
        <w:t>Comprehensive income (loss) is defined as a change in equity of a business enterprise during a period, resulting from transactions from non-owner sources. Other comprehensive income (loss) represents unrealized gains or losses on short -term investments that are reported as a component of shareholders’ equity (deficit) on the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JOBS Act Accounting Election</w:t>
      </w:r>
    </w:p>
    <w:p>
      <w:pPr>
        <w:spacing w:after="0" w:line="235" w:lineRule="exact"/>
        <w:rPr>
          <w:sz w:val="20"/>
          <w:szCs w:val="20"/>
          <w:color w:val="auto"/>
        </w:rPr>
      </w:pPr>
    </w:p>
    <w:p>
      <w:pPr>
        <w:ind w:right="160"/>
        <w:spacing w:after="0"/>
        <w:rPr>
          <w:sz w:val="20"/>
          <w:szCs w:val="20"/>
          <w:color w:val="auto"/>
        </w:rPr>
      </w:pPr>
      <w:r>
        <w:rPr>
          <w:rFonts w:ascii="Arial" w:cs="Arial" w:eastAsia="Arial" w:hAnsi="Arial"/>
          <w:sz w:val="20"/>
          <w:szCs w:val="20"/>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certain new or revised accounting standards that have different effective dates for public and private companies until the earlier of the date the Company (i) is no longer an emerging growth company or</w:t>
      </w:r>
    </w:p>
    <w:p>
      <w:pPr>
        <w:ind w:right="60" w:firstLine="7"/>
        <w:spacing w:after="0" w:line="262" w:lineRule="auto"/>
        <w:tabs>
          <w:tab w:leader="none" w:pos="278" w:val="left"/>
        </w:tabs>
        <w:numPr>
          <w:ilvl w:val="0"/>
          <w:numId w:val="70"/>
        </w:numPr>
        <w:rPr>
          <w:rFonts w:ascii="Arial" w:cs="Arial" w:eastAsia="Arial" w:hAnsi="Arial"/>
          <w:sz w:val="20"/>
          <w:szCs w:val="20"/>
          <w:color w:val="auto"/>
        </w:rPr>
      </w:pPr>
      <w:r>
        <w:rPr>
          <w:rFonts w:ascii="Arial" w:cs="Arial" w:eastAsia="Arial" w:hAnsi="Arial"/>
          <w:sz w:val="20"/>
          <w:szCs w:val="20"/>
          <w:color w:val="auto"/>
        </w:rPr>
        <w:t>affirmatively and irrevocably opts out of the extended transition period provided in the JOBS Act. As a result, these consolidated financial statements may not be comparable to companies that comply with new or revised accounting pronouncements as of public company effective dates.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Recently Adopted Accounting Pronouncements</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 xml:space="preserve">In June 2016, the Financial Accounting Standards Board (“FASB”) issued Account Standards Update (“ASU”) No. 2016-13, </w:t>
      </w:r>
      <w:r>
        <w:rPr>
          <w:rFonts w:ascii="Arial" w:cs="Arial" w:eastAsia="Arial" w:hAnsi="Arial"/>
          <w:sz w:val="20"/>
          <w:szCs w:val="20"/>
          <w:i w:val="1"/>
          <w:iCs w:val="1"/>
          <w:color w:val="auto"/>
        </w:rPr>
        <w:t>Financial Instruments—Credit Losses (Topic 326): Measurement of Credit Losses on Financial</w:t>
      </w:r>
      <w:r>
        <w:rPr>
          <w:rFonts w:ascii="Arial" w:cs="Arial" w:eastAsia="Arial" w:hAnsi="Arial"/>
          <w:sz w:val="20"/>
          <w:szCs w:val="20"/>
          <w:color w:val="auto"/>
        </w:rPr>
        <w:t xml:space="preserve"> </w:t>
      </w:r>
      <w:r>
        <w:rPr>
          <w:rFonts w:ascii="Arial" w:cs="Arial" w:eastAsia="Arial" w:hAnsi="Arial"/>
          <w:sz w:val="20"/>
          <w:szCs w:val="20"/>
          <w:i w:val="1"/>
          <w:iCs w:val="1"/>
          <w:color w:val="auto"/>
        </w:rPr>
        <w:t>Instruments</w:t>
      </w:r>
      <w:r>
        <w:rPr>
          <w:rFonts w:ascii="Arial" w:cs="Arial" w:eastAsia="Arial" w:hAnsi="Arial"/>
          <w:sz w:val="20"/>
          <w:szCs w:val="20"/>
          <w:color w:val="auto"/>
        </w:rPr>
        <w:t>, which requires the measurement and recognition of expected credit losses for financial assets</w:t>
      </w:r>
      <w:r>
        <w:rPr>
          <w:rFonts w:ascii="Arial" w:cs="Arial" w:eastAsia="Arial" w:hAnsi="Arial"/>
          <w:sz w:val="20"/>
          <w:szCs w:val="20"/>
          <w:i w:val="1"/>
          <w:iCs w:val="1"/>
          <w:color w:val="auto"/>
        </w:rPr>
        <w:t xml:space="preserve"> </w:t>
      </w:r>
      <w:r>
        <w:rPr>
          <w:rFonts w:ascii="Arial" w:cs="Arial" w:eastAsia="Arial" w:hAnsi="Arial"/>
          <w:sz w:val="20"/>
          <w:szCs w:val="20"/>
          <w:color w:val="auto"/>
        </w:rPr>
        <w:t>held at amortized cost. This ASU replaces the existing incurred loss impairment model with an expected loss model. It also eliminates the concept of other-than-temporary impairment and requires credit losses related to available- for -sale debt securities to be recorded through an allowance for credit losses rather than as a reduction in the amortized cost basis of the securities. These changes will result in earlier recognition of credit losses. The amendments in this ASU are effective for the Company for fiscal years beginning after December 15, 2022, including interim periods within those fiscal years. The Company adopted ASU 2016-13 as of January 1, 2023 and the adoption did not have a material impact on the Company’s consolidated financial statements and related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Accounting Pronouncements Not Yet Adopted</w:t>
      </w:r>
    </w:p>
    <w:p>
      <w:pPr>
        <w:spacing w:after="0" w:line="231"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 xml:space="preserve">In December 2023, the FASB issued ASU 2023-09, </w:t>
      </w:r>
      <w:r>
        <w:rPr>
          <w:rFonts w:ascii="Arial" w:cs="Arial" w:eastAsia="Arial" w:hAnsi="Arial"/>
          <w:sz w:val="20"/>
          <w:szCs w:val="20"/>
          <w:i w:val="1"/>
          <w:iCs w:val="1"/>
          <w:color w:val="auto"/>
        </w:rPr>
        <w:t>Improvements to Income Tax Disclosures</w:t>
      </w:r>
      <w:r>
        <w:rPr>
          <w:rFonts w:ascii="Arial" w:cs="Arial" w:eastAsia="Arial" w:hAnsi="Arial"/>
          <w:sz w:val="20"/>
          <w:szCs w:val="20"/>
          <w:color w:val="auto"/>
        </w:rPr>
        <w:t>. This ASU requires greater disaggregation of information about a reporting entity's effective tax rate reconciliation as well</w:t>
      </w:r>
    </w:p>
    <w:p>
      <w:pPr>
        <w:sectPr>
          <w:pgSz w:w="11880" w:h="15480" w:orient="portrait"/>
          <w:cols w:equalWidth="0" w:num="1">
            <w:col w:w="9700"/>
          </w:cols>
          <w:pgMar w:left="1080" w:top="1061" w:right="1100" w:bottom="555"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185</w:t>
      </w:r>
    </w:p>
    <w:p>
      <w:pPr>
        <w:sectPr>
          <w:pgSz w:w="11880" w:h="15480" w:orient="portrait"/>
          <w:cols w:equalWidth="0" w:num="1">
            <w:col w:w="9700"/>
          </w:cols>
          <w:pgMar w:left="1080" w:top="1061" w:right="1100" w:bottom="555" w:gutter="0" w:footer="0" w:header="0"/>
          <w:type w:val="continuous"/>
        </w:sectPr>
      </w:pPr>
    </w:p>
    <w:bookmarkStart w:id="187" w:name="page188"/>
    <w:bookmarkEnd w:id="187"/>
    <w:p>
      <w:pPr>
        <w:jc w:val="center"/>
        <w:spacing w:after="0"/>
        <w:rPr>
          <w:sz w:val="20"/>
          <w:szCs w:val="20"/>
          <w:color w:val="auto"/>
        </w:rPr>
      </w:pPr>
      <w:r>
        <w:rPr>
          <w:rFonts w:ascii="Arial" w:cs="Arial" w:eastAsia="Arial" w:hAnsi="Arial"/>
          <w:sz w:val="20"/>
          <w:szCs w:val="20"/>
          <w:color w:val="auto"/>
        </w:rPr>
        <w:t>STRUCTURE THERAPEUTICS INC.</w:t>
      </w:r>
    </w:p>
    <w:p>
      <w:pPr>
        <w:jc w:val="center"/>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as information on income taxes paid. This ASU applies to all entities subject to income taxes and is intended to help investors better understand an entity’s exposure to potential changes in jurisdictional tax legislation and assess income tax information that affects cash flow forecasts and capital allocation decisions. This ASU is effective for annual periods beginning after December 15, 2024, with early adoption permitted. This ASU should be applied on a prospective basis although retrospective application is permitted. The Company is currently evaluating the impact the adoption of this ASU will have on its consolidated financial statements and related disclosures</w:t>
      </w:r>
    </w:p>
    <w:p>
      <w:pPr>
        <w:spacing w:after="0" w:line="194"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 xml:space="preserve">In November 2023, the FASB issued ASU 2023-07, </w:t>
      </w:r>
      <w:r>
        <w:rPr>
          <w:rFonts w:ascii="Arial" w:cs="Arial" w:eastAsia="Arial" w:hAnsi="Arial"/>
          <w:sz w:val="20"/>
          <w:szCs w:val="20"/>
          <w:i w:val="1"/>
          <w:iCs w:val="1"/>
          <w:color w:val="auto"/>
        </w:rPr>
        <w:t>Segment Reporting (Topic 280): Improvements to</w:t>
      </w:r>
      <w:r>
        <w:rPr>
          <w:rFonts w:ascii="Arial" w:cs="Arial" w:eastAsia="Arial" w:hAnsi="Arial"/>
          <w:sz w:val="20"/>
          <w:szCs w:val="20"/>
          <w:color w:val="auto"/>
        </w:rPr>
        <w:t xml:space="preserve"> </w:t>
      </w:r>
      <w:r>
        <w:rPr>
          <w:rFonts w:ascii="Arial" w:cs="Arial" w:eastAsia="Arial" w:hAnsi="Arial"/>
          <w:sz w:val="20"/>
          <w:szCs w:val="20"/>
          <w:i w:val="1"/>
          <w:iCs w:val="1"/>
          <w:color w:val="auto"/>
        </w:rPr>
        <w:t>Reportable Segment Disclosures</w:t>
      </w:r>
      <w:r>
        <w:rPr>
          <w:rFonts w:ascii="Arial" w:cs="Arial" w:eastAsia="Arial" w:hAnsi="Arial"/>
          <w:sz w:val="20"/>
          <w:szCs w:val="20"/>
          <w:color w:val="auto"/>
        </w:rPr>
        <w:t>. The amendments in this ASU require disclosures, on an annual and interim</w:t>
      </w:r>
      <w:r>
        <w:rPr>
          <w:rFonts w:ascii="Arial" w:cs="Arial" w:eastAsia="Arial" w:hAnsi="Arial"/>
          <w:sz w:val="20"/>
          <w:szCs w:val="20"/>
          <w:i w:val="1"/>
          <w:iCs w:val="1"/>
          <w:color w:val="auto"/>
        </w:rPr>
        <w:t xml:space="preserve"> </w:t>
      </w:r>
      <w:r>
        <w:rPr>
          <w:rFonts w:ascii="Arial" w:cs="Arial" w:eastAsia="Arial" w:hAnsi="Arial"/>
          <w:sz w:val="20"/>
          <w:szCs w:val="20"/>
          <w:color w:val="auto"/>
        </w:rPr>
        <w:t>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Topic 280 in interim periods, and entities with a single reportable segment are required to provide all the disclosures required by the amendments in this ASU and existing segment disclosures in Topic 280. This ASU is effective for fiscal years beginning after December 15, 2023, and interim periods within fiscal years beginning after December 15, 2024, with early adoption permitted. The amendments in this ASU should be applied retrospectively to all prior periods presented in the financial statements. The Company is currently evaluating the impact of this standard on its consolidated financial statements and related disclosures, and does not expect the standard will have a material impact on the Company’s consolidated financial statements and related disclosures.</w:t>
      </w:r>
    </w:p>
    <w:p>
      <w:pPr>
        <w:spacing w:after="0" w:line="195" w:lineRule="exact"/>
        <w:rPr>
          <w:sz w:val="20"/>
          <w:szCs w:val="20"/>
          <w:color w:val="auto"/>
        </w:rPr>
      </w:pPr>
    </w:p>
    <w:p>
      <w:pPr>
        <w:ind w:right="2960"/>
        <w:spacing w:after="0" w:line="538" w:lineRule="auto"/>
        <w:rPr>
          <w:sz w:val="20"/>
          <w:szCs w:val="20"/>
          <w:color w:val="auto"/>
        </w:rPr>
      </w:pPr>
      <w:r>
        <w:rPr>
          <w:rFonts w:ascii="Arial" w:cs="Arial" w:eastAsia="Arial" w:hAnsi="Arial"/>
          <w:sz w:val="20"/>
          <w:szCs w:val="20"/>
          <w:b w:val="1"/>
          <w:bCs w:val="1"/>
          <w:color w:val="auto"/>
        </w:rPr>
        <w:t xml:space="preserve">3. Composition of Certain Consolidated Financial Statement Line Items </w:t>
      </w:r>
      <w:r>
        <w:rPr>
          <w:rFonts w:ascii="Arial" w:cs="Arial" w:eastAsia="Arial" w:hAnsi="Arial"/>
          <w:sz w:val="20"/>
          <w:szCs w:val="20"/>
          <w:color w:val="auto"/>
        </w:rPr>
        <w:t>Property and equipment, net consists of the following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-27940</wp:posOffset>
                </wp:positionV>
                <wp:extent cx="616267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1999pt" to="485.6pt,-2.1999pt" o:allowincell="f" strokecolor="#000000" strokeweight="0.4809pt"/>
            </w:pict>
          </mc:Fallback>
        </mc:AlternateConten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7540" w:type="dxa"/>
            <w:vAlign w:val="bottom"/>
            <w:vMerge w:val="restart"/>
          </w:tcPr>
          <w:p>
            <w:pPr>
              <w:jc w:val="right"/>
              <w:ind w:right="5480"/>
              <w:spacing w:after="0"/>
              <w:rPr>
                <w:sz w:val="20"/>
                <w:szCs w:val="20"/>
                <w:color w:val="auto"/>
              </w:rPr>
            </w:pPr>
            <w:r>
              <w:rPr>
                <w:rFonts w:ascii="Arial" w:cs="Arial" w:eastAsia="Arial" w:hAnsi="Arial"/>
                <w:sz w:val="20"/>
                <w:szCs w:val="20"/>
                <w:color w:val="auto"/>
                <w:w w:val="99"/>
              </w:rPr>
              <w:t>Laboratory equipment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4"/>
              <w:spacing w:after="0" w:line="175"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2"/>
              <w:spacing w:after="0" w:line="175"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7540" w:type="dxa"/>
            <w:vAlign w:val="bottom"/>
            <w:vMerge w:val="continue"/>
          </w:tcPr>
          <w:p>
            <w:pPr>
              <w:jc w:val="right"/>
              <w:ind w:right="180"/>
              <w:spacing w:after="0" w:line="177" w:lineRule="exact"/>
              <w:rPr>
                <w:sz w:val="20"/>
                <w:szCs w:val="20"/>
                <w:color w:val="auto"/>
              </w:rPr>
            </w:pPr>
            <w:r>
              <w:rPr>
                <w:rFonts w:ascii="Arial" w:cs="Arial" w:eastAsia="Arial" w:hAnsi="Arial"/>
                <w:sz w:val="20"/>
                <w:szCs w:val="20"/>
                <w:color w:val="auto"/>
              </w:rPr>
              <w:t>. . . . . . . . . . . . . . . . . . . . . . . . . . . . . . . . . . . . . . . . . . . . . . . . . . . . .</w:t>
            </w:r>
          </w:p>
        </w:tc>
        <w:tc>
          <w:tcPr>
            <w:tcW w:w="220" w:type="dxa"/>
            <w:vAlign w:val="bottom"/>
          </w:tcPr>
          <w:p>
            <w:pPr>
              <w:jc w:val="right"/>
              <w:spacing w:after="0" w:line="199" w:lineRule="exact"/>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line="199" w:lineRule="exact"/>
              <w:rPr>
                <w:sz w:val="20"/>
                <w:szCs w:val="20"/>
                <w:color w:val="auto"/>
              </w:rPr>
            </w:pPr>
            <w:r>
              <w:rPr>
                <w:rFonts w:ascii="Arial" w:cs="Arial" w:eastAsia="Arial" w:hAnsi="Arial"/>
                <w:sz w:val="20"/>
                <w:szCs w:val="20"/>
                <w:color w:val="auto"/>
              </w:rPr>
              <w:t>1,960</w:t>
            </w:r>
          </w:p>
        </w:tc>
        <w:tc>
          <w:tcPr>
            <w:tcW w:w="220" w:type="dxa"/>
            <w:vAlign w:val="bottom"/>
          </w:tcPr>
          <w:p>
            <w:pPr>
              <w:spacing w:after="0"/>
              <w:rPr>
                <w:sz w:val="17"/>
                <w:szCs w:val="17"/>
                <w:color w:val="auto"/>
              </w:rPr>
            </w:pPr>
          </w:p>
        </w:tc>
        <w:tc>
          <w:tcPr>
            <w:tcW w:w="220" w:type="dxa"/>
            <w:vAlign w:val="bottom"/>
          </w:tcPr>
          <w:p>
            <w:pPr>
              <w:jc w:val="right"/>
              <w:spacing w:after="0" w:line="199" w:lineRule="exact"/>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line="199" w:lineRule="exact"/>
              <w:rPr>
                <w:sz w:val="20"/>
                <w:szCs w:val="20"/>
                <w:color w:val="auto"/>
              </w:rPr>
            </w:pPr>
            <w:r>
              <w:rPr>
                <w:rFonts w:ascii="Arial" w:cs="Arial" w:eastAsia="Arial" w:hAnsi="Arial"/>
                <w:sz w:val="20"/>
                <w:szCs w:val="20"/>
                <w:color w:val="auto"/>
              </w:rPr>
              <w:t>1,098</w:t>
            </w:r>
          </w:p>
        </w:tc>
        <w:tc>
          <w:tcPr>
            <w:tcW w:w="0" w:type="dxa"/>
            <w:vAlign w:val="bottom"/>
          </w:tcPr>
          <w:p>
            <w:pPr>
              <w:spacing w:after="0"/>
              <w:rPr>
                <w:sz w:val="1"/>
                <w:szCs w:val="1"/>
                <w:color w:val="auto"/>
              </w:rPr>
            </w:pPr>
          </w:p>
        </w:tc>
      </w:tr>
      <w:tr>
        <w:trPr>
          <w:trHeight w:val="230"/>
        </w:trPr>
        <w:tc>
          <w:tcPr>
            <w:tcW w:w="7540" w:type="dxa"/>
            <w:vAlign w:val="bottom"/>
          </w:tcPr>
          <w:p>
            <w:pPr>
              <w:jc w:val="right"/>
              <w:ind w:right="180"/>
              <w:spacing w:after="0"/>
              <w:rPr>
                <w:sz w:val="20"/>
                <w:szCs w:val="20"/>
                <w:color w:val="auto"/>
              </w:rPr>
            </w:pPr>
            <w:r>
              <w:rPr>
                <w:rFonts w:ascii="Arial" w:cs="Arial" w:eastAsia="Arial" w:hAnsi="Arial"/>
                <w:sz w:val="20"/>
                <w:szCs w:val="20"/>
                <w:color w:val="auto"/>
                <w:w w:val="93"/>
              </w:rPr>
              <w:t>Furniture and fixtures . . . . . . . . . . . . . . . . . . . . . . . . . . . . . . . . . . . . . . . . . . . . . . . . . . . . .</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243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229"/>
        </w:trPr>
        <w:tc>
          <w:tcPr>
            <w:tcW w:w="7540" w:type="dxa"/>
            <w:vAlign w:val="bottom"/>
          </w:tcPr>
          <w:p>
            <w:pPr>
              <w:jc w:val="right"/>
              <w:ind w:right="180"/>
              <w:spacing w:after="0"/>
              <w:rPr>
                <w:sz w:val="20"/>
                <w:szCs w:val="20"/>
                <w:color w:val="auto"/>
              </w:rPr>
            </w:pPr>
            <w:r>
              <w:rPr>
                <w:rFonts w:ascii="Arial" w:cs="Arial" w:eastAsia="Arial" w:hAnsi="Arial"/>
                <w:sz w:val="20"/>
                <w:szCs w:val="20"/>
                <w:color w:val="auto"/>
                <w:w w:val="94"/>
              </w:rPr>
              <w:t>Computer equipment and software . . . . . . . . . . . . . . . . . . . . . . . . . . . . . . . . . . . . . . . . .</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50"/>
        </w:trPr>
        <w:tc>
          <w:tcPr>
            <w:tcW w:w="7540" w:type="dxa"/>
            <w:vAlign w:val="bottom"/>
          </w:tcPr>
          <w:p>
            <w:pPr>
              <w:jc w:val="right"/>
              <w:ind w:right="180"/>
              <w:spacing w:after="0"/>
              <w:rPr>
                <w:sz w:val="20"/>
                <w:szCs w:val="20"/>
                <w:color w:val="auto"/>
              </w:rPr>
            </w:pPr>
            <w:r>
              <w:rPr>
                <w:rFonts w:ascii="Arial" w:cs="Arial" w:eastAsia="Arial" w:hAnsi="Arial"/>
                <w:sz w:val="20"/>
                <w:szCs w:val="20"/>
                <w:color w:val="auto"/>
                <w:w w:val="92"/>
              </w:rPr>
              <w:t>Leasehold improvements . . . . . . . . . . . . . . . . . . . . . . . . . . . . . . . . . . . . . . . . . . . . . . . . . .</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1,360</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w:t>
            </w:r>
          </w:p>
        </w:tc>
        <w:tc>
          <w:tcPr>
            <w:tcW w:w="0" w:type="dxa"/>
            <w:vAlign w:val="bottom"/>
          </w:tcPr>
          <w:p>
            <w:pPr>
              <w:spacing w:after="0"/>
              <w:rPr>
                <w:sz w:val="1"/>
                <w:szCs w:val="1"/>
                <w:color w:val="auto"/>
              </w:rPr>
            </w:pPr>
          </w:p>
        </w:tc>
      </w:tr>
      <w:tr>
        <w:trPr>
          <w:trHeight w:val="200"/>
        </w:trPr>
        <w:tc>
          <w:tcPr>
            <w:tcW w:w="7540" w:type="dxa"/>
            <w:vAlign w:val="bottom"/>
          </w:tcPr>
          <w:p>
            <w:pPr>
              <w:spacing w:after="0"/>
              <w:rPr>
                <w:sz w:val="17"/>
                <w:szCs w:val="17"/>
                <w:color w:val="auto"/>
              </w:rPr>
            </w:pPr>
          </w:p>
        </w:tc>
        <w:tc>
          <w:tcPr>
            <w:tcW w:w="220" w:type="dxa"/>
            <w:vAlign w:val="bottom"/>
          </w:tcPr>
          <w:p>
            <w:pPr>
              <w:jc w:val="right"/>
              <w:spacing w:after="0" w:line="200" w:lineRule="exact"/>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line="200" w:lineRule="exact"/>
              <w:rPr>
                <w:sz w:val="20"/>
                <w:szCs w:val="20"/>
                <w:color w:val="auto"/>
              </w:rPr>
            </w:pPr>
            <w:r>
              <w:rPr>
                <w:rFonts w:ascii="Arial" w:cs="Arial" w:eastAsia="Arial" w:hAnsi="Arial"/>
                <w:sz w:val="20"/>
                <w:szCs w:val="20"/>
                <w:color w:val="auto"/>
              </w:rPr>
              <w:t>3,872</w:t>
            </w:r>
          </w:p>
        </w:tc>
        <w:tc>
          <w:tcPr>
            <w:tcW w:w="220" w:type="dxa"/>
            <w:vAlign w:val="bottom"/>
          </w:tcPr>
          <w:p>
            <w:pPr>
              <w:spacing w:after="0"/>
              <w:rPr>
                <w:sz w:val="17"/>
                <w:szCs w:val="17"/>
                <w:color w:val="auto"/>
              </w:rPr>
            </w:pPr>
          </w:p>
        </w:tc>
        <w:tc>
          <w:tcPr>
            <w:tcW w:w="220" w:type="dxa"/>
            <w:vAlign w:val="bottom"/>
          </w:tcPr>
          <w:p>
            <w:pPr>
              <w:jc w:val="right"/>
              <w:spacing w:after="0" w:line="200" w:lineRule="exact"/>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line="200" w:lineRule="exact"/>
              <w:rPr>
                <w:sz w:val="20"/>
                <w:szCs w:val="20"/>
                <w:color w:val="auto"/>
              </w:rPr>
            </w:pPr>
            <w:r>
              <w:rPr>
                <w:rFonts w:ascii="Arial" w:cs="Arial" w:eastAsia="Arial" w:hAnsi="Arial"/>
                <w:sz w:val="20"/>
                <w:szCs w:val="20"/>
                <w:color w:val="auto"/>
              </w:rPr>
              <w:t>1,380</w:t>
            </w:r>
          </w:p>
        </w:tc>
        <w:tc>
          <w:tcPr>
            <w:tcW w:w="0" w:type="dxa"/>
            <w:vAlign w:val="bottom"/>
          </w:tcPr>
          <w:p>
            <w:pPr>
              <w:spacing w:after="0"/>
              <w:rPr>
                <w:sz w:val="1"/>
                <w:szCs w:val="1"/>
                <w:color w:val="auto"/>
              </w:rPr>
            </w:pPr>
          </w:p>
        </w:tc>
      </w:tr>
      <w:tr>
        <w:trPr>
          <w:trHeight w:val="240"/>
        </w:trPr>
        <w:tc>
          <w:tcPr>
            <w:tcW w:w="7540" w:type="dxa"/>
            <w:vAlign w:val="bottom"/>
          </w:tcPr>
          <w:p>
            <w:pPr>
              <w:jc w:val="right"/>
              <w:ind w:right="180"/>
              <w:spacing w:after="0"/>
              <w:rPr>
                <w:sz w:val="20"/>
                <w:szCs w:val="20"/>
                <w:color w:val="auto"/>
              </w:rPr>
            </w:pPr>
            <w:r>
              <w:rPr>
                <w:rFonts w:ascii="Arial" w:cs="Arial" w:eastAsia="Arial" w:hAnsi="Arial"/>
                <w:sz w:val="20"/>
                <w:szCs w:val="20"/>
                <w:color w:val="auto"/>
                <w:w w:val="93"/>
              </w:rPr>
              <w:t>Less: Accumulated depreciation . . . . . . . . . . . . . . . . . . . . . . . . . . . . . . . . . . . . . . . . . . . .</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(349)</w:t>
            </w:r>
          </w:p>
        </w:tc>
        <w:tc>
          <w:tcPr>
            <w:tcW w:w="0" w:type="dxa"/>
            <w:vAlign w:val="bottom"/>
          </w:tcPr>
          <w:p>
            <w:pPr>
              <w:spacing w:after="0"/>
              <w:rPr>
                <w:sz w:val="1"/>
                <w:szCs w:val="1"/>
                <w:color w:val="auto"/>
              </w:rPr>
            </w:pPr>
          </w:p>
        </w:tc>
      </w:tr>
      <w:tr>
        <w:trPr>
          <w:trHeight w:val="239"/>
        </w:trPr>
        <w:tc>
          <w:tcPr>
            <w:tcW w:w="7540" w:type="dxa"/>
            <w:vAlign w:val="bottom"/>
          </w:tcPr>
          <w:p>
            <w:pPr>
              <w:jc w:val="right"/>
              <w:ind w:right="180"/>
              <w:spacing w:after="0"/>
              <w:rPr>
                <w:sz w:val="20"/>
                <w:szCs w:val="20"/>
                <w:color w:val="auto"/>
              </w:rPr>
            </w:pPr>
            <w:r>
              <w:rPr>
                <w:rFonts w:ascii="Arial" w:cs="Arial" w:eastAsia="Arial" w:hAnsi="Arial"/>
                <w:sz w:val="20"/>
                <w:szCs w:val="20"/>
                <w:color w:val="auto"/>
                <w:w w:val="96"/>
              </w:rPr>
              <w:t>. . . . . . . . . . . . . . . . . . . . . . . . . . . . . . . . . . . . . . . . . . . . . . .Propertyandequipment,net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3,228</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1,031</w:t>
            </w:r>
          </w:p>
        </w:tc>
        <w:tc>
          <w:tcPr>
            <w:tcW w:w="0" w:type="dxa"/>
            <w:vAlign w:val="bottom"/>
          </w:tcPr>
          <w:p>
            <w:pPr>
              <w:spacing w:after="0"/>
              <w:rPr>
                <w:sz w:val="1"/>
                <w:szCs w:val="1"/>
                <w:color w:val="auto"/>
              </w:rPr>
            </w:pPr>
          </w:p>
        </w:tc>
      </w:tr>
      <w:tr>
        <w:trPr>
          <w:trHeight w:val="232"/>
        </w:trPr>
        <w:tc>
          <w:tcPr>
            <w:tcW w:w="7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1"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186</w:t>
      </w:r>
    </w:p>
    <w:p>
      <w:pPr>
        <w:sectPr>
          <w:pgSz w:w="11880" w:h="15480" w:orient="portrait"/>
          <w:cols w:equalWidth="0" w:num="1">
            <w:col w:w="9720"/>
          </w:cols>
          <w:pgMar w:left="1080" w:top="1061" w:right="1080" w:bottom="555" w:gutter="0" w:footer="0" w:header="0"/>
          <w:type w:val="continuous"/>
        </w:sectPr>
      </w:pPr>
    </w:p>
    <w:bookmarkStart w:id="188" w:name="page189"/>
    <w:bookmarkEnd w:id="188"/>
    <w:p>
      <w:pPr>
        <w:jc w:val="center"/>
        <w:spacing w:after="0"/>
        <w:rPr>
          <w:sz w:val="20"/>
          <w:szCs w:val="20"/>
          <w:color w:val="auto"/>
        </w:rPr>
      </w:pPr>
      <w:r>
        <w:rPr>
          <w:rFonts w:ascii="Arial" w:cs="Arial" w:eastAsia="Arial" w:hAnsi="Arial"/>
          <w:sz w:val="20"/>
          <w:szCs w:val="20"/>
          <w:color w:val="auto"/>
        </w:rPr>
        <w:t>STRUCTURE THERAPEUTICS INC.</w:t>
      </w:r>
    </w:p>
    <w:p>
      <w:pPr>
        <w:jc w:val="center"/>
        <w:spacing w:after="0"/>
        <w:rPr>
          <w:sz w:val="20"/>
          <w:szCs w:val="20"/>
          <w:color w:val="auto"/>
        </w:rPr>
      </w:pPr>
      <w:r>
        <w:rPr>
          <w:rFonts w:ascii="Arial" w:cs="Arial" w:eastAsia="Arial" w:hAnsi="Arial"/>
          <w:sz w:val="20"/>
          <w:szCs w:val="20"/>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Accrued expenses and other current liabilities consisted of the following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180340</wp:posOffset>
                </wp:positionV>
                <wp:extent cx="616267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2pt" to="485.6pt,14.2pt" o:allowincell="f" strokecolor="#000000" strokeweight="0.48pt"/>
            </w:pict>
          </mc:Fallback>
        </mc:AlternateConten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7440" w:type="dxa"/>
            <w:vAlign w:val="bottom"/>
            <w:vMerge w:val="restart"/>
          </w:tcPr>
          <w:p>
            <w:pPr>
              <w:jc w:val="right"/>
              <w:ind w:right="5300"/>
              <w:spacing w:after="0"/>
              <w:rPr>
                <w:sz w:val="20"/>
                <w:szCs w:val="20"/>
                <w:color w:val="auto"/>
              </w:rPr>
            </w:pPr>
            <w:r>
              <w:rPr>
                <w:rFonts w:ascii="Arial" w:cs="Arial" w:eastAsia="Arial" w:hAnsi="Arial"/>
                <w:sz w:val="20"/>
                <w:szCs w:val="20"/>
                <w:color w:val="auto"/>
                <w:w w:val="99"/>
              </w:rPr>
              <w:t>Accrued compensation</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4"/>
              <w:spacing w:after="0" w:line="175"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2"/>
              <w:spacing w:after="0" w:line="175"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0"/>
        </w:trPr>
        <w:tc>
          <w:tcPr>
            <w:tcW w:w="7440" w:type="dxa"/>
            <w:vAlign w:val="bottom"/>
            <w:vMerge w:val="continue"/>
          </w:tcPr>
          <w:p>
            <w:pPr>
              <w:jc w:val="right"/>
              <w:ind w:right="80"/>
              <w:spacing w:after="0" w:line="177" w:lineRule="exact"/>
              <w:rPr>
                <w:sz w:val="20"/>
                <w:szCs w:val="20"/>
                <w:color w:val="auto"/>
              </w:rPr>
            </w:pPr>
            <w:r>
              <w:rPr>
                <w:rFonts w:ascii="Arial" w:cs="Arial" w:eastAsia="Arial" w:hAnsi="Arial"/>
                <w:sz w:val="20"/>
                <w:szCs w:val="20"/>
                <w:color w:val="auto"/>
              </w:rPr>
              <w:t>. . . . . . . . . . . . . . . . . . . . . . . . . . . . . . . . . . . . . . . . . . . . . . . . . . .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line="200" w:lineRule="exact"/>
              <w:rPr>
                <w:sz w:val="20"/>
                <w:szCs w:val="20"/>
                <w:color w:val="auto"/>
              </w:rPr>
            </w:pPr>
            <w:r>
              <w:rPr>
                <w:rFonts w:ascii="Arial" w:cs="Arial" w:eastAsia="Arial" w:hAnsi="Arial"/>
                <w:sz w:val="20"/>
                <w:szCs w:val="20"/>
                <w:color w:val="auto"/>
                <w:w w:val="71"/>
              </w:rPr>
              <w:t>$</w:t>
            </w:r>
          </w:p>
        </w:tc>
        <w:tc>
          <w:tcPr>
            <w:tcW w:w="760" w:type="dxa"/>
            <w:vAlign w:val="bottom"/>
          </w:tcPr>
          <w:p>
            <w:pPr>
              <w:jc w:val="right"/>
              <w:spacing w:after="0" w:line="200" w:lineRule="exact"/>
              <w:rPr>
                <w:sz w:val="20"/>
                <w:szCs w:val="20"/>
                <w:color w:val="auto"/>
              </w:rPr>
            </w:pPr>
            <w:r>
              <w:rPr>
                <w:rFonts w:ascii="Arial" w:cs="Arial" w:eastAsia="Arial" w:hAnsi="Arial"/>
                <w:sz w:val="20"/>
                <w:szCs w:val="20"/>
                <w:color w:val="auto"/>
              </w:rPr>
              <w:t>4,325</w:t>
            </w:r>
          </w:p>
        </w:tc>
        <w:tc>
          <w:tcPr>
            <w:tcW w:w="220" w:type="dxa"/>
            <w:vAlign w:val="bottom"/>
          </w:tcPr>
          <w:p>
            <w:pPr>
              <w:spacing w:after="0"/>
              <w:rPr>
                <w:sz w:val="17"/>
                <w:szCs w:val="17"/>
                <w:color w:val="auto"/>
              </w:rPr>
            </w:pPr>
          </w:p>
        </w:tc>
        <w:tc>
          <w:tcPr>
            <w:tcW w:w="200" w:type="dxa"/>
            <w:vAlign w:val="bottom"/>
          </w:tcPr>
          <w:p>
            <w:pPr>
              <w:jc w:val="right"/>
              <w:spacing w:after="0" w:line="200" w:lineRule="exact"/>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line="200" w:lineRule="exact"/>
              <w:rPr>
                <w:sz w:val="20"/>
                <w:szCs w:val="20"/>
                <w:color w:val="auto"/>
              </w:rPr>
            </w:pPr>
            <w:r>
              <w:rPr>
                <w:rFonts w:ascii="Arial" w:cs="Arial" w:eastAsia="Arial" w:hAnsi="Arial"/>
                <w:sz w:val="20"/>
                <w:szCs w:val="20"/>
                <w:color w:val="auto"/>
              </w:rPr>
              <w:t>3,544</w:t>
            </w:r>
          </w:p>
        </w:tc>
        <w:tc>
          <w:tcPr>
            <w:tcW w:w="0" w:type="dxa"/>
            <w:vAlign w:val="bottom"/>
          </w:tcPr>
          <w:p>
            <w:pPr>
              <w:spacing w:after="0"/>
              <w:rPr>
                <w:sz w:val="1"/>
                <w:szCs w:val="1"/>
                <w:color w:val="auto"/>
              </w:rPr>
            </w:pPr>
          </w:p>
        </w:tc>
      </w:tr>
      <w:tr>
        <w:trPr>
          <w:trHeight w:val="230"/>
        </w:trPr>
        <w:tc>
          <w:tcPr>
            <w:tcW w:w="7440" w:type="dxa"/>
            <w:vAlign w:val="bottom"/>
          </w:tcPr>
          <w:p>
            <w:pPr>
              <w:jc w:val="right"/>
              <w:ind w:right="80"/>
              <w:spacing w:after="0"/>
              <w:rPr>
                <w:sz w:val="20"/>
                <w:szCs w:val="20"/>
                <w:color w:val="auto"/>
              </w:rPr>
            </w:pPr>
            <w:r>
              <w:rPr>
                <w:rFonts w:ascii="Arial" w:cs="Arial" w:eastAsia="Arial" w:hAnsi="Arial"/>
                <w:sz w:val="20"/>
                <w:szCs w:val="20"/>
                <w:color w:val="auto"/>
                <w:w w:val="94"/>
              </w:rPr>
              <w:t>Accrued research and development expenses . .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4,719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1,818</w:t>
            </w:r>
          </w:p>
        </w:tc>
        <w:tc>
          <w:tcPr>
            <w:tcW w:w="0" w:type="dxa"/>
            <w:vAlign w:val="bottom"/>
          </w:tcPr>
          <w:p>
            <w:pPr>
              <w:spacing w:after="0"/>
              <w:rPr>
                <w:sz w:val="1"/>
                <w:szCs w:val="1"/>
                <w:color w:val="auto"/>
              </w:rPr>
            </w:pPr>
          </w:p>
        </w:tc>
      </w:tr>
      <w:tr>
        <w:trPr>
          <w:trHeight w:val="232"/>
        </w:trPr>
        <w:tc>
          <w:tcPr>
            <w:tcW w:w="7440" w:type="dxa"/>
            <w:vAlign w:val="bottom"/>
          </w:tcPr>
          <w:p>
            <w:pPr>
              <w:jc w:val="right"/>
              <w:ind w:right="80"/>
              <w:spacing w:after="0"/>
              <w:rPr>
                <w:sz w:val="20"/>
                <w:szCs w:val="20"/>
                <w:color w:val="auto"/>
              </w:rPr>
            </w:pPr>
            <w:r>
              <w:rPr>
                <w:rFonts w:ascii="Arial" w:cs="Arial" w:eastAsia="Arial" w:hAnsi="Arial"/>
                <w:sz w:val="20"/>
                <w:szCs w:val="20"/>
                <w:color w:val="auto"/>
                <w:w w:val="93"/>
              </w:rPr>
              <w:t>Accrued clinical expenses . . . . . . . . . . . . . . . . . . .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5,412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438</w:t>
            </w:r>
          </w:p>
        </w:tc>
        <w:tc>
          <w:tcPr>
            <w:tcW w:w="0" w:type="dxa"/>
            <w:vAlign w:val="bottom"/>
          </w:tcPr>
          <w:p>
            <w:pPr>
              <w:spacing w:after="0"/>
              <w:rPr>
                <w:sz w:val="1"/>
                <w:szCs w:val="1"/>
                <w:color w:val="auto"/>
              </w:rPr>
            </w:pPr>
          </w:p>
        </w:tc>
      </w:tr>
      <w:tr>
        <w:trPr>
          <w:trHeight w:val="230"/>
        </w:trPr>
        <w:tc>
          <w:tcPr>
            <w:tcW w:w="7440" w:type="dxa"/>
            <w:vAlign w:val="bottom"/>
          </w:tcPr>
          <w:p>
            <w:pPr>
              <w:jc w:val="right"/>
              <w:ind w:right="80"/>
              <w:spacing w:after="0"/>
              <w:rPr>
                <w:sz w:val="20"/>
                <w:szCs w:val="20"/>
                <w:color w:val="auto"/>
              </w:rPr>
            </w:pPr>
            <w:r>
              <w:rPr>
                <w:rFonts w:ascii="Arial" w:cs="Arial" w:eastAsia="Arial" w:hAnsi="Arial"/>
                <w:sz w:val="20"/>
                <w:szCs w:val="20"/>
                <w:color w:val="auto"/>
                <w:w w:val="93"/>
              </w:rPr>
              <w:t>Accrued professional services . . . . . . . . . . . . . . . .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2,633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313</w:t>
            </w:r>
          </w:p>
        </w:tc>
        <w:tc>
          <w:tcPr>
            <w:tcW w:w="0" w:type="dxa"/>
            <w:vAlign w:val="bottom"/>
          </w:tcPr>
          <w:p>
            <w:pPr>
              <w:spacing w:after="0"/>
              <w:rPr>
                <w:sz w:val="1"/>
                <w:szCs w:val="1"/>
                <w:color w:val="auto"/>
              </w:rPr>
            </w:pPr>
          </w:p>
        </w:tc>
      </w:tr>
      <w:tr>
        <w:trPr>
          <w:trHeight w:val="232"/>
        </w:trPr>
        <w:tc>
          <w:tcPr>
            <w:tcW w:w="7440" w:type="dxa"/>
            <w:vAlign w:val="bottom"/>
          </w:tcPr>
          <w:p>
            <w:pPr>
              <w:jc w:val="right"/>
              <w:ind w:right="80"/>
              <w:spacing w:after="0"/>
              <w:rPr>
                <w:sz w:val="20"/>
                <w:szCs w:val="20"/>
                <w:color w:val="auto"/>
              </w:rPr>
            </w:pPr>
            <w:r>
              <w:rPr>
                <w:rFonts w:ascii="Arial" w:cs="Arial" w:eastAsia="Arial" w:hAnsi="Arial"/>
                <w:sz w:val="20"/>
                <w:szCs w:val="20"/>
                <w:color w:val="auto"/>
                <w:w w:val="94"/>
              </w:rPr>
              <w:t>Income tax and VAT payable . . . . . . . . . . . . . . . .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356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174</w:t>
            </w:r>
          </w:p>
        </w:tc>
        <w:tc>
          <w:tcPr>
            <w:tcW w:w="0" w:type="dxa"/>
            <w:vAlign w:val="bottom"/>
          </w:tcPr>
          <w:p>
            <w:pPr>
              <w:spacing w:after="0"/>
              <w:rPr>
                <w:sz w:val="1"/>
                <w:szCs w:val="1"/>
                <w:color w:val="auto"/>
              </w:rPr>
            </w:pPr>
          </w:p>
        </w:tc>
      </w:tr>
      <w:tr>
        <w:trPr>
          <w:trHeight w:val="241"/>
        </w:trPr>
        <w:tc>
          <w:tcPr>
            <w:tcW w:w="7440" w:type="dxa"/>
            <w:vAlign w:val="bottom"/>
          </w:tcPr>
          <w:p>
            <w:pPr>
              <w:jc w:val="right"/>
              <w:ind w:right="80"/>
              <w:spacing w:after="0"/>
              <w:rPr>
                <w:sz w:val="20"/>
                <w:szCs w:val="20"/>
                <w:color w:val="auto"/>
              </w:rPr>
            </w:pPr>
            <w:r>
              <w:rPr>
                <w:rFonts w:ascii="Arial" w:cs="Arial" w:eastAsia="Arial" w:hAnsi="Arial"/>
                <w:sz w:val="20"/>
                <w:szCs w:val="20"/>
                <w:color w:val="auto"/>
                <w:w w:val="92"/>
              </w:rPr>
              <w:t>Accrued other liabilities . . . . . . . . . . . . . . . . . . . . . .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454</w:t>
            </w:r>
          </w:p>
        </w:tc>
        <w:tc>
          <w:tcPr>
            <w:tcW w:w="0" w:type="dxa"/>
            <w:vAlign w:val="bottom"/>
          </w:tcPr>
          <w:p>
            <w:pPr>
              <w:spacing w:after="0"/>
              <w:rPr>
                <w:sz w:val="1"/>
                <w:szCs w:val="1"/>
                <w:color w:val="auto"/>
              </w:rPr>
            </w:pPr>
          </w:p>
        </w:tc>
      </w:tr>
      <w:tr>
        <w:trPr>
          <w:trHeight w:val="240"/>
        </w:trPr>
        <w:tc>
          <w:tcPr>
            <w:tcW w:w="7440" w:type="dxa"/>
            <w:vAlign w:val="bottom"/>
          </w:tcPr>
          <w:p>
            <w:pPr>
              <w:jc w:val="right"/>
              <w:ind w:right="80"/>
              <w:spacing w:after="0"/>
              <w:rPr>
                <w:sz w:val="20"/>
                <w:szCs w:val="20"/>
                <w:color w:val="auto"/>
              </w:rPr>
            </w:pPr>
            <w:r>
              <w:rPr>
                <w:rFonts w:ascii="Arial" w:cs="Arial" w:eastAsia="Arial" w:hAnsi="Arial"/>
                <w:sz w:val="20"/>
                <w:szCs w:val="20"/>
                <w:color w:val="auto"/>
              </w:rPr>
              <w:t>. . . . . . . . . . . . . . . . . . . . . . . . . . .Totalaccruedexpensesandothercurrentliabilities</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18,558</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6,741</w:t>
            </w:r>
          </w:p>
        </w:tc>
        <w:tc>
          <w:tcPr>
            <w:tcW w:w="0" w:type="dxa"/>
            <w:vAlign w:val="bottom"/>
          </w:tcPr>
          <w:p>
            <w:pPr>
              <w:spacing w:after="0"/>
              <w:rPr>
                <w:sz w:val="1"/>
                <w:szCs w:val="1"/>
                <w:color w:val="auto"/>
              </w:rPr>
            </w:pPr>
          </w:p>
        </w:tc>
      </w:tr>
      <w:tr>
        <w:trPr>
          <w:trHeight w:val="233"/>
        </w:trPr>
        <w:tc>
          <w:tcPr>
            <w:tcW w:w="7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Fair Value Measurements</w:t>
      </w:r>
    </w:p>
    <w:p>
      <w:pPr>
        <w:spacing w:after="0" w:line="242" w:lineRule="exact"/>
        <w:rPr>
          <w:sz w:val="20"/>
          <w:szCs w:val="20"/>
          <w:color w:val="auto"/>
        </w:rPr>
      </w:pPr>
    </w:p>
    <w:p>
      <w:pPr>
        <w:ind w:right="60"/>
        <w:spacing w:after="0" w:line="284" w:lineRule="auto"/>
        <w:rPr>
          <w:sz w:val="20"/>
          <w:szCs w:val="20"/>
          <w:color w:val="auto"/>
        </w:rPr>
      </w:pPr>
      <w:r>
        <w:rPr>
          <w:rFonts w:ascii="Arial" w:cs="Arial" w:eastAsia="Arial" w:hAnsi="Arial"/>
          <w:sz w:val="20"/>
          <w:szCs w:val="20"/>
          <w:color w:val="auto"/>
        </w:rPr>
        <w:t>The Company determines the fair value of financial and non-financial assets and liabilities using the fair value hierarchy which establishes three levels of inputs that may be used to measure fair value, as follows: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Level 1—Observable inputs, such as quoted prices in active markets for identical assets or liabilities;</w:t>
      </w:r>
    </w:p>
    <w:p>
      <w:pPr>
        <w:spacing w:after="0" w:line="239" w:lineRule="exact"/>
        <w:rPr>
          <w:sz w:val="20"/>
          <w:szCs w:val="20"/>
          <w:color w:val="auto"/>
        </w:rPr>
      </w:pPr>
    </w:p>
    <w:p>
      <w:pPr>
        <w:jc w:val="both"/>
        <w:ind w:right="360"/>
        <w:spacing w:after="0" w:line="262" w:lineRule="auto"/>
        <w:rPr>
          <w:sz w:val="20"/>
          <w:szCs w:val="20"/>
          <w:color w:val="auto"/>
        </w:rPr>
      </w:pPr>
      <w:r>
        <w:rPr>
          <w:rFonts w:ascii="Arial" w:cs="Arial" w:eastAsia="Arial" w:hAnsi="Arial"/>
          <w:sz w:val="20"/>
          <w:szCs w:val="20"/>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77" w:lineRule="exact"/>
        <w:rPr>
          <w:sz w:val="20"/>
          <w:szCs w:val="20"/>
          <w:color w:val="auto"/>
        </w:rPr>
      </w:pPr>
    </w:p>
    <w:p>
      <w:pPr>
        <w:jc w:val="both"/>
        <w:ind w:right="180"/>
        <w:spacing w:after="0" w:line="262" w:lineRule="auto"/>
        <w:rPr>
          <w:sz w:val="20"/>
          <w:szCs w:val="20"/>
          <w:color w:val="auto"/>
        </w:rPr>
      </w:pPr>
      <w:r>
        <w:rPr>
          <w:rFonts w:ascii="Arial" w:cs="Arial" w:eastAsia="Arial" w:hAnsi="Arial"/>
          <w:sz w:val="20"/>
          <w:szCs w:val="20"/>
          <w:color w:val="auto"/>
        </w:rPr>
        <w:t>Level 3—Unobservable inputs which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77"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77"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ectPr>
          <w:pgSz w:w="11880" w:h="15480" w:orient="portrait"/>
          <w:cols w:equalWidth="0" w:num="1">
            <w:col w:w="9720"/>
          </w:cols>
          <w:pgMar w:left="1080" w:top="1061"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187</w:t>
      </w:r>
    </w:p>
    <w:p>
      <w:pPr>
        <w:sectPr>
          <w:pgSz w:w="11880" w:h="15480" w:orient="portrait"/>
          <w:cols w:equalWidth="0" w:num="1">
            <w:col w:w="9720"/>
          </w:cols>
          <w:pgMar w:left="1080" w:top="1061" w:right="1080" w:bottom="555" w:gutter="0" w:footer="0" w:header="0"/>
          <w:type w:val="continuous"/>
        </w:sectPr>
      </w:pPr>
    </w:p>
    <w:bookmarkStart w:id="189" w:name="page190"/>
    <w:bookmarkEnd w:id="189"/>
    <w:p>
      <w:pPr>
        <w:jc w:val="center"/>
        <w:spacing w:after="0"/>
        <w:rPr>
          <w:sz w:val="20"/>
          <w:szCs w:val="20"/>
          <w:color w:val="auto"/>
        </w:rPr>
      </w:pPr>
      <w:r>
        <w:rPr>
          <w:rFonts w:ascii="Arial" w:cs="Arial" w:eastAsia="Arial" w:hAnsi="Arial"/>
          <w:sz w:val="20"/>
          <w:szCs w:val="20"/>
          <w:color w:val="auto"/>
        </w:rPr>
        <w:t>STRUCTURE THERAPEUTICS INC.</w:t>
      </w:r>
    </w:p>
    <w:p>
      <w:pPr>
        <w:jc w:val="center"/>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ind w:right="340"/>
        <w:spacing w:after="0" w:line="262" w:lineRule="auto"/>
        <w:rPr>
          <w:sz w:val="20"/>
          <w:szCs w:val="20"/>
          <w:color w:val="auto"/>
        </w:rPr>
      </w:pPr>
      <w:r>
        <w:rPr>
          <w:rFonts w:ascii="Arial" w:cs="Arial" w:eastAsia="Arial" w:hAnsi="Arial"/>
          <w:sz w:val="20"/>
          <w:szCs w:val="20"/>
          <w:color w:val="auto"/>
        </w:rPr>
        <w:t>The following tables present information about the Company’s financial assets measured at fair value on a recurring basis and indicates the level of the fair value hierarchy utilized to determine such fair values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140335</wp:posOffset>
                </wp:positionV>
                <wp:extent cx="616267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1.05pt" to="485.6pt,11.05pt" o:allowincell="f" strokecolor="#000000" strokeweight="0.4799pt"/>
            </w:pict>
          </mc:Fallback>
        </mc:AlternateConten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6"/>
                <w:szCs w:val="16"/>
                <w:b w:val="1"/>
                <w:bCs w:val="1"/>
                <w:color w:val="auto"/>
              </w:rPr>
              <w:t>DECEMBER 31,</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7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4"/>
          </w:tcPr>
          <w:p>
            <w:pPr>
              <w:jc w:val="right"/>
              <w:ind w:right="20"/>
              <w:spacing w:after="0" w:line="175" w:lineRule="exact"/>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5"/>
          </w:tcPr>
          <w:p>
            <w:pPr>
              <w:jc w:val="right"/>
              <w:spacing w:after="0" w:line="175" w:lineRule="exact"/>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60" w:type="dxa"/>
            <w:vAlign w:val="bottom"/>
            <w:vMerge w:val="restart"/>
          </w:tcPr>
          <w:p>
            <w:pPr>
              <w:jc w:val="right"/>
              <w:ind w:right="1220"/>
              <w:spacing w:after="0"/>
              <w:rPr>
                <w:sz w:val="20"/>
                <w:szCs w:val="20"/>
                <w:color w:val="auto"/>
              </w:rPr>
            </w:pPr>
            <w:r>
              <w:rPr>
                <w:rFonts w:ascii="Arial" w:cs="Arial" w:eastAsia="Arial" w:hAnsi="Arial"/>
                <w:sz w:val="16"/>
                <w:szCs w:val="16"/>
                <w:color w:val="auto"/>
                <w:w w:val="99"/>
              </w:rPr>
              <w:t>Money market funds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00"/>
              <w:spacing w:after="0" w:line="175" w:lineRule="exact"/>
              <w:rPr>
                <w:sz w:val="20"/>
                <w:szCs w:val="20"/>
                <w:color w:val="auto"/>
              </w:rPr>
            </w:pPr>
            <w:r>
              <w:rPr>
                <w:rFonts w:ascii="Arial" w:cs="Arial" w:eastAsia="Arial" w:hAnsi="Arial"/>
                <w:sz w:val="16"/>
                <w:szCs w:val="16"/>
                <w:b w:val="1"/>
                <w:bCs w:val="1"/>
                <w:color w:val="auto"/>
                <w:w w:val="98"/>
              </w:rPr>
              <w:t>LEVEL 1</w:t>
            </w:r>
          </w:p>
        </w:tc>
        <w:tc>
          <w:tcPr>
            <w:tcW w:w="920" w:type="dxa"/>
            <w:vAlign w:val="bottom"/>
            <w:gridSpan w:val="6"/>
          </w:tcPr>
          <w:p>
            <w:pPr>
              <w:jc w:val="right"/>
              <w:ind w:right="220"/>
              <w:spacing w:after="0" w:line="175" w:lineRule="exact"/>
              <w:rPr>
                <w:sz w:val="20"/>
                <w:szCs w:val="20"/>
                <w:color w:val="auto"/>
              </w:rPr>
            </w:pPr>
            <w:r>
              <w:rPr>
                <w:rFonts w:ascii="Arial" w:cs="Arial" w:eastAsia="Arial" w:hAnsi="Arial"/>
                <w:sz w:val="16"/>
                <w:szCs w:val="16"/>
                <w:b w:val="1"/>
                <w:bCs w:val="1"/>
                <w:color w:val="auto"/>
              </w:rPr>
              <w:t>LEVEL 2</w:t>
            </w:r>
          </w:p>
        </w:tc>
        <w:tc>
          <w:tcPr>
            <w:tcW w:w="66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w w:val="98"/>
              </w:rPr>
              <w:t>LEVEL 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20"/>
              <w:spacing w:after="0" w:line="175" w:lineRule="exact"/>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ind w:right="180"/>
              <w:spacing w:after="0" w:line="175" w:lineRule="exact"/>
              <w:rPr>
                <w:sz w:val="20"/>
                <w:szCs w:val="20"/>
                <w:color w:val="auto"/>
              </w:rPr>
            </w:pPr>
            <w:r>
              <w:rPr>
                <w:rFonts w:ascii="Arial" w:cs="Arial" w:eastAsia="Arial" w:hAnsi="Arial"/>
                <w:sz w:val="16"/>
                <w:szCs w:val="16"/>
                <w:b w:val="1"/>
                <w:bCs w:val="1"/>
                <w:color w:val="auto"/>
                <w:w w:val="98"/>
              </w:rPr>
              <w:t>LEVEL 1</w:t>
            </w:r>
          </w:p>
        </w:tc>
        <w:tc>
          <w:tcPr>
            <w:tcW w:w="860" w:type="dxa"/>
            <w:vAlign w:val="bottom"/>
            <w:gridSpan w:val="7"/>
          </w:tcPr>
          <w:p>
            <w:pPr>
              <w:ind w:left="20"/>
              <w:spacing w:after="0" w:line="175" w:lineRule="exact"/>
              <w:rPr>
                <w:sz w:val="20"/>
                <w:szCs w:val="20"/>
                <w:color w:val="auto"/>
              </w:rPr>
            </w:pPr>
            <w:r>
              <w:rPr>
                <w:rFonts w:ascii="Arial" w:cs="Arial" w:eastAsia="Arial" w:hAnsi="Arial"/>
                <w:sz w:val="16"/>
                <w:szCs w:val="16"/>
                <w:b w:val="1"/>
                <w:bCs w:val="1"/>
                <w:color w:val="auto"/>
              </w:rPr>
              <w:t>LEVEL 2</w:t>
            </w:r>
          </w:p>
        </w:tc>
        <w:tc>
          <w:tcPr>
            <w:tcW w:w="640" w:type="dxa"/>
            <w:vAlign w:val="bottom"/>
            <w:gridSpan w:val="3"/>
          </w:tcPr>
          <w:p>
            <w:pPr>
              <w:jc w:val="right"/>
              <w:spacing w:after="0" w:line="175" w:lineRule="exact"/>
              <w:rPr>
                <w:sz w:val="20"/>
                <w:szCs w:val="20"/>
                <w:color w:val="auto"/>
              </w:rPr>
            </w:pPr>
            <w:r>
              <w:rPr>
                <w:rFonts w:ascii="Arial" w:cs="Arial" w:eastAsia="Arial" w:hAnsi="Arial"/>
                <w:sz w:val="16"/>
                <w:szCs w:val="16"/>
                <w:b w:val="1"/>
                <w:bCs w:val="1"/>
                <w:color w:val="auto"/>
                <w:w w:val="95"/>
              </w:rPr>
              <w:t>LEVEL 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7"/>
              </w:rPr>
              <w:t>TOTAL</w:t>
            </w:r>
          </w:p>
        </w:tc>
        <w:tc>
          <w:tcPr>
            <w:tcW w:w="0" w:type="dxa"/>
            <w:vAlign w:val="bottom"/>
          </w:tcPr>
          <w:p>
            <w:pPr>
              <w:spacing w:after="0"/>
              <w:rPr>
                <w:sz w:val="1"/>
                <w:szCs w:val="1"/>
                <w:color w:val="auto"/>
              </w:rPr>
            </w:pPr>
          </w:p>
        </w:tc>
      </w:tr>
      <w:tr>
        <w:trPr>
          <w:trHeight w:val="167"/>
        </w:trPr>
        <w:tc>
          <w:tcPr>
            <w:tcW w:w="2760" w:type="dxa"/>
            <w:vAlign w:val="bottom"/>
            <w:vMerge w:val="continue"/>
          </w:tcPr>
          <w:p>
            <w:pPr>
              <w:jc w:val="right"/>
              <w:ind w:right="200"/>
              <w:spacing w:after="0" w:line="140" w:lineRule="exact"/>
              <w:rPr>
                <w:sz w:val="20"/>
                <w:szCs w:val="20"/>
                <w:color w:val="auto"/>
              </w:rPr>
            </w:pPr>
            <w:r>
              <w:rPr>
                <w:rFonts w:ascii="Arial" w:cs="Arial" w:eastAsia="Arial" w:hAnsi="Arial"/>
                <w:sz w:val="16"/>
                <w:szCs w:val="16"/>
                <w:color w:val="auto"/>
              </w:rPr>
              <w:t>. . . . . . . . . . .</w:t>
            </w:r>
          </w:p>
        </w:tc>
        <w:tc>
          <w:tcPr>
            <w:tcW w:w="100" w:type="dxa"/>
            <w:vAlign w:val="bottom"/>
            <w:tcBorders>
              <w:top w:val="single" w:sz="8" w:color="auto"/>
              <w:bottom w:val="single" w:sz="8" w:color="auto"/>
            </w:tcBorders>
            <w:gridSpan w:val="2"/>
          </w:tcPr>
          <w:p>
            <w:pPr>
              <w:jc w:val="right"/>
              <w:spacing w:after="0" w:line="167"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124,443</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top w:val="single" w:sz="8" w:color="auto"/>
              <w:bottom w:val="single" w:sz="8" w:color="auto"/>
            </w:tcBorders>
            <w:gridSpan w:val="4"/>
          </w:tcPr>
          <w:p>
            <w:pPr>
              <w:jc w:val="right"/>
              <w:ind w:right="40"/>
              <w:spacing w:after="0" w:line="167" w:lineRule="exact"/>
              <w:rPr>
                <w:sz w:val="20"/>
                <w:szCs w:val="20"/>
                <w:color w:val="auto"/>
              </w:rPr>
            </w:pPr>
            <w:r>
              <w:rPr>
                <w:rFonts w:ascii="Arial" w:cs="Arial" w:eastAsia="Arial" w:hAnsi="Arial"/>
                <w:sz w:val="16"/>
                <w:szCs w:val="16"/>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top w:val="single" w:sz="8" w:color="auto"/>
              <w:bottom w:val="single" w:sz="8" w:color="auto"/>
            </w:tcBorders>
            <w:gridSpan w:val="2"/>
          </w:tcPr>
          <w:p>
            <w:pPr>
              <w:jc w:val="right"/>
              <w:ind w:right="60"/>
              <w:spacing w:after="0" w:line="167" w:lineRule="exact"/>
              <w:rPr>
                <w:sz w:val="20"/>
                <w:szCs w:val="20"/>
                <w:color w:val="auto"/>
              </w:rPr>
            </w:pPr>
            <w:r>
              <w:rPr>
                <w:rFonts w:ascii="Arial" w:cs="Arial" w:eastAsia="Arial" w:hAnsi="Arial"/>
                <w:sz w:val="16"/>
                <w:szCs w:val="16"/>
                <w:color w:val="auto"/>
                <w:w w:val="95"/>
              </w:rPr>
              <w:t>$ 124,443</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6"/>
              </w:rPr>
              <w:t>$ 18,994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bottom w:val="single" w:sz="8" w:color="auto"/>
            </w:tcBorders>
            <w:gridSpan w:val="2"/>
          </w:tcPr>
          <w:p>
            <w:pPr>
              <w:spacing w:after="0" w:line="167"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top w:val="single" w:sz="8" w:color="auto"/>
              <w:bottom w:val="single" w:sz="8" w:color="auto"/>
            </w:tcBorders>
            <w:gridSpan w:val="3"/>
          </w:tcPr>
          <w:p>
            <w:pPr>
              <w:jc w:val="right"/>
              <w:spacing w:after="0" w:line="167" w:lineRule="exact"/>
              <w:rPr>
                <w:sz w:val="20"/>
                <w:szCs w:val="20"/>
                <w:color w:val="auto"/>
              </w:rPr>
            </w:pPr>
            <w:r>
              <w:rPr>
                <w:rFonts w:ascii="Arial" w:cs="Arial" w:eastAsia="Arial" w:hAnsi="Arial"/>
                <w:sz w:val="16"/>
                <w:szCs w:val="16"/>
                <w:color w:val="auto"/>
              </w:rPr>
              <w:t>$    —</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6"/>
              </w:rPr>
              <w:t>$ 18,994</w:t>
            </w:r>
          </w:p>
        </w:tc>
        <w:tc>
          <w:tcPr>
            <w:tcW w:w="0" w:type="dxa"/>
            <w:vAlign w:val="bottom"/>
          </w:tcPr>
          <w:p>
            <w:pPr>
              <w:spacing w:after="0"/>
              <w:rPr>
                <w:sz w:val="1"/>
                <w:szCs w:val="1"/>
                <w:color w:val="auto"/>
              </w:rPr>
            </w:pPr>
          </w:p>
        </w:tc>
      </w:tr>
      <w:tr>
        <w:trPr>
          <w:trHeight w:val="212"/>
        </w:trPr>
        <w:tc>
          <w:tcPr>
            <w:tcW w:w="2760" w:type="dxa"/>
            <w:vAlign w:val="bottom"/>
          </w:tcPr>
          <w:p>
            <w:pPr>
              <w:jc w:val="right"/>
              <w:ind w:right="200"/>
              <w:spacing w:after="0"/>
              <w:rPr>
                <w:sz w:val="20"/>
                <w:szCs w:val="20"/>
                <w:color w:val="auto"/>
              </w:rPr>
            </w:pPr>
            <w:r>
              <w:rPr>
                <w:rFonts w:ascii="Arial" w:cs="Arial" w:eastAsia="Arial" w:hAnsi="Arial"/>
                <w:sz w:val="16"/>
                <w:szCs w:val="16"/>
                <w:color w:val="auto"/>
              </w:rPr>
              <w:t>. . . . . . . . . . . .Cashequivalents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124,443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124,443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18,994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18,994</w:t>
            </w:r>
          </w:p>
        </w:tc>
        <w:tc>
          <w:tcPr>
            <w:tcW w:w="0" w:type="dxa"/>
            <w:vAlign w:val="bottom"/>
          </w:tcPr>
          <w:p>
            <w:pPr>
              <w:spacing w:after="0"/>
              <w:rPr>
                <w:sz w:val="1"/>
                <w:szCs w:val="1"/>
                <w:color w:val="auto"/>
              </w:rPr>
            </w:pPr>
          </w:p>
        </w:tc>
      </w:tr>
      <w:tr>
        <w:trPr>
          <w:trHeight w:val="320"/>
        </w:trPr>
        <w:tc>
          <w:tcPr>
            <w:tcW w:w="2760" w:type="dxa"/>
            <w:vAlign w:val="bottom"/>
          </w:tcPr>
          <w:p>
            <w:pPr>
              <w:jc w:val="right"/>
              <w:ind w:right="200"/>
              <w:spacing w:after="0"/>
              <w:rPr>
                <w:sz w:val="20"/>
                <w:szCs w:val="20"/>
                <w:color w:val="auto"/>
              </w:rPr>
            </w:pPr>
            <w:r>
              <w:rPr>
                <w:rFonts w:ascii="Arial" w:cs="Arial" w:eastAsia="Arial" w:hAnsi="Arial"/>
                <w:sz w:val="16"/>
                <w:szCs w:val="16"/>
                <w:color w:val="auto"/>
                <w:w w:val="99"/>
              </w:rPr>
              <w:t>U.S. government bonds . . . . . . . .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84,935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4"/>
          </w:tcPr>
          <w:p>
            <w:pPr>
              <w:jc w:val="right"/>
              <w:ind w:right="60"/>
              <w:spacing w:after="0"/>
              <w:rPr>
                <w:sz w:val="20"/>
                <w:szCs w:val="20"/>
                <w:color w:val="auto"/>
              </w:rPr>
            </w:pPr>
            <w:r>
              <w:rPr>
                <w:rFonts w:ascii="Arial" w:cs="Arial" w:eastAsia="Arial" w:hAnsi="Arial"/>
                <w:sz w:val="16"/>
                <w:szCs w:val="16"/>
                <w:color w:val="auto"/>
              </w:rPr>
              <w:t>84,935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11,763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11,763</w:t>
            </w:r>
          </w:p>
        </w:tc>
        <w:tc>
          <w:tcPr>
            <w:tcW w:w="0" w:type="dxa"/>
            <w:vAlign w:val="bottom"/>
          </w:tcPr>
          <w:p>
            <w:pPr>
              <w:spacing w:after="0"/>
              <w:rPr>
                <w:sz w:val="1"/>
                <w:szCs w:val="1"/>
                <w:color w:val="auto"/>
              </w:rPr>
            </w:pPr>
          </w:p>
        </w:tc>
      </w:tr>
      <w:tr>
        <w:trPr>
          <w:trHeight w:val="185"/>
        </w:trPr>
        <w:tc>
          <w:tcPr>
            <w:tcW w:w="2760" w:type="dxa"/>
            <w:vAlign w:val="bottom"/>
          </w:tcPr>
          <w:p>
            <w:pPr>
              <w:jc w:val="right"/>
              <w:ind w:right="200"/>
              <w:spacing w:after="0"/>
              <w:rPr>
                <w:sz w:val="20"/>
                <w:szCs w:val="20"/>
                <w:color w:val="auto"/>
              </w:rPr>
            </w:pPr>
            <w:r>
              <w:rPr>
                <w:rFonts w:ascii="Arial" w:cs="Arial" w:eastAsia="Arial" w:hAnsi="Arial"/>
                <w:sz w:val="16"/>
                <w:szCs w:val="16"/>
                <w:color w:val="auto"/>
                <w:w w:val="98"/>
              </w:rPr>
              <w:t>U.S. government agency bonds .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82,340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4"/>
          </w:tcPr>
          <w:p>
            <w:pPr>
              <w:jc w:val="right"/>
              <w:ind w:right="60"/>
              <w:spacing w:after="0"/>
              <w:rPr>
                <w:sz w:val="20"/>
                <w:szCs w:val="20"/>
                <w:color w:val="auto"/>
              </w:rPr>
            </w:pPr>
            <w:r>
              <w:rPr>
                <w:rFonts w:ascii="Arial" w:cs="Arial" w:eastAsia="Arial" w:hAnsi="Arial"/>
                <w:sz w:val="16"/>
                <w:szCs w:val="16"/>
                <w:color w:val="auto"/>
              </w:rPr>
              <w:t>82,340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4"/>
          </w:tcPr>
          <w:p>
            <w:pPr>
              <w:jc w:val="right"/>
              <w:spacing w:after="0"/>
              <w:rPr>
                <w:sz w:val="20"/>
                <w:szCs w:val="20"/>
                <w:color w:val="auto"/>
              </w:rPr>
            </w:pPr>
            <w:r>
              <w:rPr>
                <w:rFonts w:ascii="Arial" w:cs="Arial" w:eastAsia="Arial" w:hAnsi="Arial"/>
                <w:sz w:val="16"/>
                <w:szCs w:val="16"/>
                <w:color w:val="auto"/>
              </w:rPr>
              <w:t>1,794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1,794</w:t>
            </w:r>
          </w:p>
        </w:tc>
        <w:tc>
          <w:tcPr>
            <w:tcW w:w="0" w:type="dxa"/>
            <w:vAlign w:val="bottom"/>
          </w:tcPr>
          <w:p>
            <w:pPr>
              <w:spacing w:after="0"/>
              <w:rPr>
                <w:sz w:val="1"/>
                <w:szCs w:val="1"/>
                <w:color w:val="auto"/>
              </w:rPr>
            </w:pPr>
          </w:p>
        </w:tc>
      </w:tr>
      <w:tr>
        <w:trPr>
          <w:trHeight w:val="193"/>
        </w:trPr>
        <w:tc>
          <w:tcPr>
            <w:tcW w:w="2760" w:type="dxa"/>
            <w:vAlign w:val="bottom"/>
          </w:tcPr>
          <w:p>
            <w:pPr>
              <w:jc w:val="right"/>
              <w:ind w:right="200"/>
              <w:spacing w:after="0"/>
              <w:rPr>
                <w:sz w:val="20"/>
                <w:szCs w:val="20"/>
                <w:color w:val="auto"/>
              </w:rPr>
            </w:pPr>
            <w:r>
              <w:rPr>
                <w:rFonts w:ascii="Arial" w:cs="Arial" w:eastAsia="Arial" w:hAnsi="Arial"/>
                <w:sz w:val="16"/>
                <w:szCs w:val="16"/>
                <w:color w:val="auto"/>
                <w:w w:val="98"/>
              </w:rPr>
              <w:t>Corporate debt securities . . . . . .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170,256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4"/>
          </w:tcPr>
          <w:p>
            <w:pPr>
              <w:jc w:val="right"/>
              <w:ind w:right="60"/>
              <w:spacing w:after="0"/>
              <w:rPr>
                <w:sz w:val="20"/>
                <w:szCs w:val="20"/>
                <w:color w:val="auto"/>
              </w:rPr>
            </w:pPr>
            <w:r>
              <w:rPr>
                <w:rFonts w:ascii="Arial" w:cs="Arial" w:eastAsia="Arial" w:hAnsi="Arial"/>
                <w:sz w:val="16"/>
                <w:szCs w:val="16"/>
                <w:color w:val="auto"/>
              </w:rPr>
              <w:t>170,256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4"/>
          </w:tcPr>
          <w:p>
            <w:pPr>
              <w:jc w:val="right"/>
              <w:spacing w:after="0"/>
              <w:rPr>
                <w:sz w:val="20"/>
                <w:szCs w:val="20"/>
                <w:color w:val="auto"/>
              </w:rPr>
            </w:pPr>
            <w:r>
              <w:rPr>
                <w:rFonts w:ascii="Arial" w:cs="Arial" w:eastAsia="Arial" w:hAnsi="Arial"/>
                <w:sz w:val="16"/>
                <w:szCs w:val="16"/>
                <w:color w:val="auto"/>
              </w:rPr>
              <w:t>51,193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51,193</w:t>
            </w:r>
          </w:p>
        </w:tc>
        <w:tc>
          <w:tcPr>
            <w:tcW w:w="0" w:type="dxa"/>
            <w:vAlign w:val="bottom"/>
          </w:tcPr>
          <w:p>
            <w:pPr>
              <w:spacing w:after="0"/>
              <w:rPr>
                <w:sz w:val="1"/>
                <w:szCs w:val="1"/>
                <w:color w:val="auto"/>
              </w:rPr>
            </w:pPr>
          </w:p>
        </w:tc>
      </w:tr>
      <w:tr>
        <w:trPr>
          <w:trHeight w:val="175"/>
        </w:trPr>
        <w:tc>
          <w:tcPr>
            <w:tcW w:w="2760" w:type="dxa"/>
            <w:vAlign w:val="bottom"/>
          </w:tcPr>
          <w:p>
            <w:pPr>
              <w:jc w:val="right"/>
              <w:ind w:right="200"/>
              <w:spacing w:after="0" w:line="175" w:lineRule="exact"/>
              <w:rPr>
                <w:sz w:val="20"/>
                <w:szCs w:val="20"/>
                <w:color w:val="auto"/>
              </w:rPr>
            </w:pPr>
            <w:r>
              <w:rPr>
                <w:rFonts w:ascii="Arial" w:cs="Arial" w:eastAsia="Arial" w:hAnsi="Arial"/>
                <w:sz w:val="16"/>
                <w:szCs w:val="16"/>
                <w:color w:val="auto"/>
              </w:rPr>
              <w:t>. . . . . . . .Short-terminvestments</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84,935</w:t>
            </w:r>
          </w:p>
        </w:tc>
        <w:tc>
          <w:tcPr>
            <w:tcW w:w="180" w:type="dxa"/>
            <w:vAlign w:val="bottom"/>
          </w:tcPr>
          <w:p>
            <w:pPr>
              <w:spacing w:after="0"/>
              <w:rPr>
                <w:sz w:val="15"/>
                <w:szCs w:val="15"/>
                <w:color w:val="auto"/>
              </w:rPr>
            </w:pPr>
          </w:p>
        </w:tc>
        <w:tc>
          <w:tcPr>
            <w:tcW w:w="760" w:type="dxa"/>
            <w:vAlign w:val="bottom"/>
            <w:tcBorders>
              <w:top w:val="single" w:sz="8" w:color="auto"/>
              <w:bottom w:val="single" w:sz="8" w:color="auto"/>
            </w:tcBorders>
            <w:gridSpan w:val="3"/>
          </w:tcPr>
          <w:p>
            <w:pPr>
              <w:jc w:val="right"/>
              <w:spacing w:after="0" w:line="175" w:lineRule="exact"/>
              <w:rPr>
                <w:sz w:val="20"/>
                <w:szCs w:val="20"/>
                <w:color w:val="auto"/>
              </w:rPr>
            </w:pPr>
            <w:r>
              <w:rPr>
                <w:rFonts w:ascii="Arial" w:cs="Arial" w:eastAsia="Arial" w:hAnsi="Arial"/>
                <w:sz w:val="16"/>
                <w:szCs w:val="16"/>
                <w:color w:val="auto"/>
              </w:rPr>
              <w:t>252,596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gridSpan w:val="3"/>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top w:val="single" w:sz="8" w:color="auto"/>
              <w:bottom w:val="single" w:sz="8" w:color="auto"/>
            </w:tcBorders>
            <w:gridSpan w:val="2"/>
          </w:tcPr>
          <w:p>
            <w:pPr>
              <w:jc w:val="right"/>
              <w:ind w:right="60"/>
              <w:spacing w:after="0" w:line="175" w:lineRule="exact"/>
              <w:rPr>
                <w:sz w:val="20"/>
                <w:szCs w:val="20"/>
                <w:color w:val="auto"/>
              </w:rPr>
            </w:pPr>
            <w:r>
              <w:rPr>
                <w:rFonts w:ascii="Arial" w:cs="Arial" w:eastAsia="Arial" w:hAnsi="Arial"/>
                <w:sz w:val="16"/>
                <w:szCs w:val="16"/>
                <w:color w:val="auto"/>
              </w:rPr>
              <w:t>337,531</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11,763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top w:val="single" w:sz="8" w:color="auto"/>
              <w:bottom w:val="single" w:sz="8" w:color="auto"/>
            </w:tcBorders>
            <w:gridSpan w:val="4"/>
          </w:tcPr>
          <w:p>
            <w:pPr>
              <w:jc w:val="right"/>
              <w:spacing w:after="0" w:line="175" w:lineRule="exact"/>
              <w:rPr>
                <w:sz w:val="20"/>
                <w:szCs w:val="20"/>
                <w:color w:val="auto"/>
              </w:rPr>
            </w:pPr>
            <w:r>
              <w:rPr>
                <w:rFonts w:ascii="Arial" w:cs="Arial" w:eastAsia="Arial" w:hAnsi="Arial"/>
                <w:sz w:val="16"/>
                <w:szCs w:val="16"/>
                <w:color w:val="auto"/>
              </w:rPr>
              <w:t>52,987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64,750</w:t>
            </w:r>
          </w:p>
        </w:tc>
        <w:tc>
          <w:tcPr>
            <w:tcW w:w="0" w:type="dxa"/>
            <w:vAlign w:val="bottom"/>
          </w:tcPr>
          <w:p>
            <w:pPr>
              <w:spacing w:after="0"/>
              <w:rPr>
                <w:sz w:val="1"/>
                <w:szCs w:val="1"/>
                <w:color w:val="auto"/>
              </w:rPr>
            </w:pPr>
          </w:p>
        </w:tc>
      </w:tr>
      <w:tr>
        <w:trPr>
          <w:trHeight w:val="188"/>
        </w:trPr>
        <w:tc>
          <w:tcPr>
            <w:tcW w:w="2760" w:type="dxa"/>
            <w:vAlign w:val="bottom"/>
          </w:tcPr>
          <w:p>
            <w:pPr>
              <w:jc w:val="right"/>
              <w:ind w:right="200"/>
              <w:spacing w:after="0" w:line="180" w:lineRule="exact"/>
              <w:rPr>
                <w:sz w:val="20"/>
                <w:szCs w:val="20"/>
                <w:color w:val="auto"/>
              </w:rPr>
            </w:pPr>
            <w:r>
              <w:rPr>
                <w:rFonts w:ascii="Arial" w:cs="Arial" w:eastAsia="Arial" w:hAnsi="Arial"/>
                <w:sz w:val="16"/>
                <w:szCs w:val="16"/>
                <w:color w:val="auto"/>
              </w:rPr>
              <w:t>Total fair value of financial assets .</w:t>
            </w:r>
          </w:p>
        </w:tc>
        <w:tc>
          <w:tcPr>
            <w:tcW w:w="100" w:type="dxa"/>
            <w:vAlign w:val="bottom"/>
            <w:tcBorders>
              <w:bottom w:val="single" w:sz="8" w:color="auto"/>
            </w:tcBorders>
            <w:gridSpan w:val="2"/>
          </w:tcPr>
          <w:p>
            <w:pPr>
              <w:jc w:val="right"/>
              <w:spacing w:after="0" w:line="180"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209,378</w:t>
            </w:r>
          </w:p>
        </w:tc>
        <w:tc>
          <w:tcPr>
            <w:tcW w:w="180" w:type="dxa"/>
            <w:vAlign w:val="bottom"/>
          </w:tcPr>
          <w:p>
            <w:pPr>
              <w:spacing w:after="0"/>
              <w:rPr>
                <w:sz w:val="16"/>
                <w:szCs w:val="16"/>
                <w:color w:val="auto"/>
              </w:rPr>
            </w:pPr>
          </w:p>
        </w:tc>
        <w:tc>
          <w:tcPr>
            <w:tcW w:w="760" w:type="dxa"/>
            <w:vAlign w:val="bottom"/>
            <w:tcBorders>
              <w:bottom w:val="single" w:sz="8" w:color="auto"/>
            </w:tcBorders>
            <w:gridSpan w:val="3"/>
          </w:tcPr>
          <w:p>
            <w:pPr>
              <w:jc w:val="right"/>
              <w:spacing w:after="0" w:line="180" w:lineRule="exact"/>
              <w:rPr>
                <w:sz w:val="20"/>
                <w:szCs w:val="20"/>
                <w:color w:val="auto"/>
              </w:rPr>
            </w:pPr>
            <w:r>
              <w:rPr>
                <w:rFonts w:ascii="Arial" w:cs="Arial" w:eastAsia="Arial" w:hAnsi="Arial"/>
                <w:sz w:val="16"/>
                <w:szCs w:val="16"/>
                <w:color w:val="auto"/>
                <w:w w:val="95"/>
              </w:rPr>
              <w:t>$ 252,596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gridSpan w:val="3"/>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gridSpan w:val="2"/>
          </w:tcPr>
          <w:p>
            <w:pPr>
              <w:jc w:val="right"/>
              <w:ind w:right="60"/>
              <w:spacing w:after="0" w:line="180" w:lineRule="exact"/>
              <w:rPr>
                <w:sz w:val="20"/>
                <w:szCs w:val="20"/>
                <w:color w:val="auto"/>
              </w:rPr>
            </w:pPr>
            <w:r>
              <w:rPr>
                <w:rFonts w:ascii="Arial" w:cs="Arial" w:eastAsia="Arial" w:hAnsi="Arial"/>
                <w:sz w:val="16"/>
                <w:szCs w:val="16"/>
                <w:color w:val="auto"/>
                <w:w w:val="95"/>
              </w:rPr>
              <w:t>$ 461,974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96"/>
              </w:rPr>
              <w:t>$ 30,757</w:t>
            </w: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bottom w:val="single" w:sz="8" w:color="auto"/>
            </w:tcBorders>
            <w:gridSpan w:val="4"/>
          </w:tcPr>
          <w:p>
            <w:pPr>
              <w:jc w:val="right"/>
              <w:spacing w:after="0" w:line="180" w:lineRule="exact"/>
              <w:rPr>
                <w:sz w:val="20"/>
                <w:szCs w:val="20"/>
                <w:color w:val="auto"/>
              </w:rPr>
            </w:pPr>
            <w:r>
              <w:rPr>
                <w:rFonts w:ascii="Arial" w:cs="Arial" w:eastAsia="Arial" w:hAnsi="Arial"/>
                <w:sz w:val="16"/>
                <w:szCs w:val="16"/>
                <w:color w:val="auto"/>
                <w:w w:val="96"/>
              </w:rPr>
              <w:t>$ 52,987</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w w:val="96"/>
              </w:rPr>
              <w:t>$ 83,744</w:t>
            </w:r>
          </w:p>
        </w:tc>
        <w:tc>
          <w:tcPr>
            <w:tcW w:w="0" w:type="dxa"/>
            <w:vAlign w:val="bottom"/>
          </w:tcPr>
          <w:p>
            <w:pPr>
              <w:spacing w:after="0"/>
              <w:rPr>
                <w:sz w:val="1"/>
                <w:szCs w:val="1"/>
                <w:color w:val="auto"/>
              </w:rPr>
            </w:pPr>
          </w:p>
        </w:tc>
      </w:tr>
      <w:tr>
        <w:trPr>
          <w:trHeight w:val="186"/>
        </w:trPr>
        <w:tc>
          <w:tcPr>
            <w:tcW w:w="2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gridSpan w:val="2"/>
          </w:tcPr>
          <w:p>
            <w:pPr>
              <w:spacing w:after="0"/>
              <w:rPr>
                <w:sz w:val="16"/>
                <w:szCs w:val="16"/>
                <w:color w:val="auto"/>
              </w:rPr>
            </w:pPr>
          </w:p>
        </w:tc>
        <w:tc>
          <w:tcPr>
            <w:tcW w:w="1000" w:type="dxa"/>
            <w:vAlign w:val="bottom"/>
            <w:tcBorders>
              <w:bottom w:val="single" w:sz="8" w:color="auto"/>
            </w:tcBorders>
            <w:gridSpan w:val="5"/>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gridSpan w:val="2"/>
          </w:tcPr>
          <w:p>
            <w:pPr>
              <w:spacing w:after="0"/>
              <w:rPr>
                <w:sz w:val="20"/>
                <w:szCs w:val="20"/>
                <w:color w:val="auto"/>
              </w:rPr>
            </w:pPr>
          </w:p>
        </w:tc>
        <w:tc>
          <w:tcPr>
            <w:tcW w:w="1000" w:type="dxa"/>
            <w:vAlign w:val="bottom"/>
            <w:tcBorders>
              <w:bottom w:val="single" w:sz="8" w:color="auto"/>
            </w:tcBorders>
            <w:gridSpan w:val="5"/>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6"/>
                <w:szCs w:val="16"/>
                <w:b w:val="1"/>
                <w:bCs w:val="1"/>
                <w:color w:val="auto"/>
              </w:rPr>
              <w:t>DECEMBER 31,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4"/>
          </w:tcPr>
          <w:p>
            <w:pPr>
              <w:jc w:val="right"/>
              <w:ind w:right="60"/>
              <w:spacing w:after="0" w:line="175" w:lineRule="exact"/>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4"/>
          </w:tcPr>
          <w:p>
            <w:pPr>
              <w:jc w:val="right"/>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
              <w:spacing w:after="0" w:line="167" w:lineRule="exact"/>
              <w:rPr>
                <w:sz w:val="20"/>
                <w:szCs w:val="20"/>
                <w:color w:val="auto"/>
              </w:rPr>
            </w:pPr>
            <w:r>
              <w:rPr>
                <w:rFonts w:ascii="Arial" w:cs="Arial" w:eastAsia="Arial" w:hAnsi="Arial"/>
                <w:sz w:val="16"/>
                <w:szCs w:val="16"/>
                <w:b w:val="1"/>
                <w:bCs w:val="1"/>
                <w:color w:val="auto"/>
                <w:w w:val="96"/>
              </w:rPr>
              <w:t>AMORTIZED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9"/>
          </w:tcPr>
          <w:p>
            <w:pPr>
              <w:ind w:left="80"/>
              <w:spacing w:after="0" w:line="167" w:lineRule="exact"/>
              <w:rPr>
                <w:sz w:val="20"/>
                <w:szCs w:val="20"/>
                <w:color w:val="auto"/>
              </w:rPr>
            </w:pPr>
            <w:r>
              <w:rPr>
                <w:rFonts w:ascii="Arial" w:cs="Arial" w:eastAsia="Arial" w:hAnsi="Arial"/>
                <w:sz w:val="16"/>
                <w:szCs w:val="16"/>
                <w:b w:val="1"/>
                <w:bCs w:val="1"/>
                <w:color w:val="auto"/>
              </w:rPr>
              <w:t>UNREALIZED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20"/>
              <w:spacing w:after="0" w:line="167" w:lineRule="exact"/>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7"/>
          </w:tcPr>
          <w:p>
            <w:pPr>
              <w:spacing w:after="0" w:line="167" w:lineRule="exact"/>
              <w:rPr>
                <w:sz w:val="20"/>
                <w:szCs w:val="20"/>
                <w:color w:val="auto"/>
              </w:rPr>
            </w:pPr>
            <w:r>
              <w:rPr>
                <w:rFonts w:ascii="Arial" w:cs="Arial" w:eastAsia="Arial" w:hAnsi="Arial"/>
                <w:sz w:val="16"/>
                <w:szCs w:val="16"/>
                <w:b w:val="1"/>
                <w:bCs w:val="1"/>
                <w:color w:val="auto"/>
              </w:rPr>
              <w:t>AMORTIZED</w:t>
            </w:r>
          </w:p>
        </w:tc>
        <w:tc>
          <w:tcPr>
            <w:tcW w:w="1200" w:type="dxa"/>
            <w:vAlign w:val="bottom"/>
            <w:gridSpan w:val="7"/>
          </w:tcPr>
          <w:p>
            <w:pPr>
              <w:jc w:val="right"/>
              <w:ind w:right="40"/>
              <w:spacing w:after="0" w:line="167" w:lineRule="exact"/>
              <w:rPr>
                <w:sz w:val="20"/>
                <w:szCs w:val="20"/>
                <w:color w:val="auto"/>
              </w:rPr>
            </w:pPr>
            <w:r>
              <w:rPr>
                <w:rFonts w:ascii="Arial" w:cs="Arial" w:eastAsia="Arial" w:hAnsi="Arial"/>
                <w:sz w:val="16"/>
                <w:szCs w:val="16"/>
                <w:b w:val="1"/>
                <w:bCs w:val="1"/>
                <w:color w:val="auto"/>
              </w:rPr>
              <w:t>UNREALIZED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line="167" w:lineRule="exact"/>
              <w:rPr>
                <w:sz w:val="20"/>
                <w:szCs w:val="20"/>
                <w:color w:val="auto"/>
              </w:rPr>
            </w:pPr>
            <w:r>
              <w:rPr>
                <w:rFonts w:ascii="Arial" w:cs="Arial" w:eastAsia="Arial" w:hAnsi="Arial"/>
                <w:sz w:val="16"/>
                <w:szCs w:val="16"/>
                <w:b w:val="1"/>
                <w:bCs w:val="1"/>
                <w:color w:val="auto"/>
                <w:w w:val="96"/>
              </w:rPr>
              <w:t>FAIR</w:t>
            </w:r>
          </w:p>
        </w:tc>
        <w:tc>
          <w:tcPr>
            <w:tcW w:w="0" w:type="dxa"/>
            <w:vAlign w:val="bottom"/>
          </w:tcPr>
          <w:p>
            <w:pPr>
              <w:spacing w:after="0"/>
              <w:rPr>
                <w:sz w:val="1"/>
                <w:szCs w:val="1"/>
                <w:color w:val="auto"/>
              </w:rPr>
            </w:pPr>
          </w:p>
        </w:tc>
      </w:tr>
      <w:tr>
        <w:trPr>
          <w:trHeight w:val="183"/>
        </w:trPr>
        <w:tc>
          <w:tcPr>
            <w:tcW w:w="2760" w:type="dxa"/>
            <w:vAlign w:val="bottom"/>
            <w:vMerge w:val="restart"/>
          </w:tcPr>
          <w:p>
            <w:pPr>
              <w:jc w:val="right"/>
              <w:ind w:right="1220"/>
              <w:spacing w:after="0"/>
              <w:rPr>
                <w:sz w:val="20"/>
                <w:szCs w:val="20"/>
                <w:color w:val="auto"/>
              </w:rPr>
            </w:pPr>
            <w:r>
              <w:rPr>
                <w:rFonts w:ascii="Arial" w:cs="Arial" w:eastAsia="Arial" w:hAnsi="Arial"/>
                <w:sz w:val="16"/>
                <w:szCs w:val="16"/>
                <w:color w:val="auto"/>
                <w:w w:val="99"/>
              </w:rPr>
              <w:t>Money market funds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5"/>
                <w:szCs w:val="15"/>
                <w:color w:val="auto"/>
              </w:rPr>
            </w:pPr>
          </w:p>
        </w:tc>
        <w:tc>
          <w:tcPr>
            <w:tcW w:w="800" w:type="dxa"/>
            <w:vAlign w:val="bottom"/>
            <w:tcBorders>
              <w:top w:val="single" w:sz="8" w:color="auto"/>
            </w:tcBorders>
            <w:gridSpan w:val="5"/>
          </w:tcPr>
          <w:p>
            <w:pPr>
              <w:spacing w:after="0"/>
              <w:rPr>
                <w:sz w:val="20"/>
                <w:szCs w:val="20"/>
                <w:color w:val="auto"/>
              </w:rPr>
            </w:pPr>
            <w:r>
              <w:rPr>
                <w:rFonts w:ascii="Arial" w:cs="Arial" w:eastAsia="Arial" w:hAnsi="Arial"/>
                <w:sz w:val="16"/>
                <w:szCs w:val="16"/>
                <w:b w:val="1"/>
                <w:bCs w:val="1"/>
                <w:color w:val="auto"/>
              </w:rPr>
              <w:t>LOSSES</w:t>
            </w:r>
          </w:p>
        </w:tc>
        <w:tc>
          <w:tcPr>
            <w:tcW w:w="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GAINS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VALUE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COST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top w:val="single" w:sz="8" w:color="auto"/>
            </w:tcBorders>
            <w:gridSpan w:val="5"/>
          </w:tcPr>
          <w:p>
            <w:pPr>
              <w:spacing w:after="0"/>
              <w:rPr>
                <w:sz w:val="20"/>
                <w:szCs w:val="20"/>
                <w:color w:val="auto"/>
              </w:rPr>
            </w:pPr>
            <w:r>
              <w:rPr>
                <w:rFonts w:ascii="Arial" w:cs="Arial" w:eastAsia="Arial" w:hAnsi="Arial"/>
                <w:sz w:val="16"/>
                <w:szCs w:val="16"/>
                <w:b w:val="1"/>
                <w:bCs w:val="1"/>
                <w:color w:val="auto"/>
              </w:rPr>
              <w:t>LOSSES</w:t>
            </w: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GAINS</w:t>
            </w: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9"/>
              </w:rPr>
              <w:t>VALUE</w:t>
            </w:r>
          </w:p>
        </w:tc>
        <w:tc>
          <w:tcPr>
            <w:tcW w:w="0" w:type="dxa"/>
            <w:vAlign w:val="bottom"/>
          </w:tcPr>
          <w:p>
            <w:pPr>
              <w:spacing w:after="0"/>
              <w:rPr>
                <w:sz w:val="1"/>
                <w:szCs w:val="1"/>
                <w:color w:val="auto"/>
              </w:rPr>
            </w:pPr>
          </w:p>
        </w:tc>
      </w:tr>
      <w:tr>
        <w:trPr>
          <w:trHeight w:val="169"/>
        </w:trPr>
        <w:tc>
          <w:tcPr>
            <w:tcW w:w="2760" w:type="dxa"/>
            <w:vAlign w:val="bottom"/>
            <w:vMerge w:val="continue"/>
          </w:tcPr>
          <w:p>
            <w:pPr>
              <w:jc w:val="right"/>
              <w:ind w:right="200"/>
              <w:spacing w:after="0" w:line="141" w:lineRule="exact"/>
              <w:rPr>
                <w:sz w:val="20"/>
                <w:szCs w:val="20"/>
                <w:color w:val="auto"/>
              </w:rPr>
            </w:pPr>
            <w:r>
              <w:rPr>
                <w:rFonts w:ascii="Arial" w:cs="Arial" w:eastAsia="Arial" w:hAnsi="Arial"/>
                <w:sz w:val="16"/>
                <w:szCs w:val="16"/>
                <w:color w:val="auto"/>
              </w:rPr>
              <w:t>. . . . . . . . . . .</w:t>
            </w: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ind w:right="60"/>
              <w:spacing w:after="0" w:line="169" w:lineRule="exact"/>
              <w:rPr>
                <w:sz w:val="20"/>
                <w:szCs w:val="20"/>
                <w:color w:val="auto"/>
              </w:rPr>
            </w:pPr>
            <w:r>
              <w:rPr>
                <w:rFonts w:ascii="Arial" w:cs="Arial" w:eastAsia="Arial" w:hAnsi="Arial"/>
                <w:sz w:val="16"/>
                <w:szCs w:val="16"/>
                <w:color w:val="auto"/>
              </w:rPr>
              <w:t>124,443</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gridSpan w:val="2"/>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top w:val="single" w:sz="8" w:color="auto"/>
              <w:bottom w:val="single" w:sz="8" w:color="auto"/>
            </w:tcBorders>
            <w:gridSpan w:val="4"/>
          </w:tcPr>
          <w:p>
            <w:pPr>
              <w:jc w:val="right"/>
              <w:ind w:right="80"/>
              <w:spacing w:after="0" w:line="169" w:lineRule="exact"/>
              <w:rPr>
                <w:sz w:val="20"/>
                <w:szCs w:val="20"/>
                <w:color w:val="auto"/>
              </w:rPr>
            </w:pPr>
            <w:r>
              <w:rPr>
                <w:rFonts w:ascii="Arial" w:cs="Arial" w:eastAsia="Arial" w:hAnsi="Arial"/>
                <w:sz w:val="16"/>
                <w:szCs w:val="16"/>
                <w:color w:val="auto"/>
              </w:rPr>
              <w:t>$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top w:val="single" w:sz="8" w:color="auto"/>
              <w:bottom w:val="single" w:sz="8" w:color="auto"/>
            </w:tcBorders>
            <w:gridSpan w:val="2"/>
          </w:tcPr>
          <w:p>
            <w:pPr>
              <w:jc w:val="right"/>
              <w:spacing w:after="0" w:line="169" w:lineRule="exact"/>
              <w:rPr>
                <w:sz w:val="20"/>
                <w:szCs w:val="20"/>
                <w:color w:val="auto"/>
              </w:rPr>
            </w:pPr>
            <w:r>
              <w:rPr>
                <w:rFonts w:ascii="Arial" w:cs="Arial" w:eastAsia="Arial" w:hAnsi="Arial"/>
                <w:sz w:val="16"/>
                <w:szCs w:val="16"/>
                <w:color w:val="auto"/>
                <w:w w:val="98"/>
              </w:rPr>
              <w:t>$ 124,443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4"/>
          </w:tcPr>
          <w:p>
            <w:pPr>
              <w:jc w:val="right"/>
              <w:ind w:right="20"/>
              <w:spacing w:after="0" w:line="169" w:lineRule="exact"/>
              <w:rPr>
                <w:sz w:val="20"/>
                <w:szCs w:val="20"/>
                <w:color w:val="auto"/>
              </w:rPr>
            </w:pPr>
            <w:r>
              <w:rPr>
                <w:rFonts w:ascii="Arial" w:cs="Arial" w:eastAsia="Arial" w:hAnsi="Arial"/>
                <w:sz w:val="16"/>
                <w:szCs w:val="16"/>
                <w:color w:val="auto"/>
              </w:rPr>
              <w:t>18,994</w:t>
            </w: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gridSpan w:val="3"/>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gridSpan w:val="2"/>
          </w:tcPr>
          <w:p>
            <w:pPr>
              <w:jc w:val="right"/>
              <w:spacing w:after="0" w:line="169" w:lineRule="exact"/>
              <w:rPr>
                <w:sz w:val="20"/>
                <w:szCs w:val="20"/>
                <w:color w:val="auto"/>
              </w:rPr>
            </w:pPr>
            <w:r>
              <w:rPr>
                <w:rFonts w:ascii="Arial" w:cs="Arial" w:eastAsia="Arial" w:hAnsi="Arial"/>
                <w:sz w:val="16"/>
                <w:szCs w:val="16"/>
                <w:color w:val="auto"/>
              </w:rPr>
              <w:t>$    —</w:t>
            </w: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gridSpan w:val="2"/>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6"/>
              </w:rPr>
              <w:t>$ 18,994</w:t>
            </w:r>
          </w:p>
        </w:tc>
        <w:tc>
          <w:tcPr>
            <w:tcW w:w="0" w:type="dxa"/>
            <w:vAlign w:val="bottom"/>
          </w:tcPr>
          <w:p>
            <w:pPr>
              <w:spacing w:after="0"/>
              <w:rPr>
                <w:sz w:val="1"/>
                <w:szCs w:val="1"/>
                <w:color w:val="auto"/>
              </w:rPr>
            </w:pPr>
          </w:p>
        </w:tc>
      </w:tr>
      <w:tr>
        <w:trPr>
          <w:trHeight w:val="212"/>
        </w:trPr>
        <w:tc>
          <w:tcPr>
            <w:tcW w:w="2760" w:type="dxa"/>
            <w:vAlign w:val="bottom"/>
          </w:tcPr>
          <w:p>
            <w:pPr>
              <w:jc w:val="right"/>
              <w:ind w:right="200"/>
              <w:spacing w:after="0"/>
              <w:rPr>
                <w:sz w:val="20"/>
                <w:szCs w:val="20"/>
                <w:color w:val="auto"/>
              </w:rPr>
            </w:pPr>
            <w:r>
              <w:rPr>
                <w:rFonts w:ascii="Arial" w:cs="Arial" w:eastAsia="Arial" w:hAnsi="Arial"/>
                <w:sz w:val="16"/>
                <w:szCs w:val="16"/>
                <w:color w:val="auto"/>
              </w:rPr>
              <w:t>. . . . . . . . . . . .Cashequivalents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124,443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124,443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6"/>
                <w:szCs w:val="16"/>
                <w:color w:val="auto"/>
              </w:rPr>
              <w:t>18,994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18,994</w:t>
            </w:r>
          </w:p>
        </w:tc>
        <w:tc>
          <w:tcPr>
            <w:tcW w:w="0" w:type="dxa"/>
            <w:vAlign w:val="bottom"/>
          </w:tcPr>
          <w:p>
            <w:pPr>
              <w:spacing w:after="0"/>
              <w:rPr>
                <w:sz w:val="1"/>
                <w:szCs w:val="1"/>
                <w:color w:val="auto"/>
              </w:rPr>
            </w:pPr>
          </w:p>
        </w:tc>
      </w:tr>
      <w:tr>
        <w:trPr>
          <w:trHeight w:val="324"/>
        </w:trPr>
        <w:tc>
          <w:tcPr>
            <w:tcW w:w="2760" w:type="dxa"/>
            <w:vAlign w:val="bottom"/>
          </w:tcPr>
          <w:p>
            <w:pPr>
              <w:jc w:val="right"/>
              <w:ind w:right="200"/>
              <w:spacing w:after="0"/>
              <w:rPr>
                <w:sz w:val="20"/>
                <w:szCs w:val="20"/>
                <w:color w:val="auto"/>
              </w:rPr>
            </w:pPr>
            <w:r>
              <w:rPr>
                <w:rFonts w:ascii="Arial" w:cs="Arial" w:eastAsia="Arial" w:hAnsi="Arial"/>
                <w:sz w:val="16"/>
                <w:szCs w:val="16"/>
                <w:color w:val="auto"/>
                <w:w w:val="99"/>
              </w:rPr>
              <w:t>U.S. government bonds . . . . . . . .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84,783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187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84,935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6"/>
                <w:szCs w:val="16"/>
                <w:color w:val="auto"/>
              </w:rPr>
              <w:t>11,820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(57)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11,763</w:t>
            </w:r>
          </w:p>
        </w:tc>
        <w:tc>
          <w:tcPr>
            <w:tcW w:w="0" w:type="dxa"/>
            <w:vAlign w:val="bottom"/>
          </w:tcPr>
          <w:p>
            <w:pPr>
              <w:spacing w:after="0"/>
              <w:rPr>
                <w:sz w:val="1"/>
                <w:szCs w:val="1"/>
                <w:color w:val="auto"/>
              </w:rPr>
            </w:pPr>
          </w:p>
        </w:tc>
      </w:tr>
      <w:tr>
        <w:trPr>
          <w:trHeight w:val="185"/>
        </w:trPr>
        <w:tc>
          <w:tcPr>
            <w:tcW w:w="2760" w:type="dxa"/>
            <w:vAlign w:val="bottom"/>
          </w:tcPr>
          <w:p>
            <w:pPr>
              <w:jc w:val="right"/>
              <w:ind w:right="200"/>
              <w:spacing w:after="0"/>
              <w:rPr>
                <w:sz w:val="20"/>
                <w:szCs w:val="20"/>
                <w:color w:val="auto"/>
              </w:rPr>
            </w:pPr>
            <w:r>
              <w:rPr>
                <w:rFonts w:ascii="Arial" w:cs="Arial" w:eastAsia="Arial" w:hAnsi="Arial"/>
                <w:sz w:val="16"/>
                <w:szCs w:val="16"/>
                <w:color w:val="auto"/>
                <w:w w:val="98"/>
              </w:rPr>
              <w:t>U.S. government agency bonds .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82,185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82,340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6"/>
                <w:szCs w:val="16"/>
                <w:color w:val="auto"/>
              </w:rPr>
              <w:t>1,801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1,794</w:t>
            </w:r>
          </w:p>
        </w:tc>
        <w:tc>
          <w:tcPr>
            <w:tcW w:w="0" w:type="dxa"/>
            <w:vAlign w:val="bottom"/>
          </w:tcPr>
          <w:p>
            <w:pPr>
              <w:spacing w:after="0"/>
              <w:rPr>
                <w:sz w:val="1"/>
                <w:szCs w:val="1"/>
                <w:color w:val="auto"/>
              </w:rPr>
            </w:pPr>
          </w:p>
        </w:tc>
      </w:tr>
      <w:tr>
        <w:trPr>
          <w:trHeight w:val="194"/>
        </w:trPr>
        <w:tc>
          <w:tcPr>
            <w:tcW w:w="2760" w:type="dxa"/>
            <w:vAlign w:val="bottom"/>
          </w:tcPr>
          <w:p>
            <w:pPr>
              <w:jc w:val="right"/>
              <w:ind w:right="200"/>
              <w:spacing w:after="0"/>
              <w:rPr>
                <w:sz w:val="20"/>
                <w:szCs w:val="20"/>
                <w:color w:val="auto"/>
              </w:rPr>
            </w:pPr>
            <w:r>
              <w:rPr>
                <w:rFonts w:ascii="Arial" w:cs="Arial" w:eastAsia="Arial" w:hAnsi="Arial"/>
                <w:sz w:val="16"/>
                <w:szCs w:val="16"/>
                <w:color w:val="auto"/>
                <w:w w:val="98"/>
              </w:rPr>
              <w:t>Corporate debt securities . . . . . .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170,042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253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170,256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6"/>
                <w:szCs w:val="16"/>
                <w:color w:val="auto"/>
              </w:rPr>
              <w:t>51,239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51,193</w:t>
            </w:r>
          </w:p>
        </w:tc>
        <w:tc>
          <w:tcPr>
            <w:tcW w:w="0" w:type="dxa"/>
            <w:vAlign w:val="bottom"/>
          </w:tcPr>
          <w:p>
            <w:pPr>
              <w:spacing w:after="0"/>
              <w:rPr>
                <w:sz w:val="1"/>
                <w:szCs w:val="1"/>
                <w:color w:val="auto"/>
              </w:rPr>
            </w:pPr>
          </w:p>
        </w:tc>
      </w:tr>
      <w:tr>
        <w:trPr>
          <w:trHeight w:val="176"/>
        </w:trPr>
        <w:tc>
          <w:tcPr>
            <w:tcW w:w="2760" w:type="dxa"/>
            <w:vAlign w:val="bottom"/>
          </w:tcPr>
          <w:p>
            <w:pPr>
              <w:jc w:val="right"/>
              <w:ind w:right="200"/>
              <w:spacing w:after="0" w:line="176" w:lineRule="exact"/>
              <w:rPr>
                <w:sz w:val="20"/>
                <w:szCs w:val="20"/>
                <w:color w:val="auto"/>
              </w:rPr>
            </w:pPr>
            <w:r>
              <w:rPr>
                <w:rFonts w:ascii="Arial" w:cs="Arial" w:eastAsia="Arial" w:hAnsi="Arial"/>
                <w:sz w:val="16"/>
                <w:szCs w:val="16"/>
                <w:color w:val="auto"/>
              </w:rPr>
              <w:t>. . . . . . . .Short-terminvestments</w:t>
            </w: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gridSpan w:val="2"/>
          </w:tcPr>
          <w:p>
            <w:pPr>
              <w:jc w:val="right"/>
              <w:ind w:right="60"/>
              <w:spacing w:after="0" w:line="176" w:lineRule="exact"/>
              <w:rPr>
                <w:sz w:val="20"/>
                <w:szCs w:val="20"/>
                <w:color w:val="auto"/>
              </w:rPr>
            </w:pPr>
            <w:r>
              <w:rPr>
                <w:rFonts w:ascii="Arial" w:cs="Arial" w:eastAsia="Arial" w:hAnsi="Arial"/>
                <w:sz w:val="16"/>
                <w:szCs w:val="16"/>
                <w:color w:val="auto"/>
              </w:rPr>
              <w:t>337,010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gridSpan w:val="2"/>
          </w:tcPr>
          <w:p>
            <w:pPr>
              <w:jc w:val="right"/>
              <w:spacing w:after="0" w:line="176" w:lineRule="exact"/>
              <w:rPr>
                <w:sz w:val="20"/>
                <w:szCs w:val="20"/>
                <w:color w:val="auto"/>
              </w:rPr>
            </w:pPr>
            <w:r>
              <w:rPr>
                <w:rFonts w:ascii="Arial" w:cs="Arial" w:eastAsia="Arial" w:hAnsi="Arial"/>
                <w:sz w:val="16"/>
                <w:szCs w:val="16"/>
                <w:color w:val="auto"/>
              </w:rPr>
              <w:t>(90)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611</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top w:val="single" w:sz="8" w:color="auto"/>
              <w:bottom w:val="single" w:sz="8" w:color="auto"/>
            </w:tcBorders>
            <w:gridSpan w:val="2"/>
          </w:tcPr>
          <w:p>
            <w:pPr>
              <w:jc w:val="right"/>
              <w:spacing w:after="0" w:line="176" w:lineRule="exact"/>
              <w:rPr>
                <w:sz w:val="20"/>
                <w:szCs w:val="20"/>
                <w:color w:val="auto"/>
              </w:rPr>
            </w:pPr>
            <w:r>
              <w:rPr>
                <w:rFonts w:ascii="Arial" w:cs="Arial" w:eastAsia="Arial" w:hAnsi="Arial"/>
                <w:sz w:val="16"/>
                <w:szCs w:val="16"/>
                <w:color w:val="auto"/>
              </w:rPr>
              <w:t>337,531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4"/>
          </w:tcPr>
          <w:p>
            <w:pPr>
              <w:jc w:val="right"/>
              <w:ind w:right="20"/>
              <w:spacing w:after="0" w:line="176" w:lineRule="exact"/>
              <w:rPr>
                <w:sz w:val="20"/>
                <w:szCs w:val="20"/>
                <w:color w:val="auto"/>
              </w:rPr>
            </w:pPr>
            <w:r>
              <w:rPr>
                <w:rFonts w:ascii="Arial" w:cs="Arial" w:eastAsia="Arial" w:hAnsi="Arial"/>
                <w:sz w:val="16"/>
                <w:szCs w:val="16"/>
                <w:color w:val="auto"/>
              </w:rPr>
              <w:t>64,860</w:t>
            </w:r>
          </w:p>
        </w:tc>
        <w:tc>
          <w:tcPr>
            <w:tcW w:w="4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gridSpan w:val="3"/>
          </w:tcPr>
          <w:p>
            <w:pPr>
              <w:jc w:val="right"/>
              <w:spacing w:after="0" w:line="176" w:lineRule="exact"/>
              <w:rPr>
                <w:sz w:val="20"/>
                <w:szCs w:val="20"/>
                <w:color w:val="auto"/>
              </w:rPr>
            </w:pPr>
            <w:r>
              <w:rPr>
                <w:rFonts w:ascii="Arial" w:cs="Arial" w:eastAsia="Arial" w:hAnsi="Arial"/>
                <w:sz w:val="16"/>
                <w:szCs w:val="16"/>
                <w:color w:val="auto"/>
              </w:rPr>
              <w:t>(113)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w:t>
            </w:r>
          </w:p>
        </w:tc>
        <w:tc>
          <w:tcPr>
            <w:tcW w:w="40" w:type="dxa"/>
            <w:vAlign w:val="bottom"/>
            <w:tcBorders>
              <w:top w:val="single" w:sz="8" w:color="auto"/>
              <w:bottom w:val="single" w:sz="8" w:color="auto"/>
            </w:tcBorders>
          </w:tcPr>
          <w:p>
            <w:pPr>
              <w:spacing w:after="0"/>
              <w:rPr>
                <w:sz w:val="15"/>
                <w:szCs w:val="15"/>
                <w:color w:val="auto"/>
              </w:rPr>
            </w:pPr>
          </w:p>
        </w:tc>
        <w:tc>
          <w:tcPr>
            <w:tcW w:w="140" w:type="dxa"/>
            <w:vAlign w:val="bottom"/>
            <w:gridSpan w:val="2"/>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64,750</w:t>
            </w:r>
          </w:p>
        </w:tc>
        <w:tc>
          <w:tcPr>
            <w:tcW w:w="0" w:type="dxa"/>
            <w:vAlign w:val="bottom"/>
          </w:tcPr>
          <w:p>
            <w:pPr>
              <w:spacing w:after="0"/>
              <w:rPr>
                <w:sz w:val="1"/>
                <w:szCs w:val="1"/>
                <w:color w:val="auto"/>
              </w:rPr>
            </w:pPr>
          </w:p>
        </w:tc>
      </w:tr>
      <w:tr>
        <w:trPr>
          <w:trHeight w:val="190"/>
        </w:trPr>
        <w:tc>
          <w:tcPr>
            <w:tcW w:w="2760" w:type="dxa"/>
            <w:vAlign w:val="bottom"/>
          </w:tcPr>
          <w:p>
            <w:pPr>
              <w:jc w:val="right"/>
              <w:ind w:right="200"/>
              <w:spacing w:after="0" w:line="181" w:lineRule="exact"/>
              <w:rPr>
                <w:sz w:val="20"/>
                <w:szCs w:val="20"/>
                <w:color w:val="auto"/>
              </w:rPr>
            </w:pPr>
            <w:r>
              <w:rPr>
                <w:rFonts w:ascii="Arial" w:cs="Arial" w:eastAsia="Arial" w:hAnsi="Arial"/>
                <w:sz w:val="16"/>
                <w:szCs w:val="16"/>
                <w:color w:val="auto"/>
              </w:rPr>
              <w:t>Total fair value of financial assets .</w:t>
            </w: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461,453</w:t>
            </w:r>
          </w:p>
        </w:tc>
        <w:tc>
          <w:tcPr>
            <w:tcW w:w="120" w:type="dxa"/>
            <w:vAlign w:val="bottom"/>
          </w:tcPr>
          <w:p>
            <w:pPr>
              <w:spacing w:after="0"/>
              <w:rPr>
                <w:sz w:val="16"/>
                <w:szCs w:val="16"/>
                <w:color w:val="auto"/>
              </w:rPr>
            </w:pPr>
          </w:p>
        </w:tc>
        <w:tc>
          <w:tcPr>
            <w:tcW w:w="100" w:type="dxa"/>
            <w:vAlign w:val="bottom"/>
          </w:tcPr>
          <w:p>
            <w:pPr>
              <w:spacing w:after="0" w:line="181" w:lineRule="exact"/>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(90)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gridSpan w:val="2"/>
          </w:tcPr>
          <w:p>
            <w:pPr>
              <w:spacing w:after="0" w:line="181"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81" w:lineRule="exact"/>
              <w:rPr>
                <w:sz w:val="20"/>
                <w:szCs w:val="20"/>
                <w:color w:val="auto"/>
              </w:rPr>
            </w:pPr>
            <w:r>
              <w:rPr>
                <w:rFonts w:ascii="Arial" w:cs="Arial" w:eastAsia="Arial" w:hAnsi="Arial"/>
                <w:sz w:val="16"/>
                <w:szCs w:val="16"/>
                <w:color w:val="auto"/>
              </w:rPr>
              <w:t>611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right"/>
              <w:spacing w:after="0" w:line="181" w:lineRule="exact"/>
              <w:rPr>
                <w:sz w:val="20"/>
                <w:szCs w:val="20"/>
                <w:color w:val="auto"/>
              </w:rPr>
            </w:pPr>
            <w:r>
              <w:rPr>
                <w:rFonts w:ascii="Arial" w:cs="Arial" w:eastAsia="Arial" w:hAnsi="Arial"/>
                <w:sz w:val="16"/>
                <w:szCs w:val="16"/>
                <w:color w:val="auto"/>
                <w:w w:val="98"/>
              </w:rPr>
              <w:t>$ 461,974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83,854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line="181" w:lineRule="exact"/>
              <w:rPr>
                <w:sz w:val="20"/>
                <w:szCs w:val="20"/>
                <w:color w:val="auto"/>
              </w:rPr>
            </w:pPr>
            <w:r>
              <w:rPr>
                <w:rFonts w:ascii="Arial" w:cs="Arial" w:eastAsia="Arial" w:hAnsi="Arial"/>
                <w:sz w:val="16"/>
                <w:szCs w:val="16"/>
                <w:color w:val="auto"/>
              </w:rPr>
              <w:t>$</w:t>
            </w:r>
          </w:p>
        </w:tc>
        <w:tc>
          <w:tcPr>
            <w:tcW w:w="52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(113)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line="181" w:lineRule="exact"/>
              <w:rPr>
                <w:sz w:val="20"/>
                <w:szCs w:val="20"/>
                <w:color w:val="auto"/>
              </w:rPr>
            </w:pPr>
            <w:r>
              <w:rPr>
                <w:rFonts w:ascii="Arial" w:cs="Arial" w:eastAsia="Arial" w:hAnsi="Arial"/>
                <w:sz w:val="16"/>
                <w:szCs w:val="16"/>
                <w:color w:val="auto"/>
              </w:rPr>
              <w:t>3</w:t>
            </w:r>
          </w:p>
        </w:tc>
        <w:tc>
          <w:tcPr>
            <w:tcW w:w="4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6"/>
                <w:szCs w:val="16"/>
                <w:color w:val="auto"/>
                <w:w w:val="96"/>
              </w:rPr>
              <w:t>$ 83,744</w:t>
            </w:r>
          </w:p>
        </w:tc>
        <w:tc>
          <w:tcPr>
            <w:tcW w:w="0" w:type="dxa"/>
            <w:vAlign w:val="bottom"/>
          </w:tcPr>
          <w:p>
            <w:pPr>
              <w:spacing w:after="0"/>
              <w:rPr>
                <w:sz w:val="1"/>
                <w:szCs w:val="1"/>
                <w:color w:val="auto"/>
              </w:rPr>
            </w:pPr>
          </w:p>
        </w:tc>
      </w:tr>
      <w:tr>
        <w:trPr>
          <w:trHeight w:val="187"/>
        </w:trPr>
        <w:tc>
          <w:tcPr>
            <w:tcW w:w="2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As of December 31, 2023 and 2022, the Company did not have any liabilities measured at fair value on a recurring basis. There were no transfers in and out of Level 3 during the years ended December 31, 2023 and 2022.</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The unrealized losses for marketable securities related to changes in interest rates and the Company has the intent and ability to hold the underlying securities until the estimated date of recovery of its amortized cost. No allowance for credit losses was recorded at either December 31, 2023 or 2022, and no impairment losses were recognized for the years ended December 31, 2023 and 2022.</w:t>
      </w:r>
    </w:p>
    <w:p>
      <w:pPr>
        <w:sectPr>
          <w:pgSz w:w="11880" w:h="15480" w:orient="portrait"/>
          <w:cols w:equalWidth="0" w:num="1">
            <w:col w:w="9720"/>
          </w:cols>
          <w:pgMar w:left="1080" w:top="1061"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188</w:t>
      </w:r>
    </w:p>
    <w:p>
      <w:pPr>
        <w:sectPr>
          <w:pgSz w:w="11880" w:h="15480" w:orient="portrait"/>
          <w:cols w:equalWidth="0" w:num="1">
            <w:col w:w="9720"/>
          </w:cols>
          <w:pgMar w:left="1080" w:top="1061" w:right="1080" w:bottom="555" w:gutter="0" w:footer="0" w:header="0"/>
          <w:type w:val="continuous"/>
        </w:sectPr>
      </w:pPr>
    </w:p>
    <w:bookmarkStart w:id="190" w:name="page191"/>
    <w:bookmarkEnd w:id="190"/>
    <w:p>
      <w:pPr>
        <w:jc w:val="center"/>
        <w:ind w:right="-19"/>
        <w:spacing w:after="0"/>
        <w:rPr>
          <w:sz w:val="20"/>
          <w:szCs w:val="20"/>
          <w:color w:val="auto"/>
        </w:rPr>
      </w:pPr>
      <w:r>
        <w:rPr>
          <w:rFonts w:ascii="Arial" w:cs="Arial" w:eastAsia="Arial" w:hAnsi="Arial"/>
          <w:sz w:val="20"/>
          <w:szCs w:val="20"/>
          <w:color w:val="auto"/>
        </w:rPr>
        <w:t>STRUCTURE THERAPEUTICS INC.</w:t>
      </w:r>
    </w:p>
    <w:p>
      <w:pPr>
        <w:jc w:val="center"/>
        <w:ind w:right="-19"/>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Money market funds and U.S. government bonds are included within Level 1 of the fair value hierarchy because they are valued using quoted market prices. Corporate debt securities and U.S. government agency bonds are classified within Level 2 of the fair value hierarchy as they take into consideration valuations obtained from third-party pricing services. The pricing services utilize industry standard valuation models, including both income-based and market-based approaches, for which all significant inputs are observable, either directly or indirectly, to estimate the fair value. These inputs include reported trades of and broker/dealer quotes on similar securities, issuer credit spreads, benchmark securities, prepayment/default projections based on historical data and other observable inputs.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Term Loan</w:t>
      </w:r>
    </w:p>
    <w:p>
      <w:pPr>
        <w:spacing w:after="0" w:line="242" w:lineRule="exact"/>
        <w:rPr>
          <w:sz w:val="20"/>
          <w:szCs w:val="20"/>
          <w:color w:val="auto"/>
        </w:rPr>
      </w:pPr>
    </w:p>
    <w:p>
      <w:pPr>
        <w:ind w:right="240"/>
        <w:spacing w:after="0" w:line="284" w:lineRule="auto"/>
        <w:rPr>
          <w:sz w:val="20"/>
          <w:szCs w:val="20"/>
          <w:color w:val="auto"/>
        </w:rPr>
      </w:pPr>
      <w:r>
        <w:rPr>
          <w:rFonts w:ascii="Arial" w:cs="Arial" w:eastAsia="Arial" w:hAnsi="Arial"/>
          <w:sz w:val="20"/>
          <w:szCs w:val="20"/>
          <w:color w:val="auto"/>
        </w:rPr>
        <w:t>On August 4, 2020, the Company entered into a Loan and Security Agreement (the “SVB Agreement”) with Silicon Valley Bank (“SVB”) for up to $8.0 million in debt financing (the “SVB Loan”).</w:t>
      </w:r>
    </w:p>
    <w:p>
      <w:pPr>
        <w:spacing w:after="0" w:line="155"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In connection with the entering into the SVB Agreement, the Company issued SVB a warrant to purchase 112,279 of its ordinary shares at an exercise price of $0.48 per share (“SVB Warrant”). Amounts available to be borrowed under the SVB Agreement expired unused and in February 2023, the Company issued 106,060 ordinary shares through a cashless exercise upon the exercise of the SVB Warrant.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Commitments and Contingencies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Leases</w:t>
      </w:r>
    </w:p>
    <w:p>
      <w:pPr>
        <w:spacing w:after="0" w:line="235"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In June 2021, Shanghai ShouTi entered into an agreement to lease approximately 5,900 square feet of office space in Chamtime Plaza in Shanghai, China. The lease commenced on September 16, 2021 and expired on September 15, 2023. Shanghai ShouTi had an option to extend the lease term, however the renewal term and conditions should be agreed between Shanghai ShouTi and the landlord. For accounting purposes, the lease term did not include the option to extend the lease term as it was not reasonably certain that the lease term would be extended.</w:t>
      </w:r>
    </w:p>
    <w:p>
      <w:pPr>
        <w:spacing w:after="0" w:line="189"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In November 2021, StructureTx US entered into an agreement to lease approximately 4,050 square feet of office spaces in South San Francisco, California. The lease commenced on November 11, 2021, and expired on October 31, 2023.</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In June 2023, Shanghai ShouTi entered into a lease agreement for approximately 22,500 square feet of office space in Shanghai, China, for its research and development operations office, which commenced in</w:t>
      </w:r>
    </w:p>
    <w:p>
      <w:pPr>
        <w:spacing w:after="0" w:line="2" w:lineRule="exact"/>
        <w:rPr>
          <w:sz w:val="20"/>
          <w:szCs w:val="20"/>
          <w:color w:val="auto"/>
        </w:rPr>
      </w:pPr>
    </w:p>
    <w:p>
      <w:pPr>
        <w:jc w:val="both"/>
        <w:ind w:right="220"/>
        <w:spacing w:after="0" w:line="262" w:lineRule="auto"/>
        <w:rPr>
          <w:sz w:val="20"/>
          <w:szCs w:val="20"/>
          <w:color w:val="auto"/>
        </w:rPr>
      </w:pPr>
      <w:r>
        <w:rPr>
          <w:rFonts w:ascii="Arial" w:cs="Arial" w:eastAsia="Arial" w:hAnsi="Arial"/>
          <w:sz w:val="20"/>
          <w:szCs w:val="20"/>
          <w:color w:val="auto"/>
        </w:rPr>
        <w:t>July 2023 and will expire on December 31, 2026. The annual base rent is approximately $0.7 million based on the exchange rate upon entering into this lease agreement, and Shanghai ShouTi is also responsible for the payment of additional costs and fees related to its use of the premises.</w:t>
      </w:r>
    </w:p>
    <w:p>
      <w:pPr>
        <w:spacing w:after="0" w:line="177"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According to the lease agreement, the Company is obligated to restore the premises and all fixtures, fittings and equipment in the premises to its original condition. The Company’s asset retirement obligations are primarily associated with leasehold improvements which the Company is contractually obligated to remove at the end of a lease to comply with the lease agreement. The Company recognized an asset retirement obligation at the inception of a lease at its estimated fair value based on the expected timing of payment of the related costs. In the determination of fair value for an asset retirement obligation, the Company uses various assumptions and judgments, including such factors as the existence of a legal obligation, estimated amounts and timing of settlements, discount and inflation rates. The key estimates as of the inception date were the fair value of the asset retirement obligation of $0.4 million, timing of the settlement of 3.4 years and the discount rate of 6.8%. The associated estimated asset retirement costs are capitalized as part of the carrying amount of the leasehold improvements and depreciated over its useful life. As of December 31, 2023</w:t>
      </w:r>
    </w:p>
    <w:p>
      <w:pPr>
        <w:sectPr>
          <w:pgSz w:w="11880" w:h="15480" w:orient="portrait"/>
          <w:cols w:equalWidth="0" w:num="1">
            <w:col w:w="9700"/>
          </w:cols>
          <w:pgMar w:left="1080" w:top="1061" w:right="1100" w:bottom="555"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189</w:t>
      </w:r>
    </w:p>
    <w:p>
      <w:pPr>
        <w:sectPr>
          <w:pgSz w:w="11880" w:h="15480" w:orient="portrait"/>
          <w:cols w:equalWidth="0" w:num="1">
            <w:col w:w="9700"/>
          </w:cols>
          <w:pgMar w:left="1080" w:top="1061" w:right="1100" w:bottom="555" w:gutter="0" w:footer="0" w:header="0"/>
          <w:type w:val="continuous"/>
        </w:sectPr>
      </w:pPr>
    </w:p>
    <w:bookmarkStart w:id="191" w:name="page192"/>
    <w:bookmarkEnd w:id="191"/>
    <w:p>
      <w:pPr>
        <w:jc w:val="center"/>
        <w:spacing w:after="0"/>
        <w:rPr>
          <w:sz w:val="20"/>
          <w:szCs w:val="20"/>
          <w:color w:val="auto"/>
        </w:rPr>
      </w:pPr>
      <w:r>
        <w:rPr>
          <w:rFonts w:ascii="Arial" w:cs="Arial" w:eastAsia="Arial" w:hAnsi="Arial"/>
          <w:sz w:val="20"/>
          <w:szCs w:val="20"/>
          <w:color w:val="auto"/>
        </w:rPr>
        <w:t>STRUCTURE THERAPEUTICS INC.</w:t>
      </w:r>
    </w:p>
    <w:p>
      <w:pPr>
        <w:jc w:val="center"/>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ind w:right="600"/>
        <w:spacing w:after="0" w:line="284" w:lineRule="auto"/>
        <w:rPr>
          <w:sz w:val="20"/>
          <w:szCs w:val="20"/>
          <w:color w:val="auto"/>
        </w:rPr>
      </w:pPr>
      <w:r>
        <w:rPr>
          <w:rFonts w:ascii="Arial" w:cs="Arial" w:eastAsia="Arial" w:hAnsi="Arial"/>
          <w:sz w:val="20"/>
          <w:szCs w:val="20"/>
          <w:color w:val="auto"/>
        </w:rPr>
        <w:t>and 2022, the Company had asset retirement obligations of $0.3 million and $0, respectively, which are recorded in other non-current liabilities on the consolidated balance sheets.</w:t>
      </w:r>
    </w:p>
    <w:p>
      <w:pPr>
        <w:spacing w:after="0" w:line="157"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In June 2023, StructureTx US entered into a sublease agreement for approximately 11,800 square feet of office space located in South San Francisco, California for its corporate headquarters. The lease commenced in July 2023 and will expire on August 31, 2027. The annual base rent will initially be approximately $0.5 million and will increase annually by 3%, and StructureTx US will also be responsible for the payment of additional costs and fees related to its use of the premises.</w:t>
      </w:r>
    </w:p>
    <w:p>
      <w:pPr>
        <w:spacing w:after="0" w:line="187"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In June 2023, Shanghai ShouTi entered into another lease agreement for approximately 8,400 square feet of laboratory space located in Shanghai, China for its research and development activities. The lease commenced in December 2023 and will expire on January 31, 2027. The annual base rent will be approximately $0.3 million based on the exchange rate upon entering into this lease agreement, and Shanghai ShouTi is also responsible for the payment of additional costs and fees related to its use of the premises.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The maturities of operating lease liabilities as of December 31, 2023, were as follows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179705</wp:posOffset>
                </wp:positionV>
                <wp:extent cx="616267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15pt" to="485.6pt,14.15pt" o:allowincell="f" strokecolor="#000000" strokeweight="0.4809pt"/>
            </w:pict>
          </mc:Fallback>
        </mc:AlternateConten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2"/>
          </w:tcPr>
          <w:p>
            <w:pPr>
              <w:jc w:val="right"/>
              <w:ind w:right="6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2"/>
        </w:trPr>
        <w:tc>
          <w:tcPr>
            <w:tcW w:w="8300" w:type="dxa"/>
            <w:vAlign w:val="bottom"/>
            <w:vMerge w:val="restart"/>
          </w:tcPr>
          <w:p>
            <w:pPr>
              <w:jc w:val="right"/>
              <w:ind w:right="7740"/>
              <w:spacing w:after="0"/>
              <w:rPr>
                <w:sz w:val="20"/>
                <w:szCs w:val="20"/>
                <w:color w:val="auto"/>
              </w:rPr>
            </w:pPr>
            <w:r>
              <w:rPr>
                <w:rFonts w:ascii="Arial" w:cs="Arial" w:eastAsia="Arial" w:hAnsi="Arial"/>
                <w:sz w:val="20"/>
                <w:szCs w:val="20"/>
                <w:color w:val="auto"/>
                <w:w w:val="98"/>
              </w:rPr>
              <w:t>2024</w:t>
            </w: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0"/>
        </w:trPr>
        <w:tc>
          <w:tcPr>
            <w:tcW w:w="8300" w:type="dxa"/>
            <w:vAlign w:val="bottom"/>
            <w:vMerge w:val="continue"/>
          </w:tcPr>
          <w:p>
            <w:pPr>
              <w:jc w:val="right"/>
              <w:ind w:right="240"/>
              <w:spacing w:after="0" w:line="178" w:lineRule="exact"/>
              <w:rPr>
                <w:sz w:val="20"/>
                <w:szCs w:val="20"/>
                <w:color w:val="auto"/>
              </w:rPr>
            </w:pPr>
            <w:r>
              <w:rPr>
                <w:rFonts w:ascii="Arial" w:cs="Arial" w:eastAsia="Arial" w:hAnsi="Arial"/>
                <w:sz w:val="20"/>
                <w:szCs w:val="20"/>
                <w:color w:val="auto"/>
                <w:w w:val="95"/>
              </w:rPr>
              <w:t>. . . . . . . . . . . . . . . . . . . . . . . . . . . . . . . . . . . . . . . . . . . . . . . . . . . . . . . . . . . . . . . . . . . . . . . . . . .</w:t>
            </w:r>
          </w:p>
        </w:tc>
        <w:tc>
          <w:tcPr>
            <w:tcW w:w="2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200" w:lineRule="exact"/>
              <w:rPr>
                <w:sz w:val="20"/>
                <w:szCs w:val="20"/>
                <w:color w:val="auto"/>
              </w:rPr>
            </w:pPr>
            <w:r>
              <w:rPr>
                <w:rFonts w:ascii="Arial" w:cs="Arial" w:eastAsia="Arial" w:hAnsi="Arial"/>
                <w:sz w:val="20"/>
                <w:szCs w:val="20"/>
                <w:color w:val="auto"/>
              </w:rPr>
              <w:t>1,801</w:t>
            </w:r>
          </w:p>
        </w:tc>
        <w:tc>
          <w:tcPr>
            <w:tcW w:w="0" w:type="dxa"/>
            <w:vAlign w:val="bottom"/>
          </w:tcPr>
          <w:p>
            <w:pPr>
              <w:spacing w:after="0"/>
              <w:rPr>
                <w:sz w:val="1"/>
                <w:szCs w:val="1"/>
                <w:color w:val="auto"/>
              </w:rPr>
            </w:pPr>
          </w:p>
        </w:tc>
      </w:tr>
      <w:tr>
        <w:trPr>
          <w:trHeight w:val="229"/>
        </w:trPr>
        <w:tc>
          <w:tcPr>
            <w:tcW w:w="8300" w:type="dxa"/>
            <w:vAlign w:val="bottom"/>
          </w:tcPr>
          <w:p>
            <w:pPr>
              <w:jc w:val="right"/>
              <w:ind w:right="240"/>
              <w:spacing w:after="0"/>
              <w:rPr>
                <w:sz w:val="20"/>
                <w:szCs w:val="20"/>
                <w:color w:val="auto"/>
              </w:rPr>
            </w:pPr>
            <w:r>
              <w:rPr>
                <w:rFonts w:ascii="Arial" w:cs="Arial" w:eastAsia="Arial" w:hAnsi="Arial"/>
                <w:sz w:val="20"/>
                <w:szCs w:val="20"/>
                <w:color w:val="auto"/>
                <w:w w:val="90"/>
              </w:rPr>
              <w:t>2025 . . . . . . . . . . . . . . . . . . . . . . . . . . . . . . . . . . . . . . . . . . . . . . . . . . . . . . . . . . . . . . . . . . . . . . . . . . .</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2,002</w:t>
            </w:r>
          </w:p>
        </w:tc>
        <w:tc>
          <w:tcPr>
            <w:tcW w:w="0" w:type="dxa"/>
            <w:vAlign w:val="bottom"/>
          </w:tcPr>
          <w:p>
            <w:pPr>
              <w:spacing w:after="0"/>
              <w:rPr>
                <w:sz w:val="1"/>
                <w:szCs w:val="1"/>
                <w:color w:val="auto"/>
              </w:rPr>
            </w:pPr>
          </w:p>
        </w:tc>
      </w:tr>
      <w:tr>
        <w:trPr>
          <w:trHeight w:val="230"/>
        </w:trPr>
        <w:tc>
          <w:tcPr>
            <w:tcW w:w="8300" w:type="dxa"/>
            <w:vAlign w:val="bottom"/>
          </w:tcPr>
          <w:p>
            <w:pPr>
              <w:jc w:val="right"/>
              <w:ind w:right="240"/>
              <w:spacing w:after="0"/>
              <w:rPr>
                <w:sz w:val="20"/>
                <w:szCs w:val="20"/>
                <w:color w:val="auto"/>
              </w:rPr>
            </w:pPr>
            <w:r>
              <w:rPr>
                <w:rFonts w:ascii="Arial" w:cs="Arial" w:eastAsia="Arial" w:hAnsi="Arial"/>
                <w:sz w:val="20"/>
                <w:szCs w:val="20"/>
                <w:color w:val="auto"/>
                <w:w w:val="90"/>
              </w:rPr>
              <w:t>2026 . . . . . . . . . . . . . . . . . . . . . . . . . . . . . . . . . . . . . . . . . . . . . . . . . . . . . . . . . . . . . . . . . . . . . . . . . . .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1,954</w:t>
            </w:r>
          </w:p>
        </w:tc>
        <w:tc>
          <w:tcPr>
            <w:tcW w:w="0" w:type="dxa"/>
            <w:vAlign w:val="bottom"/>
          </w:tcPr>
          <w:p>
            <w:pPr>
              <w:spacing w:after="0"/>
              <w:rPr>
                <w:sz w:val="1"/>
                <w:szCs w:val="1"/>
                <w:color w:val="auto"/>
              </w:rPr>
            </w:pPr>
          </w:p>
        </w:tc>
      </w:tr>
      <w:tr>
        <w:trPr>
          <w:trHeight w:val="240"/>
        </w:trPr>
        <w:tc>
          <w:tcPr>
            <w:tcW w:w="8300" w:type="dxa"/>
            <w:vAlign w:val="bottom"/>
          </w:tcPr>
          <w:p>
            <w:pPr>
              <w:jc w:val="right"/>
              <w:ind w:right="240"/>
              <w:spacing w:after="0"/>
              <w:rPr>
                <w:sz w:val="20"/>
                <w:szCs w:val="20"/>
                <w:color w:val="auto"/>
              </w:rPr>
            </w:pPr>
            <w:r>
              <w:rPr>
                <w:rFonts w:ascii="Arial" w:cs="Arial" w:eastAsia="Arial" w:hAnsi="Arial"/>
                <w:sz w:val="20"/>
                <w:szCs w:val="20"/>
                <w:color w:val="auto"/>
                <w:w w:val="90"/>
              </w:rPr>
              <w:t>2027 . . . . . . . . . . . . . . . . . . . . . . . . . . . . . . . . . . . . . . . . . . . . . . . . . . . . . . . . . . . . . . . . . . . . . . . . . . .</w:t>
            </w: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384</w:t>
            </w:r>
          </w:p>
        </w:tc>
        <w:tc>
          <w:tcPr>
            <w:tcW w:w="0" w:type="dxa"/>
            <w:vAlign w:val="bottom"/>
          </w:tcPr>
          <w:p>
            <w:pPr>
              <w:spacing w:after="0"/>
              <w:rPr>
                <w:sz w:val="1"/>
                <w:szCs w:val="1"/>
                <w:color w:val="auto"/>
              </w:rPr>
            </w:pPr>
          </w:p>
        </w:tc>
      </w:tr>
      <w:tr>
        <w:trPr>
          <w:trHeight w:val="210"/>
        </w:trPr>
        <w:tc>
          <w:tcPr>
            <w:tcW w:w="8300" w:type="dxa"/>
            <w:vAlign w:val="bottom"/>
          </w:tcPr>
          <w:p>
            <w:pPr>
              <w:jc w:val="right"/>
              <w:ind w:right="240"/>
              <w:spacing w:after="0" w:line="210" w:lineRule="exact"/>
              <w:rPr>
                <w:sz w:val="20"/>
                <w:szCs w:val="20"/>
                <w:color w:val="auto"/>
              </w:rPr>
            </w:pPr>
            <w:r>
              <w:rPr>
                <w:rFonts w:ascii="Arial" w:cs="Arial" w:eastAsia="Arial" w:hAnsi="Arial"/>
                <w:sz w:val="20"/>
                <w:szCs w:val="20"/>
                <w:color w:val="auto"/>
                <w:w w:val="96"/>
              </w:rPr>
              <w:t>. . . . . . . . . . . . . . . . . . . . . . . . . . . . . . . . . . . . . . . . . . . . . . . .Totalundiscountedleasepayments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line="210" w:lineRule="exact"/>
              <w:rPr>
                <w:sz w:val="20"/>
                <w:szCs w:val="20"/>
                <w:color w:val="auto"/>
              </w:rPr>
            </w:pPr>
            <w:r>
              <w:rPr>
                <w:rFonts w:ascii="Arial" w:cs="Arial" w:eastAsia="Arial" w:hAnsi="Arial"/>
                <w:sz w:val="20"/>
                <w:szCs w:val="20"/>
                <w:color w:val="auto"/>
              </w:rPr>
              <w:t>6,141</w:t>
            </w:r>
          </w:p>
        </w:tc>
        <w:tc>
          <w:tcPr>
            <w:tcW w:w="0" w:type="dxa"/>
            <w:vAlign w:val="bottom"/>
          </w:tcPr>
          <w:p>
            <w:pPr>
              <w:spacing w:after="0"/>
              <w:rPr>
                <w:sz w:val="1"/>
                <w:szCs w:val="1"/>
                <w:color w:val="auto"/>
              </w:rPr>
            </w:pPr>
          </w:p>
        </w:tc>
      </w:tr>
      <w:tr>
        <w:trPr>
          <w:trHeight w:val="240"/>
        </w:trPr>
        <w:tc>
          <w:tcPr>
            <w:tcW w:w="8300" w:type="dxa"/>
            <w:vAlign w:val="bottom"/>
          </w:tcPr>
          <w:p>
            <w:pPr>
              <w:jc w:val="right"/>
              <w:ind w:right="240"/>
              <w:spacing w:after="0"/>
              <w:rPr>
                <w:sz w:val="20"/>
                <w:szCs w:val="20"/>
                <w:color w:val="auto"/>
              </w:rPr>
            </w:pPr>
            <w:r>
              <w:rPr>
                <w:rFonts w:ascii="Arial" w:cs="Arial" w:eastAsia="Arial" w:hAnsi="Arial"/>
                <w:sz w:val="20"/>
                <w:szCs w:val="20"/>
                <w:color w:val="auto"/>
                <w:w w:val="94"/>
              </w:rPr>
              <w:t>Less: imputed interest . . . . . . . . . . . . . . . . . . . . . . . . . . . . . . . . . . . . . . . . . . . . . . . . . . . . . . . . . .</w:t>
            </w: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688</w:t>
            </w:r>
          </w:p>
        </w:tc>
        <w:tc>
          <w:tcPr>
            <w:tcW w:w="0" w:type="dxa"/>
            <w:vAlign w:val="bottom"/>
          </w:tcPr>
          <w:p>
            <w:pPr>
              <w:spacing w:after="0"/>
              <w:rPr>
                <w:sz w:val="1"/>
                <w:szCs w:val="1"/>
                <w:color w:val="auto"/>
              </w:rPr>
            </w:pPr>
          </w:p>
        </w:tc>
      </w:tr>
      <w:tr>
        <w:trPr>
          <w:trHeight w:val="209"/>
        </w:trPr>
        <w:tc>
          <w:tcPr>
            <w:tcW w:w="8300" w:type="dxa"/>
            <w:vAlign w:val="bottom"/>
          </w:tcPr>
          <w:p>
            <w:pPr>
              <w:jc w:val="right"/>
              <w:ind w:right="240"/>
              <w:spacing w:after="0" w:line="209" w:lineRule="exact"/>
              <w:rPr>
                <w:sz w:val="20"/>
                <w:szCs w:val="20"/>
                <w:color w:val="auto"/>
              </w:rPr>
            </w:pPr>
            <w:r>
              <w:rPr>
                <w:rFonts w:ascii="Arial" w:cs="Arial" w:eastAsia="Arial" w:hAnsi="Arial"/>
                <w:sz w:val="20"/>
                <w:szCs w:val="20"/>
                <w:color w:val="auto"/>
                <w:w w:val="95"/>
              </w:rPr>
              <w:t>. . . . . . . . . . . . . . . . . . . . . . . . . . . . . . . . . . . . . . . . . . . . . . . . . . . . . .Totaloperatingleaseliability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5,453</w:t>
            </w:r>
          </w:p>
        </w:tc>
        <w:tc>
          <w:tcPr>
            <w:tcW w:w="0" w:type="dxa"/>
            <w:vAlign w:val="bottom"/>
          </w:tcPr>
          <w:p>
            <w:pPr>
              <w:spacing w:after="0"/>
              <w:rPr>
                <w:sz w:val="1"/>
                <w:szCs w:val="1"/>
                <w:color w:val="auto"/>
              </w:rPr>
            </w:pPr>
          </w:p>
        </w:tc>
      </w:tr>
      <w:tr>
        <w:trPr>
          <w:trHeight w:val="240"/>
        </w:trPr>
        <w:tc>
          <w:tcPr>
            <w:tcW w:w="8300" w:type="dxa"/>
            <w:vAlign w:val="bottom"/>
          </w:tcPr>
          <w:p>
            <w:pPr>
              <w:jc w:val="right"/>
              <w:ind w:right="240"/>
              <w:spacing w:after="0"/>
              <w:rPr>
                <w:sz w:val="20"/>
                <w:szCs w:val="20"/>
                <w:color w:val="auto"/>
              </w:rPr>
            </w:pPr>
            <w:r>
              <w:rPr>
                <w:rFonts w:ascii="Arial" w:cs="Arial" w:eastAsia="Arial" w:hAnsi="Arial"/>
                <w:sz w:val="20"/>
                <w:szCs w:val="20"/>
                <w:color w:val="auto"/>
                <w:w w:val="93"/>
              </w:rPr>
              <w:t>Less: current portion . . . . . . . . . . . . . . . . . . . . . . . . . . . . . . . . . . . . . . . . . . . . . . . . . . . . . . . . . . . .</w:t>
            </w: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1,440</w:t>
            </w:r>
          </w:p>
        </w:tc>
        <w:tc>
          <w:tcPr>
            <w:tcW w:w="0" w:type="dxa"/>
            <w:vAlign w:val="bottom"/>
          </w:tcPr>
          <w:p>
            <w:pPr>
              <w:spacing w:after="0"/>
              <w:rPr>
                <w:sz w:val="1"/>
                <w:szCs w:val="1"/>
                <w:color w:val="auto"/>
              </w:rPr>
            </w:pPr>
          </w:p>
        </w:tc>
      </w:tr>
      <w:tr>
        <w:trPr>
          <w:trHeight w:val="239"/>
        </w:trPr>
        <w:tc>
          <w:tcPr>
            <w:tcW w:w="8300" w:type="dxa"/>
            <w:vAlign w:val="bottom"/>
          </w:tcPr>
          <w:p>
            <w:pPr>
              <w:jc w:val="right"/>
              <w:ind w:right="240"/>
              <w:spacing w:after="0"/>
              <w:rPr>
                <w:sz w:val="20"/>
                <w:szCs w:val="20"/>
                <w:color w:val="auto"/>
              </w:rPr>
            </w:pPr>
            <w:r>
              <w:rPr>
                <w:rFonts w:ascii="Arial" w:cs="Arial" w:eastAsia="Arial" w:hAnsi="Arial"/>
                <w:sz w:val="20"/>
                <w:szCs w:val="20"/>
                <w:color w:val="auto"/>
                <w:w w:val="99"/>
              </w:rPr>
              <w:t>. . . . . . . . . . . . . . . . . . . . . . . . . . . . . . . . . . . . . . .Operatingleaseliability,netofcurrentportion</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4,013</w:t>
            </w:r>
          </w:p>
        </w:tc>
        <w:tc>
          <w:tcPr>
            <w:tcW w:w="0" w:type="dxa"/>
            <w:vAlign w:val="bottom"/>
          </w:tcPr>
          <w:p>
            <w:pPr>
              <w:spacing w:after="0"/>
              <w:rPr>
                <w:sz w:val="1"/>
                <w:szCs w:val="1"/>
                <w:color w:val="auto"/>
              </w:rPr>
            </w:pPr>
          </w:p>
        </w:tc>
      </w:tr>
      <w:tr>
        <w:trPr>
          <w:trHeight w:val="232"/>
        </w:trPr>
        <w:tc>
          <w:tcPr>
            <w:tcW w:w="8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right="20"/>
        <w:spacing w:after="0"/>
        <w:rPr>
          <w:sz w:val="20"/>
          <w:szCs w:val="20"/>
          <w:color w:val="auto"/>
        </w:rPr>
      </w:pPr>
      <w:r>
        <w:rPr>
          <w:rFonts w:ascii="Arial" w:cs="Arial" w:eastAsia="Arial" w:hAnsi="Arial"/>
          <w:sz w:val="20"/>
          <w:szCs w:val="20"/>
          <w:color w:val="auto"/>
        </w:rPr>
        <w:t>Operating lease expense was $1.8 million and $1.1 million for the years ended December 31, 2023 and 2022, respectively, including $0.9 million and $0.7 million short-term lease costs for the years ended December 31, 2023 and 2022, respectively. As of December 31, 2023, the weighted average remaining lease term was</w:t>
      </w:r>
    </w:p>
    <w:p>
      <w:pPr>
        <w:ind w:right="300"/>
        <w:spacing w:after="0" w:line="255" w:lineRule="auto"/>
        <w:rPr>
          <w:sz w:val="20"/>
          <w:szCs w:val="20"/>
          <w:color w:val="auto"/>
        </w:rPr>
      </w:pPr>
      <w:r>
        <w:rPr>
          <w:rFonts w:ascii="Arial" w:cs="Arial" w:eastAsia="Arial" w:hAnsi="Arial"/>
          <w:sz w:val="20"/>
          <w:szCs w:val="20"/>
          <w:color w:val="auto"/>
        </w:rPr>
        <w:t>3.2 years, and the weighted average discount rate used to measure the lease liabilities for such operating leases upon recognition was 7.5%. During the years ended December 31, 2023 and 2022, cash paid for amounts included in operating lease liabilities of $0.6 million and $0.4 million, respectively, was included in operating activities on the consolidated statements of cash flows.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Indemnification Agreements</w:t>
      </w:r>
    </w:p>
    <w:p>
      <w:pPr>
        <w:spacing w:after="0" w:line="236"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number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w:t>
      </w:r>
    </w:p>
    <w:p>
      <w:pPr>
        <w:sectPr>
          <w:pgSz w:w="11880" w:h="15480" w:orient="portrait"/>
          <w:cols w:equalWidth="0" w:num="1">
            <w:col w:w="9720"/>
          </w:cols>
          <w:pgMar w:left="1080" w:top="1061" w:right="1080" w:bottom="555"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190</w:t>
      </w:r>
    </w:p>
    <w:p>
      <w:pPr>
        <w:sectPr>
          <w:pgSz w:w="11880" w:h="15480" w:orient="portrait"/>
          <w:cols w:equalWidth="0" w:num="1">
            <w:col w:w="9720"/>
          </w:cols>
          <w:pgMar w:left="1080" w:top="1061" w:right="1080" w:bottom="555" w:gutter="0" w:footer="0" w:header="0"/>
          <w:type w:val="continuous"/>
        </w:sectPr>
      </w:pPr>
    </w:p>
    <w:bookmarkStart w:id="192" w:name="page193"/>
    <w:bookmarkEnd w:id="192"/>
    <w:p>
      <w:pPr>
        <w:jc w:val="center"/>
        <w:spacing w:after="0"/>
        <w:rPr>
          <w:sz w:val="20"/>
          <w:szCs w:val="20"/>
          <w:color w:val="auto"/>
        </w:rPr>
      </w:pPr>
      <w:r>
        <w:rPr>
          <w:rFonts w:ascii="Arial" w:cs="Arial" w:eastAsia="Arial" w:hAnsi="Arial"/>
          <w:sz w:val="20"/>
          <w:szCs w:val="20"/>
          <w:color w:val="auto"/>
        </w:rPr>
        <w:t>STRUCTURE THERAPEUTICS INC.</w:t>
      </w:r>
    </w:p>
    <w:p>
      <w:pPr>
        <w:jc w:val="center"/>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jc w:val="both"/>
        <w:ind w:right="80"/>
        <w:spacing w:after="0" w:line="255" w:lineRule="auto"/>
        <w:rPr>
          <w:sz w:val="20"/>
          <w:szCs w:val="20"/>
          <w:color w:val="auto"/>
        </w:rPr>
      </w:pPr>
      <w:r>
        <w:rPr>
          <w:rFonts w:ascii="Arial" w:cs="Arial" w:eastAsia="Arial" w:hAnsi="Arial"/>
          <w:sz w:val="20"/>
          <w:szCs w:val="20"/>
          <w:color w:val="auto"/>
        </w:rPr>
        <w:t>officers to the fullest extent permitted by the applicable law and the amended and restated memorandum and articles of association of the Company. The Company currently has directors’ and officers’ liability insurance. As of December 31, 2023 and 2022, the Company did not have any material indemnification claims that were probable or reasonably possible and consequently had not recognized any related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Legal Proceedings</w:t>
      </w:r>
    </w:p>
    <w:p>
      <w:pPr>
        <w:spacing w:after="0" w:line="236" w:lineRule="exact"/>
        <w:rPr>
          <w:sz w:val="20"/>
          <w:szCs w:val="20"/>
          <w:color w:val="auto"/>
        </w:rPr>
      </w:pPr>
    </w:p>
    <w:p>
      <w:pPr>
        <w:jc w:val="both"/>
        <w:ind w:right="180"/>
        <w:spacing w:after="0" w:line="262" w:lineRule="auto"/>
        <w:rPr>
          <w:sz w:val="20"/>
          <w:szCs w:val="20"/>
          <w:color w:val="auto"/>
        </w:rPr>
      </w:pPr>
      <w:r>
        <w:rPr>
          <w:rFonts w:ascii="Arial" w:cs="Arial" w:eastAsia="Arial" w:hAnsi="Arial"/>
          <w:sz w:val="20"/>
          <w:szCs w:val="20"/>
          <w:color w:val="auto"/>
        </w:rPr>
        <w:t>The Company is subject to claims and assessments from time to time in the ordinary course of business but is not aware of any such matters, individually or in the aggregate, that will have a material adverse effect on the Company’s financial position, results of operations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Redeemable Convertible Preferred Shares</w:t>
      </w:r>
    </w:p>
    <w:p>
      <w:pPr>
        <w:spacing w:after="0" w:line="242" w:lineRule="exact"/>
        <w:rPr>
          <w:sz w:val="20"/>
          <w:szCs w:val="20"/>
          <w:color w:val="auto"/>
        </w:rPr>
      </w:pPr>
    </w:p>
    <w:p>
      <w:pPr>
        <w:ind w:right="1020"/>
        <w:spacing w:after="0" w:line="284" w:lineRule="auto"/>
        <w:rPr>
          <w:sz w:val="20"/>
          <w:szCs w:val="20"/>
          <w:color w:val="auto"/>
        </w:rPr>
      </w:pPr>
      <w:r>
        <w:rPr>
          <w:rFonts w:ascii="Arial" w:cs="Arial" w:eastAsia="Arial" w:hAnsi="Arial"/>
          <w:sz w:val="20"/>
          <w:szCs w:val="20"/>
          <w:color w:val="auto"/>
        </w:rPr>
        <w:t>Under the Company’s Memorandum and Articles of Association, as amended, prior to the IPO, the Company’s redeemable convertible preferred shares were issuable in series.</w:t>
      </w:r>
    </w:p>
    <w:p>
      <w:pPr>
        <w:spacing w:after="0" w:line="155" w:lineRule="exact"/>
        <w:rPr>
          <w:sz w:val="20"/>
          <w:szCs w:val="20"/>
          <w:color w:val="auto"/>
        </w:rPr>
      </w:pPr>
    </w:p>
    <w:p>
      <w:pPr>
        <w:ind w:right="140"/>
        <w:spacing w:after="0" w:line="284" w:lineRule="auto"/>
        <w:rPr>
          <w:sz w:val="20"/>
          <w:szCs w:val="20"/>
          <w:color w:val="auto"/>
        </w:rPr>
      </w:pPr>
      <w:r>
        <w:rPr>
          <w:rFonts w:ascii="Arial" w:cs="Arial" w:eastAsia="Arial" w:hAnsi="Arial"/>
          <w:sz w:val="20"/>
          <w:szCs w:val="20"/>
          <w:color w:val="auto"/>
        </w:rPr>
        <w:t>As of December 31, 2022, redeemable convertible preferred shares consisted of the following (in thousands, except share and per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127635</wp:posOffset>
                </wp:positionV>
                <wp:extent cx="616267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0.05pt" to="485.6pt,10.05pt" o:allowincell="f" strokecolor="#000000" strokeweight="0.4799pt"/>
            </w:pict>
          </mc:Fallback>
        </mc:AlternateConten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ind w:left="880"/>
              <w:spacing w:after="0"/>
              <w:rPr>
                <w:sz w:val="20"/>
                <w:szCs w:val="20"/>
                <w:color w:val="auto"/>
              </w:rPr>
            </w:pPr>
            <w:r>
              <w:rPr>
                <w:rFonts w:ascii="Arial" w:cs="Arial" w:eastAsia="Arial" w:hAnsi="Arial"/>
                <w:sz w:val="16"/>
                <w:szCs w:val="16"/>
                <w:b w:val="1"/>
                <w:bCs w:val="1"/>
                <w:color w:val="auto"/>
              </w:rPr>
              <w:t>DECEMBER 31, 2022</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79"/>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120"/>
              <w:spacing w:after="0" w:line="179" w:lineRule="exact"/>
              <w:rPr>
                <w:sz w:val="20"/>
                <w:szCs w:val="20"/>
                <w:color w:val="auto"/>
              </w:rPr>
            </w:pPr>
            <w:r>
              <w:rPr>
                <w:rFonts w:ascii="Arial" w:cs="Arial" w:eastAsia="Arial" w:hAnsi="Arial"/>
                <w:sz w:val="16"/>
                <w:szCs w:val="16"/>
                <w:b w:val="1"/>
                <w:bCs w:val="1"/>
                <w:color w:val="auto"/>
              </w:rPr>
              <w:t>SHARES ISSUED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5"/>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46"/>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7"/>
              <w:spacing w:after="0"/>
              <w:rPr>
                <w:sz w:val="20"/>
                <w:szCs w:val="20"/>
                <w:color w:val="auto"/>
              </w:rPr>
            </w:pPr>
            <w:r>
              <w:rPr>
                <w:rFonts w:ascii="Arial" w:cs="Arial" w:eastAsia="Arial" w:hAnsi="Arial"/>
                <w:sz w:val="16"/>
                <w:szCs w:val="16"/>
                <w:b w:val="1"/>
                <w:bCs w:val="1"/>
                <w:color w:val="auto"/>
                <w:w w:val="99"/>
              </w:rPr>
              <w:t>ORIGINAL</w:t>
            </w:r>
          </w:p>
        </w:tc>
        <w:tc>
          <w:tcPr>
            <w:tcW w:w="18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AND</w:t>
            </w:r>
          </w:p>
        </w:tc>
        <w:tc>
          <w:tcPr>
            <w:tcW w:w="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CARRYING</w:t>
            </w:r>
          </w:p>
        </w:tc>
        <w:tc>
          <w:tcPr>
            <w:tcW w:w="1220" w:type="dxa"/>
            <w:vAlign w:val="bottom"/>
            <w:gridSpan w:val="3"/>
          </w:tcPr>
          <w:p>
            <w:pPr>
              <w:ind w:left="180"/>
              <w:spacing w:after="0"/>
              <w:rPr>
                <w:sz w:val="20"/>
                <w:szCs w:val="20"/>
                <w:color w:val="auto"/>
              </w:rPr>
            </w:pPr>
            <w:r>
              <w:rPr>
                <w:rFonts w:ascii="Arial" w:cs="Arial" w:eastAsia="Arial" w:hAnsi="Arial"/>
                <w:sz w:val="16"/>
                <w:szCs w:val="16"/>
                <w:b w:val="1"/>
                <w:bCs w:val="1"/>
                <w:color w:val="auto"/>
                <w:w w:val="98"/>
              </w:rPr>
              <w:t>LIQUIDATION</w:t>
            </w:r>
          </w:p>
        </w:tc>
      </w:tr>
      <w:tr>
        <w:trPr>
          <w:trHeight w:val="203"/>
        </w:trPr>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SERIES</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AUTHORIZED</w:t>
            </w:r>
          </w:p>
        </w:tc>
        <w:tc>
          <w:tcPr>
            <w:tcW w:w="18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w w:val="96"/>
              </w:rPr>
              <w:t>ISSUE PRICE</w:t>
            </w:r>
          </w:p>
        </w:tc>
        <w:tc>
          <w:tcPr>
            <w:tcW w:w="18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OUTSTANDING</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23"/>
              <w:spacing w:after="0"/>
              <w:rPr>
                <w:sz w:val="20"/>
                <w:szCs w:val="20"/>
                <w:color w:val="auto"/>
              </w:rPr>
            </w:pPr>
            <w:r>
              <w:rPr>
                <w:rFonts w:ascii="Arial" w:cs="Arial" w:eastAsia="Arial" w:hAnsi="Arial"/>
                <w:sz w:val="16"/>
                <w:szCs w:val="16"/>
                <w:b w:val="1"/>
                <w:bCs w:val="1"/>
                <w:color w:val="auto"/>
              </w:rPr>
              <w:t>VALUE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Arial" w:cs="Arial" w:eastAsia="Arial" w:hAnsi="Arial"/>
                <w:sz w:val="16"/>
                <w:szCs w:val="16"/>
                <w:b w:val="1"/>
                <w:bCs w:val="1"/>
                <w:color w:val="auto"/>
              </w:rPr>
              <w:t>V ALUE</w:t>
            </w:r>
          </w:p>
        </w:tc>
      </w:tr>
      <w:tr>
        <w:trPr>
          <w:trHeight w:val="200"/>
        </w:trPr>
        <w:tc>
          <w:tcPr>
            <w:tcW w:w="3420" w:type="dxa"/>
            <w:vAlign w:val="bottom"/>
            <w:tcBorders>
              <w:top w:val="single" w:sz="8" w:color="auto"/>
            </w:tcBorders>
          </w:tcPr>
          <w:p>
            <w:pPr>
              <w:spacing w:after="0" w:line="200" w:lineRule="exact"/>
              <w:rPr>
                <w:sz w:val="20"/>
                <w:szCs w:val="20"/>
                <w:color w:val="auto"/>
              </w:rPr>
            </w:pPr>
            <w:r>
              <w:rPr>
                <w:rFonts w:ascii="Arial" w:cs="Arial" w:eastAsia="Arial" w:hAnsi="Arial"/>
                <w:sz w:val="20"/>
                <w:szCs w:val="20"/>
                <w:color w:val="auto"/>
                <w:w w:val="92"/>
              </w:rPr>
              <w:t>A . . . . . . . . . . . . . . . . . . . . . . . . . . . . . . . .</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19,200,000</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line="200"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1.6667</w:t>
            </w:r>
          </w:p>
        </w:tc>
        <w:tc>
          <w:tcPr>
            <w:tcW w:w="180" w:type="dxa"/>
            <w:vAlign w:val="bottom"/>
          </w:tcPr>
          <w:p>
            <w:pPr>
              <w:spacing w:after="0"/>
              <w:rPr>
                <w:sz w:val="17"/>
                <w:szCs w:val="17"/>
                <w:color w:val="auto"/>
              </w:rPr>
            </w:pPr>
          </w:p>
        </w:tc>
        <w:tc>
          <w:tcPr>
            <w:tcW w:w="13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19,200,000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32,001</w:t>
            </w: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line="200" w:lineRule="exact"/>
              <w:rPr>
                <w:sz w:val="20"/>
                <w:szCs w:val="20"/>
                <w:color w:val="auto"/>
              </w:rPr>
            </w:pPr>
            <w:r>
              <w:rPr>
                <w:rFonts w:ascii="Arial" w:cs="Arial" w:eastAsia="Arial" w:hAnsi="Arial"/>
                <w:sz w:val="20"/>
                <w:szCs w:val="20"/>
                <w:color w:val="auto"/>
              </w:rPr>
              <w:t>$</w:t>
            </w:r>
          </w:p>
        </w:tc>
        <w:tc>
          <w:tcPr>
            <w:tcW w:w="8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32,001</w:t>
            </w:r>
          </w:p>
        </w:tc>
      </w:tr>
      <w:tr>
        <w:trPr>
          <w:trHeight w:val="232"/>
        </w:trPr>
        <w:tc>
          <w:tcPr>
            <w:tcW w:w="3540" w:type="dxa"/>
            <w:vAlign w:val="bottom"/>
            <w:gridSpan w:val="2"/>
          </w:tcPr>
          <w:p>
            <w:pPr>
              <w:spacing w:after="0"/>
              <w:rPr>
                <w:sz w:val="20"/>
                <w:szCs w:val="20"/>
                <w:color w:val="auto"/>
              </w:rPr>
            </w:pPr>
            <w:r>
              <w:rPr>
                <w:rFonts w:ascii="Arial" w:cs="Arial" w:eastAsia="Arial" w:hAnsi="Arial"/>
                <w:sz w:val="20"/>
                <w:szCs w:val="20"/>
                <w:color w:val="auto"/>
                <w:w w:val="98"/>
              </w:rPr>
              <w:t>A+ . . . . . . . . . . . . . . . . . . . . . . . . . . . . . .</w:t>
            </w:r>
          </w:p>
        </w:tc>
        <w:tc>
          <w:tcPr>
            <w:tcW w:w="1140" w:type="dxa"/>
            <w:vAlign w:val="bottom"/>
          </w:tcPr>
          <w:p>
            <w:pPr>
              <w:jc w:val="right"/>
              <w:spacing w:after="0"/>
              <w:rPr>
                <w:sz w:val="20"/>
                <w:szCs w:val="20"/>
                <w:color w:val="auto"/>
              </w:rPr>
            </w:pPr>
            <w:r>
              <w:rPr>
                <w:rFonts w:ascii="Arial" w:cs="Arial" w:eastAsia="Arial" w:hAnsi="Arial"/>
                <w:sz w:val="20"/>
                <w:szCs w:val="20"/>
                <w:color w:val="auto"/>
              </w:rPr>
              <w:t>12,799,681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2.0313</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12,799,681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26,000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26,000</w:t>
            </w:r>
          </w:p>
        </w:tc>
      </w:tr>
      <w:tr>
        <w:trPr>
          <w:trHeight w:val="230"/>
        </w:trPr>
        <w:tc>
          <w:tcPr>
            <w:tcW w:w="3540" w:type="dxa"/>
            <w:vAlign w:val="bottom"/>
            <w:gridSpan w:val="2"/>
          </w:tcPr>
          <w:p>
            <w:pPr>
              <w:spacing w:after="0"/>
              <w:rPr>
                <w:sz w:val="20"/>
                <w:szCs w:val="20"/>
                <w:color w:val="auto"/>
              </w:rPr>
            </w:pPr>
            <w:r>
              <w:rPr>
                <w:rFonts w:ascii="Arial" w:cs="Arial" w:eastAsia="Arial" w:hAnsi="Arial"/>
                <w:sz w:val="20"/>
                <w:szCs w:val="20"/>
                <w:color w:val="auto"/>
                <w:w w:val="95"/>
              </w:rPr>
              <w:t>B . . . . . . . . . . . . . . . . . . . . . . . . . . . . . . . .</w:t>
            </w:r>
          </w:p>
        </w:tc>
        <w:tc>
          <w:tcPr>
            <w:tcW w:w="1140" w:type="dxa"/>
            <w:vAlign w:val="bottom"/>
          </w:tcPr>
          <w:p>
            <w:pPr>
              <w:jc w:val="right"/>
              <w:spacing w:after="0"/>
              <w:rPr>
                <w:sz w:val="20"/>
                <w:szCs w:val="20"/>
                <w:color w:val="auto"/>
              </w:rPr>
            </w:pPr>
            <w:r>
              <w:rPr>
                <w:rFonts w:ascii="Arial" w:cs="Arial" w:eastAsia="Arial" w:hAnsi="Arial"/>
                <w:sz w:val="20"/>
                <w:szCs w:val="20"/>
                <w:color w:val="auto"/>
              </w:rPr>
              <w:t>32,857,004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4.0483</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32,857,004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w w:val="99"/>
              </w:rPr>
              <w:t>133,015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133,015</w:t>
            </w:r>
          </w:p>
        </w:tc>
      </w:tr>
      <w:tr>
        <w:trPr>
          <w:trHeight w:val="253"/>
        </w:trPr>
        <w:tc>
          <w:tcPr>
            <w:tcW w:w="3540" w:type="dxa"/>
            <w:vAlign w:val="bottom"/>
            <w:gridSpan w:val="2"/>
          </w:tcPr>
          <w:p>
            <w:pPr>
              <w:spacing w:after="0"/>
              <w:rPr>
                <w:sz w:val="20"/>
                <w:szCs w:val="20"/>
                <w:color w:val="auto"/>
              </w:rPr>
            </w:pPr>
            <w:r>
              <w:rPr>
                <w:rFonts w:ascii="Arial" w:cs="Arial" w:eastAsia="Arial" w:hAnsi="Arial"/>
                <w:sz w:val="20"/>
                <w:szCs w:val="20"/>
                <w:color w:val="auto"/>
                <w:w w:val="96"/>
              </w:rPr>
              <w:t>B-1 . . . . . . . . . . . . . . . . . . . . . . . . . . . . . .</w:t>
            </w:r>
          </w:p>
        </w:tc>
        <w:tc>
          <w:tcPr>
            <w:tcW w:w="1140" w:type="dxa"/>
            <w:vAlign w:val="bottom"/>
          </w:tcPr>
          <w:p>
            <w:pPr>
              <w:jc w:val="right"/>
              <w:spacing w:after="0"/>
              <w:rPr>
                <w:sz w:val="20"/>
                <w:szCs w:val="20"/>
                <w:color w:val="auto"/>
              </w:rPr>
            </w:pPr>
            <w:r>
              <w:rPr>
                <w:rFonts w:ascii="Arial" w:cs="Arial" w:eastAsia="Arial" w:hAnsi="Arial"/>
                <w:sz w:val="20"/>
                <w:szCs w:val="20"/>
                <w:color w:val="auto"/>
              </w:rPr>
              <w:t>2,161,402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3.2386</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2,161,402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8,959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7,000</w:t>
            </w:r>
          </w:p>
        </w:tc>
      </w:tr>
      <w:tr>
        <w:trPr>
          <w:trHeight w:val="243"/>
        </w:trPr>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67,018,087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67,018,087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9"/>
              </w:rPr>
              <w:t>199,975</w:t>
            </w:r>
          </w:p>
        </w:tc>
        <w:tc>
          <w:tcPr>
            <w:tcW w:w="1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198,016</w:t>
            </w:r>
          </w:p>
        </w:tc>
      </w:tr>
      <w:tr>
        <w:trPr>
          <w:trHeight w:val="233"/>
        </w:trPr>
        <w:tc>
          <w:tcPr>
            <w:tcW w:w="3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bl>
    <w:p>
      <w:pPr>
        <w:spacing w:after="0" w:line="209"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Dividends on redeemable convertible preferred shares are noncumulative and none were declared through conversion. Upon closing of the Company’s IPO, all outstanding redeemable convertible preferred shares automatically converted into 67,018,087 ordinary shares on a one- for-one basis and therefore no redeemable convertible preferred shares were outstanding as of December 31, 2023.</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Ordinary Shares</w:t>
      </w:r>
    </w:p>
    <w:p>
      <w:pPr>
        <w:spacing w:after="0" w:line="244"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As of December 31, 2023, the Company’s Memorandum and Articles of Association, as amended, authorizes the Company to issue 500,000,000 ordinary shares and 100,000,000 undesignated shares, of which 9,812,438 shares have been designated as non-voting ordinary shares and 90,187,562 remain undesignated shares, all with a par value of $0.0001 per share. The undesignated shares may be designated by the Company’s board of directors in accordance with the Company’s Articles of Association.</w:t>
      </w:r>
    </w:p>
    <w:p>
      <w:pPr>
        <w:spacing w:after="0" w:line="187"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In May 2023 and September 2023, the Company’s board of directors designated 7,410,518 and 2,401,920 non-voting ordinary shares, respectively, in accordance with the Articles of Association. The non-voting ordinary shares rank on parity with the ordinary shares as to distributions of assets upon liquidation, dissolution or winding up of the Company, whether voluntary or involuntary. The non-voting ordinary shares are entitled on an equal basis to any dividends declared on the ordinary shares on an as- converted to ordinary share basis. Each non-voting ordinary shareholder has the right to convert each non-voting ordinary share into one ordinary share, subject to appropriate adjustment in the event of any dividend, split, reverse</w:t>
      </w:r>
    </w:p>
    <w:p>
      <w:pPr>
        <w:sectPr>
          <w:pgSz w:w="11880" w:h="15480" w:orient="portrait"/>
          <w:cols w:equalWidth="0" w:num="1">
            <w:col w:w="9720"/>
          </w:cols>
          <w:pgMar w:left="1080" w:top="1061" w:right="1080" w:bottom="555"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191</w:t>
      </w:r>
    </w:p>
    <w:p>
      <w:pPr>
        <w:sectPr>
          <w:pgSz w:w="11880" w:h="15480" w:orient="portrait"/>
          <w:cols w:equalWidth="0" w:num="1">
            <w:col w:w="9720"/>
          </w:cols>
          <w:pgMar w:left="1080" w:top="1061" w:right="1080" w:bottom="555" w:gutter="0" w:footer="0" w:header="0"/>
          <w:type w:val="continuous"/>
        </w:sectPr>
      </w:pPr>
    </w:p>
    <w:bookmarkStart w:id="193" w:name="page194"/>
    <w:bookmarkEnd w:id="193"/>
    <w:p>
      <w:pPr>
        <w:jc w:val="center"/>
        <w:spacing w:after="0"/>
        <w:rPr>
          <w:sz w:val="20"/>
          <w:szCs w:val="20"/>
          <w:color w:val="auto"/>
        </w:rPr>
      </w:pPr>
      <w:r>
        <w:rPr>
          <w:rFonts w:ascii="Arial" w:cs="Arial" w:eastAsia="Arial" w:hAnsi="Arial"/>
          <w:sz w:val="20"/>
          <w:szCs w:val="20"/>
          <w:color w:val="auto"/>
        </w:rPr>
        <w:t>STRUCTURE THERAPEUTICS INC.</w:t>
      </w:r>
    </w:p>
    <w:p>
      <w:pPr>
        <w:jc w:val="center"/>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ind w:right="40"/>
        <w:spacing w:after="0" w:line="284" w:lineRule="auto"/>
        <w:rPr>
          <w:sz w:val="20"/>
          <w:szCs w:val="20"/>
          <w:color w:val="auto"/>
        </w:rPr>
      </w:pPr>
      <w:r>
        <w:rPr>
          <w:rFonts w:ascii="Arial" w:cs="Arial" w:eastAsia="Arial" w:hAnsi="Arial"/>
          <w:sz w:val="20"/>
          <w:szCs w:val="20"/>
          <w:color w:val="auto"/>
        </w:rPr>
        <w:t>split, combination or other similar recapitalization with respect to the ordinary shares, at such holder’s election by providing written notice to the Company.</w:t>
      </w:r>
    </w:p>
    <w:p>
      <w:pPr>
        <w:spacing w:after="0" w:line="157"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In May 2023, the Company entered into an Exchange Agreement with Biotechnology Value Fund, L.P., Biotechnology Value Fund II, L.P., and Biotechnology Value Trading Fund OS, L.P. (collectively referred to as “BVF”), who in the aggregate hold more than 5% of the Company’s issued share capital, pursuant to which BVF delivered to the Company, a total of 7,410,518 ordinary shares of the Company, in exchange for the Company’s delivery of 7,410,518 newly designated non-voting ordinary shares, par value $0.0001 per share. The exchange did not result in any change in the aggregate number of outstanding shares of the Company as the exchange was implemented on a one-for-one basis.</w:t>
      </w:r>
    </w:p>
    <w:p>
      <w:pPr>
        <w:spacing w:after="0" w:line="193"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auto"/>
        </w:rPr>
        <w:t>On September 29, 2023, the Company entered into a share purchase agreement to issue certain shares to Purchasers, including 2,401,920 newly designated non-voting ordinary shares at a purchase price of $12.49 per share (or the equivalent of $37.47 per ADS) in the Private Placement which closed on October 3, 2023.</w:t>
      </w:r>
    </w:p>
    <w:p>
      <w:pPr>
        <w:spacing w:after="0" w:line="177" w:lineRule="exact"/>
        <w:rPr>
          <w:sz w:val="20"/>
          <w:szCs w:val="20"/>
          <w:color w:val="auto"/>
        </w:rPr>
      </w:pPr>
    </w:p>
    <w:p>
      <w:pPr>
        <w:ind w:right="480"/>
        <w:spacing w:after="0" w:line="284" w:lineRule="auto"/>
        <w:rPr>
          <w:sz w:val="20"/>
          <w:szCs w:val="20"/>
          <w:color w:val="auto"/>
        </w:rPr>
      </w:pPr>
      <w:r>
        <w:rPr>
          <w:rFonts w:ascii="Arial" w:cs="Arial" w:eastAsia="Arial" w:hAnsi="Arial"/>
          <w:sz w:val="20"/>
          <w:szCs w:val="20"/>
          <w:color w:val="auto"/>
        </w:rPr>
        <w:t>As of December 31, 2023, all outstanding non-voting ordinary shares had been converted into 9,812,438 ordinary shares.</w:t>
      </w:r>
    </w:p>
    <w:p>
      <w:pPr>
        <w:spacing w:after="0" w:line="155"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auto"/>
        </w:rPr>
        <w:t>Ordinary shareholders, including non-voting ordinary shareholders, are entitled to dividends if and when declared by the Company’s board of directors subject to the prior rights of the preferred shareholders. As of December 31, 2023 and 2022, no dividends on ordinary shares had been declared by the board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The Company has the following ordinary shares reserved for future issuance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179705</wp:posOffset>
                </wp:positionV>
                <wp:extent cx="6162675"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15pt" to="485.6pt,14.15pt" o:allowincell="f" strokecolor="#000000" strokeweight="0.4809pt"/>
            </w:pict>
          </mc:Fallback>
        </mc:AlternateConten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23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7400" w:type="dxa"/>
            <w:vAlign w:val="bottom"/>
            <w:vMerge w:val="restart"/>
          </w:tcPr>
          <w:p>
            <w:pPr>
              <w:jc w:val="right"/>
              <w:ind w:right="3940"/>
              <w:spacing w:after="0"/>
              <w:rPr>
                <w:sz w:val="20"/>
                <w:szCs w:val="20"/>
                <w:color w:val="auto"/>
              </w:rPr>
            </w:pPr>
            <w:r>
              <w:rPr>
                <w:rFonts w:ascii="Arial" w:cs="Arial" w:eastAsia="Arial" w:hAnsi="Arial"/>
                <w:sz w:val="20"/>
                <w:szCs w:val="20"/>
                <w:color w:val="auto"/>
                <w:w w:val="99"/>
              </w:rPr>
              <w:t>Share options issued and outstanding</w:t>
            </w:r>
          </w:p>
        </w:tc>
        <w:tc>
          <w:tcPr>
            <w:tcW w:w="1040" w:type="dxa"/>
            <w:vAlign w:val="bottom"/>
          </w:tcPr>
          <w:p>
            <w:pPr>
              <w:jc w:val="right"/>
              <w:ind w:right="245"/>
              <w:spacing w:after="0" w:line="175" w:lineRule="exact"/>
              <w:rPr>
                <w:sz w:val="20"/>
                <w:szCs w:val="20"/>
                <w:color w:val="auto"/>
              </w:rPr>
            </w:pPr>
            <w:r>
              <w:rPr>
                <w:rFonts w:ascii="Arial" w:cs="Arial" w:eastAsia="Arial" w:hAnsi="Arial"/>
                <w:sz w:val="16"/>
                <w:szCs w:val="16"/>
                <w:b w:val="1"/>
                <w:bCs w:val="1"/>
                <w:color w:val="auto"/>
              </w:rPr>
              <w:t>2023</w:t>
            </w:r>
          </w:p>
        </w:tc>
        <w:tc>
          <w:tcPr>
            <w:tcW w:w="1280" w:type="dxa"/>
            <w:vAlign w:val="bottom"/>
            <w:gridSpan w:val="2"/>
          </w:tcPr>
          <w:p>
            <w:pPr>
              <w:jc w:val="right"/>
              <w:ind w:right="260"/>
              <w:spacing w:after="0" w:line="175"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0"/>
        </w:trPr>
        <w:tc>
          <w:tcPr>
            <w:tcW w:w="7400" w:type="dxa"/>
            <w:vAlign w:val="bottom"/>
            <w:vMerge w:val="continue"/>
          </w:tcPr>
          <w:p>
            <w:pPr>
              <w:jc w:val="right"/>
              <w:ind w:right="240"/>
              <w:spacing w:after="0" w:line="178" w:lineRule="exact"/>
              <w:rPr>
                <w:sz w:val="20"/>
                <w:szCs w:val="20"/>
                <w:color w:val="auto"/>
              </w:rPr>
            </w:pPr>
            <w:r>
              <w:rPr>
                <w:rFonts w:ascii="Arial" w:cs="Arial" w:eastAsia="Arial" w:hAnsi="Arial"/>
                <w:sz w:val="20"/>
                <w:szCs w:val="20"/>
                <w:color w:val="auto"/>
              </w:rPr>
              <w:t>. . . . . . . . . . . . . . . . . . . . . . . . . . . . . . . . . . . . .</w:t>
            </w:r>
          </w:p>
        </w:tc>
        <w:tc>
          <w:tcPr>
            <w:tcW w:w="10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11,899</w:t>
            </w:r>
          </w:p>
        </w:tc>
        <w:tc>
          <w:tcPr>
            <w:tcW w:w="240" w:type="dxa"/>
            <w:vAlign w:val="bottom"/>
          </w:tcPr>
          <w:p>
            <w:pPr>
              <w:spacing w:after="0"/>
              <w:rPr>
                <w:sz w:val="17"/>
                <w:szCs w:val="17"/>
                <w:color w:val="auto"/>
              </w:rPr>
            </w:pPr>
          </w:p>
        </w:tc>
        <w:tc>
          <w:tcPr>
            <w:tcW w:w="10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7,612</w:t>
            </w:r>
          </w:p>
        </w:tc>
        <w:tc>
          <w:tcPr>
            <w:tcW w:w="0" w:type="dxa"/>
            <w:vAlign w:val="bottom"/>
          </w:tcPr>
          <w:p>
            <w:pPr>
              <w:spacing w:after="0"/>
              <w:rPr>
                <w:sz w:val="1"/>
                <w:szCs w:val="1"/>
                <w:color w:val="auto"/>
              </w:rPr>
            </w:pPr>
          </w:p>
        </w:tc>
      </w:tr>
      <w:tr>
        <w:trPr>
          <w:trHeight w:val="232"/>
        </w:trPr>
        <w:tc>
          <w:tcPr>
            <w:tcW w:w="7400" w:type="dxa"/>
            <w:vAlign w:val="bottom"/>
          </w:tcPr>
          <w:p>
            <w:pPr>
              <w:jc w:val="right"/>
              <w:ind w:right="240"/>
              <w:spacing w:after="0"/>
              <w:rPr>
                <w:sz w:val="20"/>
                <w:szCs w:val="20"/>
                <w:color w:val="auto"/>
              </w:rPr>
            </w:pPr>
            <w:r>
              <w:rPr>
                <w:rFonts w:ascii="Arial" w:cs="Arial" w:eastAsia="Arial" w:hAnsi="Arial"/>
                <w:sz w:val="20"/>
                <w:szCs w:val="20"/>
                <w:color w:val="auto"/>
                <w:w w:val="94"/>
              </w:rPr>
              <w:t>Share options available for future grant . . . . . . . . . . . . . . . . . . . . . . .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8,192</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977</w:t>
            </w:r>
          </w:p>
        </w:tc>
        <w:tc>
          <w:tcPr>
            <w:tcW w:w="0" w:type="dxa"/>
            <w:vAlign w:val="bottom"/>
          </w:tcPr>
          <w:p>
            <w:pPr>
              <w:spacing w:after="0"/>
              <w:rPr>
                <w:sz w:val="1"/>
                <w:szCs w:val="1"/>
                <w:color w:val="auto"/>
              </w:rPr>
            </w:pPr>
          </w:p>
        </w:tc>
      </w:tr>
      <w:tr>
        <w:trPr>
          <w:trHeight w:val="230"/>
        </w:trPr>
        <w:tc>
          <w:tcPr>
            <w:tcW w:w="7400" w:type="dxa"/>
            <w:vAlign w:val="bottom"/>
          </w:tcPr>
          <w:p>
            <w:pPr>
              <w:jc w:val="right"/>
              <w:ind w:right="240"/>
              <w:spacing w:after="0"/>
              <w:rPr>
                <w:sz w:val="20"/>
                <w:szCs w:val="20"/>
                <w:color w:val="auto"/>
              </w:rPr>
            </w:pPr>
            <w:r>
              <w:rPr>
                <w:rFonts w:ascii="Arial" w:cs="Arial" w:eastAsia="Arial" w:hAnsi="Arial"/>
                <w:sz w:val="20"/>
                <w:szCs w:val="20"/>
                <w:color w:val="auto"/>
                <w:w w:val="97"/>
              </w:rPr>
              <w:t>Ordinary shares available for employee share purchase plan . . . .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1,000</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2"/>
        </w:trPr>
        <w:tc>
          <w:tcPr>
            <w:tcW w:w="7400" w:type="dxa"/>
            <w:vAlign w:val="bottom"/>
          </w:tcPr>
          <w:p>
            <w:pPr>
              <w:jc w:val="right"/>
              <w:ind w:right="240"/>
              <w:spacing w:after="0"/>
              <w:rPr>
                <w:sz w:val="20"/>
                <w:szCs w:val="20"/>
                <w:color w:val="auto"/>
              </w:rPr>
            </w:pPr>
            <w:r>
              <w:rPr>
                <w:rFonts w:ascii="Arial" w:cs="Arial" w:eastAsia="Arial" w:hAnsi="Arial"/>
                <w:sz w:val="20"/>
                <w:szCs w:val="20"/>
                <w:color w:val="auto"/>
                <w:w w:val="97"/>
              </w:rPr>
              <w:t>Conversion of redeemable convertible preferred shares . . . . . . . .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67,018</w:t>
            </w:r>
          </w:p>
        </w:tc>
        <w:tc>
          <w:tcPr>
            <w:tcW w:w="0" w:type="dxa"/>
            <w:vAlign w:val="bottom"/>
          </w:tcPr>
          <w:p>
            <w:pPr>
              <w:spacing w:after="0"/>
              <w:rPr>
                <w:sz w:val="1"/>
                <w:szCs w:val="1"/>
                <w:color w:val="auto"/>
              </w:rPr>
            </w:pPr>
          </w:p>
        </w:tc>
      </w:tr>
      <w:tr>
        <w:trPr>
          <w:trHeight w:val="241"/>
        </w:trPr>
        <w:tc>
          <w:tcPr>
            <w:tcW w:w="7400" w:type="dxa"/>
            <w:vAlign w:val="bottom"/>
          </w:tcPr>
          <w:p>
            <w:pPr>
              <w:jc w:val="right"/>
              <w:ind w:right="240"/>
              <w:spacing w:after="0"/>
              <w:rPr>
                <w:sz w:val="20"/>
                <w:szCs w:val="20"/>
                <w:color w:val="auto"/>
              </w:rPr>
            </w:pPr>
            <w:r>
              <w:rPr>
                <w:rFonts w:ascii="Arial" w:cs="Arial" w:eastAsia="Arial" w:hAnsi="Arial"/>
                <w:sz w:val="20"/>
                <w:szCs w:val="20"/>
                <w:color w:val="auto"/>
                <w:w w:val="92"/>
              </w:rPr>
              <w:t>Ordinary share warrants . . . . . . . . . . . . . . . . . . . . . . . . . . . . . . . . . . . .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112</w:t>
            </w:r>
          </w:p>
        </w:tc>
        <w:tc>
          <w:tcPr>
            <w:tcW w:w="0" w:type="dxa"/>
            <w:vAlign w:val="bottom"/>
          </w:tcPr>
          <w:p>
            <w:pPr>
              <w:spacing w:after="0"/>
              <w:rPr>
                <w:sz w:val="1"/>
                <w:szCs w:val="1"/>
                <w:color w:val="auto"/>
              </w:rPr>
            </w:pPr>
          </w:p>
        </w:tc>
      </w:tr>
      <w:tr>
        <w:trPr>
          <w:trHeight w:val="240"/>
        </w:trPr>
        <w:tc>
          <w:tcPr>
            <w:tcW w:w="7400" w:type="dxa"/>
            <w:vAlign w:val="bottom"/>
          </w:tcPr>
          <w:p>
            <w:pPr>
              <w:jc w:val="right"/>
              <w:ind w:right="240"/>
              <w:spacing w:after="0"/>
              <w:rPr>
                <w:sz w:val="20"/>
                <w:szCs w:val="20"/>
                <w:color w:val="auto"/>
              </w:rPr>
            </w:pPr>
            <w:r>
              <w:rPr>
                <w:rFonts w:ascii="Arial" w:cs="Arial" w:eastAsia="Arial" w:hAnsi="Arial"/>
                <w:sz w:val="20"/>
                <w:szCs w:val="20"/>
                <w:color w:val="auto"/>
                <w:w w:val="98"/>
              </w:rPr>
              <w:t>. . . . . . . . . . . . . . . . . . . . . . . . . . . . . . . . . . . . . . . . . .Totalordinarysharesreserved</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21,091</w:t>
            </w:r>
          </w:p>
        </w:tc>
        <w:tc>
          <w:tcPr>
            <w:tcW w:w="2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75,719</w:t>
            </w:r>
          </w:p>
        </w:tc>
        <w:tc>
          <w:tcPr>
            <w:tcW w:w="0" w:type="dxa"/>
            <w:vAlign w:val="bottom"/>
          </w:tcPr>
          <w:p>
            <w:pPr>
              <w:spacing w:after="0"/>
              <w:rPr>
                <w:sz w:val="1"/>
                <w:szCs w:val="1"/>
                <w:color w:val="auto"/>
              </w:rPr>
            </w:pPr>
          </w:p>
        </w:tc>
      </w:tr>
      <w:tr>
        <w:trPr>
          <w:trHeight w:val="233"/>
        </w:trPr>
        <w:tc>
          <w:tcPr>
            <w:tcW w:w="7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Shareholders’ Equity</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2019 Equity Incentive Plan</w:t>
      </w:r>
    </w:p>
    <w:p>
      <w:pPr>
        <w:spacing w:after="0" w:line="23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In April 2019, the Company adopted the 2019 Equity Incentive Plan (“2019 Plan”), under which its board of directors can issue share options. Awards granted under the 2019 Plan may be either incentive share options (“ISOs”), nonstatutory share options (“NSOs”), share appreciation rights (“SARs”), or restricted share units (“RSUs”). ISOs may be granted only to Company employees (including officers and directors who are also employees) . NSOs may be granted to Company employees and consultants. The exercise price of ISOs and NSOs shall not be less than 100% of the estimated fair value of the shares on the date of grant. The exercise price of ISOs granted to an employee who, at the time of grant, owns shares representing more than 10% (“10% shareholder”) of the voting power of all classes of shares of the Company shall be no less than 110% of the estimated fair value of the shares on the date of grant. The options usually have a term of 10 years (or no more than five years if granted to a 10% shareholder). Vesting conditions determined by the plan administrator may apply to share options and may include continued service, performance and/or other conditions. Generally, options and restricted share awards vest over a four-year period.</w:t>
      </w:r>
    </w:p>
    <w:p>
      <w:pPr>
        <w:sectPr>
          <w:pgSz w:w="11880" w:h="15480" w:orient="portrait"/>
          <w:cols w:equalWidth="0" w:num="1">
            <w:col w:w="9720"/>
          </w:cols>
          <w:pgMar w:left="1080" w:top="1061" w:right="1080" w:bottom="555"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192</w:t>
      </w:r>
    </w:p>
    <w:p>
      <w:pPr>
        <w:sectPr>
          <w:pgSz w:w="11880" w:h="15480" w:orient="portrait"/>
          <w:cols w:equalWidth="0" w:num="1">
            <w:col w:w="9720"/>
          </w:cols>
          <w:pgMar w:left="1080" w:top="1061" w:right="1080" w:bottom="555" w:gutter="0" w:footer="0" w:header="0"/>
          <w:type w:val="continuous"/>
        </w:sectPr>
      </w:pPr>
    </w:p>
    <w:bookmarkStart w:id="194" w:name="page195"/>
    <w:bookmarkEnd w:id="194"/>
    <w:p>
      <w:pPr>
        <w:jc w:val="center"/>
        <w:spacing w:after="0"/>
        <w:rPr>
          <w:sz w:val="20"/>
          <w:szCs w:val="20"/>
          <w:color w:val="auto"/>
        </w:rPr>
      </w:pPr>
      <w:r>
        <w:rPr>
          <w:rFonts w:ascii="Arial" w:cs="Arial" w:eastAsia="Arial" w:hAnsi="Arial"/>
          <w:sz w:val="20"/>
          <w:szCs w:val="20"/>
          <w:color w:val="auto"/>
        </w:rPr>
        <w:t>STRUCTURE THERAPEUTICS INC.</w:t>
      </w:r>
    </w:p>
    <w:p>
      <w:pPr>
        <w:jc w:val="center"/>
        <w:spacing w:after="0"/>
        <w:rPr>
          <w:sz w:val="20"/>
          <w:szCs w:val="20"/>
          <w:color w:val="auto"/>
        </w:rPr>
      </w:pPr>
      <w:r>
        <w:rPr>
          <w:rFonts w:ascii="Arial" w:cs="Arial" w:eastAsia="Arial" w:hAnsi="Arial"/>
          <w:sz w:val="20"/>
          <w:szCs w:val="20"/>
          <w:color w:val="auto"/>
        </w:rPr>
        <w:t>NOTES TO CONSOLIDATED FINANCIAL STATEMENTS (CONTINUED)</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2023 Equity Incentive Plan</w:t>
      </w:r>
    </w:p>
    <w:p>
      <w:pPr>
        <w:spacing w:after="0" w:line="231"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In January 2023, prior to the IPO closing, the Company’s board of directors and shareholders approved the 2023 Equity Incentive Plan (“2023 Plan”), which became effective upon the IPO closing. The Company initially reserved 12,000,000 ordinary shares for issuance of share-based compensation awards, including ISOs, NSOs, stock appreciation rights, restricted stock units and other stock-based awards, plus shares available for issuance under the 2019 Plan. ISOs may be granted only to Company employees (including officers and directors who are also employees). Shares options granted under the 2019 Plan that are forfeited or lapse unexercised will be available for issuance under the 2023 Plan. Once the 2023 Plan became effective, no further grants were made under the 2019 Plan.</w:t>
      </w:r>
    </w:p>
    <w:p>
      <w:pPr>
        <w:spacing w:after="0" w:line="194"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Options under the 2023 Plan may be granted for periods of up to 10 years at exercise prices no less than the fair market value of the Company’s ordinary shares on the date of grant; provided, however, that the exercise price of an ISO granted to a 10% shareholder may not be less than 110% of the fair market value of the shares on the date of grant and such option may not be exercisable after the expiration of five years from the date of grant. Vesting conditions determined by the plan administrator may apply to share options and may include continued service, performance and/or other conditions. Generally, share options vest over a four-year period.</w:t>
      </w:r>
    </w:p>
    <w:p>
      <w:pPr>
        <w:spacing w:after="0" w:line="194" w:lineRule="exact"/>
        <w:rPr>
          <w:sz w:val="20"/>
          <w:szCs w:val="20"/>
          <w:color w:val="auto"/>
        </w:rPr>
      </w:pPr>
    </w:p>
    <w:p>
      <w:pPr>
        <w:ind w:right="240"/>
        <w:spacing w:after="0" w:line="239" w:lineRule="auto"/>
        <w:rPr>
          <w:sz w:val="20"/>
          <w:szCs w:val="20"/>
          <w:color w:val="auto"/>
        </w:rPr>
      </w:pPr>
      <w:r>
        <w:rPr>
          <w:rFonts w:ascii="Arial" w:cs="Arial" w:eastAsia="Arial" w:hAnsi="Arial"/>
          <w:sz w:val="19"/>
          <w:szCs w:val="19"/>
          <w:color w:val="auto"/>
        </w:rPr>
        <w:t>The maximum number of ordinary shares that may be issued under the 2023 Plan as of December 31, 2023 was 20,589,597. In addition, t</w:t>
      </w:r>
      <w:r>
        <w:rPr>
          <w:rFonts w:ascii="Arial" w:cs="Arial" w:eastAsia="Arial" w:hAnsi="Arial"/>
          <w:sz w:val="20"/>
          <w:szCs w:val="20"/>
          <w:color w:val="auto"/>
        </w:rPr>
        <w:t>he number of ordinary shares reserved for issuance under our 2023 Plan will</w:t>
      </w:r>
      <w:r>
        <w:rPr>
          <w:rFonts w:ascii="Arial" w:cs="Arial" w:eastAsia="Arial" w:hAnsi="Arial"/>
          <w:sz w:val="19"/>
          <w:szCs w:val="19"/>
          <w:color w:val="auto"/>
        </w:rPr>
        <w:t xml:space="preserve"> </w:t>
      </w:r>
      <w:r>
        <w:rPr>
          <w:rFonts w:ascii="Arial" w:cs="Arial" w:eastAsia="Arial" w:hAnsi="Arial"/>
          <w:sz w:val="20"/>
          <w:szCs w:val="20"/>
          <w:color w:val="auto"/>
        </w:rPr>
        <w:t>automatically increase on January 1 of each calendar year, starting on January 1, 2024 through</w:t>
      </w:r>
    </w:p>
    <w:p>
      <w:pPr>
        <w:spacing w:after="0" w:line="2"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January 1, 2033, in an amount equal to 4% of the total number of ordinary shares outstanding on the last day of the calendar month before the date of each automatic increase, or a lesser number of ordinary shares determined by the Company’s board of directors. In January 2024, the number of ordinary shares available for issuance under the 2023 Plan was increased by 5,568,838 shares as a result of the automatic increase provision in the 2023 Plan.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A summary of share option activity is set forth below (in thousands except per share amounts and 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180975</wp:posOffset>
                </wp:positionV>
                <wp:extent cx="616267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25pt" to="485.6pt,14.25pt" o:allowincell="f" strokecolor="#000000" strokeweight="0.4809pt"/>
            </w:pict>
          </mc:Fallback>
        </mc:AlternateConten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9"/>
              </w:rPr>
              <w:t>NUMBER</w:t>
            </w:r>
          </w:p>
        </w:tc>
        <w:tc>
          <w:tcPr>
            <w:tcW w:w="1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6"/>
                <w:szCs w:val="16"/>
                <w:b w:val="1"/>
                <w:bCs w:val="1"/>
                <w:color w:val="auto"/>
              </w:rPr>
              <w:t>OUTSTANDING AWARDS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98"/>
              </w:rPr>
              <w:t>WEIGHTED-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OF</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SHARES</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8"/>
              </w:rPr>
              <w:t>SHARES</w:t>
            </w:r>
          </w:p>
        </w:tc>
        <w:tc>
          <w:tcPr>
            <w:tcW w:w="180" w:type="dxa"/>
            <w:vAlign w:val="bottom"/>
          </w:tcPr>
          <w:p>
            <w:pPr>
              <w:spacing w:after="0"/>
              <w:rPr>
                <w:sz w:val="15"/>
                <w:szCs w:val="15"/>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8"/>
              </w:rPr>
              <w:t>REMAINING</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12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8"/>
              </w:rPr>
              <w:t>AVAILABLE</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UNDERLYING</w:t>
            </w:r>
          </w:p>
        </w:tc>
        <w:tc>
          <w:tcPr>
            <w:tcW w:w="18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AVERAGE</w:t>
            </w:r>
          </w:p>
        </w:tc>
        <w:tc>
          <w:tcPr>
            <w:tcW w:w="1320" w:type="dxa"/>
            <w:vAlign w:val="bottom"/>
            <w:gridSpan w:val="2"/>
          </w:tcPr>
          <w:p>
            <w:pPr>
              <w:jc w:val="center"/>
              <w:ind w:left="5"/>
              <w:spacing w:after="0"/>
              <w:rPr>
                <w:sz w:val="20"/>
                <w:szCs w:val="20"/>
                <w:color w:val="auto"/>
              </w:rPr>
            </w:pPr>
            <w:r>
              <w:rPr>
                <w:rFonts w:ascii="Arial" w:cs="Arial" w:eastAsia="Arial" w:hAnsi="Arial"/>
                <w:sz w:val="16"/>
                <w:szCs w:val="16"/>
                <w:b w:val="1"/>
                <w:bCs w:val="1"/>
                <w:color w:val="auto"/>
                <w:w w:val="99"/>
              </w:rPr>
              <w:t>CONTRACTUAL</w:t>
            </w:r>
          </w:p>
        </w:tc>
        <w:tc>
          <w:tcPr>
            <w:tcW w:w="1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FOR</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8"/>
              </w:rPr>
              <w:t>OUTSTANDING</w:t>
            </w:r>
          </w:p>
        </w:tc>
        <w:tc>
          <w:tcPr>
            <w:tcW w:w="180" w:type="dxa"/>
            <w:vAlign w:val="bottom"/>
          </w:tcPr>
          <w:p>
            <w:pPr>
              <w:spacing w:after="0"/>
              <w:rPr>
                <w:sz w:val="15"/>
                <w:szCs w:val="15"/>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EXERCISE</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TERM</w:t>
            </w:r>
          </w:p>
        </w:tc>
        <w:tc>
          <w:tcPr>
            <w:tcW w:w="1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202"/>
        </w:trPr>
        <w:tc>
          <w:tcPr>
            <w:tcW w:w="3580" w:type="dxa"/>
            <w:vAlign w:val="bottom"/>
            <w:vMerge w:val="restart"/>
          </w:tcPr>
          <w:p>
            <w:pPr>
              <w:spacing w:after="0"/>
              <w:rPr>
                <w:sz w:val="20"/>
                <w:szCs w:val="20"/>
                <w:color w:val="auto"/>
              </w:rPr>
            </w:pPr>
            <w:r>
              <w:rPr>
                <w:rFonts w:ascii="Arial" w:cs="Arial" w:eastAsia="Arial" w:hAnsi="Arial"/>
                <w:sz w:val="20"/>
                <w:szCs w:val="20"/>
                <w:b w:val="1"/>
                <w:bCs w:val="1"/>
                <w:color w:val="auto"/>
              </w:rPr>
              <w:t>As of December 31, 2022</w:t>
            </w:r>
          </w:p>
        </w:tc>
        <w:tc>
          <w:tcPr>
            <w:tcW w:w="16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GRANT</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9"/>
              </w:rPr>
              <w:t>OPTIONS</w:t>
            </w:r>
          </w:p>
        </w:tc>
        <w:tc>
          <w:tcPr>
            <w:tcW w:w="18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PRICE</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9"/>
              </w:rPr>
              <w:t>(IN YEARS)</w:t>
            </w:r>
          </w:p>
        </w:tc>
        <w:tc>
          <w:tcPr>
            <w:tcW w:w="1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VALUE</w:t>
            </w:r>
          </w:p>
        </w:tc>
        <w:tc>
          <w:tcPr>
            <w:tcW w:w="0" w:type="dxa"/>
            <w:vAlign w:val="bottom"/>
          </w:tcPr>
          <w:p>
            <w:pPr>
              <w:spacing w:after="0"/>
              <w:rPr>
                <w:sz w:val="1"/>
                <w:szCs w:val="1"/>
                <w:color w:val="auto"/>
              </w:rPr>
            </w:pPr>
          </w:p>
        </w:tc>
      </w:tr>
      <w:tr>
        <w:trPr>
          <w:trHeight w:val="200"/>
        </w:trPr>
        <w:tc>
          <w:tcPr>
            <w:tcW w:w="3580" w:type="dxa"/>
            <w:vAlign w:val="bottom"/>
            <w:vMerge w:val="continue"/>
          </w:tcPr>
          <w:p>
            <w:pPr>
              <w:jc w:val="right"/>
              <w:ind w:right="40"/>
              <w:spacing w:after="0" w:line="178" w:lineRule="exact"/>
              <w:rPr>
                <w:sz w:val="20"/>
                <w:szCs w:val="20"/>
                <w:color w:val="auto"/>
              </w:rPr>
            </w:pPr>
            <w:r>
              <w:rPr>
                <w:rFonts w:ascii="Arial" w:cs="Arial" w:eastAsia="Arial" w:hAnsi="Arial"/>
                <w:sz w:val="20"/>
                <w:szCs w:val="20"/>
                <w:color w:val="auto"/>
              </w:rPr>
              <w:t>. . . . . . . . . . .</w:t>
            </w:r>
          </w:p>
        </w:tc>
        <w:tc>
          <w:tcPr>
            <w:tcW w:w="160" w:type="dxa"/>
            <w:vAlign w:val="bottom"/>
          </w:tcPr>
          <w:p>
            <w:pPr>
              <w:spacing w:after="0"/>
              <w:rPr>
                <w:sz w:val="17"/>
                <w:szCs w:val="17"/>
                <w:color w:val="auto"/>
              </w:rPr>
            </w:pPr>
          </w:p>
        </w:tc>
        <w:tc>
          <w:tcPr>
            <w:tcW w:w="9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977</w:t>
            </w:r>
          </w:p>
        </w:tc>
        <w:tc>
          <w:tcPr>
            <w:tcW w:w="180" w:type="dxa"/>
            <w:vAlign w:val="bottom"/>
          </w:tcPr>
          <w:p>
            <w:pPr>
              <w:spacing w:after="0"/>
              <w:rPr>
                <w:sz w:val="17"/>
                <w:szCs w:val="17"/>
                <w:color w:val="auto"/>
              </w:rPr>
            </w:pPr>
          </w:p>
        </w:tc>
        <w:tc>
          <w:tcPr>
            <w:tcW w:w="11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7,612</w:t>
            </w:r>
          </w:p>
        </w:tc>
        <w:tc>
          <w:tcPr>
            <w:tcW w:w="180" w:type="dxa"/>
            <w:vAlign w:val="bottom"/>
          </w:tcPr>
          <w:p>
            <w:pPr>
              <w:spacing w:after="0"/>
              <w:rPr>
                <w:sz w:val="17"/>
                <w:szCs w:val="17"/>
                <w:color w:val="auto"/>
              </w:rPr>
            </w:pPr>
          </w:p>
        </w:tc>
        <w:tc>
          <w:tcPr>
            <w:tcW w:w="9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   1.62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8.57</w:t>
            </w:r>
          </w:p>
        </w:tc>
        <w:tc>
          <w:tcPr>
            <w:tcW w:w="180" w:type="dxa"/>
            <w:vAlign w:val="bottom"/>
          </w:tcPr>
          <w:p>
            <w:pPr>
              <w:spacing w:after="0"/>
              <w:rPr>
                <w:sz w:val="17"/>
                <w:szCs w:val="17"/>
                <w:color w:val="auto"/>
              </w:rPr>
            </w:pPr>
          </w:p>
        </w:tc>
        <w:tc>
          <w:tcPr>
            <w:tcW w:w="10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  13,283</w:t>
            </w:r>
          </w:p>
        </w:tc>
        <w:tc>
          <w:tcPr>
            <w:tcW w:w="0" w:type="dxa"/>
            <w:vAlign w:val="bottom"/>
          </w:tcPr>
          <w:p>
            <w:pPr>
              <w:spacing w:after="0"/>
              <w:rPr>
                <w:sz w:val="1"/>
                <w:szCs w:val="1"/>
                <w:color w:val="auto"/>
              </w:rPr>
            </w:pPr>
          </w:p>
        </w:tc>
      </w:tr>
      <w:tr>
        <w:trPr>
          <w:trHeight w:val="229"/>
        </w:trPr>
        <w:tc>
          <w:tcPr>
            <w:tcW w:w="3580" w:type="dxa"/>
            <w:vAlign w:val="bottom"/>
          </w:tcPr>
          <w:p>
            <w:pPr>
              <w:jc w:val="right"/>
              <w:ind w:right="40"/>
              <w:spacing w:after="0"/>
              <w:rPr>
                <w:sz w:val="20"/>
                <w:szCs w:val="20"/>
                <w:color w:val="auto"/>
              </w:rPr>
            </w:pPr>
            <w:r>
              <w:rPr>
                <w:rFonts w:ascii="Arial" w:cs="Arial" w:eastAsia="Arial" w:hAnsi="Arial"/>
                <w:sz w:val="20"/>
                <w:szCs w:val="20"/>
                <w:color w:val="auto"/>
                <w:w w:val="97"/>
              </w:rPr>
              <w:t>Additional shares authorized . . . . . . . . .</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12,000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jc w:val="right"/>
              <w:ind w:right="40"/>
              <w:spacing w:after="0"/>
              <w:rPr>
                <w:sz w:val="20"/>
                <w:szCs w:val="20"/>
                <w:color w:val="auto"/>
              </w:rPr>
            </w:pPr>
            <w:r>
              <w:rPr>
                <w:rFonts w:ascii="Arial" w:cs="Arial" w:eastAsia="Arial" w:hAnsi="Arial"/>
                <w:sz w:val="20"/>
                <w:szCs w:val="20"/>
                <w:color w:val="auto"/>
                <w:w w:val="91"/>
              </w:rPr>
              <w:t>Granted . . . . . . . . . . . . . . . . . . . . . . . . . . .</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(5,451)</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5,451</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7.00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tcPr>
          <w:p>
            <w:pPr>
              <w:jc w:val="right"/>
              <w:ind w:right="40"/>
              <w:spacing w:after="0"/>
              <w:rPr>
                <w:sz w:val="20"/>
                <w:szCs w:val="20"/>
                <w:color w:val="auto"/>
              </w:rPr>
            </w:pPr>
            <w:r>
              <w:rPr>
                <w:rFonts w:ascii="Arial" w:cs="Arial" w:eastAsia="Arial" w:hAnsi="Arial"/>
                <w:sz w:val="20"/>
                <w:szCs w:val="20"/>
                <w:color w:val="auto"/>
                <w:w w:val="93"/>
              </w:rPr>
              <w:t>Exercised . . . . . . . . . . . . . . . . . . . . . . . . .</w:t>
            </w:r>
          </w:p>
        </w:tc>
        <w:tc>
          <w:tcPr>
            <w:tcW w:w="16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(498)</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1.61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580" w:type="dxa"/>
            <w:vAlign w:val="bottom"/>
          </w:tcPr>
          <w:p>
            <w:pPr>
              <w:jc w:val="right"/>
              <w:ind w:right="40"/>
              <w:spacing w:after="0"/>
              <w:rPr>
                <w:sz w:val="20"/>
                <w:szCs w:val="20"/>
                <w:color w:val="auto"/>
              </w:rPr>
            </w:pPr>
            <w:r>
              <w:rPr>
                <w:rFonts w:ascii="Arial" w:cs="Arial" w:eastAsia="Arial" w:hAnsi="Arial"/>
                <w:sz w:val="20"/>
                <w:szCs w:val="20"/>
                <w:color w:val="auto"/>
                <w:w w:val="92"/>
              </w:rPr>
              <w:t>Forfeited . . . . . . . . . . . . . . . . . . . . . . . . . .</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666</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(666)</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4.22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580" w:type="dxa"/>
            <w:vAlign w:val="bottom"/>
          </w:tcPr>
          <w:p>
            <w:pPr>
              <w:jc w:val="right"/>
              <w:ind w:right="40"/>
              <w:spacing w:after="0"/>
              <w:rPr>
                <w:sz w:val="20"/>
                <w:szCs w:val="20"/>
                <w:color w:val="auto"/>
              </w:rPr>
            </w:pPr>
            <w:r>
              <w:rPr>
                <w:rFonts w:ascii="Arial" w:cs="Arial" w:eastAsia="Arial" w:hAnsi="Arial"/>
                <w:sz w:val="20"/>
                <w:szCs w:val="20"/>
                <w:color w:val="auto"/>
              </w:rPr>
              <w:t>. . . . . . . . . . .</w:t>
            </w:r>
            <w:r>
              <w:rPr>
                <w:rFonts w:ascii="Arial" w:cs="Arial" w:eastAsia="Arial" w:hAnsi="Arial"/>
                <w:sz w:val="20"/>
                <w:szCs w:val="20"/>
                <w:b w:val="1"/>
                <w:bCs w:val="1"/>
                <w:color w:val="auto"/>
              </w:rPr>
              <w:t>AsofDecember31,2023</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8,192</w:t>
            </w:r>
          </w:p>
        </w:tc>
        <w:tc>
          <w:tcPr>
            <w:tcW w:w="18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11,899</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3.94</w:t>
            </w:r>
          </w:p>
        </w:tc>
        <w:tc>
          <w:tcPr>
            <w:tcW w:w="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8.27</w:t>
            </w: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117,093</w:t>
            </w:r>
          </w:p>
        </w:tc>
        <w:tc>
          <w:tcPr>
            <w:tcW w:w="0" w:type="dxa"/>
            <w:vAlign w:val="bottom"/>
          </w:tcPr>
          <w:p>
            <w:pPr>
              <w:spacing w:after="0"/>
              <w:rPr>
                <w:sz w:val="1"/>
                <w:szCs w:val="1"/>
                <w:color w:val="auto"/>
              </w:rPr>
            </w:pPr>
          </w:p>
        </w:tc>
      </w:tr>
      <w:tr>
        <w:trPr>
          <w:trHeight w:val="210"/>
        </w:trPr>
        <w:tc>
          <w:tcPr>
            <w:tcW w:w="3580" w:type="dxa"/>
            <w:vAlign w:val="bottom"/>
          </w:tcPr>
          <w:p>
            <w:pPr>
              <w:jc w:val="right"/>
              <w:ind w:right="40"/>
              <w:spacing w:after="0" w:line="210" w:lineRule="exact"/>
              <w:rPr>
                <w:sz w:val="20"/>
                <w:szCs w:val="20"/>
                <w:color w:val="auto"/>
              </w:rPr>
            </w:pPr>
            <w:r>
              <w:rPr>
                <w:rFonts w:ascii="Arial" w:cs="Arial" w:eastAsia="Arial" w:hAnsi="Arial"/>
                <w:sz w:val="20"/>
                <w:szCs w:val="20"/>
                <w:color w:val="auto"/>
              </w:rPr>
              <w:t>. . . .ExercisableatDecember31,2023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Arial" w:cs="Arial" w:eastAsia="Arial" w:hAnsi="Arial"/>
                <w:sz w:val="20"/>
                <w:szCs w:val="20"/>
                <w:color w:val="auto"/>
              </w:rPr>
              <w:t>4,602</w:t>
            </w:r>
          </w:p>
        </w:tc>
        <w:tc>
          <w:tcPr>
            <w:tcW w:w="1100" w:type="dxa"/>
            <w:vAlign w:val="bottom"/>
            <w:gridSpan w:val="2"/>
          </w:tcPr>
          <w:p>
            <w:pPr>
              <w:jc w:val="right"/>
              <w:spacing w:after="0" w:line="210" w:lineRule="exact"/>
              <w:rPr>
                <w:sz w:val="20"/>
                <w:szCs w:val="20"/>
                <w:color w:val="auto"/>
              </w:rPr>
            </w:pPr>
            <w:r>
              <w:rPr>
                <w:rFonts w:ascii="Arial" w:cs="Arial" w:eastAsia="Arial" w:hAnsi="Arial"/>
                <w:sz w:val="20"/>
                <w:szCs w:val="20"/>
                <w:color w:val="auto"/>
              </w:rPr>
              <w:t>1.42</w:t>
            </w:r>
          </w:p>
        </w:tc>
        <w:tc>
          <w:tcPr>
            <w:tcW w:w="80" w:type="dxa"/>
            <w:vAlign w:val="bottom"/>
          </w:tcPr>
          <w:p>
            <w:pPr>
              <w:spacing w:after="0"/>
              <w:rPr>
                <w:sz w:val="18"/>
                <w:szCs w:val="18"/>
                <w:color w:val="auto"/>
              </w:rPr>
            </w:pPr>
          </w:p>
        </w:tc>
        <w:tc>
          <w:tcPr>
            <w:tcW w:w="1320" w:type="dxa"/>
            <w:vAlign w:val="bottom"/>
            <w:gridSpan w:val="2"/>
          </w:tcPr>
          <w:p>
            <w:pPr>
              <w:jc w:val="right"/>
              <w:spacing w:after="0" w:line="210" w:lineRule="exact"/>
              <w:rPr>
                <w:sz w:val="20"/>
                <w:szCs w:val="20"/>
                <w:color w:val="auto"/>
              </w:rPr>
            </w:pPr>
            <w:r>
              <w:rPr>
                <w:rFonts w:ascii="Arial" w:cs="Arial" w:eastAsia="Arial" w:hAnsi="Arial"/>
                <w:sz w:val="20"/>
                <w:szCs w:val="20"/>
                <w:color w:val="auto"/>
              </w:rPr>
              <w:t>7.36</w:t>
            </w:r>
          </w:p>
        </w:tc>
        <w:tc>
          <w:tcPr>
            <w:tcW w:w="1220" w:type="dxa"/>
            <w:vAlign w:val="bottom"/>
            <w:gridSpan w:val="2"/>
          </w:tcPr>
          <w:p>
            <w:pPr>
              <w:jc w:val="right"/>
              <w:spacing w:after="0" w:line="210" w:lineRule="exact"/>
              <w:rPr>
                <w:sz w:val="20"/>
                <w:szCs w:val="20"/>
                <w:color w:val="auto"/>
              </w:rPr>
            </w:pPr>
            <w:r>
              <w:rPr>
                <w:rFonts w:ascii="Arial" w:cs="Arial" w:eastAsia="Arial" w:hAnsi="Arial"/>
                <w:sz w:val="20"/>
                <w:szCs w:val="20"/>
                <w:color w:val="auto"/>
              </w:rPr>
              <w:t>55,995</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20"/>
                <w:szCs w:val="20"/>
                <w:color w:val="auto"/>
              </w:rPr>
              <w:t>Vested and expected to vest at</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3580" w:type="dxa"/>
            <w:vAlign w:val="bottom"/>
          </w:tcPr>
          <w:p>
            <w:pPr>
              <w:jc w:val="right"/>
              <w:ind w:right="40"/>
              <w:spacing w:after="0"/>
              <w:rPr>
                <w:sz w:val="20"/>
                <w:szCs w:val="20"/>
                <w:color w:val="auto"/>
              </w:rPr>
            </w:pPr>
            <w:r>
              <w:rPr>
                <w:rFonts w:ascii="Arial" w:cs="Arial" w:eastAsia="Arial" w:hAnsi="Arial"/>
                <w:sz w:val="20"/>
                <w:szCs w:val="20"/>
                <w:color w:val="auto"/>
                <w:w w:val="99"/>
              </w:rPr>
              <w:t>December 31, 2023 . . . . . . . . . . . . . . .</w:t>
            </w: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11,899</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3.94</w:t>
            </w:r>
          </w:p>
        </w:tc>
        <w:tc>
          <w:tcPr>
            <w:tcW w:w="8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8.27</w:t>
            </w: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117,093</w:t>
            </w:r>
          </w:p>
        </w:tc>
        <w:tc>
          <w:tcPr>
            <w:tcW w:w="0" w:type="dxa"/>
            <w:vAlign w:val="bottom"/>
          </w:tcPr>
          <w:p>
            <w:pPr>
              <w:spacing w:after="0"/>
              <w:rPr>
                <w:sz w:val="1"/>
                <w:szCs w:val="1"/>
                <w:color w:val="auto"/>
              </w:rPr>
            </w:pPr>
          </w:p>
        </w:tc>
      </w:tr>
      <w:tr>
        <w:trPr>
          <w:trHeight w:val="208"/>
        </w:trPr>
        <w:tc>
          <w:tcPr>
            <w:tcW w:w="3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1"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193</w:t>
      </w:r>
    </w:p>
    <w:p>
      <w:pPr>
        <w:sectPr>
          <w:pgSz w:w="11880" w:h="15480" w:orient="portrait"/>
          <w:cols w:equalWidth="0" w:num="1">
            <w:col w:w="9720"/>
          </w:cols>
          <w:pgMar w:left="1080" w:top="1061" w:right="1080" w:bottom="555" w:gutter="0" w:footer="0" w:header="0"/>
          <w:type w:val="continuous"/>
        </w:sectPr>
      </w:pPr>
    </w:p>
    <w:bookmarkStart w:id="195" w:name="page196"/>
    <w:bookmarkEnd w:id="195"/>
    <w:p>
      <w:pPr>
        <w:jc w:val="center"/>
        <w:spacing w:after="0"/>
        <w:rPr>
          <w:sz w:val="20"/>
          <w:szCs w:val="20"/>
          <w:color w:val="auto"/>
        </w:rPr>
      </w:pPr>
      <w:r>
        <w:rPr>
          <w:rFonts w:ascii="Arial" w:cs="Arial" w:eastAsia="Arial" w:hAnsi="Arial"/>
          <w:sz w:val="20"/>
          <w:szCs w:val="20"/>
          <w:color w:val="auto"/>
        </w:rPr>
        <w:t>STRUCTURE THERAPEUTICS INC.</w:t>
      </w:r>
    </w:p>
    <w:p>
      <w:pPr>
        <w:jc w:val="center"/>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The aggregate intrinsic value is calculated as the difference between the exercise price of the underlying share options and the fair value of the Company’s ordinary shares for share options that were in-the-money at the end of each period. The aggregate intrinsic value of options exercised for the years ended December 31, 2023 and 2022 was $3.9 million and $0.2 million, respectively.</w:t>
      </w:r>
    </w:p>
    <w:p>
      <w:pPr>
        <w:spacing w:after="0" w:line="183" w:lineRule="exact"/>
        <w:rPr>
          <w:sz w:val="20"/>
          <w:szCs w:val="20"/>
          <w:color w:val="auto"/>
        </w:rPr>
      </w:pPr>
    </w:p>
    <w:p>
      <w:pPr>
        <w:ind w:right="900"/>
        <w:spacing w:after="0" w:line="284" w:lineRule="auto"/>
        <w:rPr>
          <w:sz w:val="20"/>
          <w:szCs w:val="20"/>
          <w:color w:val="auto"/>
        </w:rPr>
      </w:pPr>
      <w:r>
        <w:rPr>
          <w:rFonts w:ascii="Arial" w:cs="Arial" w:eastAsia="Arial" w:hAnsi="Arial"/>
          <w:sz w:val="20"/>
          <w:szCs w:val="20"/>
          <w:color w:val="auto"/>
        </w:rPr>
        <w:t>The total fair value of options that vested during the years ended December 31, 2023 and 2022 was $5.5 million and $1.5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Employee Share Purchase Plan</w:t>
      </w:r>
    </w:p>
    <w:p>
      <w:pPr>
        <w:spacing w:after="0" w:line="231"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 xml:space="preserve">In February 2023, the Company adopted the 2023 Employee Share Purchase Plan (“ESPP”). The Company allows eligible employees to purchase shares of the Company's ordinary shares through payroll deductions at a price equal to 85% of the lesser of the fair market value of the ordinary shares as of the first date of each offering period or the ending date of each purchase period. Each offering period is typically 24 months consisting of four purchase periods of six months. There were 1,000,000 ordinary shares initially reserved for issuance under the ESPP. </w:t>
      </w:r>
      <w:r>
        <w:rPr>
          <w:rFonts w:ascii="Arial" w:cs="Arial" w:eastAsia="Arial" w:hAnsi="Arial"/>
          <w:sz w:val="18"/>
          <w:szCs w:val="18"/>
          <w:color w:val="auto"/>
        </w:rPr>
        <w:t>The number of ordinary shares reserved for issuance will automatically increase on</w:t>
      </w:r>
      <w:r>
        <w:rPr>
          <w:rFonts w:ascii="Arial" w:cs="Arial" w:eastAsia="Arial" w:hAnsi="Arial"/>
          <w:sz w:val="20"/>
          <w:szCs w:val="20"/>
          <w:color w:val="auto"/>
        </w:rPr>
        <w:t xml:space="preserve"> </w:t>
      </w:r>
      <w:r>
        <w:rPr>
          <w:rFonts w:ascii="Arial" w:cs="Arial" w:eastAsia="Arial" w:hAnsi="Arial"/>
          <w:sz w:val="18"/>
          <w:szCs w:val="18"/>
          <w:color w:val="auto"/>
        </w:rPr>
        <w:t>January 1 of each calendar year, beginning on January 1, 2024 through January 1, 2033, by the lesser of  (i) 1% of the total number of our outstanding share capital on the last day of the calendar month before the date of the automatic increase; and (ii) 3,000,000 ordinary shares; provided that before the date of any such increase, our board of directors may determine that such increase will be less than the amount set forth in clauses (i) and (ii)</w:t>
      </w:r>
      <w:r>
        <w:rPr>
          <w:rFonts w:ascii="Arial" w:cs="Arial" w:eastAsia="Arial" w:hAnsi="Arial"/>
          <w:sz w:val="20"/>
          <w:szCs w:val="20"/>
          <w:color w:val="auto"/>
        </w:rPr>
        <w:t>. In</w:t>
      </w:r>
    </w:p>
    <w:p>
      <w:pPr>
        <w:spacing w:after="0" w:line="2" w:lineRule="exact"/>
        <w:rPr>
          <w:sz w:val="20"/>
          <w:szCs w:val="20"/>
          <w:color w:val="auto"/>
        </w:rPr>
      </w:pPr>
    </w:p>
    <w:p>
      <w:pPr>
        <w:ind w:right="660"/>
        <w:spacing w:after="0" w:line="284" w:lineRule="auto"/>
        <w:rPr>
          <w:sz w:val="20"/>
          <w:szCs w:val="20"/>
          <w:color w:val="auto"/>
        </w:rPr>
      </w:pPr>
      <w:r>
        <w:rPr>
          <w:rFonts w:ascii="Arial" w:cs="Arial" w:eastAsia="Arial" w:hAnsi="Arial"/>
          <w:sz w:val="20"/>
          <w:szCs w:val="20"/>
          <w:color w:val="auto"/>
        </w:rPr>
        <w:t>January 2024, the number of ordinary shares available for issuance under the ESPP was increased by 1,392,210 shares as a result of the automatic increase provision in the ESPP.</w:t>
      </w:r>
    </w:p>
    <w:p>
      <w:pPr>
        <w:spacing w:after="0" w:line="155"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The offering period and purchase periods are determined by the board of directors. The first offering period for approximately 24 months was initiated during the fourth quarter of 2023 and consists of four purchase periods or approximately six months. As of December 31, 2023, 1,000,000 shares under the ESPP remain available for purchase.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Compensation expense is calculated using the fair value of the employees' purchase rights under the</w:t>
      </w:r>
    </w:p>
    <w:p>
      <w:pPr>
        <w:spacing w:after="0"/>
        <w:rPr>
          <w:sz w:val="20"/>
          <w:szCs w:val="20"/>
          <w:color w:val="auto"/>
        </w:rPr>
      </w:pPr>
      <w:r>
        <w:rPr>
          <w:rFonts w:ascii="Arial" w:cs="Arial" w:eastAsia="Arial" w:hAnsi="Arial"/>
          <w:sz w:val="20"/>
          <w:szCs w:val="20"/>
          <w:color w:val="auto"/>
        </w:rPr>
        <w:t>Black-Scholes model, which was estimated using the following weighted-average assumptions: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195580</wp:posOffset>
                </wp:positionV>
                <wp:extent cx="616267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5.4pt" to="485.6pt,15.4pt" o:allowincell="f" strokecolor="#000000" strokeweight="0.4809pt"/>
            </w:pict>
          </mc:Fallback>
        </mc:AlternateConten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YEAR ENDED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7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740" w:type="dxa"/>
            <w:vAlign w:val="bottom"/>
            <w:vMerge w:val="restart"/>
          </w:tcPr>
          <w:p>
            <w:pPr>
              <w:jc w:val="right"/>
              <w:ind w:right="5460"/>
              <w:spacing w:after="0"/>
              <w:rPr>
                <w:sz w:val="20"/>
                <w:szCs w:val="20"/>
                <w:color w:val="auto"/>
              </w:rPr>
            </w:pPr>
            <w:r>
              <w:rPr>
                <w:rFonts w:ascii="Arial" w:cs="Arial" w:eastAsia="Arial" w:hAnsi="Arial"/>
                <w:sz w:val="20"/>
                <w:szCs w:val="20"/>
                <w:color w:val="auto"/>
                <w:w w:val="99"/>
              </w:rPr>
              <w:t>Expected term (in years)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40" w:type="dxa"/>
            <w:vAlign w:val="bottom"/>
            <w:vMerge w:val="continue"/>
          </w:tcPr>
          <w:p>
            <w:pPr>
              <w:jc w:val="right"/>
              <w:ind w:right="280"/>
              <w:spacing w:after="0" w:line="178" w:lineRule="exact"/>
              <w:rPr>
                <w:sz w:val="20"/>
                <w:szCs w:val="20"/>
                <w:color w:val="auto"/>
              </w:rPr>
            </w:pPr>
            <w:r>
              <w:rPr>
                <w:rFonts w:ascii="Arial" w:cs="Arial" w:eastAsia="Arial" w:hAnsi="Arial"/>
                <w:sz w:val="20"/>
                <w:szCs w:val="20"/>
                <w:color w:val="auto"/>
              </w:rPr>
              <w:t>. . . . . . . . . . . . . . . . . . . . . . . . . . . . . . . . . . . . . . . . . . . . . . . . . . .</w:t>
            </w:r>
          </w:p>
        </w:tc>
        <w:tc>
          <w:tcPr>
            <w:tcW w:w="1800" w:type="dxa"/>
            <w:vAlign w:val="bottom"/>
          </w:tcPr>
          <w:p>
            <w:pPr>
              <w:jc w:val="right"/>
              <w:spacing w:after="0" w:line="200" w:lineRule="exact"/>
              <w:rPr>
                <w:sz w:val="20"/>
                <w:szCs w:val="20"/>
                <w:color w:val="auto"/>
              </w:rPr>
            </w:pPr>
            <w:r>
              <w:rPr>
                <w:rFonts w:ascii="Arial" w:cs="Arial" w:eastAsia="Arial" w:hAnsi="Arial"/>
                <w:sz w:val="20"/>
                <w:szCs w:val="20"/>
                <w:color w:val="auto"/>
              </w:rPr>
              <w:t>1.2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40" w:type="dxa"/>
            <w:vAlign w:val="bottom"/>
          </w:tcPr>
          <w:p>
            <w:pPr>
              <w:jc w:val="right"/>
              <w:ind w:right="280"/>
              <w:spacing w:after="0"/>
              <w:rPr>
                <w:sz w:val="20"/>
                <w:szCs w:val="20"/>
                <w:color w:val="auto"/>
              </w:rPr>
            </w:pPr>
            <w:r>
              <w:rPr>
                <w:rFonts w:ascii="Arial" w:cs="Arial" w:eastAsia="Arial" w:hAnsi="Arial"/>
                <w:sz w:val="20"/>
                <w:szCs w:val="20"/>
                <w:color w:val="auto"/>
                <w:w w:val="92"/>
              </w:rPr>
              <w:t>Expected volatility . . . . . . . . . . . . . . . . . . . . . . . . . . . . . . . . . . . . . . . . . . . . . . . . . . . . . . . . .</w:t>
            </w:r>
          </w:p>
        </w:tc>
        <w:tc>
          <w:tcPr>
            <w:tcW w:w="1800" w:type="dxa"/>
            <w:vAlign w:val="bottom"/>
          </w:tcPr>
          <w:p>
            <w:pPr>
              <w:jc w:val="right"/>
              <w:spacing w:after="0"/>
              <w:rPr>
                <w:sz w:val="20"/>
                <w:szCs w:val="20"/>
                <w:color w:val="auto"/>
              </w:rPr>
            </w:pPr>
            <w:r>
              <w:rPr>
                <w:rFonts w:ascii="Arial" w:cs="Arial" w:eastAsia="Arial" w:hAnsi="Arial"/>
                <w:sz w:val="20"/>
                <w:szCs w:val="20"/>
                <w:color w:val="auto"/>
              </w:rPr>
              <w:t>90.3</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30"/>
        </w:trPr>
        <w:tc>
          <w:tcPr>
            <w:tcW w:w="7740" w:type="dxa"/>
            <w:vAlign w:val="bottom"/>
          </w:tcPr>
          <w:p>
            <w:pPr>
              <w:jc w:val="right"/>
              <w:ind w:right="280"/>
              <w:spacing w:after="0"/>
              <w:rPr>
                <w:sz w:val="20"/>
                <w:szCs w:val="20"/>
                <w:color w:val="auto"/>
              </w:rPr>
            </w:pPr>
            <w:r>
              <w:rPr>
                <w:rFonts w:ascii="Arial" w:cs="Arial" w:eastAsia="Arial" w:hAnsi="Arial"/>
                <w:sz w:val="20"/>
                <w:szCs w:val="20"/>
                <w:color w:val="auto"/>
                <w:w w:val="92"/>
              </w:rPr>
              <w:t>Risk-free interest rate . . . . . . . . . . . . . . . . . . . . . . . . . . . . . . . . . . . . . . . . . . . . . . . . . . . . . .</w:t>
            </w:r>
          </w:p>
        </w:tc>
        <w:tc>
          <w:tcPr>
            <w:tcW w:w="1800" w:type="dxa"/>
            <w:vAlign w:val="bottom"/>
          </w:tcPr>
          <w:p>
            <w:pPr>
              <w:jc w:val="right"/>
              <w:spacing w:after="0"/>
              <w:rPr>
                <w:sz w:val="20"/>
                <w:szCs w:val="20"/>
                <w:color w:val="auto"/>
              </w:rPr>
            </w:pPr>
            <w:r>
              <w:rPr>
                <w:rFonts w:ascii="Arial" w:cs="Arial" w:eastAsia="Arial" w:hAnsi="Arial"/>
                <w:sz w:val="20"/>
                <w:szCs w:val="20"/>
                <w:color w:val="auto"/>
              </w:rPr>
              <w:t>4.8</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73"/>
        </w:trPr>
        <w:tc>
          <w:tcPr>
            <w:tcW w:w="7740" w:type="dxa"/>
            <w:vAlign w:val="bottom"/>
          </w:tcPr>
          <w:p>
            <w:pPr>
              <w:jc w:val="right"/>
              <w:ind w:right="280"/>
              <w:spacing w:after="0"/>
              <w:rPr>
                <w:sz w:val="20"/>
                <w:szCs w:val="20"/>
                <w:color w:val="auto"/>
              </w:rPr>
            </w:pPr>
            <w:r>
              <w:rPr>
                <w:rFonts w:ascii="Arial" w:cs="Arial" w:eastAsia="Arial" w:hAnsi="Arial"/>
                <w:sz w:val="20"/>
                <w:szCs w:val="20"/>
                <w:color w:val="auto"/>
                <w:w w:val="93"/>
              </w:rPr>
              <w:t>Expected dividend yield . . . . . . . . . . . . . . . . . . . . . . . . . . . . . . . . . . . . . . . . . . . . . . . . . . . .</w:t>
            </w:r>
          </w:p>
        </w:tc>
        <w:tc>
          <w:tcPr>
            <w:tcW w:w="1980" w:type="dxa"/>
            <w:vAlign w:val="bottom"/>
            <w:gridSpan w:val="2"/>
          </w:tcPr>
          <w:p>
            <w:pPr>
              <w:jc w:val="right"/>
              <w:spacing w:after="0"/>
              <w:rPr>
                <w:sz w:val="20"/>
                <w:szCs w:val="20"/>
                <w:color w:val="auto"/>
              </w:rPr>
            </w:pPr>
            <w:r>
              <w:rPr>
                <w:rFonts w:ascii="Arial" w:cs="Arial" w:eastAsia="Arial" w:hAnsi="Arial"/>
                <w:sz w:val="20"/>
                <w:szCs w:val="20"/>
                <w:color w:val="auto"/>
              </w:rPr>
              <w:t>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135255</wp:posOffset>
                </wp:positionV>
                <wp:extent cx="617156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0.65pt" to="485.6pt,10.65pt" o:allowincell="f" strokecolor="#000000" strokeweight="0.48pt"/>
            </w:pict>
          </mc:Fallback>
        </mc:AlternateConten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Restricted Shares</w:t>
      </w:r>
    </w:p>
    <w:p>
      <w:pPr>
        <w:spacing w:after="0" w:line="232"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On April 29, 2019, 5,891,064 shares of the Company’s ordinary shares which were previously issued to its founders were converted to restricted ordinary shares with a vesting term of four years with 25% of the shares vesting after one year from the vesting commencement date of April 29, 2019 and the remainder ratably on a monthly basis over the following three years, provided that the shareholder continues to provide services to the Company as of the date of such vesting. The transaction was accounted for as a grant of restricted shares with weighted-average per share grant-date fair value of $0.33 per share with the total compensation cost of $1.9 million, which will be recognized over the four-year requisite service period.</w:t>
      </w:r>
    </w:p>
    <w:p>
      <w:pPr>
        <w:sectPr>
          <w:pgSz w:w="11880" w:h="15480" w:orient="portrait"/>
          <w:cols w:equalWidth="0" w:num="1">
            <w:col w:w="9720"/>
          </w:cols>
          <w:pgMar w:left="1080" w:top="1061"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194</w:t>
      </w:r>
    </w:p>
    <w:p>
      <w:pPr>
        <w:sectPr>
          <w:pgSz w:w="11880" w:h="15480" w:orient="portrait"/>
          <w:cols w:equalWidth="0" w:num="1">
            <w:col w:w="9720"/>
          </w:cols>
          <w:pgMar w:left="1080" w:top="1061" w:right="1080" w:bottom="555" w:gutter="0" w:footer="0" w:header="0"/>
          <w:type w:val="continuous"/>
        </w:sectPr>
      </w:pPr>
    </w:p>
    <w:bookmarkStart w:id="196" w:name="page197"/>
    <w:bookmarkEnd w:id="196"/>
    <w:p>
      <w:pPr>
        <w:jc w:val="center"/>
        <w:spacing w:after="0"/>
        <w:rPr>
          <w:sz w:val="20"/>
          <w:szCs w:val="20"/>
          <w:color w:val="auto"/>
        </w:rPr>
      </w:pPr>
      <w:r>
        <w:rPr>
          <w:rFonts w:ascii="Arial" w:cs="Arial" w:eastAsia="Arial" w:hAnsi="Arial"/>
          <w:sz w:val="20"/>
          <w:szCs w:val="20"/>
          <w:color w:val="auto"/>
        </w:rPr>
        <w:t>STRUCTURE THERAPEUTICS INC.</w:t>
      </w:r>
    </w:p>
    <w:p>
      <w:pPr>
        <w:jc w:val="center"/>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Activity with respect to restricted shares was as follows (in thousands, except per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174625</wp:posOffset>
                </wp:positionV>
                <wp:extent cx="616267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3.75pt" to="485.6pt,13.75pt" o:allowincell="f" strokecolor="#000000" strokeweight="0.4809pt"/>
            </w:pict>
          </mc:Fallback>
        </mc:AlternateConten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4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UNDERLYING</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0"/>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5"/>
        </w:trPr>
        <w:tc>
          <w:tcPr>
            <w:tcW w:w="63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30"/>
              <w:spacing w:after="0"/>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84"/>
        </w:trPr>
        <w:tc>
          <w:tcPr>
            <w:tcW w:w="634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9"/>
              </w:rPr>
              <w:t>RESTRICTED</w:t>
            </w:r>
          </w:p>
        </w:tc>
        <w:tc>
          <w:tcPr>
            <w:tcW w:w="2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GRANT DATE FAIR</w:t>
            </w:r>
          </w:p>
        </w:tc>
        <w:tc>
          <w:tcPr>
            <w:tcW w:w="0" w:type="dxa"/>
            <w:vAlign w:val="bottom"/>
          </w:tcPr>
          <w:p>
            <w:pPr>
              <w:spacing w:after="0"/>
              <w:rPr>
                <w:sz w:val="1"/>
                <w:szCs w:val="1"/>
                <w:color w:val="auto"/>
              </w:rPr>
            </w:pPr>
          </w:p>
        </w:tc>
      </w:tr>
      <w:tr>
        <w:trPr>
          <w:trHeight w:val="202"/>
        </w:trPr>
        <w:tc>
          <w:tcPr>
            <w:tcW w:w="6340" w:type="dxa"/>
            <w:vAlign w:val="bottom"/>
            <w:vMerge w:val="restart"/>
          </w:tcPr>
          <w:p>
            <w:pPr>
              <w:jc w:val="right"/>
              <w:ind w:right="3520"/>
              <w:spacing w:after="0"/>
              <w:rPr>
                <w:sz w:val="20"/>
                <w:szCs w:val="20"/>
                <w:color w:val="auto"/>
              </w:rPr>
            </w:pPr>
            <w:r>
              <w:rPr>
                <w:rFonts w:ascii="Arial" w:cs="Arial" w:eastAsia="Arial" w:hAnsi="Arial"/>
                <w:sz w:val="20"/>
                <w:szCs w:val="20"/>
                <w:color w:val="auto"/>
                <w:w w:val="99"/>
              </w:rPr>
              <w:t>Unvested, December 31, 2022</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SHARES</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6"/>
                <w:szCs w:val="16"/>
                <w:b w:val="1"/>
                <w:bCs w:val="1"/>
                <w:color w:val="auto"/>
                <w:w w:val="99"/>
              </w:rPr>
              <w:t>VALUE</w:t>
            </w:r>
          </w:p>
        </w:tc>
        <w:tc>
          <w:tcPr>
            <w:tcW w:w="0" w:type="dxa"/>
            <w:vAlign w:val="bottom"/>
          </w:tcPr>
          <w:p>
            <w:pPr>
              <w:spacing w:after="0"/>
              <w:rPr>
                <w:sz w:val="1"/>
                <w:szCs w:val="1"/>
                <w:color w:val="auto"/>
              </w:rPr>
            </w:pPr>
          </w:p>
        </w:tc>
      </w:tr>
      <w:tr>
        <w:trPr>
          <w:trHeight w:val="200"/>
        </w:trPr>
        <w:tc>
          <w:tcPr>
            <w:tcW w:w="6340" w:type="dxa"/>
            <w:vAlign w:val="bottom"/>
            <w:vMerge w:val="continue"/>
          </w:tcPr>
          <w:p>
            <w:pPr>
              <w:jc w:val="right"/>
              <w:ind w:right="180"/>
              <w:spacing w:after="0" w:line="178" w:lineRule="exact"/>
              <w:rPr>
                <w:sz w:val="20"/>
                <w:szCs w:val="20"/>
                <w:color w:val="auto"/>
              </w:rPr>
            </w:pPr>
            <w:r>
              <w:rPr>
                <w:rFonts w:ascii="Arial" w:cs="Arial" w:eastAsia="Arial" w:hAnsi="Arial"/>
                <w:sz w:val="20"/>
                <w:szCs w:val="20"/>
                <w:color w:val="auto"/>
              </w:rPr>
              <w:t>. . . . . . . . . . . . . . . . . . . . . . . . . . . . . . . . .</w:t>
            </w:r>
          </w:p>
        </w:tc>
        <w:tc>
          <w:tcPr>
            <w:tcW w:w="1680" w:type="dxa"/>
            <w:vAlign w:val="bottom"/>
          </w:tcPr>
          <w:p>
            <w:pPr>
              <w:jc w:val="right"/>
              <w:spacing w:after="0" w:line="200" w:lineRule="exact"/>
              <w:rPr>
                <w:sz w:val="20"/>
                <w:szCs w:val="20"/>
                <w:color w:val="auto"/>
              </w:rPr>
            </w:pPr>
            <w:r>
              <w:rPr>
                <w:rFonts w:ascii="Arial" w:cs="Arial" w:eastAsia="Arial" w:hAnsi="Arial"/>
                <w:sz w:val="20"/>
                <w:szCs w:val="20"/>
                <w:color w:val="auto"/>
              </w:rPr>
              <w:t>327</w:t>
            </w:r>
          </w:p>
        </w:tc>
        <w:tc>
          <w:tcPr>
            <w:tcW w:w="220" w:type="dxa"/>
            <w:vAlign w:val="bottom"/>
          </w:tcPr>
          <w:p>
            <w:pPr>
              <w:spacing w:after="0"/>
              <w:rPr>
                <w:sz w:val="17"/>
                <w:szCs w:val="17"/>
                <w:color w:val="auto"/>
              </w:rPr>
            </w:pPr>
          </w:p>
        </w:tc>
        <w:tc>
          <w:tcPr>
            <w:tcW w:w="200" w:type="dxa"/>
            <w:vAlign w:val="bottom"/>
          </w:tcPr>
          <w:p>
            <w:pPr>
              <w:jc w:val="right"/>
              <w:ind w:right="10"/>
              <w:spacing w:after="0" w:line="200" w:lineRule="exact"/>
              <w:rPr>
                <w:sz w:val="20"/>
                <w:szCs w:val="20"/>
                <w:color w:val="auto"/>
              </w:rPr>
            </w:pPr>
            <w:r>
              <w:rPr>
                <w:rFonts w:ascii="Arial" w:cs="Arial" w:eastAsia="Arial" w:hAnsi="Arial"/>
                <w:sz w:val="20"/>
                <w:szCs w:val="20"/>
                <w:color w:val="auto"/>
                <w:w w:val="71"/>
              </w:rPr>
              <w:t>$</w:t>
            </w:r>
          </w:p>
        </w:tc>
        <w:tc>
          <w:tcPr>
            <w:tcW w:w="1280" w:type="dxa"/>
            <w:vAlign w:val="bottom"/>
          </w:tcPr>
          <w:p>
            <w:pPr>
              <w:jc w:val="right"/>
              <w:spacing w:after="0" w:line="200" w:lineRule="exact"/>
              <w:rPr>
                <w:sz w:val="20"/>
                <w:szCs w:val="20"/>
                <w:color w:val="auto"/>
              </w:rPr>
            </w:pPr>
            <w:r>
              <w:rPr>
                <w:rFonts w:ascii="Arial" w:cs="Arial" w:eastAsia="Arial" w:hAnsi="Arial"/>
                <w:sz w:val="20"/>
                <w:szCs w:val="20"/>
                <w:color w:val="auto"/>
              </w:rPr>
              <w:t>0.33</w:t>
            </w:r>
          </w:p>
        </w:tc>
        <w:tc>
          <w:tcPr>
            <w:tcW w:w="0" w:type="dxa"/>
            <w:vAlign w:val="bottom"/>
          </w:tcPr>
          <w:p>
            <w:pPr>
              <w:spacing w:after="0"/>
              <w:rPr>
                <w:sz w:val="1"/>
                <w:szCs w:val="1"/>
                <w:color w:val="auto"/>
              </w:rPr>
            </w:pPr>
          </w:p>
        </w:tc>
      </w:tr>
      <w:tr>
        <w:trPr>
          <w:trHeight w:val="240"/>
        </w:trPr>
        <w:tc>
          <w:tcPr>
            <w:tcW w:w="6340" w:type="dxa"/>
            <w:vAlign w:val="bottom"/>
          </w:tcPr>
          <w:p>
            <w:pPr>
              <w:jc w:val="right"/>
              <w:ind w:right="180"/>
              <w:spacing w:after="0"/>
              <w:rPr>
                <w:sz w:val="20"/>
                <w:szCs w:val="20"/>
                <w:color w:val="auto"/>
              </w:rPr>
            </w:pPr>
            <w:r>
              <w:rPr>
                <w:rFonts w:ascii="Arial" w:cs="Arial" w:eastAsia="Arial" w:hAnsi="Arial"/>
                <w:sz w:val="20"/>
                <w:szCs w:val="20"/>
                <w:color w:val="auto"/>
                <w:w w:val="91"/>
              </w:rPr>
              <w:t>Vested . . . . . . . . . . . . . . . . . . . . . . . . . . . . . . . . . . . . . . . . . . . . . . . . . . . . . .</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0.33</w:t>
            </w:r>
          </w:p>
        </w:tc>
        <w:tc>
          <w:tcPr>
            <w:tcW w:w="0" w:type="dxa"/>
            <w:vAlign w:val="bottom"/>
          </w:tcPr>
          <w:p>
            <w:pPr>
              <w:spacing w:after="0"/>
              <w:rPr>
                <w:sz w:val="1"/>
                <w:szCs w:val="1"/>
                <w:color w:val="auto"/>
              </w:rPr>
            </w:pPr>
          </w:p>
        </w:tc>
      </w:tr>
      <w:tr>
        <w:trPr>
          <w:trHeight w:val="239"/>
        </w:trPr>
        <w:tc>
          <w:tcPr>
            <w:tcW w:w="6340" w:type="dxa"/>
            <w:vAlign w:val="bottom"/>
          </w:tcPr>
          <w:p>
            <w:pPr>
              <w:jc w:val="right"/>
              <w:ind w:right="180"/>
              <w:spacing w:after="0"/>
              <w:rPr>
                <w:sz w:val="20"/>
                <w:szCs w:val="20"/>
                <w:color w:val="auto"/>
              </w:rPr>
            </w:pPr>
            <w:r>
              <w:rPr>
                <w:rFonts w:ascii="Arial" w:cs="Arial" w:eastAsia="Arial" w:hAnsi="Arial"/>
                <w:sz w:val="20"/>
                <w:szCs w:val="20"/>
                <w:color w:val="auto"/>
                <w:w w:val="98"/>
              </w:rPr>
              <w:t>. . . . . . . . . . . . . . . . . . . . . . . . . . . . . . . . .Unvested,December31,2023</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2"/>
        </w:trPr>
        <w:tc>
          <w:tcPr>
            <w:tcW w:w="6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880"/>
        <w:spacing w:after="0" w:line="284" w:lineRule="auto"/>
        <w:rPr>
          <w:sz w:val="20"/>
          <w:szCs w:val="20"/>
          <w:color w:val="auto"/>
        </w:rPr>
      </w:pPr>
      <w:r>
        <w:rPr>
          <w:rFonts w:ascii="Arial" w:cs="Arial" w:eastAsia="Arial" w:hAnsi="Arial"/>
          <w:sz w:val="20"/>
          <w:szCs w:val="20"/>
          <w:color w:val="auto"/>
        </w:rPr>
        <w:t>The fair value of restricted shares vested during the years ended December 31, 2023 and 2022 was $0.1 million and $0.4 million, respectively.</w:t>
      </w:r>
    </w:p>
    <w:p>
      <w:pPr>
        <w:spacing w:after="0" w:line="165" w:lineRule="exact"/>
        <w:rPr>
          <w:sz w:val="20"/>
          <w:szCs w:val="20"/>
          <w:color w:val="auto"/>
        </w:rPr>
      </w:pPr>
    </w:p>
    <w:p>
      <w:pPr>
        <w:ind w:right="1900"/>
        <w:spacing w:after="0" w:line="526" w:lineRule="auto"/>
        <w:rPr>
          <w:sz w:val="20"/>
          <w:szCs w:val="20"/>
          <w:color w:val="auto"/>
        </w:rPr>
      </w:pPr>
      <w:r>
        <w:rPr>
          <w:rFonts w:ascii="Arial" w:cs="Arial" w:eastAsia="Arial" w:hAnsi="Arial"/>
          <w:sz w:val="20"/>
          <w:szCs w:val="20"/>
          <w:i w:val="1"/>
          <w:iCs w:val="1"/>
          <w:color w:val="auto"/>
        </w:rPr>
        <w:t xml:space="preserve">Share-Based Compensation Associated with Awards to Employees and Non-Employees </w:t>
      </w:r>
      <w:r>
        <w:rPr>
          <w:rFonts w:ascii="Arial" w:cs="Arial" w:eastAsia="Arial" w:hAnsi="Arial"/>
          <w:sz w:val="20"/>
          <w:szCs w:val="20"/>
          <w:color w:val="auto"/>
        </w:rPr>
        <w:t>The Company recognized share-based compensation as follows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-19685</wp:posOffset>
                </wp:positionV>
                <wp:extent cx="616267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5499pt" to="485.6pt,-1.5499pt" o:allowincell="f" strokecolor="#000000" strokeweight="0.48pt"/>
            </w:pict>
          </mc:Fallback>
        </mc:AlternateContent>
      </w:r>
    </w:p>
    <w:p>
      <w:pPr>
        <w:spacing w:after="0" w:line="164" w:lineRule="exact"/>
        <w:rPr>
          <w:sz w:val="20"/>
          <w:szCs w:val="20"/>
          <w:color w:val="auto"/>
        </w:rPr>
      </w:pPr>
    </w:p>
    <w:p>
      <w:pPr>
        <w:ind w:left="7540"/>
        <w:spacing w:after="0"/>
        <w:rPr>
          <w:sz w:val="20"/>
          <w:szCs w:val="20"/>
          <w:color w:val="auto"/>
        </w:rPr>
      </w:pPr>
      <w:r>
        <w:rPr>
          <w:rFonts w:ascii="Arial" w:cs="Arial" w:eastAsia="Arial" w:hAnsi="Arial"/>
          <w:sz w:val="16"/>
          <w:szCs w:val="16"/>
          <w:b w:val="1"/>
          <w:bCs w:val="1"/>
          <w:color w:val="auto"/>
        </w:rPr>
        <w:t>YEAR ENDED</w:t>
      </w:r>
    </w:p>
    <w:p>
      <w:pPr>
        <w:ind w:left="7460"/>
        <w:spacing w:after="0"/>
        <w:rPr>
          <w:sz w:val="20"/>
          <w:szCs w:val="20"/>
          <w:color w:val="auto"/>
        </w:rPr>
      </w:pPr>
      <w:r>
        <w:rPr>
          <w:rFonts w:ascii="Arial" w:cs="Arial" w:eastAsia="Arial" w:hAnsi="Arial"/>
          <w:sz w:val="16"/>
          <w:szCs w:val="16"/>
          <w:b w:val="1"/>
          <w:bCs w:val="1"/>
          <w:color w:val="auto"/>
        </w:rPr>
        <w:t>DECEMBER 31,</w:t>
      </w:r>
    </w:p>
    <w:tbl>
      <w:tblPr>
        <w:tblLayout w:type="fixed"/>
        <w:tblInd w:w="0" w:type="dxa"/>
        <w:tblCellMar>
          <w:top w:w="0" w:type="dxa"/>
          <w:left w:w="0" w:type="dxa"/>
          <w:bottom w:w="0" w:type="dxa"/>
          <w:right w:w="0" w:type="dxa"/>
        </w:tblCellMar>
      </w:tblPr>
      <w:tr>
        <w:trPr>
          <w:trHeight w:val="193"/>
        </w:trPr>
        <w:tc>
          <w:tcPr>
            <w:tcW w:w="6400" w:type="dxa"/>
            <w:vAlign w:val="bottom"/>
            <w:vMerge w:val="restart"/>
          </w:tcPr>
          <w:p>
            <w:pPr>
              <w:spacing w:after="0"/>
              <w:rPr>
                <w:sz w:val="20"/>
                <w:szCs w:val="20"/>
                <w:color w:val="auto"/>
              </w:rPr>
            </w:pPr>
            <w:r>
              <w:rPr>
                <w:rFonts w:ascii="Arial" w:cs="Arial" w:eastAsia="Arial" w:hAnsi="Arial"/>
                <w:sz w:val="20"/>
                <w:szCs w:val="20"/>
                <w:color w:val="auto"/>
              </w:rPr>
              <w:t>Research and development</w:t>
            </w:r>
          </w:p>
        </w:tc>
        <w:tc>
          <w:tcPr>
            <w:tcW w:w="2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0"/>
        </w:trPr>
        <w:tc>
          <w:tcPr>
            <w:tcW w:w="6400" w:type="dxa"/>
            <w:vAlign w:val="bottom"/>
            <w:vMerge w:val="continue"/>
          </w:tcPr>
          <w:p>
            <w:pPr>
              <w:jc w:val="right"/>
              <w:ind w:right="140"/>
              <w:spacing w:after="0" w:line="178" w:lineRule="exact"/>
              <w:rPr>
                <w:sz w:val="20"/>
                <w:szCs w:val="20"/>
                <w:color w:val="auto"/>
              </w:rPr>
            </w:pPr>
            <w:r>
              <w:rPr>
                <w:rFonts w:ascii="Arial" w:cs="Arial" w:eastAsia="Arial" w:hAnsi="Arial"/>
                <w:sz w:val="20"/>
                <w:szCs w:val="20"/>
                <w:color w:val="auto"/>
              </w:rPr>
              <w:t>. . . . . . . . . . . . . . . . . . . . . . . . . . . . . . . . . . . . .</w:t>
            </w:r>
          </w:p>
        </w:tc>
        <w:tc>
          <w:tcPr>
            <w:tcW w:w="20" w:type="dxa"/>
            <w:vAlign w:val="bottom"/>
          </w:tcPr>
          <w:p>
            <w:pPr>
              <w:spacing w:after="0"/>
              <w:rPr>
                <w:sz w:val="17"/>
                <w:szCs w:val="17"/>
                <w:color w:val="auto"/>
              </w:rPr>
            </w:pPr>
          </w:p>
        </w:tc>
        <w:tc>
          <w:tcPr>
            <w:tcW w:w="980" w:type="dxa"/>
            <w:vAlign w:val="bottom"/>
          </w:tcPr>
          <w:p>
            <w:pPr>
              <w:spacing w:after="0" w:line="200" w:lineRule="exact"/>
              <w:rPr>
                <w:sz w:val="20"/>
                <w:szCs w:val="20"/>
                <w:color w:val="auto"/>
              </w:rPr>
            </w:pPr>
            <w:r>
              <w:rPr>
                <w:rFonts w:ascii="Arial" w:cs="Arial" w:eastAsia="Arial" w:hAnsi="Arial"/>
                <w:sz w:val="20"/>
                <w:szCs w:val="20"/>
                <w:color w:val="auto"/>
              </w:rPr>
              <w:t>$</w:t>
            </w:r>
          </w:p>
        </w:tc>
        <w:tc>
          <w:tcPr>
            <w:tcW w:w="580" w:type="dxa"/>
            <w:vAlign w:val="bottom"/>
          </w:tcPr>
          <w:p>
            <w:pPr>
              <w:jc w:val="right"/>
              <w:spacing w:after="0" w:line="200" w:lineRule="exact"/>
              <w:rPr>
                <w:sz w:val="20"/>
                <w:szCs w:val="20"/>
                <w:color w:val="auto"/>
              </w:rPr>
            </w:pPr>
            <w:r>
              <w:rPr>
                <w:rFonts w:ascii="Arial" w:cs="Arial" w:eastAsia="Arial" w:hAnsi="Arial"/>
                <w:sz w:val="20"/>
                <w:szCs w:val="20"/>
                <w:color w:val="auto"/>
                <w:w w:val="95"/>
              </w:rPr>
              <w:t>3,761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325"/>
              <w:spacing w:after="0" w:line="200" w:lineRule="exact"/>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line="200" w:lineRule="exact"/>
              <w:rPr>
                <w:sz w:val="20"/>
                <w:szCs w:val="20"/>
                <w:color w:val="auto"/>
              </w:rPr>
            </w:pPr>
            <w:r>
              <w:rPr>
                <w:rFonts w:ascii="Arial" w:cs="Arial" w:eastAsia="Arial" w:hAnsi="Arial"/>
                <w:sz w:val="20"/>
                <w:szCs w:val="20"/>
                <w:color w:val="auto"/>
              </w:rPr>
              <w:t>875</w:t>
            </w:r>
          </w:p>
        </w:tc>
        <w:tc>
          <w:tcPr>
            <w:tcW w:w="0" w:type="dxa"/>
            <w:vAlign w:val="bottom"/>
          </w:tcPr>
          <w:p>
            <w:pPr>
              <w:spacing w:after="0"/>
              <w:rPr>
                <w:sz w:val="1"/>
                <w:szCs w:val="1"/>
                <w:color w:val="auto"/>
              </w:rPr>
            </w:pPr>
          </w:p>
        </w:tc>
      </w:tr>
      <w:tr>
        <w:trPr>
          <w:trHeight w:val="240"/>
        </w:trPr>
        <w:tc>
          <w:tcPr>
            <w:tcW w:w="6400" w:type="dxa"/>
            <w:vAlign w:val="bottom"/>
          </w:tcPr>
          <w:p>
            <w:pPr>
              <w:jc w:val="right"/>
              <w:ind w:right="140"/>
              <w:spacing w:after="0"/>
              <w:rPr>
                <w:sz w:val="20"/>
                <w:szCs w:val="20"/>
                <w:color w:val="auto"/>
              </w:rPr>
            </w:pPr>
            <w:r>
              <w:rPr>
                <w:rFonts w:ascii="Arial" w:cs="Arial" w:eastAsia="Arial" w:hAnsi="Arial"/>
                <w:sz w:val="20"/>
                <w:szCs w:val="20"/>
                <w:color w:val="auto"/>
                <w:w w:val="94"/>
              </w:rPr>
              <w:t>General and administrative . . . . . . . . . . . . . . . . . . . . . . . . . . . . . . . . . . . . .</w:t>
            </w: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4,430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1,639</w:t>
            </w:r>
          </w:p>
        </w:tc>
        <w:tc>
          <w:tcPr>
            <w:tcW w:w="0" w:type="dxa"/>
            <w:vAlign w:val="bottom"/>
          </w:tcPr>
          <w:p>
            <w:pPr>
              <w:spacing w:after="0"/>
              <w:rPr>
                <w:sz w:val="1"/>
                <w:szCs w:val="1"/>
                <w:color w:val="auto"/>
              </w:rPr>
            </w:pPr>
          </w:p>
        </w:tc>
      </w:tr>
      <w:tr>
        <w:trPr>
          <w:trHeight w:val="239"/>
        </w:trPr>
        <w:tc>
          <w:tcPr>
            <w:tcW w:w="6400" w:type="dxa"/>
            <w:vAlign w:val="bottom"/>
          </w:tcPr>
          <w:p>
            <w:pPr>
              <w:jc w:val="right"/>
              <w:ind w:right="140"/>
              <w:spacing w:after="0"/>
              <w:rPr>
                <w:sz w:val="20"/>
                <w:szCs w:val="20"/>
                <w:color w:val="auto"/>
              </w:rPr>
            </w:pPr>
            <w:r>
              <w:rPr>
                <w:rFonts w:ascii="Arial" w:cs="Arial" w:eastAsia="Arial" w:hAnsi="Arial"/>
                <w:sz w:val="20"/>
                <w:szCs w:val="20"/>
                <w:color w:val="auto"/>
                <w:w w:val="97"/>
              </w:rPr>
              <w:t>. . . . . . . . . . . . . . . . . . . . . . . . . . . . . . . .Totalshare-basedcompensation</w:t>
            </w: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8,191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bottom w:val="single" w:sz="8" w:color="auto"/>
            </w:tcBorders>
            <w:gridSpan w:val="2"/>
          </w:tcPr>
          <w:p>
            <w:pPr>
              <w:jc w:val="right"/>
              <w:ind w:right="325"/>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2,514</w:t>
            </w:r>
          </w:p>
        </w:tc>
        <w:tc>
          <w:tcPr>
            <w:tcW w:w="0" w:type="dxa"/>
            <w:vAlign w:val="bottom"/>
          </w:tcPr>
          <w:p>
            <w:pPr>
              <w:spacing w:after="0"/>
              <w:rPr>
                <w:sz w:val="1"/>
                <w:szCs w:val="1"/>
                <w:color w:val="auto"/>
              </w:rPr>
            </w:pPr>
          </w:p>
        </w:tc>
      </w:tr>
      <w:tr>
        <w:trPr>
          <w:trHeight w:val="232"/>
        </w:trPr>
        <w:tc>
          <w:tcPr>
            <w:tcW w:w="6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gridSpan w:val="2"/>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gridSpan w:val="2"/>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gridSpan w:val="6"/>
          </w:tcPr>
          <w:p>
            <w:pPr>
              <w:jc w:val="right"/>
              <w:ind w:right="25"/>
              <w:spacing w:after="0"/>
              <w:rPr>
                <w:sz w:val="20"/>
                <w:szCs w:val="20"/>
                <w:color w:val="auto"/>
              </w:rPr>
            </w:pPr>
            <w:r>
              <w:rPr>
                <w:rFonts w:ascii="Arial" w:cs="Arial" w:eastAsia="Arial" w:hAnsi="Arial"/>
                <w:sz w:val="16"/>
                <w:szCs w:val="16"/>
                <w:b w:val="1"/>
                <w:bCs w:val="1"/>
                <w:color w:val="auto"/>
              </w:rPr>
              <w:t>YEAR ENDED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400" w:type="dxa"/>
            <w:vAlign w:val="bottom"/>
            <w:vMerge w:val="restart"/>
          </w:tcPr>
          <w:p>
            <w:pPr>
              <w:spacing w:after="0"/>
              <w:rPr>
                <w:sz w:val="20"/>
                <w:szCs w:val="20"/>
                <w:color w:val="auto"/>
              </w:rPr>
            </w:pPr>
            <w:r>
              <w:rPr>
                <w:rFonts w:ascii="Arial" w:cs="Arial" w:eastAsia="Arial" w:hAnsi="Arial"/>
                <w:sz w:val="20"/>
                <w:szCs w:val="20"/>
                <w:color w:val="auto"/>
              </w:rPr>
              <w:t>Share options and restricted shares</w:t>
            </w:r>
          </w:p>
        </w:tc>
        <w:tc>
          <w:tcPr>
            <w:tcW w:w="1000" w:type="dxa"/>
            <w:vAlign w:val="bottom"/>
            <w:tcBorders>
              <w:bottom w:val="single" w:sz="8" w:color="auto"/>
            </w:tcBorders>
            <w:gridSpan w:val="2"/>
          </w:tcPr>
          <w:p>
            <w:pPr>
              <w:jc w:val="right"/>
              <w:spacing w:after="0" w:line="173" w:lineRule="exact"/>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5"/>
              <w:spacing w:after="0" w:line="173"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0"/>
        </w:trPr>
        <w:tc>
          <w:tcPr>
            <w:tcW w:w="6400" w:type="dxa"/>
            <w:vAlign w:val="bottom"/>
            <w:vMerge w:val="continue"/>
          </w:tcPr>
          <w:p>
            <w:pPr>
              <w:jc w:val="right"/>
              <w:ind w:right="140"/>
              <w:spacing w:after="0" w:line="178" w:lineRule="exact"/>
              <w:rPr>
                <w:sz w:val="20"/>
                <w:szCs w:val="20"/>
                <w:color w:val="auto"/>
              </w:rPr>
            </w:pPr>
            <w:r>
              <w:rPr>
                <w:rFonts w:ascii="Arial" w:cs="Arial" w:eastAsia="Arial" w:hAnsi="Arial"/>
                <w:sz w:val="20"/>
                <w:szCs w:val="20"/>
                <w:color w:val="auto"/>
              </w:rPr>
              <w:t>. . . . . . . . . . . . . . . . . . . . . . . . . . . . . .</w:t>
            </w:r>
          </w:p>
        </w:tc>
        <w:tc>
          <w:tcPr>
            <w:tcW w:w="1000" w:type="dxa"/>
            <w:vAlign w:val="bottom"/>
            <w:gridSpan w:val="2"/>
          </w:tcPr>
          <w:p>
            <w:pPr>
              <w:spacing w:after="0" w:line="200" w:lineRule="exact"/>
              <w:rPr>
                <w:sz w:val="20"/>
                <w:szCs w:val="20"/>
                <w:color w:val="auto"/>
              </w:rPr>
            </w:pPr>
            <w:r>
              <w:rPr>
                <w:rFonts w:ascii="Arial" w:cs="Arial" w:eastAsia="Arial" w:hAnsi="Arial"/>
                <w:sz w:val="20"/>
                <w:szCs w:val="20"/>
                <w:color w:val="auto"/>
              </w:rPr>
              <w:t>$</w:t>
            </w:r>
          </w:p>
        </w:tc>
        <w:tc>
          <w:tcPr>
            <w:tcW w:w="580" w:type="dxa"/>
            <w:vAlign w:val="bottom"/>
          </w:tcPr>
          <w:p>
            <w:pPr>
              <w:jc w:val="right"/>
              <w:spacing w:after="0" w:line="200" w:lineRule="exact"/>
              <w:rPr>
                <w:sz w:val="20"/>
                <w:szCs w:val="20"/>
                <w:color w:val="auto"/>
              </w:rPr>
            </w:pPr>
            <w:r>
              <w:rPr>
                <w:rFonts w:ascii="Arial" w:cs="Arial" w:eastAsia="Arial" w:hAnsi="Arial"/>
                <w:sz w:val="20"/>
                <w:szCs w:val="20"/>
                <w:color w:val="auto"/>
              </w:rPr>
              <w:t>8,170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200" w:lineRule="exact"/>
              <w:rPr>
                <w:sz w:val="20"/>
                <w:szCs w:val="20"/>
                <w:color w:val="auto"/>
              </w:rPr>
            </w:pPr>
            <w:r>
              <w:rPr>
                <w:rFonts w:ascii="Arial" w:cs="Arial" w:eastAsia="Arial" w:hAnsi="Arial"/>
                <w:sz w:val="20"/>
                <w:szCs w:val="20"/>
                <w:color w:val="auto"/>
              </w:rPr>
              <w:t>2,514</w:t>
            </w:r>
          </w:p>
        </w:tc>
        <w:tc>
          <w:tcPr>
            <w:tcW w:w="0" w:type="dxa"/>
            <w:vAlign w:val="bottom"/>
          </w:tcPr>
          <w:p>
            <w:pPr>
              <w:spacing w:after="0"/>
              <w:rPr>
                <w:sz w:val="1"/>
                <w:szCs w:val="1"/>
                <w:color w:val="auto"/>
              </w:rPr>
            </w:pPr>
          </w:p>
        </w:tc>
      </w:tr>
      <w:tr>
        <w:trPr>
          <w:trHeight w:val="240"/>
        </w:trPr>
        <w:tc>
          <w:tcPr>
            <w:tcW w:w="6400" w:type="dxa"/>
            <w:vAlign w:val="bottom"/>
          </w:tcPr>
          <w:p>
            <w:pPr>
              <w:jc w:val="right"/>
              <w:ind w:right="140"/>
              <w:spacing w:after="0"/>
              <w:rPr>
                <w:sz w:val="20"/>
                <w:szCs w:val="20"/>
                <w:color w:val="auto"/>
              </w:rPr>
            </w:pPr>
            <w:r>
              <w:rPr>
                <w:rFonts w:ascii="Arial" w:cs="Arial" w:eastAsia="Arial" w:hAnsi="Arial"/>
                <w:sz w:val="20"/>
                <w:szCs w:val="20"/>
                <w:color w:val="auto"/>
                <w:w w:val="90"/>
              </w:rPr>
              <w:t>ESPP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9"/>
        </w:trPr>
        <w:tc>
          <w:tcPr>
            <w:tcW w:w="6400" w:type="dxa"/>
            <w:vAlign w:val="bottom"/>
          </w:tcPr>
          <w:p>
            <w:pPr>
              <w:jc w:val="right"/>
              <w:ind w:right="140"/>
              <w:spacing w:after="0"/>
              <w:rPr>
                <w:sz w:val="20"/>
                <w:szCs w:val="20"/>
                <w:color w:val="auto"/>
              </w:rPr>
            </w:pPr>
            <w:r>
              <w:rPr>
                <w:rFonts w:ascii="Arial" w:cs="Arial" w:eastAsia="Arial" w:hAnsi="Arial"/>
                <w:sz w:val="20"/>
                <w:szCs w:val="20"/>
                <w:color w:val="auto"/>
                <w:w w:val="97"/>
              </w:rPr>
              <w:t>. . . . . . . . . . . . . . . . . . . . . . . . . . . . . . . .Totalshare-basedcompensation</w:t>
            </w: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8,191</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gridSpan w:val="2"/>
          </w:tcPr>
          <w:p>
            <w:pPr>
              <w:spacing w:after="0"/>
              <w:rPr>
                <w:sz w:val="20"/>
                <w:szCs w:val="20"/>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2,514</w:t>
            </w:r>
          </w:p>
        </w:tc>
        <w:tc>
          <w:tcPr>
            <w:tcW w:w="0" w:type="dxa"/>
            <w:vAlign w:val="bottom"/>
          </w:tcPr>
          <w:p>
            <w:pPr>
              <w:spacing w:after="0"/>
              <w:rPr>
                <w:sz w:val="1"/>
                <w:szCs w:val="1"/>
                <w:color w:val="auto"/>
              </w:rPr>
            </w:pPr>
          </w:p>
        </w:tc>
      </w:tr>
      <w:tr>
        <w:trPr>
          <w:trHeight w:val="232"/>
        </w:trPr>
        <w:tc>
          <w:tcPr>
            <w:tcW w:w="6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right="340"/>
        <w:spacing w:after="0" w:line="262" w:lineRule="auto"/>
        <w:rPr>
          <w:sz w:val="20"/>
          <w:szCs w:val="20"/>
          <w:color w:val="auto"/>
        </w:rPr>
      </w:pPr>
      <w:r>
        <w:rPr>
          <w:rFonts w:ascii="Arial" w:cs="Arial" w:eastAsia="Arial" w:hAnsi="Arial"/>
          <w:sz w:val="20"/>
          <w:szCs w:val="20"/>
          <w:color w:val="auto"/>
        </w:rPr>
        <w:t>As of December 31, 2023, the total unrecognized share-based compensation expense related to unvested share options was $31.0 million, which is expected to be recognized over the remaining weighted-average vesting period of 3.1 years.</w:t>
      </w:r>
    </w:p>
    <w:p>
      <w:pPr>
        <w:spacing w:after="0" w:line="177" w:lineRule="exact"/>
        <w:rPr>
          <w:sz w:val="20"/>
          <w:szCs w:val="20"/>
          <w:color w:val="auto"/>
        </w:rPr>
      </w:pPr>
    </w:p>
    <w:p>
      <w:pPr>
        <w:jc w:val="both"/>
        <w:ind w:right="180"/>
        <w:spacing w:after="0" w:line="262" w:lineRule="auto"/>
        <w:rPr>
          <w:sz w:val="20"/>
          <w:szCs w:val="20"/>
          <w:color w:val="auto"/>
        </w:rPr>
      </w:pPr>
      <w:r>
        <w:rPr>
          <w:rFonts w:ascii="Arial" w:cs="Arial" w:eastAsia="Arial" w:hAnsi="Arial"/>
          <w:sz w:val="20"/>
          <w:szCs w:val="20"/>
          <w:color w:val="auto"/>
        </w:rPr>
        <w:t>As of December 31, 2023, the total unrecognized share-based compensation expense related to the ESPP was $0.6 million, which is expected to be recognized over the remaining weighted-average vesting period of 1.9 years.</w:t>
      </w:r>
    </w:p>
    <w:p>
      <w:pPr>
        <w:spacing w:after="0" w:line="177"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auto"/>
        </w:rPr>
        <w:t>The Company estimated the fair value of share options using the Black Scholes option-pricing model. The fair value of share options is being amortized on a straight-line basis over the requisite service period of the awards. The options granted during the years ended December 31, 2023 and 2022 had a weighted-average</w:t>
      </w:r>
    </w:p>
    <w:p>
      <w:pPr>
        <w:sectPr>
          <w:pgSz w:w="11880" w:h="15480" w:orient="portrait"/>
          <w:cols w:equalWidth="0" w:num="1">
            <w:col w:w="9720"/>
          </w:cols>
          <w:pgMar w:left="1080" w:top="1061"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195</w:t>
      </w:r>
    </w:p>
    <w:p>
      <w:pPr>
        <w:sectPr>
          <w:pgSz w:w="11880" w:h="15480" w:orient="portrait"/>
          <w:cols w:equalWidth="0" w:num="1">
            <w:col w:w="9720"/>
          </w:cols>
          <w:pgMar w:left="1080" w:top="1061" w:right="1080" w:bottom="555" w:gutter="0" w:footer="0" w:header="0"/>
          <w:type w:val="continuous"/>
        </w:sectPr>
      </w:pPr>
    </w:p>
    <w:bookmarkStart w:id="197" w:name="page198"/>
    <w:bookmarkEnd w:id="197"/>
    <w:p>
      <w:pPr>
        <w:jc w:val="center"/>
        <w:spacing w:after="0"/>
        <w:rPr>
          <w:sz w:val="20"/>
          <w:szCs w:val="20"/>
          <w:color w:val="auto"/>
        </w:rPr>
      </w:pPr>
      <w:r>
        <w:rPr>
          <w:rFonts w:ascii="Arial" w:cs="Arial" w:eastAsia="Arial" w:hAnsi="Arial"/>
          <w:sz w:val="20"/>
          <w:szCs w:val="20"/>
          <w:color w:val="auto"/>
        </w:rPr>
        <w:t>STRUCTURE THERAPEUTICS INC.</w:t>
      </w:r>
    </w:p>
    <w:p>
      <w:pPr>
        <w:jc w:val="center"/>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ind w:right="420"/>
        <w:spacing w:after="0" w:line="284" w:lineRule="auto"/>
        <w:rPr>
          <w:sz w:val="20"/>
          <w:szCs w:val="20"/>
          <w:color w:val="auto"/>
        </w:rPr>
      </w:pPr>
      <w:r>
        <w:rPr>
          <w:rFonts w:ascii="Arial" w:cs="Arial" w:eastAsia="Arial" w:hAnsi="Arial"/>
          <w:sz w:val="20"/>
          <w:szCs w:val="20"/>
          <w:color w:val="auto"/>
        </w:rPr>
        <w:t>per share grant-date fair value of $6.21 and $1.96 per share, respectively, which was estimated using the following weighted-average assumptions: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127635</wp:posOffset>
                </wp:positionV>
                <wp:extent cx="616267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0.05pt" to="485.6pt,10.05pt" o:allowincell="f" strokecolor="#000000" strokeweight="0.4799pt"/>
            </w:pict>
          </mc:Fallback>
        </mc:AlternateContent>
      </w:r>
    </w:p>
    <w:p>
      <w:pPr>
        <w:spacing w:after="0" w:line="398"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YEAR ENDED</w:t>
      </w:r>
    </w:p>
    <w:p>
      <w:pPr>
        <w:ind w:left="7860"/>
        <w:spacing w:after="0"/>
        <w:rPr>
          <w:sz w:val="20"/>
          <w:szCs w:val="20"/>
          <w:color w:val="auto"/>
        </w:rPr>
      </w:pPr>
      <w:r>
        <w:rPr>
          <w:rFonts w:ascii="Arial" w:cs="Arial" w:eastAsia="Arial" w:hAnsi="Arial"/>
          <w:sz w:val="16"/>
          <w:szCs w:val="16"/>
          <w:b w:val="1"/>
          <w:bCs w:val="1"/>
          <w:color w:val="auto"/>
        </w:rPr>
        <w:t>DECEMBER 31,</w:t>
      </w:r>
    </w:p>
    <w:tbl>
      <w:tblPr>
        <w:tblLayout w:type="fixed"/>
        <w:tblInd w:w="0" w:type="dxa"/>
        <w:tblCellMar>
          <w:top w:w="0" w:type="dxa"/>
          <w:left w:w="0" w:type="dxa"/>
          <w:bottom w:w="0" w:type="dxa"/>
          <w:right w:w="0" w:type="dxa"/>
        </w:tblCellMar>
      </w:tblPr>
      <w:tr>
        <w:trPr>
          <w:trHeight w:val="193"/>
        </w:trPr>
        <w:tc>
          <w:tcPr>
            <w:tcW w:w="7440" w:type="dxa"/>
            <w:vAlign w:val="bottom"/>
            <w:vMerge w:val="restart"/>
          </w:tcPr>
          <w:p>
            <w:pPr>
              <w:jc w:val="right"/>
              <w:ind w:right="5160"/>
              <w:spacing w:after="0"/>
              <w:rPr>
                <w:sz w:val="20"/>
                <w:szCs w:val="20"/>
                <w:color w:val="auto"/>
              </w:rPr>
            </w:pPr>
            <w:r>
              <w:rPr>
                <w:rFonts w:ascii="Arial" w:cs="Arial" w:eastAsia="Arial" w:hAnsi="Arial"/>
                <w:sz w:val="20"/>
                <w:szCs w:val="20"/>
                <w:color w:val="auto"/>
                <w:w w:val="99"/>
              </w:rPr>
              <w:t>Expected term (in years)</w:t>
            </w:r>
          </w:p>
        </w:tc>
        <w:tc>
          <w:tcPr>
            <w:tcW w:w="88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440" w:type="dxa"/>
            <w:vAlign w:val="bottom"/>
            <w:vMerge w:val="continue"/>
          </w:tcPr>
          <w:p>
            <w:pPr>
              <w:jc w:val="right"/>
              <w:ind w:right="180"/>
              <w:spacing w:after="0" w:line="178" w:lineRule="exact"/>
              <w:rPr>
                <w:sz w:val="20"/>
                <w:szCs w:val="20"/>
                <w:color w:val="auto"/>
              </w:rPr>
            </w:pPr>
            <w:r>
              <w:rPr>
                <w:rFonts w:ascii="Arial" w:cs="Arial" w:eastAsia="Arial" w:hAnsi="Arial"/>
                <w:sz w:val="20"/>
                <w:szCs w:val="20"/>
                <w:color w:val="auto"/>
              </w:rPr>
              <w:t>. . . . . . . . . . . . . . . . . . . . . . . . . . . . . . . . . . . . . . . . . . . . . . . . .</w:t>
            </w:r>
          </w:p>
        </w:tc>
        <w:tc>
          <w:tcPr>
            <w:tcW w:w="880" w:type="dxa"/>
            <w:vAlign w:val="bottom"/>
          </w:tcPr>
          <w:p>
            <w:pPr>
              <w:jc w:val="right"/>
              <w:spacing w:after="0" w:line="199" w:lineRule="exact"/>
              <w:rPr>
                <w:sz w:val="20"/>
                <w:szCs w:val="20"/>
                <w:color w:val="auto"/>
              </w:rPr>
            </w:pPr>
            <w:r>
              <w:rPr>
                <w:rFonts w:ascii="Arial" w:cs="Arial" w:eastAsia="Arial" w:hAnsi="Arial"/>
                <w:sz w:val="20"/>
                <w:szCs w:val="20"/>
                <w:color w:val="auto"/>
              </w:rPr>
              <w:t>6.1</w:t>
            </w:r>
          </w:p>
        </w:tc>
        <w:tc>
          <w:tcPr>
            <w:tcW w:w="300" w:type="dxa"/>
            <w:vAlign w:val="bottom"/>
          </w:tcPr>
          <w:p>
            <w:pPr>
              <w:spacing w:after="0"/>
              <w:rPr>
                <w:sz w:val="17"/>
                <w:szCs w:val="17"/>
                <w:color w:val="auto"/>
              </w:rPr>
            </w:pPr>
          </w:p>
        </w:tc>
        <w:tc>
          <w:tcPr>
            <w:tcW w:w="840" w:type="dxa"/>
            <w:vAlign w:val="bottom"/>
          </w:tcPr>
          <w:p>
            <w:pPr>
              <w:jc w:val="right"/>
              <w:spacing w:after="0" w:line="199" w:lineRule="exact"/>
              <w:rPr>
                <w:sz w:val="20"/>
                <w:szCs w:val="20"/>
                <w:color w:val="auto"/>
              </w:rPr>
            </w:pPr>
            <w:r>
              <w:rPr>
                <w:rFonts w:ascii="Arial" w:cs="Arial" w:eastAsia="Arial" w:hAnsi="Arial"/>
                <w:sz w:val="20"/>
                <w:szCs w:val="20"/>
                <w:color w:val="auto"/>
              </w:rPr>
              <w:t>5.9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jc w:val="right"/>
              <w:ind w:right="180"/>
              <w:spacing w:after="0"/>
              <w:rPr>
                <w:sz w:val="20"/>
                <w:szCs w:val="20"/>
                <w:color w:val="auto"/>
              </w:rPr>
            </w:pPr>
            <w:r>
              <w:rPr>
                <w:rFonts w:ascii="Arial" w:cs="Arial" w:eastAsia="Arial" w:hAnsi="Arial"/>
                <w:sz w:val="20"/>
                <w:szCs w:val="20"/>
                <w:color w:val="auto"/>
                <w:w w:val="92"/>
              </w:rPr>
              <w:t>Expected volatility . . . . . . . . . . . . . . . . . . . . . . . . . . . . . . . . . . . . . . . . . . . . . . . . . . . . . . .</w:t>
            </w:r>
          </w:p>
        </w:tc>
        <w:tc>
          <w:tcPr>
            <w:tcW w:w="1180" w:type="dxa"/>
            <w:vAlign w:val="bottom"/>
            <w:gridSpan w:val="2"/>
          </w:tcPr>
          <w:p>
            <w:pPr>
              <w:jc w:val="right"/>
              <w:ind w:right="120"/>
              <w:spacing w:after="0"/>
              <w:rPr>
                <w:sz w:val="20"/>
                <w:szCs w:val="20"/>
                <w:color w:val="auto"/>
              </w:rPr>
            </w:pPr>
            <w:r>
              <w:rPr>
                <w:rFonts w:ascii="Arial" w:cs="Arial" w:eastAsia="Arial" w:hAnsi="Arial"/>
                <w:sz w:val="20"/>
                <w:szCs w:val="20"/>
                <w:color w:val="auto"/>
              </w:rPr>
              <w:t>101.3 %</w:t>
            </w:r>
          </w:p>
        </w:tc>
        <w:tc>
          <w:tcPr>
            <w:tcW w:w="840" w:type="dxa"/>
            <w:vAlign w:val="bottom"/>
          </w:tcPr>
          <w:p>
            <w:pPr>
              <w:jc w:val="right"/>
              <w:spacing w:after="0"/>
              <w:rPr>
                <w:sz w:val="20"/>
                <w:szCs w:val="20"/>
                <w:color w:val="auto"/>
              </w:rPr>
            </w:pPr>
            <w:r>
              <w:rPr>
                <w:rFonts w:ascii="Arial" w:cs="Arial" w:eastAsia="Arial" w:hAnsi="Arial"/>
                <w:sz w:val="20"/>
                <w:szCs w:val="20"/>
                <w:color w:val="auto"/>
              </w:rPr>
              <w:t>87.7</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440" w:type="dxa"/>
            <w:vAlign w:val="bottom"/>
          </w:tcPr>
          <w:p>
            <w:pPr>
              <w:jc w:val="right"/>
              <w:ind w:right="180"/>
              <w:spacing w:after="0"/>
              <w:rPr>
                <w:sz w:val="20"/>
                <w:szCs w:val="20"/>
                <w:color w:val="auto"/>
              </w:rPr>
            </w:pPr>
            <w:r>
              <w:rPr>
                <w:rFonts w:ascii="Arial" w:cs="Arial" w:eastAsia="Arial" w:hAnsi="Arial"/>
                <w:sz w:val="20"/>
                <w:szCs w:val="20"/>
                <w:color w:val="auto"/>
                <w:w w:val="92"/>
              </w:rPr>
              <w:t>Risk-free interest rate . . . . . . . . . . . . . . . . . . . . . . . . . . . . . . . . . . . . . . . . . . . . . . . . . . . .</w:t>
            </w:r>
          </w:p>
        </w:tc>
        <w:tc>
          <w:tcPr>
            <w:tcW w:w="1180" w:type="dxa"/>
            <w:vAlign w:val="bottom"/>
            <w:gridSpan w:val="2"/>
          </w:tcPr>
          <w:p>
            <w:pPr>
              <w:jc w:val="right"/>
              <w:ind w:right="120"/>
              <w:spacing w:after="0"/>
              <w:rPr>
                <w:sz w:val="20"/>
                <w:szCs w:val="20"/>
                <w:color w:val="auto"/>
              </w:rPr>
            </w:pPr>
            <w:r>
              <w:rPr>
                <w:rFonts w:ascii="Arial" w:cs="Arial" w:eastAsia="Arial" w:hAnsi="Arial"/>
                <w:sz w:val="20"/>
                <w:szCs w:val="20"/>
                <w:color w:val="auto"/>
              </w:rPr>
              <w:t>3.7 %</w:t>
            </w:r>
          </w:p>
        </w:tc>
        <w:tc>
          <w:tcPr>
            <w:tcW w:w="840" w:type="dxa"/>
            <w:vAlign w:val="bottom"/>
          </w:tcPr>
          <w:p>
            <w:pPr>
              <w:jc w:val="right"/>
              <w:spacing w:after="0"/>
              <w:rPr>
                <w:sz w:val="20"/>
                <w:szCs w:val="20"/>
                <w:color w:val="auto"/>
              </w:rPr>
            </w:pPr>
            <w:r>
              <w:rPr>
                <w:rFonts w:ascii="Arial" w:cs="Arial" w:eastAsia="Arial" w:hAnsi="Arial"/>
                <w:sz w:val="20"/>
                <w:szCs w:val="20"/>
                <w:color w:val="auto"/>
              </w:rPr>
              <w:t>2.0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3"/>
        </w:trPr>
        <w:tc>
          <w:tcPr>
            <w:tcW w:w="7440" w:type="dxa"/>
            <w:vAlign w:val="bottom"/>
          </w:tcPr>
          <w:p>
            <w:pPr>
              <w:jc w:val="right"/>
              <w:ind w:right="180"/>
              <w:spacing w:after="0"/>
              <w:rPr>
                <w:sz w:val="20"/>
                <w:szCs w:val="20"/>
                <w:color w:val="auto"/>
              </w:rPr>
            </w:pPr>
            <w:r>
              <w:rPr>
                <w:rFonts w:ascii="Arial" w:cs="Arial" w:eastAsia="Arial" w:hAnsi="Arial"/>
                <w:sz w:val="20"/>
                <w:szCs w:val="20"/>
                <w:color w:val="auto"/>
                <w:w w:val="93"/>
              </w:rPr>
              <w:t>Expected dividend yield . . . . . . . . . . . . . . . . . . . . . . . . . . . . . . . . . . . . . . . . . . . . . . . . . .</w:t>
            </w:r>
          </w:p>
        </w:tc>
        <w:tc>
          <w:tcPr>
            <w:tcW w:w="1180" w:type="dxa"/>
            <w:vAlign w:val="bottom"/>
            <w:gridSpan w:val="2"/>
          </w:tcPr>
          <w:p>
            <w:pPr>
              <w:jc w:val="right"/>
              <w:ind w:right="120"/>
              <w:spacing w:after="0"/>
              <w:rPr>
                <w:sz w:val="20"/>
                <w:szCs w:val="20"/>
                <w:color w:val="auto"/>
              </w:rPr>
            </w:pPr>
            <w:r>
              <w:rPr>
                <w:rFonts w:ascii="Arial" w:cs="Arial" w:eastAsia="Arial" w:hAnsi="Arial"/>
                <w:sz w:val="20"/>
                <w:szCs w:val="20"/>
                <w:color w:val="auto"/>
              </w:rPr>
              <w:t>0.0 %</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135255</wp:posOffset>
                </wp:positionV>
                <wp:extent cx="617156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0.65pt" to="485.6pt,10.65pt" o:allowincell="f" strokecolor="#000000" strokeweight="0.48pt"/>
            </w:pict>
          </mc:Fallback>
        </mc:AlternateConten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The assumptions are as follows:</w:t>
      </w:r>
    </w:p>
    <w:p>
      <w:pPr>
        <w:spacing w:after="0" w:line="254" w:lineRule="exact"/>
        <w:rPr>
          <w:sz w:val="20"/>
          <w:szCs w:val="20"/>
          <w:color w:val="auto"/>
        </w:rPr>
      </w:pPr>
    </w:p>
    <w:p>
      <w:pPr>
        <w:ind w:left="720" w:right="40" w:hanging="353"/>
        <w:spacing w:after="0" w:line="246" w:lineRule="auto"/>
        <w:tabs>
          <w:tab w:leader="none" w:pos="720" w:val="left"/>
        </w:tabs>
        <w:numPr>
          <w:ilvl w:val="0"/>
          <w:numId w:val="71"/>
        </w:numPr>
        <w:rPr>
          <w:rFonts w:ascii="Arial" w:cs="Arial" w:eastAsia="Arial" w:hAnsi="Arial"/>
          <w:sz w:val="20"/>
          <w:szCs w:val="20"/>
          <w:color w:val="auto"/>
        </w:rPr>
      </w:pPr>
      <w:r>
        <w:rPr>
          <w:rFonts w:ascii="Arial" w:cs="Arial" w:eastAsia="Arial" w:hAnsi="Arial"/>
          <w:sz w:val="20"/>
          <w:szCs w:val="20"/>
          <w:i w:val="1"/>
          <w:iCs w:val="1"/>
          <w:color w:val="auto"/>
        </w:rPr>
        <w:t xml:space="preserve">Expected term. </w:t>
      </w:r>
      <w:r>
        <w:rPr>
          <w:rFonts w:ascii="Arial" w:cs="Arial" w:eastAsia="Arial" w:hAnsi="Arial"/>
          <w:sz w:val="20"/>
          <w:szCs w:val="20"/>
          <w:color w:val="auto"/>
        </w:rPr>
        <w:t>The expected term represents the period that the share-based awards are expected</w:t>
      </w:r>
      <w:r>
        <w:rPr>
          <w:rFonts w:ascii="Arial" w:cs="Arial" w:eastAsia="Arial" w:hAnsi="Arial"/>
          <w:sz w:val="20"/>
          <w:szCs w:val="20"/>
          <w:i w:val="1"/>
          <w:iCs w:val="1"/>
          <w:color w:val="auto"/>
        </w:rPr>
        <w:t xml:space="preserve"> </w:t>
      </w:r>
      <w:r>
        <w:rPr>
          <w:rFonts w:ascii="Arial" w:cs="Arial" w:eastAsia="Arial" w:hAnsi="Arial"/>
          <w:sz w:val="20"/>
          <w:szCs w:val="20"/>
          <w:color w:val="auto"/>
        </w:rPr>
        <w:t>to be outstanding. The expected term is calculated using the simplified method which is used when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87" w:lineRule="exact"/>
        <w:rPr>
          <w:rFonts w:ascii="Arial" w:cs="Arial" w:eastAsia="Arial" w:hAnsi="Arial"/>
          <w:sz w:val="20"/>
          <w:szCs w:val="20"/>
          <w:color w:val="auto"/>
        </w:rPr>
      </w:pPr>
    </w:p>
    <w:p>
      <w:pPr>
        <w:ind w:left="720" w:right="60" w:hanging="353"/>
        <w:spacing w:after="0" w:line="247" w:lineRule="auto"/>
        <w:tabs>
          <w:tab w:leader="none" w:pos="720" w:val="left"/>
        </w:tabs>
        <w:numPr>
          <w:ilvl w:val="0"/>
          <w:numId w:val="71"/>
        </w:numPr>
        <w:rPr>
          <w:rFonts w:ascii="Arial" w:cs="Arial" w:eastAsia="Arial" w:hAnsi="Arial"/>
          <w:sz w:val="20"/>
          <w:szCs w:val="20"/>
          <w:color w:val="auto"/>
        </w:rPr>
      </w:pPr>
      <w:r>
        <w:rPr>
          <w:rFonts w:ascii="Arial" w:cs="Arial" w:eastAsia="Arial" w:hAnsi="Arial"/>
          <w:sz w:val="20"/>
          <w:szCs w:val="20"/>
          <w:i w:val="1"/>
          <w:iCs w:val="1"/>
          <w:color w:val="auto"/>
        </w:rPr>
        <w:t xml:space="preserve">Expected volatility. </w:t>
      </w:r>
      <w:r>
        <w:rPr>
          <w:rFonts w:ascii="Arial" w:cs="Arial" w:eastAsia="Arial" w:hAnsi="Arial"/>
          <w:sz w:val="20"/>
          <w:szCs w:val="20"/>
          <w:color w:val="auto"/>
        </w:rPr>
        <w:t>The Company estimated the volatility data based on a study of publicly traded</w:t>
      </w:r>
      <w:r>
        <w:rPr>
          <w:rFonts w:ascii="Arial" w:cs="Arial" w:eastAsia="Arial" w:hAnsi="Arial"/>
          <w:sz w:val="20"/>
          <w:szCs w:val="20"/>
          <w:i w:val="1"/>
          <w:iCs w:val="1"/>
          <w:color w:val="auto"/>
        </w:rPr>
        <w:t xml:space="preserve"> </w:t>
      </w:r>
      <w:r>
        <w:rPr>
          <w:rFonts w:ascii="Arial" w:cs="Arial" w:eastAsia="Arial" w:hAnsi="Arial"/>
          <w:sz w:val="20"/>
          <w:szCs w:val="20"/>
          <w:color w:val="auto"/>
        </w:rPr>
        <w:t>industry peer companies as it did not have any trading history for its ordinary shares. For purposes of identifying these peer companies, the Company considered the industry, stage of development, size and financial leverage of potential comparable companies. For each grant, the Company measured historical volatility over a period equivalent to the expected term. The Company will continue to apply this process until a sufficient amount of historical information regarding the volatility of its own share price becomes available.</w:t>
      </w:r>
    </w:p>
    <w:p>
      <w:pPr>
        <w:spacing w:after="0" w:line="87" w:lineRule="exact"/>
        <w:rPr>
          <w:rFonts w:ascii="Arial" w:cs="Arial" w:eastAsia="Arial" w:hAnsi="Arial"/>
          <w:sz w:val="20"/>
          <w:szCs w:val="20"/>
          <w:color w:val="auto"/>
        </w:rPr>
      </w:pPr>
    </w:p>
    <w:p>
      <w:pPr>
        <w:jc w:val="both"/>
        <w:ind w:left="720" w:right="120" w:hanging="353"/>
        <w:spacing w:after="0" w:line="262" w:lineRule="auto"/>
        <w:tabs>
          <w:tab w:leader="none" w:pos="720" w:val="left"/>
        </w:tabs>
        <w:numPr>
          <w:ilvl w:val="0"/>
          <w:numId w:val="71"/>
        </w:numPr>
        <w:rPr>
          <w:rFonts w:ascii="Arial" w:cs="Arial" w:eastAsia="Arial" w:hAnsi="Arial"/>
          <w:sz w:val="20"/>
          <w:szCs w:val="20"/>
          <w:color w:val="auto"/>
        </w:rPr>
      </w:pPr>
      <w:r>
        <w:rPr>
          <w:rFonts w:ascii="Arial" w:cs="Arial" w:eastAsia="Arial" w:hAnsi="Arial"/>
          <w:sz w:val="20"/>
          <w:szCs w:val="20"/>
          <w:i w:val="1"/>
          <w:iCs w:val="1"/>
          <w:color w:val="auto"/>
        </w:rPr>
        <w:t xml:space="preserve">Risk-free interest rate. </w:t>
      </w:r>
      <w:r>
        <w:rPr>
          <w:rFonts w:ascii="Arial" w:cs="Arial" w:eastAsia="Arial" w:hAnsi="Arial"/>
          <w:sz w:val="20"/>
          <w:szCs w:val="20"/>
          <w:color w:val="auto"/>
        </w:rPr>
        <w:t>The risk-free interest rate is based on the U.S. Treasury yield in effect at the</w:t>
      </w:r>
      <w:r>
        <w:rPr>
          <w:rFonts w:ascii="Arial" w:cs="Arial" w:eastAsia="Arial" w:hAnsi="Arial"/>
          <w:sz w:val="20"/>
          <w:szCs w:val="20"/>
          <w:i w:val="1"/>
          <w:iCs w:val="1"/>
          <w:color w:val="auto"/>
        </w:rPr>
        <w:t xml:space="preserve"> </w:t>
      </w:r>
      <w:r>
        <w:rPr>
          <w:rFonts w:ascii="Arial" w:cs="Arial" w:eastAsia="Arial" w:hAnsi="Arial"/>
          <w:sz w:val="20"/>
          <w:szCs w:val="20"/>
          <w:color w:val="auto"/>
        </w:rPr>
        <w:t>time of grant for zero-coupon U.S. Treasury notes with remaining terms similar to the expected term of the options.</w:t>
      </w:r>
    </w:p>
    <w:p>
      <w:pPr>
        <w:spacing w:after="0" w:line="70" w:lineRule="exact"/>
        <w:rPr>
          <w:rFonts w:ascii="Arial" w:cs="Arial" w:eastAsia="Arial" w:hAnsi="Arial"/>
          <w:sz w:val="20"/>
          <w:szCs w:val="20"/>
          <w:color w:val="auto"/>
        </w:rPr>
      </w:pPr>
    </w:p>
    <w:p>
      <w:pPr>
        <w:ind w:left="720" w:right="140" w:hanging="353"/>
        <w:spacing w:after="0" w:line="284" w:lineRule="auto"/>
        <w:tabs>
          <w:tab w:leader="none" w:pos="720" w:val="left"/>
        </w:tabs>
        <w:numPr>
          <w:ilvl w:val="0"/>
          <w:numId w:val="71"/>
        </w:numPr>
        <w:rPr>
          <w:rFonts w:ascii="Arial" w:cs="Arial" w:eastAsia="Arial" w:hAnsi="Arial"/>
          <w:sz w:val="20"/>
          <w:szCs w:val="20"/>
          <w:color w:val="auto"/>
        </w:rPr>
      </w:pPr>
      <w:r>
        <w:rPr>
          <w:rFonts w:ascii="Arial" w:cs="Arial" w:eastAsia="Arial" w:hAnsi="Arial"/>
          <w:sz w:val="20"/>
          <w:szCs w:val="20"/>
          <w:i w:val="1"/>
          <w:iCs w:val="1"/>
          <w:color w:val="auto"/>
        </w:rPr>
        <w:t xml:space="preserve">Expected Dividend yield. </w:t>
      </w:r>
      <w:r>
        <w:rPr>
          <w:rFonts w:ascii="Arial" w:cs="Arial" w:eastAsia="Arial" w:hAnsi="Arial"/>
          <w:sz w:val="20"/>
          <w:szCs w:val="20"/>
          <w:color w:val="auto"/>
        </w:rPr>
        <w:t>The expected dividend is assumed to be zero as the Company has never</w:t>
      </w:r>
      <w:r>
        <w:rPr>
          <w:rFonts w:ascii="Arial" w:cs="Arial" w:eastAsia="Arial" w:hAnsi="Arial"/>
          <w:sz w:val="20"/>
          <w:szCs w:val="20"/>
          <w:i w:val="1"/>
          <w:iCs w:val="1"/>
          <w:color w:val="auto"/>
        </w:rPr>
        <w:t xml:space="preserve"> </w:t>
      </w:r>
      <w:r>
        <w:rPr>
          <w:rFonts w:ascii="Arial" w:cs="Arial" w:eastAsia="Arial" w:hAnsi="Arial"/>
          <w:sz w:val="20"/>
          <w:szCs w:val="20"/>
          <w:color w:val="auto"/>
        </w:rPr>
        <w:t>paid dividends and has no current plans to do so.</w:t>
      </w:r>
    </w:p>
    <w:p>
      <w:pPr>
        <w:spacing w:after="0" w:line="157"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auto"/>
        </w:rPr>
        <w:t>In addition to the assumptions used in the Black-Scholes option-pricing model, the Company recognizes the actual forfeitures by reducing the employee share-based compensation expense in the same period the forfeiture occurs.</w:t>
      </w:r>
    </w:p>
    <w:p>
      <w:pPr>
        <w:sectPr>
          <w:pgSz w:w="11880" w:h="15480" w:orient="portrait"/>
          <w:cols w:equalWidth="0" w:num="1">
            <w:col w:w="9720"/>
          </w:cols>
          <w:pgMar w:left="1080" w:top="1061"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196</w:t>
      </w:r>
    </w:p>
    <w:p>
      <w:pPr>
        <w:sectPr>
          <w:pgSz w:w="11880" w:h="15480" w:orient="portrait"/>
          <w:cols w:equalWidth="0" w:num="1">
            <w:col w:w="9720"/>
          </w:cols>
          <w:pgMar w:left="1080" w:top="1061" w:right="1080" w:bottom="555" w:gutter="0" w:footer="0" w:header="0"/>
          <w:type w:val="continuous"/>
        </w:sectPr>
      </w:pPr>
    </w:p>
    <w:bookmarkStart w:id="198" w:name="page199"/>
    <w:bookmarkEnd w:id="198"/>
    <w:p>
      <w:pPr>
        <w:jc w:val="center"/>
        <w:spacing w:after="0"/>
        <w:rPr>
          <w:sz w:val="20"/>
          <w:szCs w:val="20"/>
          <w:color w:val="auto"/>
        </w:rPr>
      </w:pPr>
      <w:r>
        <w:rPr>
          <w:rFonts w:ascii="Arial" w:cs="Arial" w:eastAsia="Arial" w:hAnsi="Arial"/>
          <w:sz w:val="20"/>
          <w:szCs w:val="20"/>
          <w:color w:val="auto"/>
        </w:rPr>
        <w:t>STRUCTURE THERAPEUTICS INC.</w:t>
      </w:r>
    </w:p>
    <w:p>
      <w:pPr>
        <w:jc w:val="center"/>
        <w:spacing w:after="0"/>
        <w:rPr>
          <w:sz w:val="20"/>
          <w:szCs w:val="20"/>
          <w:color w:val="auto"/>
        </w:rPr>
      </w:pPr>
      <w:r>
        <w:rPr>
          <w:rFonts w:ascii="Arial" w:cs="Arial" w:eastAsia="Arial" w:hAnsi="Arial"/>
          <w:sz w:val="20"/>
          <w:szCs w:val="20"/>
          <w:color w:val="auto"/>
        </w:rPr>
        <w:t>NOTES TO CONSOLIDATED FINANCIAL STATEMENTS (CONTINUED)</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Income Taxes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loss before income tax expense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180975</wp:posOffset>
                </wp:positionV>
                <wp:extent cx="616267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25pt" to="485.6pt,14.25pt" o:allowincell="f" strokecolor="#000000" strokeweight="0.4799pt"/>
            </w:pict>
          </mc:Fallback>
        </mc:AlternateContent>
      </w:r>
    </w:p>
    <w:p>
      <w:pPr>
        <w:spacing w:after="0" w:line="200" w:lineRule="exact"/>
        <w:rPr>
          <w:sz w:val="20"/>
          <w:szCs w:val="20"/>
          <w:color w:val="auto"/>
        </w:rPr>
      </w:pPr>
    </w:p>
    <w:p>
      <w:pPr>
        <w:spacing w:after="0" w:line="307"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YEAR ENDED</w:t>
      </w:r>
    </w:p>
    <w:p>
      <w:pPr>
        <w:ind w:left="8060"/>
        <w:spacing w:after="0"/>
        <w:rPr>
          <w:sz w:val="20"/>
          <w:szCs w:val="20"/>
          <w:color w:val="auto"/>
        </w:rPr>
      </w:pPr>
      <w:r>
        <w:rPr>
          <w:rFonts w:ascii="Arial" w:cs="Arial" w:eastAsia="Arial" w:hAnsi="Arial"/>
          <w:sz w:val="16"/>
          <w:szCs w:val="16"/>
          <w:b w:val="1"/>
          <w:bCs w:val="1"/>
          <w:color w:val="auto"/>
        </w:rPr>
        <w:t>DECEMBER 31,</w:t>
      </w:r>
    </w:p>
    <w:tbl>
      <w:tblPr>
        <w:tblLayout w:type="fixed"/>
        <w:tblInd w:w="0" w:type="dxa"/>
        <w:tblCellMar>
          <w:top w:w="0" w:type="dxa"/>
          <w:left w:w="0" w:type="dxa"/>
          <w:bottom w:w="0" w:type="dxa"/>
          <w:right w:w="0" w:type="dxa"/>
        </w:tblCellMar>
      </w:tblPr>
      <w:tr>
        <w:trPr>
          <w:trHeight w:val="193"/>
        </w:trPr>
        <w:tc>
          <w:tcPr>
            <w:tcW w:w="7620" w:type="dxa"/>
            <w:vAlign w:val="bottom"/>
            <w:vMerge w:val="restart"/>
          </w:tcPr>
          <w:p>
            <w:pPr>
              <w:jc w:val="right"/>
              <w:ind w:right="4900"/>
              <w:spacing w:after="0"/>
              <w:rPr>
                <w:sz w:val="20"/>
                <w:szCs w:val="20"/>
                <w:color w:val="auto"/>
              </w:rPr>
            </w:pPr>
            <w:r>
              <w:rPr>
                <w:rFonts w:ascii="Arial" w:cs="Arial" w:eastAsia="Arial" w:hAnsi="Arial"/>
                <w:sz w:val="20"/>
                <w:szCs w:val="20"/>
                <w:color w:val="auto"/>
                <w:w w:val="99"/>
              </w:rPr>
              <w:t>Loss before income expense:</w:t>
            </w:r>
          </w:p>
        </w:tc>
        <w:tc>
          <w:tcPr>
            <w:tcW w:w="940" w:type="dxa"/>
            <w:vAlign w:val="bottom"/>
            <w:tcBorders>
              <w:top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2023</w:t>
            </w:r>
          </w:p>
        </w:tc>
        <w:tc>
          <w:tcPr>
            <w:tcW w:w="11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8"/>
        </w:trPr>
        <w:tc>
          <w:tcPr>
            <w:tcW w:w="7620" w:type="dxa"/>
            <w:vAlign w:val="bottom"/>
            <w:vMerge w:val="continue"/>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620" w:type="dxa"/>
            <w:vAlign w:val="bottom"/>
          </w:tcPr>
          <w:p>
            <w:pPr>
              <w:jc w:val="right"/>
              <w:ind w:right="160"/>
              <w:spacing w:after="0"/>
              <w:rPr>
                <w:sz w:val="20"/>
                <w:szCs w:val="20"/>
                <w:color w:val="auto"/>
              </w:rPr>
            </w:pPr>
            <w:r>
              <w:rPr>
                <w:rFonts w:ascii="Arial" w:cs="Arial" w:eastAsia="Arial" w:hAnsi="Arial"/>
                <w:sz w:val="20"/>
                <w:szCs w:val="20"/>
                <w:color w:val="auto"/>
                <w:w w:val="92"/>
              </w:rPr>
              <w:t>Domestic loss. . . . . . . . . . . . . . . . . . . . . . . . . . . . . . . . . . . . . . . . . . . . . . . . . . . . . . . . . . . . .</w:t>
            </w:r>
          </w:p>
        </w:tc>
        <w:tc>
          <w:tcPr>
            <w:tcW w:w="940" w:type="dxa"/>
            <w:vAlign w:val="bottom"/>
          </w:tcPr>
          <w:p>
            <w:pPr>
              <w:jc w:val="right"/>
              <w:spacing w:after="0"/>
              <w:rPr>
                <w:sz w:val="20"/>
                <w:szCs w:val="20"/>
                <w:color w:val="auto"/>
              </w:rPr>
            </w:pPr>
            <w:r>
              <w:rPr>
                <w:rFonts w:ascii="Arial" w:cs="Arial" w:eastAsia="Arial" w:hAnsi="Arial"/>
                <w:sz w:val="20"/>
                <w:szCs w:val="20"/>
                <w:color w:val="auto"/>
              </w:rPr>
              <w:t>$ (79,895)</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 (44,258)</w:t>
            </w:r>
          </w:p>
        </w:tc>
        <w:tc>
          <w:tcPr>
            <w:tcW w:w="0" w:type="dxa"/>
            <w:vAlign w:val="bottom"/>
          </w:tcPr>
          <w:p>
            <w:pPr>
              <w:spacing w:after="0"/>
              <w:rPr>
                <w:sz w:val="1"/>
                <w:szCs w:val="1"/>
                <w:color w:val="auto"/>
              </w:rPr>
            </w:pPr>
          </w:p>
        </w:tc>
      </w:tr>
      <w:tr>
        <w:trPr>
          <w:trHeight w:val="240"/>
        </w:trPr>
        <w:tc>
          <w:tcPr>
            <w:tcW w:w="7620" w:type="dxa"/>
            <w:vAlign w:val="bottom"/>
          </w:tcPr>
          <w:p>
            <w:pPr>
              <w:jc w:val="right"/>
              <w:ind w:right="160"/>
              <w:spacing w:after="0"/>
              <w:rPr>
                <w:sz w:val="20"/>
                <w:szCs w:val="20"/>
                <w:color w:val="auto"/>
              </w:rPr>
            </w:pPr>
            <w:r>
              <w:rPr>
                <w:rFonts w:ascii="Arial" w:cs="Arial" w:eastAsia="Arial" w:hAnsi="Arial"/>
                <w:sz w:val="20"/>
                <w:szCs w:val="20"/>
                <w:color w:val="auto"/>
                <w:w w:val="92"/>
              </w:rPr>
              <w:t>Foreign income (loss) . . . . . . . . . . . . . . . . . . . . . . . . . . . . . . . . . . . . . . . . . . . . . . . . . . . . . .</w:t>
            </w:r>
          </w:p>
        </w:tc>
        <w:tc>
          <w:tcPr>
            <w:tcW w:w="940" w:type="dxa"/>
            <w:vAlign w:val="bottom"/>
          </w:tcPr>
          <w:p>
            <w:pPr>
              <w:jc w:val="right"/>
              <w:spacing w:after="0"/>
              <w:rPr>
                <w:sz w:val="20"/>
                <w:szCs w:val="20"/>
                <w:color w:val="auto"/>
              </w:rPr>
            </w:pPr>
            <w:r>
              <w:rPr>
                <w:rFonts w:ascii="Arial" w:cs="Arial" w:eastAsia="Arial" w:hAnsi="Arial"/>
                <w:sz w:val="20"/>
                <w:szCs w:val="20"/>
                <w:color w:val="auto"/>
              </w:rPr>
              <w:t>(9,489)</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(7,046)</w:t>
            </w:r>
          </w:p>
        </w:tc>
        <w:tc>
          <w:tcPr>
            <w:tcW w:w="0" w:type="dxa"/>
            <w:vAlign w:val="bottom"/>
          </w:tcPr>
          <w:p>
            <w:pPr>
              <w:spacing w:after="0"/>
              <w:rPr>
                <w:sz w:val="1"/>
                <w:szCs w:val="1"/>
                <w:color w:val="auto"/>
              </w:rPr>
            </w:pPr>
          </w:p>
        </w:tc>
      </w:tr>
      <w:tr>
        <w:trPr>
          <w:trHeight w:val="239"/>
        </w:trPr>
        <w:tc>
          <w:tcPr>
            <w:tcW w:w="7620" w:type="dxa"/>
            <w:vAlign w:val="bottom"/>
          </w:tcPr>
          <w:p>
            <w:pPr>
              <w:jc w:val="right"/>
              <w:ind w:right="160"/>
              <w:spacing w:after="0"/>
              <w:rPr>
                <w:sz w:val="20"/>
                <w:szCs w:val="20"/>
                <w:color w:val="auto"/>
              </w:rPr>
            </w:pPr>
            <w:r>
              <w:rPr>
                <w:rFonts w:ascii="Arial" w:cs="Arial" w:eastAsia="Arial" w:hAnsi="Arial"/>
                <w:sz w:val="20"/>
                <w:szCs w:val="20"/>
                <w:color w:val="auto"/>
                <w:w w:val="97"/>
              </w:rPr>
              <w:t>. . . . . . . . . . . . . . . . . . . . . . . . . . . . . . . . . . . . . . . . . . . .Lossbeforeincometaxexpense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 (89,384)</w:t>
            </w:r>
          </w:p>
        </w:tc>
        <w:tc>
          <w:tcPr>
            <w:tcW w:w="2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 (51,304)</w:t>
            </w:r>
          </w:p>
        </w:tc>
        <w:tc>
          <w:tcPr>
            <w:tcW w:w="0" w:type="dxa"/>
            <w:vAlign w:val="bottom"/>
          </w:tcPr>
          <w:p>
            <w:pPr>
              <w:spacing w:after="0"/>
              <w:rPr>
                <w:sz w:val="1"/>
                <w:szCs w:val="1"/>
                <w:color w:val="auto"/>
              </w:rPr>
            </w:pPr>
          </w:p>
        </w:tc>
      </w:tr>
      <w:tr>
        <w:trPr>
          <w:trHeight w:val="232"/>
        </w:trPr>
        <w:tc>
          <w:tcPr>
            <w:tcW w:w="7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current and deferred income tax provision for income taxes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180975</wp:posOffset>
                </wp:positionV>
                <wp:extent cx="616267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25pt" to="485.6pt,14.25pt" o:allowincell="f" strokecolor="#000000" strokeweight="0.4809pt"/>
            </w:pict>
          </mc:Fallback>
        </mc:AlternateContent>
      </w:r>
    </w:p>
    <w:p>
      <w:pPr>
        <w:spacing w:after="0" w:line="200" w:lineRule="exact"/>
        <w:rPr>
          <w:sz w:val="20"/>
          <w:szCs w:val="20"/>
          <w:color w:val="auto"/>
        </w:rPr>
      </w:pPr>
    </w:p>
    <w:p>
      <w:pPr>
        <w:spacing w:after="0" w:line="282"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YEAR ENDED</w:t>
      </w:r>
    </w:p>
    <w:p>
      <w:pPr>
        <w:ind w:left="8080"/>
        <w:spacing w:after="0"/>
        <w:rPr>
          <w:sz w:val="20"/>
          <w:szCs w:val="20"/>
          <w:color w:val="auto"/>
        </w:rPr>
      </w:pPr>
      <w:r>
        <w:rPr>
          <w:rFonts w:ascii="Arial" w:cs="Arial" w:eastAsia="Arial" w:hAnsi="Arial"/>
          <w:sz w:val="16"/>
          <w:szCs w:val="16"/>
          <w:b w:val="1"/>
          <w:bCs w:val="1"/>
          <w:color w:val="auto"/>
        </w:rPr>
        <w:t>DECEMBER 31,</w:t>
      </w:r>
    </w:p>
    <w:tbl>
      <w:tblPr>
        <w:tblLayout w:type="fixed"/>
        <w:tblInd w:w="0" w:type="dxa"/>
        <w:tblCellMar>
          <w:top w:w="0" w:type="dxa"/>
          <w:left w:w="0" w:type="dxa"/>
          <w:bottom w:w="0" w:type="dxa"/>
          <w:right w:w="0" w:type="dxa"/>
        </w:tblCellMar>
      </w:tblPr>
      <w:tr>
        <w:trPr>
          <w:trHeight w:val="193"/>
        </w:trPr>
        <w:tc>
          <w:tcPr>
            <w:tcW w:w="7660" w:type="dxa"/>
            <w:vAlign w:val="bottom"/>
            <w:vMerge w:val="restart"/>
          </w:tcPr>
          <w:p>
            <w:pPr>
              <w:spacing w:after="0"/>
              <w:rPr>
                <w:sz w:val="20"/>
                <w:szCs w:val="20"/>
                <w:color w:val="auto"/>
              </w:rPr>
            </w:pPr>
            <w:r>
              <w:rPr>
                <w:rFonts w:ascii="Arial" w:cs="Arial" w:eastAsia="Arial" w:hAnsi="Arial"/>
                <w:sz w:val="20"/>
                <w:szCs w:val="20"/>
                <w:color w:val="auto"/>
              </w:rPr>
              <w:t>Current tax provision (benefit):</w:t>
            </w: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0"/>
        </w:trPr>
        <w:tc>
          <w:tcPr>
            <w:tcW w:w="76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60" w:type="dxa"/>
            <w:vAlign w:val="bottom"/>
          </w:tcPr>
          <w:p>
            <w:pPr>
              <w:jc w:val="right"/>
              <w:ind w:right="200"/>
              <w:spacing w:after="0"/>
              <w:rPr>
                <w:sz w:val="20"/>
                <w:szCs w:val="20"/>
                <w:color w:val="auto"/>
              </w:rPr>
            </w:pPr>
            <w:r>
              <w:rPr>
                <w:rFonts w:ascii="Arial" w:cs="Arial" w:eastAsia="Arial" w:hAnsi="Arial"/>
                <w:sz w:val="20"/>
                <w:szCs w:val="20"/>
                <w:color w:val="auto"/>
                <w:w w:val="92"/>
              </w:rPr>
              <w:t>Federal . . . . . . . . . . . . . . . . . . . . . . . . . . . . . . . . . . . . . . . . . . . . . . . . . . . . . . . . . . . . . . . . .</w:t>
            </w:r>
          </w:p>
        </w:tc>
        <w:tc>
          <w:tcPr>
            <w:tcW w:w="180" w:type="dxa"/>
            <w:vAlign w:val="bottom"/>
            <w:gridSpan w:val="2"/>
          </w:tcPr>
          <w:p>
            <w:pPr>
              <w:jc w:val="right"/>
              <w:ind w:right="5"/>
              <w:spacing w:after="0"/>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4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660" w:type="dxa"/>
            <w:vAlign w:val="bottom"/>
          </w:tcPr>
          <w:p>
            <w:pPr>
              <w:jc w:val="right"/>
              <w:ind w:right="200"/>
              <w:spacing w:after="0"/>
              <w:rPr>
                <w:sz w:val="20"/>
                <w:szCs w:val="20"/>
                <w:color w:val="auto"/>
              </w:rPr>
            </w:pPr>
            <w:r>
              <w:rPr>
                <w:rFonts w:ascii="Arial" w:cs="Arial" w:eastAsia="Arial" w:hAnsi="Arial"/>
                <w:sz w:val="20"/>
                <w:szCs w:val="20"/>
                <w:color w:val="auto"/>
                <w:w w:val="92"/>
              </w:rPr>
              <w:t>State . . . . . . . . . . . . . . .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50"/>
        </w:trPr>
        <w:tc>
          <w:tcPr>
            <w:tcW w:w="7660" w:type="dxa"/>
            <w:vAlign w:val="bottom"/>
          </w:tcPr>
          <w:p>
            <w:pPr>
              <w:jc w:val="right"/>
              <w:ind w:right="200"/>
              <w:spacing w:after="0"/>
              <w:rPr>
                <w:sz w:val="20"/>
                <w:szCs w:val="20"/>
                <w:color w:val="auto"/>
              </w:rPr>
            </w:pPr>
            <w:r>
              <w:rPr>
                <w:rFonts w:ascii="Arial" w:cs="Arial" w:eastAsia="Arial" w:hAnsi="Arial"/>
                <w:sz w:val="20"/>
                <w:szCs w:val="20"/>
                <w:color w:val="auto"/>
                <w:w w:val="92"/>
              </w:rPr>
              <w:t>Foreign . . . . . . . . . . . . . . . . . . . . . . . . . . . . . . . . . . . . . . . . . . . . . . . . . . . . . . . . . . . . . . . .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220"/>
        </w:trPr>
        <w:tc>
          <w:tcPr>
            <w:tcW w:w="7660" w:type="dxa"/>
            <w:vAlign w:val="bottom"/>
            <w:vMerge w:val="restart"/>
          </w:tcPr>
          <w:p>
            <w:pPr>
              <w:spacing w:after="0"/>
              <w:rPr>
                <w:sz w:val="20"/>
                <w:szCs w:val="20"/>
                <w:color w:val="auto"/>
              </w:rPr>
            </w:pPr>
            <w:r>
              <w:rPr>
                <w:rFonts w:ascii="Arial" w:cs="Arial" w:eastAsia="Arial" w:hAnsi="Arial"/>
                <w:sz w:val="20"/>
                <w:szCs w:val="20"/>
                <w:color w:val="auto"/>
              </w:rPr>
              <w:t>Deferred tax provision (benefit):</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222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200"/>
        </w:trPr>
        <w:tc>
          <w:tcPr>
            <w:tcW w:w="76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60" w:type="dxa"/>
            <w:vAlign w:val="bottom"/>
          </w:tcPr>
          <w:p>
            <w:pPr>
              <w:jc w:val="right"/>
              <w:ind w:right="200"/>
              <w:spacing w:after="0"/>
              <w:rPr>
                <w:sz w:val="20"/>
                <w:szCs w:val="20"/>
                <w:color w:val="auto"/>
              </w:rPr>
            </w:pPr>
            <w:r>
              <w:rPr>
                <w:rFonts w:ascii="Arial" w:cs="Arial" w:eastAsia="Arial" w:hAnsi="Arial"/>
                <w:sz w:val="20"/>
                <w:szCs w:val="20"/>
                <w:color w:val="auto"/>
                <w:w w:val="92"/>
              </w:rPr>
              <w:t>Federal . . . . . . . . . . . . . . . . . .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660" w:type="dxa"/>
            <w:vAlign w:val="bottom"/>
          </w:tcPr>
          <w:p>
            <w:pPr>
              <w:jc w:val="right"/>
              <w:ind w:right="200"/>
              <w:spacing w:after="0"/>
              <w:rPr>
                <w:sz w:val="20"/>
                <w:szCs w:val="20"/>
                <w:color w:val="auto"/>
              </w:rPr>
            </w:pPr>
            <w:r>
              <w:rPr>
                <w:rFonts w:ascii="Arial" w:cs="Arial" w:eastAsia="Arial" w:hAnsi="Arial"/>
                <w:sz w:val="20"/>
                <w:szCs w:val="20"/>
                <w:color w:val="auto"/>
                <w:w w:val="92"/>
              </w:rPr>
              <w:t>State . . . . . . . . . . . . . . .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3"/>
        </w:trPr>
        <w:tc>
          <w:tcPr>
            <w:tcW w:w="7660" w:type="dxa"/>
            <w:vAlign w:val="bottom"/>
          </w:tcPr>
          <w:p>
            <w:pPr>
              <w:jc w:val="right"/>
              <w:ind w:right="200"/>
              <w:spacing w:after="0"/>
              <w:rPr>
                <w:sz w:val="20"/>
                <w:szCs w:val="20"/>
                <w:color w:val="auto"/>
              </w:rPr>
            </w:pPr>
            <w:r>
              <w:rPr>
                <w:rFonts w:ascii="Arial" w:cs="Arial" w:eastAsia="Arial" w:hAnsi="Arial"/>
                <w:sz w:val="20"/>
                <w:szCs w:val="20"/>
                <w:color w:val="auto"/>
                <w:w w:val="92"/>
              </w:rPr>
              <w:t>Foreign . . . . . . . . . . . . . . . . . . . . . . . . . . . . . . . . . . . . . . . . . . . . . . . . . . . . . . . . . . . . . . . . .</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14</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07"/>
        </w:trPr>
        <w:tc>
          <w:tcPr>
            <w:tcW w:w="7660" w:type="dxa"/>
            <w:vAlign w:val="bottom"/>
            <w:vMerge w:val="restart"/>
          </w:tcPr>
          <w:p>
            <w:pPr>
              <w:spacing w:after="0"/>
              <w:rPr>
                <w:sz w:val="20"/>
                <w:szCs w:val="20"/>
                <w:color w:val="auto"/>
              </w:rPr>
            </w:pPr>
            <w:r>
              <w:rPr>
                <w:rFonts w:ascii="Arial" w:cs="Arial" w:eastAsia="Arial" w:hAnsi="Arial"/>
                <w:sz w:val="20"/>
                <w:szCs w:val="20"/>
                <w:color w:val="auto"/>
              </w:rPr>
              <w:t>Total provision (benefit) for income taxes:</w:t>
            </w:r>
          </w:p>
        </w:tc>
        <w:tc>
          <w:tcPr>
            <w:tcW w:w="20" w:type="dxa"/>
            <w:vAlign w:val="bottom"/>
            <w:vMerge w:val="restart"/>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vMerge w:val="restart"/>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vMerge w:val="continue"/>
          </w:tcPr>
          <w:p>
            <w:pPr>
              <w:jc w:val="right"/>
              <w:ind w:right="200"/>
              <w:spacing w:after="0" w:line="178" w:lineRule="exact"/>
              <w:rPr>
                <w:sz w:val="20"/>
                <w:szCs w:val="20"/>
                <w:color w:val="auto"/>
              </w:rPr>
            </w:pPr>
            <w:r>
              <w:rPr>
                <w:rFonts w:ascii="Arial" w:cs="Arial" w:eastAsia="Arial" w:hAnsi="Arial"/>
                <w:sz w:val="20"/>
                <w:szCs w:val="20"/>
                <w:color w:val="auto"/>
              </w:rPr>
              <w:t>. . . . . . . . . . . . . . . . . . . . . . . . . . . . . . . . . . . . .</w:t>
            </w:r>
          </w:p>
        </w:tc>
        <w:tc>
          <w:tcPr>
            <w:tcW w:w="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236</w:t>
            </w:r>
          </w:p>
        </w:tc>
        <w:tc>
          <w:tcPr>
            <w:tcW w:w="240" w:type="dxa"/>
            <w:vAlign w:val="bottom"/>
            <w:vMerge w:val="continue"/>
          </w:tcPr>
          <w:p>
            <w:pPr>
              <w:spacing w:after="0"/>
              <w:rPr>
                <w:sz w:val="19"/>
                <w:szCs w:val="19"/>
                <w:color w:val="auto"/>
              </w:rPr>
            </w:pPr>
          </w:p>
        </w:tc>
        <w:tc>
          <w:tcPr>
            <w:tcW w:w="2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32"/>
        </w:trPr>
        <w:tc>
          <w:tcPr>
            <w:tcW w:w="7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1"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197</w:t>
      </w:r>
    </w:p>
    <w:p>
      <w:pPr>
        <w:sectPr>
          <w:pgSz w:w="11880" w:h="15480" w:orient="portrait"/>
          <w:cols w:equalWidth="0" w:num="1">
            <w:col w:w="9720"/>
          </w:cols>
          <w:pgMar w:left="1080" w:top="1061" w:right="1080" w:bottom="555" w:gutter="0" w:footer="0" w:header="0"/>
          <w:type w:val="continuous"/>
        </w:sectPr>
      </w:pPr>
    </w:p>
    <w:bookmarkStart w:id="199" w:name="page200"/>
    <w:bookmarkEnd w:id="199"/>
    <w:p>
      <w:pPr>
        <w:jc w:val="center"/>
        <w:spacing w:after="0"/>
        <w:rPr>
          <w:sz w:val="20"/>
          <w:szCs w:val="20"/>
          <w:color w:val="auto"/>
        </w:rPr>
      </w:pPr>
      <w:r>
        <w:rPr>
          <w:rFonts w:ascii="Arial" w:cs="Arial" w:eastAsia="Arial" w:hAnsi="Arial"/>
          <w:sz w:val="20"/>
          <w:szCs w:val="20"/>
          <w:color w:val="auto"/>
        </w:rPr>
        <w:t>STRUCTURE THERAPEUTICS INC.</w:t>
      </w:r>
    </w:p>
    <w:p>
      <w:pPr>
        <w:jc w:val="center"/>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ind w:right="180"/>
        <w:spacing w:after="0" w:line="284" w:lineRule="auto"/>
        <w:rPr>
          <w:sz w:val="20"/>
          <w:szCs w:val="20"/>
          <w:color w:val="auto"/>
        </w:rPr>
      </w:pPr>
      <w:r>
        <w:rPr>
          <w:rFonts w:ascii="Arial" w:cs="Arial" w:eastAsia="Arial" w:hAnsi="Arial"/>
          <w:sz w:val="20"/>
          <w:szCs w:val="20"/>
          <w:color w:val="auto"/>
        </w:rPr>
        <w:t>The Company is domiciled in the Cayman Islands. A reconciliation of the expected tax computed at the zero tax rate for the Cayman Islands to the total provision for income taxes was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127635</wp:posOffset>
                </wp:positionV>
                <wp:extent cx="6162675"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0.05pt" to="485.6pt,10.05pt" o:allowincell="f" strokecolor="#000000" strokeweight="0.4799pt"/>
            </w:pict>
          </mc:Fallback>
        </mc:AlternateConten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040" w:type="dxa"/>
            <w:vAlign w:val="bottom"/>
            <w:gridSpan w:val="4"/>
          </w:tcPr>
          <w:p>
            <w:pPr>
              <w:jc w:val="right"/>
              <w:ind w:right="4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7680" w:type="dxa"/>
            <w:vAlign w:val="bottom"/>
            <w:vMerge w:val="restart"/>
          </w:tcPr>
          <w:p>
            <w:pPr>
              <w:jc w:val="right"/>
              <w:ind w:right="5840"/>
              <w:spacing w:after="0"/>
              <w:rPr>
                <w:sz w:val="20"/>
                <w:szCs w:val="20"/>
                <w:color w:val="auto"/>
              </w:rPr>
            </w:pPr>
            <w:r>
              <w:rPr>
                <w:rFonts w:ascii="Arial" w:cs="Arial" w:eastAsia="Arial" w:hAnsi="Arial"/>
                <w:sz w:val="20"/>
                <w:szCs w:val="20"/>
                <w:color w:val="auto"/>
                <w:w w:val="99"/>
              </w:rPr>
              <w:t>Expected tax at 0%</w:t>
            </w:r>
          </w:p>
        </w:tc>
        <w:tc>
          <w:tcPr>
            <w:tcW w:w="760" w:type="dxa"/>
            <w:vAlign w:val="bottom"/>
            <w:tcBorders>
              <w:top w:val="single" w:sz="8" w:color="auto"/>
              <w:bottom w:val="single" w:sz="8" w:color="auto"/>
            </w:tcBorders>
          </w:tcPr>
          <w:p>
            <w:pPr>
              <w:jc w:val="right"/>
              <w:ind w:right="103"/>
              <w:spacing w:after="0" w:line="175" w:lineRule="exact"/>
              <w:rPr>
                <w:sz w:val="20"/>
                <w:szCs w:val="20"/>
                <w:color w:val="auto"/>
              </w:rPr>
            </w:pPr>
            <w:r>
              <w:rPr>
                <w:rFonts w:ascii="Arial" w:cs="Arial" w:eastAsia="Arial" w:hAnsi="Arial"/>
                <w:sz w:val="16"/>
                <w:szCs w:val="16"/>
                <w:b w:val="1"/>
                <w:bCs w:val="1"/>
                <w:color w:val="auto"/>
              </w:rPr>
              <w:t>2023</w:t>
            </w:r>
          </w:p>
        </w:tc>
        <w:tc>
          <w:tcPr>
            <w:tcW w:w="2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20"/>
                <w:szCs w:val="20"/>
                <w:color w:val="auto"/>
                <w:w w:val="89"/>
              </w:rPr>
              <w:t>%</w:t>
            </w:r>
          </w:p>
        </w:tc>
        <w:tc>
          <w:tcPr>
            <w:tcW w:w="780" w:type="dxa"/>
            <w:vAlign w:val="bottom"/>
            <w:tcBorders>
              <w:top w:val="single" w:sz="8" w:color="auto"/>
              <w:bottom w:val="single" w:sz="8" w:color="auto"/>
            </w:tcBorders>
          </w:tcPr>
          <w:p>
            <w:pPr>
              <w:jc w:val="right"/>
              <w:ind w:right="122"/>
              <w:spacing w:after="0" w:line="175" w:lineRule="exact"/>
              <w:rPr>
                <w:sz w:val="20"/>
                <w:szCs w:val="20"/>
                <w:color w:val="auto"/>
              </w:rPr>
            </w:pPr>
            <w:r>
              <w:rPr>
                <w:rFonts w:ascii="Arial" w:cs="Arial" w:eastAsia="Arial" w:hAnsi="Arial"/>
                <w:sz w:val="16"/>
                <w:szCs w:val="16"/>
                <w:b w:val="1"/>
                <w:bCs w:val="1"/>
                <w:color w:val="auto"/>
              </w:rPr>
              <w:t>2022</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00"/>
        </w:trPr>
        <w:tc>
          <w:tcPr>
            <w:tcW w:w="7680" w:type="dxa"/>
            <w:vAlign w:val="bottom"/>
            <w:vMerge w:val="continue"/>
          </w:tcPr>
          <w:p>
            <w:pPr>
              <w:jc w:val="right"/>
              <w:ind w:right="220"/>
              <w:spacing w:after="0" w:line="177" w:lineRule="exact"/>
              <w:rPr>
                <w:sz w:val="20"/>
                <w:szCs w:val="20"/>
                <w:color w:val="auto"/>
              </w:rPr>
            </w:pPr>
            <w:r>
              <w:rPr>
                <w:rFonts w:ascii="Arial" w:cs="Arial" w:eastAsia="Arial" w:hAnsi="Arial"/>
                <w:sz w:val="20"/>
                <w:szCs w:val="20"/>
                <w:color w:val="auto"/>
              </w:rPr>
              <w:t>. . . . . . . . . . . . . . . . . . . . . . . . . . . . . . . . . . . . . . . . . . . . . . . . . . . . . . . .</w:t>
            </w:r>
          </w:p>
        </w:tc>
        <w:tc>
          <w:tcPr>
            <w:tcW w:w="760" w:type="dxa"/>
            <w:vAlign w:val="bottom"/>
          </w:tcPr>
          <w:p>
            <w:pPr>
              <w:jc w:val="right"/>
              <w:spacing w:after="0" w:line="200" w:lineRule="exact"/>
              <w:rPr>
                <w:sz w:val="20"/>
                <w:szCs w:val="20"/>
                <w:color w:val="auto"/>
              </w:rPr>
            </w:pPr>
            <w:r>
              <w:rPr>
                <w:rFonts w:ascii="Arial" w:cs="Arial" w:eastAsia="Arial" w:hAnsi="Arial"/>
                <w:sz w:val="20"/>
                <w:szCs w:val="20"/>
                <w:color w:val="auto"/>
              </w:rPr>
              <w:t>—</w:t>
            </w:r>
          </w:p>
        </w:tc>
        <w:tc>
          <w:tcPr>
            <w:tcW w:w="280" w:type="dxa"/>
            <w:vAlign w:val="bottom"/>
            <w:vMerge w:val="continue"/>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20"/>
                <w:szCs w:val="20"/>
                <w:color w:val="auto"/>
              </w:rPr>
              <w:t>—</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tcPr>
          <w:p>
            <w:pPr>
              <w:jc w:val="right"/>
              <w:ind w:right="220"/>
              <w:spacing w:after="0"/>
              <w:rPr>
                <w:sz w:val="20"/>
                <w:szCs w:val="20"/>
                <w:color w:val="auto"/>
              </w:rPr>
            </w:pPr>
            <w:r>
              <w:rPr>
                <w:rFonts w:ascii="Arial" w:cs="Arial" w:eastAsia="Arial" w:hAnsi="Arial"/>
                <w:sz w:val="20"/>
                <w:szCs w:val="20"/>
                <w:color w:val="auto"/>
                <w:w w:val="94"/>
              </w:rPr>
              <w:t>State income tax, net of federal tax . . . . . . . . . . . . . . . . . . . . . . . . . . . . . . . . . . . . . . . . . .</w:t>
            </w:r>
          </w:p>
        </w:tc>
        <w:tc>
          <w:tcPr>
            <w:tcW w:w="760" w:type="dxa"/>
            <w:vAlign w:val="bottom"/>
          </w:tcPr>
          <w:p>
            <w:pPr>
              <w:jc w:val="right"/>
              <w:spacing w:after="0"/>
              <w:rPr>
                <w:sz w:val="20"/>
                <w:szCs w:val="20"/>
                <w:color w:val="auto"/>
              </w:rPr>
            </w:pPr>
            <w:r>
              <w:rPr>
                <w:rFonts w:ascii="Arial" w:cs="Arial" w:eastAsia="Arial" w:hAnsi="Arial"/>
                <w:sz w:val="20"/>
                <w:szCs w:val="20"/>
                <w:color w:val="auto"/>
              </w:rPr>
              <w:t>6.5</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80" w:type="dxa"/>
            <w:vAlign w:val="bottom"/>
          </w:tcPr>
          <w:p>
            <w:pPr>
              <w:jc w:val="right"/>
              <w:ind w:right="220"/>
              <w:spacing w:after="0"/>
              <w:rPr>
                <w:sz w:val="20"/>
                <w:szCs w:val="20"/>
                <w:color w:val="auto"/>
              </w:rPr>
            </w:pPr>
            <w:r>
              <w:rPr>
                <w:rFonts w:ascii="Arial" w:cs="Arial" w:eastAsia="Arial" w:hAnsi="Arial"/>
                <w:sz w:val="20"/>
                <w:szCs w:val="20"/>
                <w:color w:val="auto"/>
                <w:w w:val="92"/>
              </w:rPr>
              <w:t>Share-based compensation . . . . . . . . . . . . . . . . . . . . . . . . . . . . . . . . . . . . . . . . . . . . . . . . .</w:t>
            </w:r>
          </w:p>
        </w:tc>
        <w:tc>
          <w:tcPr>
            <w:tcW w:w="760" w:type="dxa"/>
            <w:vAlign w:val="bottom"/>
          </w:tcPr>
          <w:p>
            <w:pPr>
              <w:jc w:val="right"/>
              <w:spacing w:after="0"/>
              <w:rPr>
                <w:sz w:val="20"/>
                <w:szCs w:val="20"/>
                <w:color w:val="auto"/>
              </w:rPr>
            </w:pPr>
            <w:r>
              <w:rPr>
                <w:rFonts w:ascii="Arial" w:cs="Arial" w:eastAsia="Arial" w:hAnsi="Arial"/>
                <w:sz w:val="20"/>
                <w:szCs w:val="20"/>
                <w:color w:val="auto"/>
              </w:rPr>
              <w:t>(1.9)</w:t>
            </w:r>
          </w:p>
        </w:tc>
        <w:tc>
          <w:tcPr>
            <w:tcW w:w="2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color w:val="auto"/>
              </w:rPr>
              <w:t>(0.6)</w:t>
            </w:r>
          </w:p>
        </w:tc>
        <w:tc>
          <w:tcPr>
            <w:tcW w:w="0" w:type="dxa"/>
            <w:vAlign w:val="bottom"/>
          </w:tcPr>
          <w:p>
            <w:pPr>
              <w:spacing w:after="0"/>
              <w:rPr>
                <w:sz w:val="1"/>
                <w:szCs w:val="1"/>
                <w:color w:val="auto"/>
              </w:rPr>
            </w:pPr>
          </w:p>
        </w:tc>
      </w:tr>
      <w:tr>
        <w:trPr>
          <w:trHeight w:val="230"/>
        </w:trPr>
        <w:tc>
          <w:tcPr>
            <w:tcW w:w="7680" w:type="dxa"/>
            <w:vAlign w:val="bottom"/>
          </w:tcPr>
          <w:p>
            <w:pPr>
              <w:jc w:val="right"/>
              <w:ind w:right="220"/>
              <w:spacing w:after="0"/>
              <w:rPr>
                <w:sz w:val="20"/>
                <w:szCs w:val="20"/>
                <w:color w:val="auto"/>
              </w:rPr>
            </w:pPr>
            <w:r>
              <w:rPr>
                <w:rFonts w:ascii="Arial" w:cs="Arial" w:eastAsia="Arial" w:hAnsi="Arial"/>
                <w:sz w:val="20"/>
                <w:szCs w:val="20"/>
                <w:color w:val="auto"/>
                <w:w w:val="92"/>
              </w:rPr>
              <w:t>Non-deductible expenses . . . . . . . . . . . . . . . . . . . . . . . . . . . . . . . . . . . . . . . . . . . . . . . . . . .</w:t>
            </w:r>
          </w:p>
        </w:tc>
        <w:tc>
          <w:tcPr>
            <w:tcW w:w="760" w:type="dxa"/>
            <w:vAlign w:val="bottom"/>
          </w:tcPr>
          <w:p>
            <w:pPr>
              <w:jc w:val="right"/>
              <w:spacing w:after="0"/>
              <w:rPr>
                <w:sz w:val="20"/>
                <w:szCs w:val="20"/>
                <w:color w:val="auto"/>
              </w:rPr>
            </w:pPr>
            <w:r>
              <w:rPr>
                <w:rFonts w:ascii="Arial" w:cs="Arial" w:eastAsia="Arial" w:hAnsi="Arial"/>
                <w:sz w:val="20"/>
                <w:szCs w:val="20"/>
                <w:color w:val="auto"/>
              </w:rPr>
              <w:t>0.1</w:t>
            </w:r>
          </w:p>
        </w:tc>
        <w:tc>
          <w:tcPr>
            <w:tcW w:w="2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32"/>
        </w:trPr>
        <w:tc>
          <w:tcPr>
            <w:tcW w:w="7680" w:type="dxa"/>
            <w:vAlign w:val="bottom"/>
          </w:tcPr>
          <w:p>
            <w:pPr>
              <w:jc w:val="right"/>
              <w:ind w:right="220"/>
              <w:spacing w:after="0"/>
              <w:rPr>
                <w:sz w:val="20"/>
                <w:szCs w:val="20"/>
                <w:color w:val="auto"/>
              </w:rPr>
            </w:pPr>
            <w:r>
              <w:rPr>
                <w:rFonts w:ascii="Arial" w:cs="Arial" w:eastAsia="Arial" w:hAnsi="Arial"/>
                <w:sz w:val="20"/>
                <w:szCs w:val="20"/>
                <w:color w:val="auto"/>
                <w:w w:val="93"/>
              </w:rPr>
              <w:t>U.S. income tax differential . . . . . . . . . . . . . . . . . . . . . . . . . . . . . . . . . . . . . . . . . . . . . . . . .</w:t>
            </w:r>
          </w:p>
        </w:tc>
        <w:tc>
          <w:tcPr>
            <w:tcW w:w="760" w:type="dxa"/>
            <w:vAlign w:val="bottom"/>
          </w:tcPr>
          <w:p>
            <w:pPr>
              <w:jc w:val="right"/>
              <w:spacing w:after="0"/>
              <w:rPr>
                <w:sz w:val="20"/>
                <w:szCs w:val="20"/>
                <w:color w:val="auto"/>
              </w:rPr>
            </w:pPr>
            <w:r>
              <w:rPr>
                <w:rFonts w:ascii="Arial" w:cs="Arial" w:eastAsia="Arial" w:hAnsi="Arial"/>
                <w:sz w:val="20"/>
                <w:szCs w:val="20"/>
                <w:color w:val="auto"/>
              </w:rPr>
              <w:t>18.8</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18.2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80" w:type="dxa"/>
            <w:vAlign w:val="bottom"/>
          </w:tcPr>
          <w:p>
            <w:pPr>
              <w:jc w:val="right"/>
              <w:ind w:right="220"/>
              <w:spacing w:after="0"/>
              <w:rPr>
                <w:sz w:val="20"/>
                <w:szCs w:val="20"/>
                <w:color w:val="auto"/>
              </w:rPr>
            </w:pPr>
            <w:r>
              <w:rPr>
                <w:rFonts w:ascii="Arial" w:cs="Arial" w:eastAsia="Arial" w:hAnsi="Arial"/>
                <w:sz w:val="20"/>
                <w:szCs w:val="20"/>
                <w:color w:val="auto"/>
                <w:w w:val="94"/>
              </w:rPr>
              <w:t>Other foreign income tax differential. . . . . . . . . . . . . . . . . . . . . . . . . . . . . . . . . . . . . . . . . .</w:t>
            </w:r>
          </w:p>
        </w:tc>
        <w:tc>
          <w:tcPr>
            <w:tcW w:w="760" w:type="dxa"/>
            <w:vAlign w:val="bottom"/>
          </w:tcPr>
          <w:p>
            <w:pPr>
              <w:jc w:val="right"/>
              <w:spacing w:after="0"/>
              <w:rPr>
                <w:sz w:val="20"/>
                <w:szCs w:val="20"/>
                <w:color w:val="auto"/>
              </w:rPr>
            </w:pPr>
            <w:r>
              <w:rPr>
                <w:rFonts w:ascii="Arial" w:cs="Arial" w:eastAsia="Arial" w:hAnsi="Arial"/>
                <w:sz w:val="20"/>
                <w:szCs w:val="20"/>
                <w:color w:val="auto"/>
              </w:rPr>
              <w:t>0.8</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0.3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80" w:type="dxa"/>
            <w:vAlign w:val="bottom"/>
          </w:tcPr>
          <w:p>
            <w:pPr>
              <w:jc w:val="right"/>
              <w:ind w:right="220"/>
              <w:spacing w:after="0"/>
              <w:rPr>
                <w:sz w:val="20"/>
                <w:szCs w:val="20"/>
                <w:color w:val="auto"/>
              </w:rPr>
            </w:pPr>
            <w:r>
              <w:rPr>
                <w:rFonts w:ascii="Arial" w:cs="Arial" w:eastAsia="Arial" w:hAnsi="Arial"/>
                <w:sz w:val="20"/>
                <w:szCs w:val="20"/>
                <w:color w:val="auto"/>
                <w:w w:val="92"/>
              </w:rPr>
              <w:t>Research credits . . . . . . . . . . . . . . . . . . . . . . . . . . . . . . . . . . . . . . . . . . . . . . . . . . . . . . . . . .</w:t>
            </w:r>
          </w:p>
        </w:tc>
        <w:tc>
          <w:tcPr>
            <w:tcW w:w="760" w:type="dxa"/>
            <w:vAlign w:val="bottom"/>
          </w:tcPr>
          <w:p>
            <w:pPr>
              <w:jc w:val="right"/>
              <w:spacing w:after="0"/>
              <w:rPr>
                <w:sz w:val="20"/>
                <w:szCs w:val="20"/>
                <w:color w:val="auto"/>
              </w:rPr>
            </w:pPr>
            <w:r>
              <w:rPr>
                <w:rFonts w:ascii="Arial" w:cs="Arial" w:eastAsia="Arial" w:hAnsi="Arial"/>
                <w:sz w:val="20"/>
                <w:szCs w:val="20"/>
                <w:color w:val="auto"/>
              </w:rPr>
              <w:t>1.7</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0.8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80" w:type="dxa"/>
            <w:vAlign w:val="bottom"/>
          </w:tcPr>
          <w:p>
            <w:pPr>
              <w:jc w:val="right"/>
              <w:ind w:right="220"/>
              <w:spacing w:after="0"/>
              <w:rPr>
                <w:sz w:val="20"/>
                <w:szCs w:val="20"/>
                <w:color w:val="auto"/>
              </w:rPr>
            </w:pPr>
            <w:r>
              <w:rPr>
                <w:rFonts w:ascii="Arial" w:cs="Arial" w:eastAsia="Arial" w:hAnsi="Arial"/>
                <w:sz w:val="20"/>
                <w:szCs w:val="20"/>
                <w:color w:val="auto"/>
                <w:w w:val="91"/>
              </w:rPr>
              <w:t>Other . . . . . . . . . . . . . . . . . . . . . . . . . . . . . . . . . . . . . . . . . . . . . . . . . . . . . . . . . . . . . . . . . . . .</w:t>
            </w:r>
          </w:p>
        </w:tc>
        <w:tc>
          <w:tcPr>
            <w:tcW w:w="760" w:type="dxa"/>
            <w:vAlign w:val="bottom"/>
          </w:tcPr>
          <w:p>
            <w:pPr>
              <w:jc w:val="right"/>
              <w:spacing w:after="0"/>
              <w:rPr>
                <w:sz w:val="20"/>
                <w:szCs w:val="20"/>
                <w:color w:val="auto"/>
              </w:rPr>
            </w:pPr>
            <w:r>
              <w:rPr>
                <w:rFonts w:ascii="Arial" w:cs="Arial" w:eastAsia="Arial" w:hAnsi="Arial"/>
                <w:sz w:val="20"/>
                <w:szCs w:val="20"/>
                <w:color w:val="auto"/>
              </w:rPr>
              <w:t>0.4</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0.5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680" w:type="dxa"/>
            <w:vAlign w:val="bottom"/>
          </w:tcPr>
          <w:p>
            <w:pPr>
              <w:jc w:val="right"/>
              <w:ind w:right="220"/>
              <w:spacing w:after="0"/>
              <w:rPr>
                <w:sz w:val="20"/>
                <w:szCs w:val="20"/>
                <w:color w:val="auto"/>
              </w:rPr>
            </w:pPr>
            <w:r>
              <w:rPr>
                <w:rFonts w:ascii="Arial" w:cs="Arial" w:eastAsia="Arial" w:hAnsi="Arial"/>
                <w:sz w:val="20"/>
                <w:szCs w:val="20"/>
                <w:color w:val="auto"/>
                <w:w w:val="93"/>
              </w:rPr>
              <w:t>Change in valuation allowance . . . . . . . . . . . . . . . . . . . . . . . . . . . . . . . . . . . . . . . . . . . . .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(26.7)</w:t>
            </w:r>
          </w:p>
        </w:tc>
        <w:tc>
          <w:tcPr>
            <w:tcW w:w="2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680" w:type="dxa"/>
            <w:vAlign w:val="bottom"/>
          </w:tcPr>
          <w:p>
            <w:pPr>
              <w:jc w:val="right"/>
              <w:ind w:right="220"/>
              <w:spacing w:after="0"/>
              <w:rPr>
                <w:sz w:val="20"/>
                <w:szCs w:val="20"/>
                <w:color w:val="auto"/>
              </w:rPr>
            </w:pPr>
            <w:r>
              <w:rPr>
                <w:rFonts w:ascii="Arial" w:cs="Arial" w:eastAsia="Arial" w:hAnsi="Arial"/>
                <w:sz w:val="20"/>
                <w:szCs w:val="20"/>
                <w:color w:val="auto"/>
                <w:w w:val="95"/>
              </w:rPr>
              <w:t>. . . . . . . . . . . . . . . . . . . . . . . . . . . . . . . . . . . . . . . . . . . . . . . . . . . . . . . . .Effectivetaxrate</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(0.3)%</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32"/>
        </w:trPr>
        <w:tc>
          <w:tcPr>
            <w:tcW w:w="768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140"/>
        <w:spacing w:after="0" w:line="262" w:lineRule="auto"/>
        <w:rPr>
          <w:sz w:val="20"/>
          <w:szCs w:val="20"/>
          <w:color w:val="auto"/>
        </w:rPr>
      </w:pPr>
      <w:r>
        <w:rPr>
          <w:rFonts w:ascii="Arial" w:cs="Arial" w:eastAsia="Arial" w:hAnsi="Arial"/>
          <w:sz w:val="20"/>
          <w:szCs w:val="20"/>
          <w:color w:val="auto"/>
        </w:rPr>
        <w:t>Deferred income taxes as of each of the following periods reflect the net tax effects of temporary differences between the carrying amounts of assets and liabilities for financial reporting purposes and the amounts used for income tax purposes.</w:t>
      </w:r>
    </w:p>
    <w:p>
      <w:pPr>
        <w:sectPr>
          <w:pgSz w:w="11880" w:h="15480" w:orient="portrait"/>
          <w:cols w:equalWidth="0" w:num="1">
            <w:col w:w="9720"/>
          </w:cols>
          <w:pgMar w:left="1080" w:top="1061"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198</w:t>
      </w:r>
    </w:p>
    <w:p>
      <w:pPr>
        <w:sectPr>
          <w:pgSz w:w="11880" w:h="15480" w:orient="portrait"/>
          <w:cols w:equalWidth="0" w:num="1">
            <w:col w:w="9720"/>
          </w:cols>
          <w:pgMar w:left="1080" w:top="1061" w:right="1080" w:bottom="555" w:gutter="0" w:footer="0" w:header="0"/>
          <w:type w:val="continuous"/>
        </w:sectPr>
      </w:pPr>
    </w:p>
    <w:bookmarkStart w:id="200" w:name="page201"/>
    <w:bookmarkEnd w:id="200"/>
    <w:p>
      <w:pPr>
        <w:jc w:val="center"/>
        <w:spacing w:after="0"/>
        <w:rPr>
          <w:sz w:val="20"/>
          <w:szCs w:val="20"/>
          <w:color w:val="auto"/>
        </w:rPr>
      </w:pPr>
      <w:r>
        <w:rPr>
          <w:rFonts w:ascii="Arial" w:cs="Arial" w:eastAsia="Arial" w:hAnsi="Arial"/>
          <w:sz w:val="20"/>
          <w:szCs w:val="20"/>
          <w:color w:val="auto"/>
        </w:rPr>
        <w:t>STRUCTURE THERAPEUTICS INC.</w:t>
      </w:r>
    </w:p>
    <w:p>
      <w:pPr>
        <w:jc w:val="center"/>
        <w:spacing w:after="0"/>
        <w:rPr>
          <w:sz w:val="20"/>
          <w:szCs w:val="20"/>
          <w:color w:val="auto"/>
        </w:rPr>
      </w:pPr>
      <w:r>
        <w:rPr>
          <w:rFonts w:ascii="Arial" w:cs="Arial" w:eastAsia="Arial" w:hAnsi="Arial"/>
          <w:sz w:val="20"/>
          <w:szCs w:val="20"/>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Significant components of the Company’s net deferred tax asset or liability were as follows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180340</wp:posOffset>
                </wp:positionV>
                <wp:extent cx="616267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2pt" to="485.6pt,14.2pt" o:allowincell="f" strokecolor="#000000" strokeweight="0.48pt"/>
            </w:pict>
          </mc:Fallback>
        </mc:AlternateConten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6"/>
          </w:tcPr>
          <w:p>
            <w:pPr>
              <w:ind w:left="2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7640" w:type="dxa"/>
            <w:vAlign w:val="bottom"/>
            <w:vMerge w:val="restart"/>
          </w:tcPr>
          <w:p>
            <w:pPr>
              <w:jc w:val="right"/>
              <w:ind w:right="5920"/>
              <w:spacing w:after="0"/>
              <w:rPr>
                <w:sz w:val="20"/>
                <w:szCs w:val="20"/>
                <w:color w:val="auto"/>
              </w:rPr>
            </w:pPr>
            <w:r>
              <w:rPr>
                <w:rFonts w:ascii="Arial" w:cs="Arial" w:eastAsia="Arial" w:hAnsi="Arial"/>
                <w:sz w:val="20"/>
                <w:szCs w:val="20"/>
                <w:color w:val="auto"/>
                <w:w w:val="99"/>
              </w:rPr>
              <w:t>Net operating loss</w:t>
            </w: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82"/>
              <w:spacing w:after="0" w:line="175"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01"/>
              <w:spacing w:after="0" w:line="175" w:lineRule="exact"/>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640" w:type="dxa"/>
            <w:vAlign w:val="bottom"/>
            <w:vMerge w:val="continue"/>
          </w:tcPr>
          <w:p>
            <w:pPr>
              <w:jc w:val="right"/>
              <w:ind w:right="180"/>
              <w:spacing w:after="0" w:line="178" w:lineRule="exact"/>
              <w:rPr>
                <w:sz w:val="20"/>
                <w:szCs w:val="20"/>
                <w:color w:val="auto"/>
              </w:rPr>
            </w:pPr>
            <w:r>
              <w:rPr>
                <w:rFonts w:ascii="Arial" w:cs="Arial" w:eastAsia="Arial" w:hAnsi="Arial"/>
                <w:sz w:val="20"/>
                <w:szCs w:val="20"/>
                <w:color w:val="auto"/>
              </w:rPr>
              <w:t>. . . . . . . . . . . . . . . . . . . . . . . . . . . . . . . . . . . . . . . . . . . . . . . . . . . . . . . . .</w:t>
            </w:r>
          </w:p>
        </w:tc>
        <w:tc>
          <w:tcPr>
            <w:tcW w:w="140" w:type="dxa"/>
            <w:vAlign w:val="bottom"/>
          </w:tcPr>
          <w:p>
            <w:pPr>
              <w:jc w:val="right"/>
              <w:spacing w:after="0" w:line="200" w:lineRule="exact"/>
              <w:rPr>
                <w:sz w:val="20"/>
                <w:szCs w:val="20"/>
                <w:color w:val="auto"/>
              </w:rPr>
            </w:pPr>
            <w:r>
              <w:rPr>
                <w:rFonts w:ascii="Arial" w:cs="Arial" w:eastAsia="Arial" w:hAnsi="Arial"/>
                <w:sz w:val="20"/>
                <w:szCs w:val="20"/>
                <w:color w:val="auto"/>
                <w:w w:val="71"/>
              </w:rPr>
              <w:t>$</w:t>
            </w:r>
          </w:p>
        </w:tc>
        <w:tc>
          <w:tcPr>
            <w:tcW w:w="780" w:type="dxa"/>
            <w:vAlign w:val="bottom"/>
          </w:tcPr>
          <w:p>
            <w:pPr>
              <w:jc w:val="right"/>
              <w:spacing w:after="0" w:line="200" w:lineRule="exact"/>
              <w:rPr>
                <w:sz w:val="20"/>
                <w:szCs w:val="20"/>
                <w:color w:val="auto"/>
              </w:rPr>
            </w:pPr>
            <w:r>
              <w:rPr>
                <w:rFonts w:ascii="Arial" w:cs="Arial" w:eastAsia="Arial" w:hAnsi="Arial"/>
                <w:sz w:val="20"/>
                <w:szCs w:val="20"/>
                <w:color w:val="auto"/>
              </w:rPr>
              <w:t>29,217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line="200" w:lineRule="exact"/>
              <w:rPr>
                <w:sz w:val="20"/>
                <w:szCs w:val="20"/>
                <w:color w:val="auto"/>
              </w:rPr>
            </w:pPr>
            <w:r>
              <w:rPr>
                <w:rFonts w:ascii="Arial" w:cs="Arial" w:eastAsia="Arial" w:hAnsi="Arial"/>
                <w:sz w:val="20"/>
                <w:szCs w:val="20"/>
                <w:color w:val="auto"/>
                <w:w w:val="89"/>
              </w:rPr>
              <w:t>$</w:t>
            </w:r>
          </w:p>
        </w:tc>
        <w:tc>
          <w:tcPr>
            <w:tcW w:w="800" w:type="dxa"/>
            <w:vAlign w:val="bottom"/>
          </w:tcPr>
          <w:p>
            <w:pPr>
              <w:jc w:val="right"/>
              <w:spacing w:after="0" w:line="200" w:lineRule="exact"/>
              <w:rPr>
                <w:sz w:val="20"/>
                <w:szCs w:val="20"/>
                <w:color w:val="auto"/>
              </w:rPr>
            </w:pPr>
            <w:r>
              <w:rPr>
                <w:rFonts w:ascii="Arial" w:cs="Arial" w:eastAsia="Arial" w:hAnsi="Arial"/>
                <w:sz w:val="20"/>
                <w:szCs w:val="20"/>
                <w:color w:val="auto"/>
              </w:rPr>
              <w:t>18,918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4"/>
              </w:rPr>
              <w:t>Research and experimentation expenses . . . . . . . . . . . . . . . . . . . . . . . . . . . . . . . . . . . . .</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16,911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5,986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2"/>
              </w:rPr>
              <w:t>Research credits . . . . . . . . . . . . . . . . . . . . . . . . . . . . . . . . . . . . . . . . . . . . . . . . . . . . . . . . . .</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2,631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2"/>
              </w:rPr>
              <w:t>Compensation . . . . . . . . . . . . . . . . . . . . . . . . . . . . . . . . . . . . . . . . . . . . . . . . . . . . . . . . . . . .</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1,737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1,336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3"/>
              </w:rPr>
              <w:t>Operating lease liability . . . . . . . . . . . . . . . . . . . . . . . . . . . . . . . . . . . . . . . . . . . . . . . . . . . .</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1,030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4"/>
              </w:rPr>
              <w:t>Related party accrued expenses . . . . . . . . . . . . . . . . . . . . . . . . . . . . . . . . . . . . . . . . . . . .</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1,036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2"/>
              </w:rPr>
              <w:t>Prepaid expenses . . . . . . . . . . . . . . . . . . . . . . . . . . . . . . . . . . . . . . . . . . . . . . . . . . . . . . . . .</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2"/>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2"/>
              </w:rPr>
              <w:t>Property and equipment . . . . . . . . . . . . . . . . . . . . . . . . . . . . . . . . . . . . . . . . . . . . . . . . . . . .</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3"/>
              </w:rPr>
              <w:t>Unrealized gains and losses . . . . . . . . . . . . . . . . . . . . . . . . . . . . . . . . . . . . . . . . . . . . . . . .</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1"/>
              </w:rPr>
              <w:t>Other . . . . . . . . . . . . . . . . . . . . . . . . . . . . . . . . . . . . . . . . . . . . . . . . . . . . . . . . . . . . . . . . . . . .</w:t>
            </w: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640" w:type="dxa"/>
            <w:vAlign w:val="bottom"/>
          </w:tcPr>
          <w:p>
            <w:pPr>
              <w:jc w:val="right"/>
              <w:ind w:right="180"/>
              <w:spacing w:after="0" w:line="209" w:lineRule="exact"/>
              <w:rPr>
                <w:sz w:val="20"/>
                <w:szCs w:val="20"/>
                <w:color w:val="auto"/>
              </w:rPr>
            </w:pPr>
            <w:r>
              <w:rPr>
                <w:rFonts w:ascii="Arial" w:cs="Arial" w:eastAsia="Arial" w:hAnsi="Arial"/>
                <w:sz w:val="20"/>
                <w:szCs w:val="20"/>
                <w:color w:val="auto"/>
                <w:w w:val="97"/>
              </w:rPr>
              <w:t>. . . . . . . . . . . . . . . . . . . . . . . . . . . . . . . . . . . . . . . . . . . . . . . . . .Totaldeferredtaxassets</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52,775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27,906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2"/>
              </w:rPr>
              <w:t>Valuation allowance . . . . . . . . . . . . . . . . . . . . . . . . . . . . . . . . . . . . . . . . . . . . . . . . . . . . . . .</w:t>
            </w: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20"/>
                <w:szCs w:val="20"/>
                <w:color w:val="auto"/>
              </w:rPr>
              <w:t>(51,551)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20"/>
                <w:szCs w:val="20"/>
                <w:color w:val="auto"/>
              </w:rPr>
              <w:t>(27,740)</w:t>
            </w:r>
          </w:p>
        </w:tc>
        <w:tc>
          <w:tcPr>
            <w:tcW w:w="0" w:type="dxa"/>
            <w:vAlign w:val="bottom"/>
          </w:tcPr>
          <w:p>
            <w:pPr>
              <w:spacing w:after="0"/>
              <w:rPr>
                <w:sz w:val="1"/>
                <w:szCs w:val="1"/>
                <w:color w:val="auto"/>
              </w:rPr>
            </w:pPr>
          </w:p>
        </w:tc>
      </w:tr>
      <w:tr>
        <w:trPr>
          <w:trHeight w:val="272"/>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7"/>
              </w:rPr>
              <w:t>. . . . . . . . . . . . . . . . . . . . . . . . . . . . . . . . . . . . . . . . . . . . . . . . . . .Netdeferredtaxassets</w:t>
            </w:r>
          </w:p>
        </w:tc>
        <w:tc>
          <w:tcPr>
            <w:tcW w:w="1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1,224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0"/>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2"/>
              </w:rPr>
              <w:t>Right-of-use assets . . . . . . . . . . . . . . . . . . . . . . . . . . . . . . . . . . . . . . . . . . . . . . . . . . . . . . . .</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(960)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30"/>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2"/>
              </w:rPr>
              <w:t>Property and equipment . . . . . . . . . . . . . . . . . . . . . . . . . . . . . . . . . . . . . . . . . . . . . . . . . . . .</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2"/>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1"/>
              </w:rPr>
              <w:t>Revenue . . . . . . . . . . . . . . . . . . . . . . . . . . . . . . . . . . . . . . . . . . . . . . . . . . . . . . . . . . . . . . . . .</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3"/>
              </w:rPr>
              <w:t>Unrealized gains and losses . . . . . . . . . . . . . . . . . . . . . . . . . . . . . . . . . . . . . . . . . . . . . . . .</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42"/>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1"/>
              </w:rPr>
              <w:t>Other . . . . . . . . . . . . . . . . . . . . . . . . . . . . . . . . . . . . . . . . . . . . . . . . . . . . . . . . . . . . . . . . . . . .</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0"/>
        </w:trPr>
        <w:tc>
          <w:tcPr>
            <w:tcW w:w="7640" w:type="dxa"/>
            <w:vAlign w:val="bottom"/>
          </w:tcPr>
          <w:p>
            <w:pPr>
              <w:jc w:val="right"/>
              <w:ind w:right="180"/>
              <w:spacing w:after="0" w:line="220" w:lineRule="exact"/>
              <w:rPr>
                <w:sz w:val="20"/>
                <w:szCs w:val="20"/>
                <w:color w:val="auto"/>
              </w:rPr>
            </w:pPr>
            <w:r>
              <w:rPr>
                <w:rFonts w:ascii="Arial" w:cs="Arial" w:eastAsia="Arial" w:hAnsi="Arial"/>
                <w:sz w:val="20"/>
                <w:szCs w:val="20"/>
                <w:color w:val="auto"/>
                <w:w w:val="97"/>
              </w:rPr>
              <w:t>. . . . . . . . . . . . . . . . . . . . . . . . . . . . . . . . . . . . . . . . . . . . . . . .Totaldeferredtaxliabilities</w:t>
            </w: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(1,179)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640" w:type="dxa"/>
            <w:vAlign w:val="bottom"/>
          </w:tcPr>
          <w:p>
            <w:pPr>
              <w:jc w:val="right"/>
              <w:ind w:right="180"/>
              <w:spacing w:after="0"/>
              <w:rPr>
                <w:sz w:val="20"/>
                <w:szCs w:val="20"/>
                <w:color w:val="auto"/>
              </w:rPr>
            </w:pPr>
            <w:r>
              <w:rPr>
                <w:rFonts w:ascii="Arial" w:cs="Arial" w:eastAsia="Arial" w:hAnsi="Arial"/>
                <w:sz w:val="20"/>
                <w:szCs w:val="20"/>
                <w:color w:val="auto"/>
                <w:w w:val="96"/>
              </w:rPr>
              <w:t>. . . . . . . . . . . . . . . . . . . . . . . . . . . . . . . . . . . . . . . . . . . . . . . . . . . .Netdeferredtaxassets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560"/>
        <w:spacing w:after="0" w:line="284" w:lineRule="auto"/>
        <w:rPr>
          <w:sz w:val="20"/>
          <w:szCs w:val="20"/>
          <w:color w:val="auto"/>
        </w:rPr>
      </w:pPr>
      <w:r>
        <w:rPr>
          <w:rFonts w:ascii="Arial" w:cs="Arial" w:eastAsia="Arial" w:hAnsi="Arial"/>
          <w:sz w:val="20"/>
          <w:szCs w:val="20"/>
          <w:color w:val="auto"/>
        </w:rPr>
        <w:t>Realization of the Company’s deferred tax assets is dependent upon the Company generating sufficient taxable income in future years to obtain benefit from the reversal of temporary differences.</w:t>
      </w:r>
    </w:p>
    <w:p>
      <w:pPr>
        <w:spacing w:after="0" w:line="155" w:lineRule="exact"/>
        <w:rPr>
          <w:sz w:val="20"/>
          <w:szCs w:val="20"/>
          <w:color w:val="auto"/>
        </w:rPr>
      </w:pPr>
    </w:p>
    <w:p>
      <w:pPr>
        <w:ind w:right="440"/>
        <w:spacing w:after="0" w:line="255" w:lineRule="auto"/>
        <w:rPr>
          <w:sz w:val="20"/>
          <w:szCs w:val="20"/>
          <w:color w:val="auto"/>
        </w:rPr>
      </w:pPr>
      <w:r>
        <w:rPr>
          <w:rFonts w:ascii="Arial" w:cs="Arial" w:eastAsia="Arial" w:hAnsi="Arial"/>
          <w:sz w:val="20"/>
          <w:szCs w:val="20"/>
          <w:color w:val="auto"/>
        </w:rPr>
        <w:t>Management considered all available evidence under existing tax law and anticipated expiration of tax statutes and determined that a valuation allowance of $51.6 million and $27.7 million was required as of December 31, 2023 and 2022, respectively for those deferred tax assets that are not expected to provide future tax benefits.</w:t>
      </w:r>
    </w:p>
    <w:p>
      <w:pPr>
        <w:spacing w:after="0" w:line="183" w:lineRule="exact"/>
        <w:rPr>
          <w:sz w:val="20"/>
          <w:szCs w:val="20"/>
          <w:color w:val="auto"/>
        </w:rPr>
      </w:pPr>
    </w:p>
    <w:p>
      <w:pPr>
        <w:ind w:right="320"/>
        <w:spacing w:after="0" w:line="262" w:lineRule="auto"/>
        <w:rPr>
          <w:sz w:val="20"/>
          <w:szCs w:val="20"/>
          <w:color w:val="auto"/>
        </w:rPr>
      </w:pPr>
      <w:r>
        <w:rPr>
          <w:rFonts w:ascii="Arial" w:cs="Arial" w:eastAsia="Arial" w:hAnsi="Arial"/>
          <w:sz w:val="20"/>
          <w:szCs w:val="20"/>
          <w:color w:val="auto"/>
        </w:rPr>
        <w:t>As of December 31, 2023, the Company had available net operating loss carryforwards of $84.8 million for federal income tax purposes, all of which were generated after 2017. The federal net operating loss carryforwards are not subject to expiration.</w:t>
      </w:r>
    </w:p>
    <w:p>
      <w:pPr>
        <w:spacing w:after="0" w:line="177" w:lineRule="exact"/>
        <w:rPr>
          <w:sz w:val="20"/>
          <w:szCs w:val="20"/>
          <w:color w:val="auto"/>
        </w:rPr>
      </w:pPr>
    </w:p>
    <w:p>
      <w:pPr>
        <w:ind w:right="360"/>
        <w:spacing w:after="0" w:line="284" w:lineRule="auto"/>
        <w:rPr>
          <w:sz w:val="20"/>
          <w:szCs w:val="20"/>
          <w:color w:val="auto"/>
        </w:rPr>
      </w:pPr>
      <w:r>
        <w:rPr>
          <w:rFonts w:ascii="Arial" w:cs="Arial" w:eastAsia="Arial" w:hAnsi="Arial"/>
          <w:sz w:val="20"/>
          <w:szCs w:val="20"/>
          <w:color w:val="auto"/>
        </w:rPr>
        <w:t>As of December 31, 2023, the net operating losses for state purposes was $146.5 million and will begin to expire in 2037 if not utilized.</w:t>
      </w:r>
    </w:p>
    <w:p>
      <w:pPr>
        <w:spacing w:after="0" w:line="155" w:lineRule="exact"/>
        <w:rPr>
          <w:sz w:val="20"/>
          <w:szCs w:val="20"/>
          <w:color w:val="auto"/>
        </w:rPr>
      </w:pPr>
    </w:p>
    <w:p>
      <w:pPr>
        <w:ind w:right="660"/>
        <w:spacing w:after="0" w:line="284" w:lineRule="auto"/>
        <w:rPr>
          <w:sz w:val="20"/>
          <w:szCs w:val="20"/>
          <w:color w:val="auto"/>
        </w:rPr>
      </w:pPr>
      <w:r>
        <w:rPr>
          <w:rFonts w:ascii="Arial" w:cs="Arial" w:eastAsia="Arial" w:hAnsi="Arial"/>
          <w:sz w:val="20"/>
          <w:szCs w:val="20"/>
          <w:color w:val="auto"/>
        </w:rPr>
        <w:t>As of December 31, 2023, the net operating losses for Australia purposes was $3.3 million and are not subject to expiration.</w:t>
      </w:r>
    </w:p>
    <w:p>
      <w:pPr>
        <w:spacing w:after="0" w:line="157" w:lineRule="exact"/>
        <w:rPr>
          <w:sz w:val="20"/>
          <w:szCs w:val="20"/>
          <w:color w:val="auto"/>
        </w:rPr>
      </w:pPr>
    </w:p>
    <w:p>
      <w:pPr>
        <w:ind w:right="240"/>
        <w:spacing w:after="0" w:line="262" w:lineRule="auto"/>
        <w:rPr>
          <w:sz w:val="20"/>
          <w:szCs w:val="20"/>
          <w:color w:val="auto"/>
        </w:rPr>
      </w:pPr>
      <w:r>
        <w:rPr>
          <w:rFonts w:ascii="Arial" w:cs="Arial" w:eastAsia="Arial" w:hAnsi="Arial"/>
          <w:sz w:val="20"/>
          <w:szCs w:val="20"/>
          <w:color w:val="auto"/>
        </w:rPr>
        <w:t>As of December 31, 2023, the Company has federal and state income tax credit carryforwards, net of reserves, of $2.2 million and $0.5 million, respectively. The federal credit carryovers begin to expire in 2039 and the state credit carryovers do not expire.</w:t>
      </w:r>
    </w:p>
    <w:p>
      <w:pPr>
        <w:sectPr>
          <w:pgSz w:w="11880" w:h="15480" w:orient="portrait"/>
          <w:cols w:equalWidth="0" w:num="1">
            <w:col w:w="9720"/>
          </w:cols>
          <w:pgMar w:left="1080" w:top="1061"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199</w:t>
      </w:r>
    </w:p>
    <w:p>
      <w:pPr>
        <w:sectPr>
          <w:pgSz w:w="11880" w:h="15480" w:orient="portrait"/>
          <w:cols w:equalWidth="0" w:num="1">
            <w:col w:w="9720"/>
          </w:cols>
          <w:pgMar w:left="1080" w:top="1061" w:right="1080" w:bottom="555" w:gutter="0" w:footer="0" w:header="0"/>
          <w:type w:val="continuous"/>
        </w:sectPr>
      </w:pPr>
    </w:p>
    <w:bookmarkStart w:id="201" w:name="page202"/>
    <w:bookmarkEnd w:id="201"/>
    <w:p>
      <w:pPr>
        <w:jc w:val="center"/>
        <w:spacing w:after="0"/>
        <w:rPr>
          <w:sz w:val="20"/>
          <w:szCs w:val="20"/>
          <w:color w:val="auto"/>
        </w:rPr>
      </w:pPr>
      <w:r>
        <w:rPr>
          <w:rFonts w:ascii="Arial" w:cs="Arial" w:eastAsia="Arial" w:hAnsi="Arial"/>
          <w:sz w:val="20"/>
          <w:szCs w:val="20"/>
          <w:color w:val="auto"/>
        </w:rPr>
        <w:t>STRUCTURE THERAPEUTICS INC.</w:t>
      </w:r>
    </w:p>
    <w:p>
      <w:pPr>
        <w:jc w:val="center"/>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The Company has not completed a study to determine whether any ownership change per the provisions of Section 382 of the Internal Revenue Code of 1986, as amended (the “Code”), as well as similar state provisions, has occurred. Utilization of the Company’s net operating loss and income tax credit carryforwards may be subject to a substantial annual limitation due to ownership changes that may have occurred or that could occur in the future. These ownership changes may limit the amount of the net operating loss and income tax credit carryover that can be utilized annually to offset future taxable income. In general, an “ownership change” as defined by Section 382 of the Code results from a transaction or series of transactions over a three-year period resulting in an ownership change of more than 50% of the outstanding ordinary shares of a company by certain shareholders.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Uncertain Tax Positions</w:t>
      </w:r>
    </w:p>
    <w:p>
      <w:pPr>
        <w:spacing w:after="0" w:line="236"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In accordance with authoritative guidance,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The Company does not anticipate that there will be a substantial change in unrecognized tax benefits within the next 12 months.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The following table reconciles the change in unrecognized tax benefits for the years as follows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180340</wp:posOffset>
                </wp:positionV>
                <wp:extent cx="616267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2pt" to="485.6pt,14.2pt" o:allowincell="f" strokecolor="#000000" strokeweight="0.4809pt"/>
            </w:pict>
          </mc:Fallback>
        </mc:AlternateConten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7500" w:type="dxa"/>
            <w:vAlign w:val="bottom"/>
            <w:vMerge w:val="restart"/>
          </w:tcPr>
          <w:p>
            <w:pPr>
              <w:jc w:val="right"/>
              <w:ind w:right="5840"/>
              <w:spacing w:after="0"/>
              <w:rPr>
                <w:sz w:val="20"/>
                <w:szCs w:val="20"/>
                <w:color w:val="auto"/>
              </w:rPr>
            </w:pPr>
            <w:r>
              <w:rPr>
                <w:rFonts w:ascii="Arial" w:cs="Arial" w:eastAsia="Arial" w:hAnsi="Arial"/>
                <w:sz w:val="20"/>
                <w:szCs w:val="20"/>
                <w:color w:val="auto"/>
                <w:w w:val="98"/>
              </w:rPr>
              <w:t>Beginning of year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6"/>
              <w:spacing w:after="0" w:line="175" w:lineRule="exact"/>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3"/>
              <w:spacing w:after="0" w:line="175"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7500" w:type="dxa"/>
            <w:vAlign w:val="bottom"/>
            <w:vMerge w:val="continue"/>
          </w:tcPr>
          <w:p>
            <w:pPr>
              <w:jc w:val="right"/>
              <w:ind w:right="40"/>
              <w:spacing w:after="0" w:line="178" w:lineRule="exact"/>
              <w:rPr>
                <w:sz w:val="20"/>
                <w:szCs w:val="20"/>
                <w:color w:val="auto"/>
              </w:rPr>
            </w:pPr>
            <w:r>
              <w:rPr>
                <w:rFonts w:ascii="Arial" w:cs="Arial" w:eastAsia="Arial" w:hAnsi="Arial"/>
                <w:sz w:val="20"/>
                <w:szCs w:val="20"/>
                <w:color w:val="auto"/>
              </w:rPr>
              <w:t>. . . . . . . . . . . . . . . . . . . . . . . . . . . . . . . . . . . . . . . . . . . . . . . . . . . . . . . . .</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9" w:lineRule="exact"/>
              <w:rPr>
                <w:sz w:val="20"/>
                <w:szCs w:val="20"/>
                <w:color w:val="auto"/>
              </w:rPr>
            </w:pPr>
            <w:r>
              <w:rPr>
                <w:rFonts w:ascii="Arial" w:cs="Arial" w:eastAsia="Arial" w:hAnsi="Arial"/>
                <w:sz w:val="20"/>
                <w:szCs w:val="20"/>
                <w:color w:val="auto"/>
              </w:rPr>
              <w:t>289</w:t>
            </w:r>
          </w:p>
        </w:tc>
        <w:tc>
          <w:tcPr>
            <w:tcW w:w="240" w:type="dxa"/>
            <w:vAlign w:val="bottom"/>
          </w:tcPr>
          <w:p>
            <w:pPr>
              <w:spacing w:after="0"/>
              <w:rPr>
                <w:sz w:val="17"/>
                <w:szCs w:val="17"/>
                <w:color w:val="auto"/>
              </w:rPr>
            </w:pPr>
          </w:p>
        </w:tc>
        <w:tc>
          <w:tcPr>
            <w:tcW w:w="200" w:type="dxa"/>
            <w:vAlign w:val="bottom"/>
          </w:tcPr>
          <w:p>
            <w:pPr>
              <w:jc w:val="right"/>
              <w:spacing w:after="0" w:line="199" w:lineRule="exact"/>
              <w:rPr>
                <w:sz w:val="20"/>
                <w:szCs w:val="20"/>
                <w:color w:val="auto"/>
              </w:rPr>
            </w:pPr>
            <w:r>
              <w:rPr>
                <w:rFonts w:ascii="Arial" w:cs="Arial" w:eastAsia="Arial" w:hAnsi="Arial"/>
                <w:sz w:val="20"/>
                <w:szCs w:val="20"/>
                <w:color w:val="auto"/>
                <w:w w:val="89"/>
              </w:rPr>
              <w:t>$</w:t>
            </w:r>
          </w:p>
        </w:tc>
        <w:tc>
          <w:tcPr>
            <w:tcW w:w="720" w:type="dxa"/>
            <w:vAlign w:val="bottom"/>
          </w:tcPr>
          <w:p>
            <w:pPr>
              <w:jc w:val="right"/>
              <w:spacing w:after="0" w:line="199" w:lineRule="exact"/>
              <w:rPr>
                <w:sz w:val="20"/>
                <w:szCs w:val="20"/>
                <w:color w:val="auto"/>
              </w:rPr>
            </w:pPr>
            <w:r>
              <w:rPr>
                <w:rFonts w:ascii="Arial" w:cs="Arial" w:eastAsia="Arial" w:hAnsi="Arial"/>
                <w:sz w:val="20"/>
                <w:szCs w:val="20"/>
                <w:color w:val="auto"/>
              </w:rPr>
              <w:t>107</w:t>
            </w:r>
          </w:p>
        </w:tc>
        <w:tc>
          <w:tcPr>
            <w:tcW w:w="0" w:type="dxa"/>
            <w:vAlign w:val="bottom"/>
          </w:tcPr>
          <w:p>
            <w:pPr>
              <w:spacing w:after="0"/>
              <w:rPr>
                <w:sz w:val="1"/>
                <w:szCs w:val="1"/>
                <w:color w:val="auto"/>
              </w:rPr>
            </w:pPr>
          </w:p>
        </w:tc>
      </w:tr>
      <w:tr>
        <w:trPr>
          <w:trHeight w:val="230"/>
        </w:trPr>
        <w:tc>
          <w:tcPr>
            <w:tcW w:w="7500" w:type="dxa"/>
            <w:vAlign w:val="bottom"/>
          </w:tcPr>
          <w:p>
            <w:pPr>
              <w:jc w:val="right"/>
              <w:ind w:right="40"/>
              <w:spacing w:after="0"/>
              <w:rPr>
                <w:sz w:val="20"/>
                <w:szCs w:val="20"/>
                <w:color w:val="auto"/>
              </w:rPr>
            </w:pPr>
            <w:r>
              <w:rPr>
                <w:rFonts w:ascii="Arial" w:cs="Arial" w:eastAsia="Arial" w:hAnsi="Arial"/>
                <w:sz w:val="20"/>
                <w:szCs w:val="20"/>
                <w:color w:val="auto"/>
                <w:w w:val="99"/>
              </w:rPr>
              <w:t>Additions for tax positions related to current year .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574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198</w:t>
            </w:r>
          </w:p>
        </w:tc>
        <w:tc>
          <w:tcPr>
            <w:tcW w:w="0" w:type="dxa"/>
            <w:vAlign w:val="bottom"/>
          </w:tcPr>
          <w:p>
            <w:pPr>
              <w:spacing w:after="0"/>
              <w:rPr>
                <w:sz w:val="1"/>
                <w:szCs w:val="1"/>
                <w:color w:val="auto"/>
              </w:rPr>
            </w:pPr>
          </w:p>
        </w:tc>
      </w:tr>
      <w:tr>
        <w:trPr>
          <w:trHeight w:val="230"/>
        </w:trPr>
        <w:tc>
          <w:tcPr>
            <w:tcW w:w="7500" w:type="dxa"/>
            <w:vAlign w:val="bottom"/>
          </w:tcPr>
          <w:p>
            <w:pPr>
              <w:jc w:val="right"/>
              <w:ind w:right="40"/>
              <w:spacing w:after="0"/>
              <w:rPr>
                <w:sz w:val="20"/>
                <w:szCs w:val="20"/>
                <w:color w:val="auto"/>
              </w:rPr>
            </w:pPr>
            <w:r>
              <w:rPr>
                <w:rFonts w:ascii="Arial" w:cs="Arial" w:eastAsia="Arial" w:hAnsi="Arial"/>
                <w:sz w:val="20"/>
                <w:szCs w:val="20"/>
                <w:color w:val="auto"/>
                <w:w w:val="99"/>
              </w:rPr>
              <w:t>Additions for tax positions related to prior years . .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7500" w:type="dxa"/>
            <w:vAlign w:val="bottom"/>
          </w:tcPr>
          <w:p>
            <w:pPr>
              <w:jc w:val="right"/>
              <w:ind w:right="40"/>
              <w:spacing w:after="0"/>
              <w:rPr>
                <w:sz w:val="20"/>
                <w:szCs w:val="20"/>
                <w:color w:val="auto"/>
              </w:rPr>
            </w:pPr>
            <w:r>
              <w:rPr>
                <w:rFonts w:ascii="Arial" w:cs="Arial" w:eastAsia="Arial" w:hAnsi="Arial"/>
                <w:sz w:val="20"/>
                <w:szCs w:val="20"/>
                <w:color w:val="auto"/>
                <w:w w:val="99"/>
              </w:rPr>
              <w:t>Reductions for tax positions related to prior years . . . . . . . . . . . . . . . . .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39"/>
        </w:trPr>
        <w:tc>
          <w:tcPr>
            <w:tcW w:w="7500" w:type="dxa"/>
            <w:vAlign w:val="bottom"/>
          </w:tcPr>
          <w:p>
            <w:pPr>
              <w:jc w:val="right"/>
              <w:ind w:right="40"/>
              <w:spacing w:after="0"/>
              <w:rPr>
                <w:sz w:val="20"/>
                <w:szCs w:val="20"/>
                <w:color w:val="auto"/>
              </w:rPr>
            </w:pPr>
            <w:r>
              <w:rPr>
                <w:rFonts w:ascii="Arial" w:cs="Arial" w:eastAsia="Arial" w:hAnsi="Arial"/>
                <w:sz w:val="20"/>
                <w:szCs w:val="20"/>
                <w:color w:val="auto"/>
                <w:w w:val="93"/>
              </w:rPr>
              <w:t>. . . . . . . . . . . . . . . . . . . . . . . . . . . . . . . . . . . . . . . . . . . . . . . . . . . . . . . . . . . . . . .Endofyear</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877</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289</w:t>
            </w:r>
          </w:p>
        </w:tc>
        <w:tc>
          <w:tcPr>
            <w:tcW w:w="0" w:type="dxa"/>
            <w:vAlign w:val="bottom"/>
          </w:tcPr>
          <w:p>
            <w:pPr>
              <w:spacing w:after="0"/>
              <w:rPr>
                <w:sz w:val="1"/>
                <w:szCs w:val="1"/>
                <w:color w:val="auto"/>
              </w:rPr>
            </w:pPr>
          </w:p>
        </w:tc>
      </w:tr>
      <w:tr>
        <w:trPr>
          <w:trHeight w:val="232"/>
        </w:trPr>
        <w:tc>
          <w:tcPr>
            <w:tcW w:w="7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The total unrecognized tax benefits do not impact the Company’s effective tax rate.</w:t>
      </w:r>
    </w:p>
    <w:p>
      <w:pPr>
        <w:spacing w:after="0" w:line="239"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The Company recognizes interest and penalties related to unrecognized tax positions within the income tax expense line in the accompanying consolidated statements of operations and comprehensive loss. There were no accrued interest and penalties associated with uncertain tax positions as of December 31, 2023 and 2022.</w:t>
      </w:r>
    </w:p>
    <w:p>
      <w:pPr>
        <w:spacing w:after="0" w:line="183"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The Company and its subsidiaries are subject to U.S. federal, state and foreign income tax, and in the normal course of business, its income tax returns are subject to examination by the relevant taxing authorities. As of December 31, 2023, the 2018 to 2022 tax years remained subject to examination in the U.S. federal tax and various state tax jurisdictions. The Company is not currently under examination by federal, state, or foreign jurisdictions.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Indefinite Reinvestment of Foreign Earnings</w:t>
      </w:r>
    </w:p>
    <w:p>
      <w:pPr>
        <w:spacing w:after="0" w:line="235"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color w:val="auto"/>
        </w:rPr>
        <w:t>The Company considers the earnings of certain subsidiaries to be indefinitely invested outside the Cayman Islands on the basis of estimates that future domestic cash generation will be sufficient to meet future domestic cash needs and the specific plans for reinvestment of those subsidiary earnings. The Company has not recorded a deferred tax liability related to the income taxes and foreign withholding taxes on indefinitely reinvested undistributed earnings of foreign subsidiaries. If the Company decides to repatriate the foreign earnings, it would need to adjust the income tax provision in the period it was determined that the earnings</w:t>
      </w:r>
    </w:p>
    <w:p>
      <w:pPr>
        <w:sectPr>
          <w:pgSz w:w="11880" w:h="15480" w:orient="portrait"/>
          <w:cols w:equalWidth="0" w:num="1">
            <w:col w:w="9720"/>
          </w:cols>
          <w:pgMar w:left="1080" w:top="1061" w:right="1080" w:bottom="555"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200</w:t>
      </w:r>
    </w:p>
    <w:p>
      <w:pPr>
        <w:sectPr>
          <w:pgSz w:w="11880" w:h="15480" w:orient="portrait"/>
          <w:cols w:equalWidth="0" w:num="1">
            <w:col w:w="9720"/>
          </w:cols>
          <w:pgMar w:left="1080" w:top="1061" w:right="1080" w:bottom="555" w:gutter="0" w:footer="0" w:header="0"/>
          <w:type w:val="continuous"/>
        </w:sectPr>
      </w:pPr>
    </w:p>
    <w:bookmarkStart w:id="202" w:name="page203"/>
    <w:bookmarkEnd w:id="202"/>
    <w:p>
      <w:pPr>
        <w:jc w:val="center"/>
        <w:spacing w:after="0"/>
        <w:rPr>
          <w:sz w:val="20"/>
          <w:szCs w:val="20"/>
          <w:color w:val="auto"/>
        </w:rPr>
      </w:pPr>
      <w:r>
        <w:rPr>
          <w:rFonts w:ascii="Arial" w:cs="Arial" w:eastAsia="Arial" w:hAnsi="Arial"/>
          <w:sz w:val="20"/>
          <w:szCs w:val="20"/>
          <w:color w:val="auto"/>
        </w:rPr>
        <w:t>STRUCTURE THERAPEUTICS INC.</w:t>
      </w:r>
    </w:p>
    <w:p>
      <w:pPr>
        <w:jc w:val="center"/>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jc w:val="both"/>
        <w:ind w:right="520"/>
        <w:spacing w:after="0" w:line="262" w:lineRule="auto"/>
        <w:rPr>
          <w:sz w:val="20"/>
          <w:szCs w:val="20"/>
          <w:color w:val="auto"/>
        </w:rPr>
      </w:pPr>
      <w:r>
        <w:rPr>
          <w:rFonts w:ascii="Arial" w:cs="Arial" w:eastAsia="Arial" w:hAnsi="Arial"/>
          <w:sz w:val="20"/>
          <w:szCs w:val="20"/>
          <w:color w:val="auto"/>
        </w:rPr>
        <w:t>would no longer be indefinitely invested outside the Cayman Islands. The Company’s subsidiaries in the United States do not have undistributed earnings to distribute. As of December 31, 2023, a subsidiary in China has no undistributed earnings.</w:t>
      </w:r>
    </w:p>
    <w:p>
      <w:pPr>
        <w:spacing w:after="0" w:line="177"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auto"/>
        </w:rPr>
        <w:t>On December 22, 2017 the legislation commonly known as the Tax Cuts and Jobs Act (“TCJA”) was signed into law. The TCJA resulted in significant changes to the treatment of research or experimental (“R&amp;E”) expenditures under Internal Revenue Code Section 174. For tax years beginning after December 31, 2021, taxpayers are required to capitalize and amortize all R&amp;E expenditures that are paid or incurred in connection with their trade or business which represent costs in the experimental or laboratory sense. Specifically, costs for U.S.-based R&amp;E activities must be amortized over five years and costs for foreign R&amp;E activities must be amortized over 15 years; both using a midyear convention. In 2023, the Company has capitalized</w:t>
      </w:r>
    </w:p>
    <w:p>
      <w:pPr>
        <w:spacing w:after="0" w:line="5" w:lineRule="exact"/>
        <w:rPr>
          <w:sz w:val="20"/>
          <w:szCs w:val="20"/>
          <w:color w:val="auto"/>
        </w:rPr>
      </w:pPr>
    </w:p>
    <w:p>
      <w:pPr>
        <w:ind w:right="720"/>
        <w:spacing w:after="0" w:line="284" w:lineRule="auto"/>
        <w:rPr>
          <w:sz w:val="20"/>
          <w:szCs w:val="20"/>
          <w:color w:val="auto"/>
        </w:rPr>
      </w:pPr>
      <w:r>
        <w:rPr>
          <w:rFonts w:ascii="Arial" w:cs="Arial" w:eastAsia="Arial" w:hAnsi="Arial"/>
          <w:sz w:val="20"/>
          <w:szCs w:val="20"/>
          <w:color w:val="auto"/>
        </w:rPr>
        <w:t>$58.9 million of research and development costs. After amortization, there remains a future temporary deductible item in the amount of $80.5 million.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Net Loss Per Share</w:t>
      </w:r>
    </w:p>
    <w:p>
      <w:pPr>
        <w:spacing w:after="0" w:line="244"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auto"/>
        </w:rPr>
        <w:t>The following table sets forth the computation of basic and diluted net loss per share attributable to ordinary shareholders, which excludes unvested restricted shares and shares which are legally outstanding, but subject to repurchase by the Company (in thousands, except per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140335</wp:posOffset>
                </wp:positionV>
                <wp:extent cx="616267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1.05pt" to="485.6pt,11.05pt" o:allowincell="f" strokecolor="#000000" strokeweight="0.4809pt"/>
            </w:pict>
          </mc:Fallback>
        </mc:AlternateContent>
      </w:r>
    </w:p>
    <w:p>
      <w:pPr>
        <w:spacing w:after="0" w:line="200" w:lineRule="exact"/>
        <w:rPr>
          <w:sz w:val="20"/>
          <w:szCs w:val="20"/>
          <w:color w:val="auto"/>
        </w:rPr>
      </w:pPr>
    </w:p>
    <w:p>
      <w:pPr>
        <w:spacing w:after="0" w:line="218" w:lineRule="exact"/>
        <w:rPr>
          <w:sz w:val="20"/>
          <w:szCs w:val="20"/>
          <w:color w:val="auto"/>
        </w:rPr>
      </w:pPr>
    </w:p>
    <w:p>
      <w:pPr>
        <w:ind w:left="8180"/>
        <w:spacing w:after="0"/>
        <w:rPr>
          <w:sz w:val="20"/>
          <w:szCs w:val="20"/>
          <w:color w:val="auto"/>
        </w:rPr>
      </w:pPr>
      <w:r>
        <w:rPr>
          <w:rFonts w:ascii="Arial" w:cs="Arial" w:eastAsia="Arial" w:hAnsi="Arial"/>
          <w:sz w:val="16"/>
          <w:szCs w:val="16"/>
          <w:b w:val="1"/>
          <w:bCs w:val="1"/>
          <w:color w:val="auto"/>
        </w:rPr>
        <w:t>YEAR ENDED</w:t>
      </w:r>
    </w:p>
    <w:tbl>
      <w:tblPr>
        <w:tblLayout w:type="fixed"/>
        <w:tblInd w:w="0" w:type="dxa"/>
        <w:tblCellMar>
          <w:top w:w="0" w:type="dxa"/>
          <w:left w:w="0" w:type="dxa"/>
          <w:bottom w:w="0" w:type="dxa"/>
          <w:right w:w="0" w:type="dxa"/>
        </w:tblCellMar>
      </w:tblPr>
      <w:tr>
        <w:trPr>
          <w:trHeight w:val="202"/>
        </w:trPr>
        <w:tc>
          <w:tcPr>
            <w:tcW w:w="7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7700" w:type="dxa"/>
            <w:vAlign w:val="bottom"/>
            <w:vMerge w:val="restart"/>
          </w:tcPr>
          <w:p>
            <w:pPr>
              <w:spacing w:after="0"/>
              <w:rPr>
                <w:sz w:val="20"/>
                <w:szCs w:val="20"/>
                <w:color w:val="auto"/>
              </w:rPr>
            </w:pPr>
            <w:r>
              <w:rPr>
                <w:rFonts w:ascii="Arial" w:cs="Arial" w:eastAsia="Arial" w:hAnsi="Arial"/>
                <w:sz w:val="20"/>
                <w:szCs w:val="20"/>
                <w:color w:val="auto"/>
              </w:rPr>
              <w:t>Numerator:</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4"/>
              <w:spacing w:after="0" w:line="175" w:lineRule="exact"/>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2"/>
              <w:spacing w:after="0" w:line="175"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0"/>
        </w:trPr>
        <w:tc>
          <w:tcPr>
            <w:tcW w:w="7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20"/>
                <w:szCs w:val="20"/>
                <w:color w:val="auto"/>
                <w:w w:val="98"/>
              </w:rPr>
              <w:t>Net loss attributable to ordinary shareholders . . . . . . . . . . . . . . . . . . . . . . . . . . . . . . . . . .</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(89,620)</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(51,321)</w:t>
            </w:r>
          </w:p>
        </w:tc>
        <w:tc>
          <w:tcPr>
            <w:tcW w:w="0" w:type="dxa"/>
            <w:vAlign w:val="bottom"/>
          </w:tcPr>
          <w:p>
            <w:pPr>
              <w:spacing w:after="0"/>
              <w:rPr>
                <w:sz w:val="1"/>
                <w:szCs w:val="1"/>
                <w:color w:val="auto"/>
              </w:rPr>
            </w:pPr>
          </w:p>
        </w:tc>
      </w:tr>
      <w:tr>
        <w:trPr>
          <w:trHeight w:val="240"/>
        </w:trPr>
        <w:tc>
          <w:tcPr>
            <w:tcW w:w="7700" w:type="dxa"/>
            <w:vAlign w:val="bottom"/>
          </w:tcPr>
          <w:p>
            <w:pPr>
              <w:spacing w:after="0"/>
              <w:rPr>
                <w:sz w:val="20"/>
                <w:szCs w:val="20"/>
                <w:color w:val="auto"/>
              </w:rPr>
            </w:pPr>
            <w:r>
              <w:rPr>
                <w:rFonts w:ascii="Arial" w:cs="Arial" w:eastAsia="Arial" w:hAnsi="Arial"/>
                <w:sz w:val="20"/>
                <w:szCs w:val="20"/>
                <w:color w:val="auto"/>
              </w:rPr>
              <w:t>Accretion of redeemable convertible preferred shares to their redemption value . . . . .</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(1,515)</w:t>
            </w:r>
          </w:p>
        </w:tc>
        <w:tc>
          <w:tcPr>
            <w:tcW w:w="0" w:type="dxa"/>
            <w:vAlign w:val="bottom"/>
          </w:tcPr>
          <w:p>
            <w:pPr>
              <w:spacing w:after="0"/>
              <w:rPr>
                <w:sz w:val="1"/>
                <w:szCs w:val="1"/>
                <w:color w:val="auto"/>
              </w:rPr>
            </w:pPr>
          </w:p>
        </w:tc>
      </w:tr>
      <w:tr>
        <w:trPr>
          <w:trHeight w:val="239"/>
        </w:trPr>
        <w:tc>
          <w:tcPr>
            <w:tcW w:w="7700" w:type="dxa"/>
            <w:vAlign w:val="bottom"/>
          </w:tcPr>
          <w:p>
            <w:pPr>
              <w:jc w:val="right"/>
              <w:ind w:right="140"/>
              <w:spacing w:after="0"/>
              <w:rPr>
                <w:sz w:val="20"/>
                <w:szCs w:val="20"/>
                <w:color w:val="auto"/>
              </w:rPr>
            </w:pPr>
            <w:r>
              <w:rPr>
                <w:rFonts w:ascii="Arial" w:cs="Arial" w:eastAsia="Arial" w:hAnsi="Arial"/>
                <w:sz w:val="20"/>
                <w:szCs w:val="20"/>
                <w:color w:val="auto"/>
              </w:rPr>
              <w:t>. . . . . . . . . . . . . . . . . . . . . . . . . . . . . . . . . .Netlossattributabletoordinaryshareholders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(89,620)</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(52,836)</w:t>
            </w:r>
          </w:p>
        </w:tc>
        <w:tc>
          <w:tcPr>
            <w:tcW w:w="0" w:type="dxa"/>
            <w:vAlign w:val="bottom"/>
          </w:tcPr>
          <w:p>
            <w:pPr>
              <w:spacing w:after="0"/>
              <w:rPr>
                <w:sz w:val="1"/>
                <w:szCs w:val="1"/>
                <w:color w:val="auto"/>
              </w:rPr>
            </w:pPr>
          </w:p>
        </w:tc>
      </w:tr>
      <w:tr>
        <w:trPr>
          <w:trHeight w:val="212"/>
        </w:trPr>
        <w:tc>
          <w:tcPr>
            <w:tcW w:w="7700" w:type="dxa"/>
            <w:vAlign w:val="bottom"/>
          </w:tcPr>
          <w:p>
            <w:pPr>
              <w:spacing w:after="0" w:line="211" w:lineRule="exact"/>
              <w:rPr>
                <w:sz w:val="20"/>
                <w:szCs w:val="20"/>
                <w:color w:val="auto"/>
              </w:rPr>
            </w:pPr>
            <w:r>
              <w:rPr>
                <w:rFonts w:ascii="Arial" w:cs="Arial" w:eastAsia="Arial" w:hAnsi="Arial"/>
                <w:sz w:val="20"/>
                <w:szCs w:val="20"/>
                <w:color w:val="auto"/>
              </w:rPr>
              <w:t>Denominator:</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20"/>
                <w:szCs w:val="20"/>
                <w:color w:val="auto"/>
                <w:w w:val="98"/>
              </w:rPr>
              <w:t>Weighted-average ordinary shares outstanding. . . . . . . . . . . . . . . . . . . . . . . . . . . . . . . . .</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110,263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10,933</w:t>
            </w:r>
          </w:p>
        </w:tc>
        <w:tc>
          <w:tcPr>
            <w:tcW w:w="0" w:type="dxa"/>
            <w:vAlign w:val="bottom"/>
          </w:tcPr>
          <w:p>
            <w:pPr>
              <w:spacing w:after="0"/>
              <w:rPr>
                <w:sz w:val="1"/>
                <w:szCs w:val="1"/>
                <w:color w:val="auto"/>
              </w:rPr>
            </w:pPr>
          </w:p>
        </w:tc>
      </w:tr>
      <w:tr>
        <w:trPr>
          <w:trHeight w:val="240"/>
        </w:trPr>
        <w:tc>
          <w:tcPr>
            <w:tcW w:w="7700" w:type="dxa"/>
            <w:vAlign w:val="bottom"/>
          </w:tcPr>
          <w:p>
            <w:pPr>
              <w:spacing w:after="0"/>
              <w:rPr>
                <w:sz w:val="20"/>
                <w:szCs w:val="20"/>
                <w:color w:val="auto"/>
              </w:rPr>
            </w:pPr>
            <w:r>
              <w:rPr>
                <w:rFonts w:ascii="Arial" w:cs="Arial" w:eastAsia="Arial" w:hAnsi="Arial"/>
                <w:sz w:val="20"/>
                <w:szCs w:val="20"/>
                <w:color w:val="auto"/>
              </w:rPr>
              <w:t>Less: weighted-average unvested restricted ordinary shares subject to repurchase . .</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(1,349)</w:t>
            </w:r>
          </w:p>
        </w:tc>
        <w:tc>
          <w:tcPr>
            <w:tcW w:w="0" w:type="dxa"/>
            <w:vAlign w:val="bottom"/>
          </w:tcPr>
          <w:p>
            <w:pPr>
              <w:spacing w:after="0"/>
              <w:rPr>
                <w:sz w:val="1"/>
                <w:szCs w:val="1"/>
                <w:color w:val="auto"/>
              </w:rPr>
            </w:pPr>
          </w:p>
        </w:tc>
      </w:tr>
      <w:tr>
        <w:trPr>
          <w:trHeight w:val="210"/>
        </w:trPr>
        <w:tc>
          <w:tcPr>
            <w:tcW w:w="7700" w:type="dxa"/>
            <w:vAlign w:val="bottom"/>
          </w:tcPr>
          <w:p>
            <w:pPr>
              <w:spacing w:after="0" w:line="210" w:lineRule="exact"/>
              <w:rPr>
                <w:sz w:val="20"/>
                <w:szCs w:val="20"/>
                <w:color w:val="auto"/>
              </w:rPr>
            </w:pPr>
            <w:r>
              <w:rPr>
                <w:rFonts w:ascii="Arial" w:cs="Arial" w:eastAsia="Arial" w:hAnsi="Arial"/>
                <w:sz w:val="20"/>
                <w:szCs w:val="20"/>
                <w:color w:val="auto"/>
              </w:rPr>
              <w:t>Weighted-average ordinary shares used in computing net loss per share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700" w:type="dxa"/>
            <w:vAlign w:val="bottom"/>
          </w:tcPr>
          <w:p>
            <w:pPr>
              <w:jc w:val="right"/>
              <w:ind w:right="140"/>
              <w:spacing w:after="0"/>
              <w:rPr>
                <w:sz w:val="20"/>
                <w:szCs w:val="20"/>
                <w:color w:val="auto"/>
              </w:rPr>
            </w:pPr>
            <w:r>
              <w:rPr>
                <w:rFonts w:ascii="Arial" w:cs="Arial" w:eastAsia="Arial" w:hAnsi="Arial"/>
                <w:sz w:val="20"/>
                <w:szCs w:val="20"/>
                <w:color w:val="auto"/>
                <w:w w:val="97"/>
              </w:rPr>
              <w:t>attributable to ordinary shareholders, basic and diluted . . . . . . . . . . . . . . . . . . . . . . . . .</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110,198</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9,584</w:t>
            </w:r>
          </w:p>
        </w:tc>
        <w:tc>
          <w:tcPr>
            <w:tcW w:w="0" w:type="dxa"/>
            <w:vAlign w:val="bottom"/>
          </w:tcPr>
          <w:p>
            <w:pPr>
              <w:spacing w:after="0"/>
              <w:rPr>
                <w:sz w:val="1"/>
                <w:szCs w:val="1"/>
                <w:color w:val="auto"/>
              </w:rPr>
            </w:pPr>
          </w:p>
        </w:tc>
      </w:tr>
      <w:tr>
        <w:trPr>
          <w:trHeight w:val="239"/>
        </w:trPr>
        <w:tc>
          <w:tcPr>
            <w:tcW w:w="7700" w:type="dxa"/>
            <w:vAlign w:val="bottom"/>
          </w:tcPr>
          <w:p>
            <w:pPr>
              <w:jc w:val="right"/>
              <w:ind w:right="140"/>
              <w:spacing w:after="0"/>
              <w:rPr>
                <w:sz w:val="20"/>
                <w:szCs w:val="20"/>
                <w:color w:val="auto"/>
              </w:rPr>
            </w:pPr>
            <w:r>
              <w:rPr>
                <w:rFonts w:ascii="Arial" w:cs="Arial" w:eastAsia="Arial" w:hAnsi="Arial"/>
                <w:sz w:val="20"/>
                <w:szCs w:val="20"/>
                <w:color w:val="auto"/>
              </w:rPr>
              <w:t>. . . . . . . . . .Netlosspershareattributabletoordinaryshareholders,basicanddiluted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(0.81)</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(5.51)</w:t>
            </w:r>
          </w:p>
        </w:tc>
        <w:tc>
          <w:tcPr>
            <w:tcW w:w="0" w:type="dxa"/>
            <w:vAlign w:val="bottom"/>
          </w:tcPr>
          <w:p>
            <w:pPr>
              <w:spacing w:after="0"/>
              <w:rPr>
                <w:sz w:val="1"/>
                <w:szCs w:val="1"/>
                <w:color w:val="auto"/>
              </w:rPr>
            </w:pPr>
          </w:p>
        </w:tc>
      </w:tr>
      <w:tr>
        <w:trPr>
          <w:trHeight w:val="232"/>
        </w:trPr>
        <w:tc>
          <w:tcPr>
            <w:tcW w:w="7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1"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201</w:t>
      </w:r>
    </w:p>
    <w:p>
      <w:pPr>
        <w:sectPr>
          <w:pgSz w:w="11880" w:h="15480" w:orient="portrait"/>
          <w:cols w:equalWidth="0" w:num="1">
            <w:col w:w="9720"/>
          </w:cols>
          <w:pgMar w:left="1080" w:top="1061" w:right="1080" w:bottom="555" w:gutter="0" w:footer="0" w:header="0"/>
          <w:type w:val="continuous"/>
        </w:sectPr>
      </w:pPr>
    </w:p>
    <w:bookmarkStart w:id="203" w:name="page204"/>
    <w:bookmarkEnd w:id="203"/>
    <w:p>
      <w:pPr>
        <w:jc w:val="center"/>
        <w:spacing w:after="0"/>
        <w:rPr>
          <w:sz w:val="20"/>
          <w:szCs w:val="20"/>
          <w:color w:val="auto"/>
        </w:rPr>
      </w:pPr>
      <w:r>
        <w:rPr>
          <w:rFonts w:ascii="Arial" w:cs="Arial" w:eastAsia="Arial" w:hAnsi="Arial"/>
          <w:sz w:val="20"/>
          <w:szCs w:val="20"/>
          <w:color w:val="auto"/>
        </w:rPr>
        <w:t>STRUCTURE THERAPEUTICS INC.</w:t>
      </w:r>
    </w:p>
    <w:p>
      <w:pPr>
        <w:jc w:val="center"/>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ind w:right="280"/>
        <w:spacing w:after="0" w:line="262" w:lineRule="auto"/>
        <w:rPr>
          <w:sz w:val="20"/>
          <w:szCs w:val="20"/>
          <w:color w:val="auto"/>
        </w:rPr>
      </w:pPr>
      <w:r>
        <w:rPr>
          <w:rFonts w:ascii="Arial" w:cs="Arial" w:eastAsia="Arial" w:hAnsi="Arial"/>
          <w:sz w:val="20"/>
          <w:szCs w:val="20"/>
          <w:color w:val="auto"/>
        </w:rPr>
        <w:t>The following outstanding shares of potentially dilutive securities were excluded from the computation of diluted net loss per share attributable to ordinary shareholders for the periods presented because including them would have been antidilutive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140335</wp:posOffset>
                </wp:positionV>
                <wp:extent cx="616267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1.05pt" to="485.6pt,11.05pt" o:allowincell="f" strokecolor="#000000" strokeweight="0.4799pt"/>
            </w:pict>
          </mc:Fallback>
        </mc:AlternateConten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8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3"/>
        </w:trPr>
        <w:tc>
          <w:tcPr>
            <w:tcW w:w="7900" w:type="dxa"/>
            <w:vAlign w:val="bottom"/>
            <w:vMerge w:val="restart"/>
          </w:tcPr>
          <w:p>
            <w:pPr>
              <w:jc w:val="right"/>
              <w:ind w:right="4560"/>
              <w:spacing w:after="0"/>
              <w:rPr>
                <w:sz w:val="20"/>
                <w:szCs w:val="20"/>
                <w:color w:val="auto"/>
              </w:rPr>
            </w:pPr>
            <w:r>
              <w:rPr>
                <w:rFonts w:ascii="Arial" w:cs="Arial" w:eastAsia="Arial" w:hAnsi="Arial"/>
                <w:sz w:val="20"/>
                <w:szCs w:val="20"/>
                <w:color w:val="auto"/>
                <w:w w:val="99"/>
              </w:rPr>
              <w:t>Options to purchase ordinary shares</w:t>
            </w:r>
          </w:p>
        </w:tc>
        <w:tc>
          <w:tcPr>
            <w:tcW w:w="780" w:type="dxa"/>
            <w:vAlign w:val="bottom"/>
          </w:tcPr>
          <w:p>
            <w:pPr>
              <w:jc w:val="right"/>
              <w:ind w:right="125"/>
              <w:spacing w:after="0" w:line="173" w:lineRule="exact"/>
              <w:rPr>
                <w:sz w:val="20"/>
                <w:szCs w:val="20"/>
                <w:color w:val="auto"/>
              </w:rPr>
            </w:pPr>
            <w:r>
              <w:rPr>
                <w:rFonts w:ascii="Arial" w:cs="Arial" w:eastAsia="Arial" w:hAnsi="Arial"/>
                <w:sz w:val="16"/>
                <w:szCs w:val="16"/>
                <w:b w:val="1"/>
                <w:bCs w:val="1"/>
                <w:color w:val="auto"/>
              </w:rPr>
              <w:t>2023</w:t>
            </w:r>
          </w:p>
        </w:tc>
        <w:tc>
          <w:tcPr>
            <w:tcW w:w="1040" w:type="dxa"/>
            <w:vAlign w:val="bottom"/>
            <w:gridSpan w:val="2"/>
          </w:tcPr>
          <w:p>
            <w:pPr>
              <w:jc w:val="right"/>
              <w:ind w:right="120"/>
              <w:spacing w:after="0" w:line="173"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0"/>
        </w:trPr>
        <w:tc>
          <w:tcPr>
            <w:tcW w:w="7900" w:type="dxa"/>
            <w:vAlign w:val="bottom"/>
            <w:vMerge w:val="continue"/>
          </w:tcPr>
          <w:p>
            <w:pPr>
              <w:jc w:val="right"/>
              <w:ind w:right="240"/>
              <w:spacing w:after="0" w:line="178" w:lineRule="exact"/>
              <w:rPr>
                <w:sz w:val="20"/>
                <w:szCs w:val="20"/>
                <w:color w:val="auto"/>
              </w:rPr>
            </w:pPr>
            <w:r>
              <w:rPr>
                <w:rFonts w:ascii="Arial" w:cs="Arial" w:eastAsia="Arial" w:hAnsi="Arial"/>
                <w:sz w:val="20"/>
                <w:szCs w:val="20"/>
                <w:color w:val="auto"/>
              </w:rPr>
              <w:t>. . . . . . . . . . . . . . . . . . . . . . . . . . . . . . . . . . . . . . . . . . .</w:t>
            </w:r>
          </w:p>
        </w:tc>
        <w:tc>
          <w:tcPr>
            <w:tcW w:w="7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11,899</w:t>
            </w:r>
          </w:p>
        </w:tc>
        <w:tc>
          <w:tcPr>
            <w:tcW w:w="240" w:type="dxa"/>
            <w:vAlign w:val="bottom"/>
          </w:tcPr>
          <w:p>
            <w:pPr>
              <w:spacing w:after="0"/>
              <w:rPr>
                <w:sz w:val="17"/>
                <w:szCs w:val="17"/>
                <w:color w:val="auto"/>
              </w:rPr>
            </w:pPr>
          </w:p>
        </w:tc>
        <w:tc>
          <w:tcPr>
            <w:tcW w:w="8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7,612</w:t>
            </w:r>
          </w:p>
        </w:tc>
        <w:tc>
          <w:tcPr>
            <w:tcW w:w="0" w:type="dxa"/>
            <w:vAlign w:val="bottom"/>
          </w:tcPr>
          <w:p>
            <w:pPr>
              <w:spacing w:after="0"/>
              <w:rPr>
                <w:sz w:val="1"/>
                <w:szCs w:val="1"/>
                <w:color w:val="auto"/>
              </w:rPr>
            </w:pPr>
          </w:p>
        </w:tc>
      </w:tr>
      <w:tr>
        <w:trPr>
          <w:trHeight w:val="230"/>
        </w:trPr>
        <w:tc>
          <w:tcPr>
            <w:tcW w:w="7900" w:type="dxa"/>
            <w:vAlign w:val="bottom"/>
          </w:tcPr>
          <w:p>
            <w:pPr>
              <w:jc w:val="right"/>
              <w:ind w:right="240"/>
              <w:spacing w:after="0"/>
              <w:rPr>
                <w:sz w:val="20"/>
                <w:szCs w:val="20"/>
                <w:color w:val="auto"/>
              </w:rPr>
            </w:pPr>
            <w:r>
              <w:rPr>
                <w:rFonts w:ascii="Arial" w:cs="Arial" w:eastAsia="Arial" w:hAnsi="Arial"/>
                <w:sz w:val="20"/>
                <w:szCs w:val="20"/>
                <w:color w:val="auto"/>
                <w:w w:val="94"/>
              </w:rPr>
              <w:t>Shares committed under ESPP . . . . . . . . . . . . . . . . . . . . . . . . . . . . . . . . . . . . . . . . . . . . . . .</w:t>
            </w:r>
          </w:p>
        </w:tc>
        <w:tc>
          <w:tcPr>
            <w:tcW w:w="780" w:type="dxa"/>
            <w:vAlign w:val="bottom"/>
          </w:tcPr>
          <w:p>
            <w:pPr>
              <w:jc w:val="right"/>
              <w:spacing w:after="0"/>
              <w:rPr>
                <w:sz w:val="20"/>
                <w:szCs w:val="20"/>
                <w:color w:val="auto"/>
              </w:rPr>
            </w:pPr>
            <w:r>
              <w:rPr>
                <w:rFonts w:ascii="Arial" w:cs="Arial" w:eastAsia="Arial" w:hAnsi="Arial"/>
                <w:sz w:val="20"/>
                <w:szCs w:val="20"/>
                <w:color w:val="auto"/>
              </w:rPr>
              <w:t>106</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7900" w:type="dxa"/>
            <w:vAlign w:val="bottom"/>
          </w:tcPr>
          <w:p>
            <w:pPr>
              <w:jc w:val="right"/>
              <w:ind w:right="240"/>
              <w:spacing w:after="0"/>
              <w:rPr>
                <w:sz w:val="20"/>
                <w:szCs w:val="20"/>
                <w:color w:val="auto"/>
              </w:rPr>
            </w:pPr>
            <w:r>
              <w:rPr>
                <w:rFonts w:ascii="Arial" w:cs="Arial" w:eastAsia="Arial" w:hAnsi="Arial"/>
                <w:sz w:val="20"/>
                <w:szCs w:val="20"/>
                <w:color w:val="auto"/>
                <w:w w:val="95"/>
              </w:rPr>
              <w:t>Redeemable convertible preferred shares . . . . . . . . . . . . . . . . . . . . . . . . . . . . . . . . . . . . . .</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67,018</w:t>
            </w:r>
          </w:p>
        </w:tc>
        <w:tc>
          <w:tcPr>
            <w:tcW w:w="0" w:type="dxa"/>
            <w:vAlign w:val="bottom"/>
          </w:tcPr>
          <w:p>
            <w:pPr>
              <w:spacing w:after="0"/>
              <w:rPr>
                <w:sz w:val="1"/>
                <w:szCs w:val="1"/>
                <w:color w:val="auto"/>
              </w:rPr>
            </w:pPr>
          </w:p>
        </w:tc>
      </w:tr>
      <w:tr>
        <w:trPr>
          <w:trHeight w:val="230"/>
        </w:trPr>
        <w:tc>
          <w:tcPr>
            <w:tcW w:w="7900" w:type="dxa"/>
            <w:vAlign w:val="bottom"/>
          </w:tcPr>
          <w:p>
            <w:pPr>
              <w:jc w:val="right"/>
              <w:ind w:right="240"/>
              <w:spacing w:after="0"/>
              <w:rPr>
                <w:sz w:val="20"/>
                <w:szCs w:val="20"/>
                <w:color w:val="auto"/>
              </w:rPr>
            </w:pPr>
            <w:r>
              <w:rPr>
                <w:rFonts w:ascii="Arial" w:cs="Arial" w:eastAsia="Arial" w:hAnsi="Arial"/>
                <w:sz w:val="20"/>
                <w:szCs w:val="20"/>
                <w:color w:val="auto"/>
                <w:w w:val="92"/>
              </w:rPr>
              <w:t>Ordinary share warrants . . . . . . . . . . . . . . . . . . . . . . . . . . . . . . . . . . . . . . . . . . . . . . . . . . . . . .</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112</w:t>
            </w:r>
          </w:p>
        </w:tc>
        <w:tc>
          <w:tcPr>
            <w:tcW w:w="0" w:type="dxa"/>
            <w:vAlign w:val="bottom"/>
          </w:tcPr>
          <w:p>
            <w:pPr>
              <w:spacing w:after="0"/>
              <w:rPr>
                <w:sz w:val="1"/>
                <w:szCs w:val="1"/>
                <w:color w:val="auto"/>
              </w:rPr>
            </w:pPr>
          </w:p>
        </w:tc>
      </w:tr>
      <w:tr>
        <w:trPr>
          <w:trHeight w:val="240"/>
        </w:trPr>
        <w:tc>
          <w:tcPr>
            <w:tcW w:w="7900" w:type="dxa"/>
            <w:vAlign w:val="bottom"/>
          </w:tcPr>
          <w:p>
            <w:pPr>
              <w:jc w:val="right"/>
              <w:ind w:right="240"/>
              <w:spacing w:after="0"/>
              <w:rPr>
                <w:sz w:val="20"/>
                <w:szCs w:val="20"/>
                <w:color w:val="auto"/>
              </w:rPr>
            </w:pPr>
            <w:r>
              <w:rPr>
                <w:rFonts w:ascii="Arial" w:cs="Arial" w:eastAsia="Arial" w:hAnsi="Arial"/>
                <w:sz w:val="20"/>
                <w:szCs w:val="20"/>
                <w:color w:val="auto"/>
                <w:w w:val="94"/>
              </w:rPr>
              <w:t>Unvested restricted ordinary share awards . . . . . . . . . . . . . . . . . . . . . . . . . . . . . . . . . . . . . .</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327</w:t>
            </w:r>
          </w:p>
        </w:tc>
        <w:tc>
          <w:tcPr>
            <w:tcW w:w="0" w:type="dxa"/>
            <w:vAlign w:val="bottom"/>
          </w:tcPr>
          <w:p>
            <w:pPr>
              <w:spacing w:after="0"/>
              <w:rPr>
                <w:sz w:val="1"/>
                <w:szCs w:val="1"/>
                <w:color w:val="auto"/>
              </w:rPr>
            </w:pPr>
          </w:p>
        </w:tc>
      </w:tr>
      <w:tr>
        <w:trPr>
          <w:trHeight w:val="239"/>
        </w:trPr>
        <w:tc>
          <w:tcPr>
            <w:tcW w:w="7900" w:type="dxa"/>
            <w:vAlign w:val="bottom"/>
          </w:tcPr>
          <w:p>
            <w:pPr>
              <w:jc w:val="right"/>
              <w:ind w:right="240"/>
              <w:spacing w:after="0"/>
              <w:rPr>
                <w:sz w:val="20"/>
                <w:szCs w:val="20"/>
                <w:color w:val="auto"/>
              </w:rPr>
            </w:pPr>
            <w:r>
              <w:rPr>
                <w:rFonts w:ascii="Arial" w:cs="Arial" w:eastAsia="Arial" w:hAnsi="Arial"/>
                <w:sz w:val="20"/>
                <w:szCs w:val="20"/>
                <w:color w:val="auto"/>
                <w:w w:val="91"/>
              </w:rPr>
              <w:t>. . . . . . . . . . . . . . . . . . . . . . . . . . . . . . . . . . . . . . . . . . . . . . . . . . . . . . . . . . . . . . . . . . . . . . .Total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12,005</w:t>
            </w:r>
          </w:p>
        </w:tc>
        <w:tc>
          <w:tcPr>
            <w:tcW w:w="2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75,069</w:t>
            </w:r>
          </w:p>
        </w:tc>
        <w:tc>
          <w:tcPr>
            <w:tcW w:w="0" w:type="dxa"/>
            <w:vAlign w:val="bottom"/>
          </w:tcPr>
          <w:p>
            <w:pPr>
              <w:spacing w:after="0"/>
              <w:rPr>
                <w:sz w:val="1"/>
                <w:szCs w:val="1"/>
                <w:color w:val="auto"/>
              </w:rPr>
            </w:pPr>
          </w:p>
        </w:tc>
      </w:tr>
      <w:tr>
        <w:trPr>
          <w:trHeight w:val="232"/>
        </w:trPr>
        <w:tc>
          <w:tcPr>
            <w:tcW w:w="79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Defined Contribution Plan</w:t>
      </w:r>
    </w:p>
    <w:p>
      <w:pPr>
        <w:spacing w:after="0" w:line="242"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Company maintains a defined contribution plan under Section 401(k) of the Code covering substantially all full-time U.S. employees. Employee contributions are voluntary and are determined on an individual basis subject to the maximum allowable under federal tax regulations. For the years ended December 31, 2023 and 2022, the Company started to make safe-harbor matching contributions of 100% of each dollar contributed by eligible employees, up to 4% of an employee’s eligible compensation. The Company may also make discretionary contributions to the 401(k) plan. During the years ended December 31, 2023 and 2022, matching contributions were $0.2 million and $0.2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Related Party Transactions</w:t>
      </w:r>
    </w:p>
    <w:p>
      <w:pPr>
        <w:spacing w:after="0" w:line="242"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Ramy Farid, the President and Chief Executive Officer of Schrödinger, Inc. (“Schrödinger”) is a member of the Company’s board of directors. During the years ended December 31, 2022 and 2021, the Company had existing collaboration agreements to use the results provided by Schrödinger’s software platform for its research purposes. During the years ended December 31, 2023 and 2022, the Company paid $0.3 million and $0.2 million to Schrödinger, respectively, and had $0.5 million and $0 payable balance to Schrödinger as of December 31, 2023 and 2022,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Lhotse Collaboration Agreement with Schrödinger</w:t>
      </w:r>
    </w:p>
    <w:p>
      <w:pPr>
        <w:spacing w:after="0" w:line="231"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In October 2020, Lhotse Bio, Inc., the Company’s wholly-owned subsidiary (“Lhotse”), entered into a Collaboration Agreement (the “Lhotse-Schrödinger Agreement”) with Schrödinger, which is one of the Company’s shareholders, to discover and develop novel, orally bioavailable, small molecule inhibitors of lysophosphatidic acid 1 receptor (“LPA1R”) . Under the Lhotse-Schrödinger Agreement, Schrödinger is obligated to provide computational modeling and design support, including by using its technology platform to perform virtual screens, and Lhotse is obligated to provide day-to-day chemistry and biology support. Pursuant to the Lhotse-Schrödinger Agreement, a joint steering committee comprised of representatives from both parties oversees the research performed under the agreement. During the term of the Lhotse-Schrödinger Agreement and for a specified period thereafter while Lhotse is engaged in active development of any compound having activity against LPA1R that is discovered or developed under the Lhotse-Schrödinger Agreement, Schrödinger is obligated to work exclusively with Lhotse on the design, research, development and commercialization of compounds that inhibit LPA1R. Lhotse will solely own the research</w:t>
      </w:r>
    </w:p>
    <w:p>
      <w:pPr>
        <w:sectPr>
          <w:pgSz w:w="11880" w:h="15480" w:orient="portrait"/>
          <w:cols w:equalWidth="0" w:num="1">
            <w:col w:w="9720"/>
          </w:cols>
          <w:pgMar w:left="1080" w:top="1061"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202</w:t>
      </w:r>
    </w:p>
    <w:p>
      <w:pPr>
        <w:sectPr>
          <w:pgSz w:w="11880" w:h="15480" w:orient="portrait"/>
          <w:cols w:equalWidth="0" w:num="1">
            <w:col w:w="9720"/>
          </w:cols>
          <w:pgMar w:left="1080" w:top="1061" w:right="1080" w:bottom="555" w:gutter="0" w:footer="0" w:header="0"/>
          <w:type w:val="continuous"/>
        </w:sectPr>
      </w:pPr>
    </w:p>
    <w:bookmarkStart w:id="204" w:name="page205"/>
    <w:bookmarkEnd w:id="204"/>
    <w:p>
      <w:pPr>
        <w:jc w:val="center"/>
        <w:ind w:right="-19"/>
        <w:spacing w:after="0"/>
        <w:rPr>
          <w:sz w:val="20"/>
          <w:szCs w:val="20"/>
          <w:color w:val="auto"/>
        </w:rPr>
      </w:pPr>
      <w:r>
        <w:rPr>
          <w:rFonts w:ascii="Arial" w:cs="Arial" w:eastAsia="Arial" w:hAnsi="Arial"/>
          <w:sz w:val="20"/>
          <w:szCs w:val="20"/>
          <w:color w:val="auto"/>
        </w:rPr>
        <w:t>STRUCTURE THERAPEUTICS INC.</w:t>
      </w:r>
    </w:p>
    <w:p>
      <w:pPr>
        <w:jc w:val="center"/>
        <w:ind w:right="-19"/>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ind w:right="480"/>
        <w:spacing w:after="0" w:line="284" w:lineRule="auto"/>
        <w:rPr>
          <w:sz w:val="20"/>
          <w:szCs w:val="20"/>
          <w:color w:val="auto"/>
        </w:rPr>
      </w:pPr>
      <w:r>
        <w:rPr>
          <w:rFonts w:ascii="Arial" w:cs="Arial" w:eastAsia="Arial" w:hAnsi="Arial"/>
          <w:sz w:val="20"/>
          <w:szCs w:val="20"/>
          <w:color w:val="auto"/>
        </w:rPr>
        <w:t>results, work product, inventions and other intellectual property generated under the Lhotse-Schrödinger Agreement that are directed to LPA1R.</w:t>
      </w:r>
    </w:p>
    <w:p>
      <w:pPr>
        <w:spacing w:after="0" w:line="157"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Under the Lhotse-Schrödinger Agreement, Lhotse is obligated to pay Schrödinger a quarterly active program payment in the low six digits for each successive three-month period during which Schrödinger continues to perform research work as agreed by the parties, and as of December 31, 2023, the Company has paid to Schrödinger an aggregate of $0.8 million. If Lhotse develops and commercializes a product containing a compound (a “Lhotse Collaboration Compound”), that is discovered or developed under the Lhotse - Schrödinger Agreement (a “Lhotse Collaboration Product”), Lhotse is obligated to pay Schrödinger development and regulatory milestone payments of up to an aggregate of $17.0 million, regardless of the number of Lhotse Collaboration Products that reach such milestones. Lhotse will also be obligated to pay Schrödinger tiered royalties on a Lhotse Collaboration Product-by-Lhotse Collaboration Product basis equal to low single digit percentages on aggregate worldwide net sales of Lhotse Collaboration Products, subject to specified reductions and offsets. Lhotse’s obligation to pay royalties to Schrödinger will expire on a Lhotse Collaboration Product-by-Lhotse Collaboration Product and country-by-country basis on the later of (i) the expiration of the last-to-expire Lhotse patent claim covering the composition of matter of the Lhotse Collaboration Compound contained in such Lhotse Collaboration Product in such country, (ii) the expiration of regulatory, pediatric, orphan drug, or data exclusivity with respect to such Lhotse Collaboration Product in such country, and (iii) ten years after the first commercial sale of such Lhotse Collaboration Product in such country (the “Lhotse Royalty Term”).</w:t>
      </w:r>
    </w:p>
    <w:p>
      <w:pPr>
        <w:spacing w:after="0" w:line="208"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Unless terminated earlier, the Lhotse-Schrödinger Agreement will continue for three years, subject to extension by mutual written agreement of the parties. Either party may terminate the Lhotse-Schrödinger Agreement for the other party’s uncured material breach, subject to certain notice and cure periods, or for the other party’s bankruptcy or insolvency. Lhotse’s obligation to make milestone and royalty payments (subject to the Lhotse Royalty Term) to Schrödinger continues after the expiration or termination of the Lhotse-Schrödinger Agreement. As of December 31, 2023, no milestone or royalty payments have been paid or accrued.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Aconcagua Collaboration Agreement with Schrödinger</w:t>
      </w:r>
    </w:p>
    <w:p>
      <w:pPr>
        <w:spacing w:after="0" w:line="23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In November 2023, Aconcagua Bio, Inc., the Company’s wholly-owned subsidiary (“Aconcagua”), entered into a collaboration agreement (the “Aconcagua-Schrödinger Agreement”) with Schrödinger to discover and develop novel, small molecule modulators of a specific target. Under the Aconcagua-Schrödinger Agreement, Schrödinger is obligated to provide computational modeling and design support, including by using its technology platform to perform virtual screens, and Aconcagua is obligated to provide day-to-day chemistry and biology support. Pursuant to the Aconcagua-Schrödinger Agreement, a joint steering committee comprised of representatives from both parties oversees the research performed under the agreement.</w:t>
      </w:r>
    </w:p>
    <w:p>
      <w:pPr>
        <w:spacing w:after="0" w:line="193"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During the term of the Aconcagua-Schrödinger Agreement or if longer, for a specified number of years after the effective date of the Aconcagua-Schrödinger Agreement, Schrödinger is obligated, subject to certain exceptions, to work exclusively with Aconcagua on the design, research, development and commercialization of compounds that inhibit the target. Aconcagua will solely own the research results, work product, inventions and other intellectual property generated under the Aconcagua-Schrödinger Agreement other than improvements to Schrödinger’s background intellectual property.</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During the term of the Aconcagua-Schrödinger Agreement, Aconcagua is obligated to pay Schrödinger a monthly active program payment in the low six digits, which payment includes fees payable for certain Schrödinger software employed in the Collaboration, and as of December 31, 2023, the Company has paid to Schrödinger an aggregate of $0.3 million.</w:t>
      </w:r>
    </w:p>
    <w:p>
      <w:pPr>
        <w:sectPr>
          <w:pgSz w:w="11880" w:h="15480" w:orient="portrait"/>
          <w:cols w:equalWidth="0" w:num="1">
            <w:col w:w="9700"/>
          </w:cols>
          <w:pgMar w:left="1080" w:top="1061" w:right="110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203</w:t>
      </w:r>
    </w:p>
    <w:p>
      <w:pPr>
        <w:sectPr>
          <w:pgSz w:w="11880" w:h="15480" w:orient="portrait"/>
          <w:cols w:equalWidth="0" w:num="1">
            <w:col w:w="9700"/>
          </w:cols>
          <w:pgMar w:left="1080" w:top="1061" w:right="1100" w:bottom="555" w:gutter="0" w:footer="0" w:header="0"/>
          <w:type w:val="continuous"/>
        </w:sectPr>
      </w:pPr>
    </w:p>
    <w:bookmarkStart w:id="205" w:name="page206"/>
    <w:bookmarkEnd w:id="205"/>
    <w:p>
      <w:pPr>
        <w:jc w:val="center"/>
        <w:ind w:right="-79"/>
        <w:spacing w:after="0"/>
        <w:rPr>
          <w:sz w:val="20"/>
          <w:szCs w:val="20"/>
          <w:color w:val="auto"/>
        </w:rPr>
      </w:pPr>
      <w:r>
        <w:rPr>
          <w:rFonts w:ascii="Arial" w:cs="Arial" w:eastAsia="Arial" w:hAnsi="Arial"/>
          <w:sz w:val="20"/>
          <w:szCs w:val="20"/>
          <w:color w:val="auto"/>
        </w:rPr>
        <w:t>STRUCTURE THERAPEUTICS INC.</w:t>
      </w:r>
    </w:p>
    <w:p>
      <w:pPr>
        <w:jc w:val="center"/>
        <w:ind w:right="-79"/>
        <w:spacing w:after="0"/>
        <w:rPr>
          <w:sz w:val="20"/>
          <w:szCs w:val="20"/>
          <w:color w:val="auto"/>
        </w:rPr>
      </w:pPr>
      <w:r>
        <w:rPr>
          <w:rFonts w:ascii="Arial" w:cs="Arial" w:eastAsia="Arial" w:hAnsi="Arial"/>
          <w:sz w:val="20"/>
          <w:szCs w:val="20"/>
          <w:color w:val="auto"/>
        </w:rPr>
        <w:t>NOTES TO CONSOLIDATED FINANCIAL STATEMENTS (CONTINUED)</w:t>
      </w:r>
    </w:p>
    <w:p>
      <w:pPr>
        <w:spacing w:after="0" w:line="23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If Aconcagua develops and commercializes a product containing a compound (“Aconcagua Collaboration Compound”) that is discovered or developed under the Aconcagua-Schrödinger Agreement or a derivative thereof (“Aconcagua Collaboration Product”), Aconcagua is obligated to pay Schrödinger development, regulatory and commercialization milestone payments of up to an aggregate of $89.0 million for the first Aconcagua Collaboration Product to achieve a particular milestone event, regardless of the number of Aconcagua Collaboration Products that reach such milestones. Aconcagua will also be obligated to pay Schrödinger tiered royalties in the low single digit range on aggregate worldwide net sales of all Aconcagua Collaboration Products, subject to specified reductions and offsets. Aconcagua’s obligation to pay royalties to Schrödinger will expire on a Aconcagua Collaboration Product-by-Aconcagua Collaboration Product and country-by-country basis on the later of (i) the expiration of the last-to-expire Aconcagua owned patent claim covering the composition of matter of the Aconcagua Collaboration Compound contained in such Aconcagua Collaboration Product in such country and (ii) ten years after the first commercial sale of such Aconcagua Collaboration Product in such country (“Aconcagua Royalty Term”).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Unless terminated earlier, the Aconcagua-Schrödinger Agreement will continue for three years, subject to extension by mutual written agreement of the parties. Either party may terminate the Aconcagua-Schrödinger Agreement for convenience after a specified period or for the other party’s uncured material breach. Aconcagua’s obligation to make milestone and royalty payments (subject to the Aconcagua Royalty Term) to Schrödinger continues after the expiration or termination of the Aconcagua-Schrödinger Agreement, unless the Aconcagua-Schrödinger Agreement is terminated under specified circumstances. As of</w:t>
      </w:r>
    </w:p>
    <w:p>
      <w:pPr>
        <w:ind w:right="420"/>
        <w:spacing w:after="0" w:line="490" w:lineRule="auto"/>
        <w:rPr>
          <w:sz w:val="20"/>
          <w:szCs w:val="20"/>
          <w:color w:val="auto"/>
        </w:rPr>
      </w:pPr>
      <w:r>
        <w:rPr>
          <w:rFonts w:ascii="Arial" w:cs="Arial" w:eastAsia="Arial" w:hAnsi="Arial"/>
          <w:sz w:val="20"/>
          <w:szCs w:val="20"/>
          <w:color w:val="auto"/>
        </w:rPr>
        <w:t xml:space="preserve">December 31, 2023, no milestone or royalty payments have been paid or accrued under this agreement. </w:t>
      </w:r>
      <w:r>
        <w:rPr>
          <w:rFonts w:ascii="Arial" w:cs="Arial" w:eastAsia="Arial" w:hAnsi="Arial"/>
          <w:sz w:val="20"/>
          <w:szCs w:val="20"/>
          <w:i w:val="1"/>
          <w:iCs w:val="1"/>
          <w:color w:val="auto"/>
        </w:rPr>
        <w:t>Purchase of non-voting ordinary shares by BVF</w:t>
      </w:r>
    </w:p>
    <w:p>
      <w:pPr>
        <w:ind w:right="80"/>
        <w:spacing w:after="0" w:line="249" w:lineRule="auto"/>
        <w:rPr>
          <w:sz w:val="20"/>
          <w:szCs w:val="20"/>
          <w:color w:val="auto"/>
        </w:rPr>
      </w:pPr>
      <w:r>
        <w:rPr>
          <w:rFonts w:ascii="Arial" w:cs="Arial" w:eastAsia="Arial" w:hAnsi="Arial"/>
          <w:sz w:val="20"/>
          <w:szCs w:val="20"/>
          <w:color w:val="auto"/>
        </w:rPr>
        <w:t>In May 2023, the Company entered into an Exchange Agreement with BVF, who in the aggregate hold more than 5% of the Company’s issued share capital, pursuant to which BVF delivered to the Company, a total of 7,410,518 ordinary shares of the Company, in exchange for the Company’s delivery of 7,410,518 newly designated non-voting ordinary shares, par value $0.0001 per share. The exchange did not result in any change in the aggregate number of outstanding shares of the Company as the exchange was implemented on a one-for-one basis.</w:t>
      </w:r>
    </w:p>
    <w:p>
      <w:pPr>
        <w:spacing w:after="0" w:line="189"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On September 29, 2023, the Company entered into a share purchase agreement to issue certain shares to Purchasers, including 2,401,920 newly designated non-voting ordinary shares at a purchase price of $12.49 per share (or the equivalent of $37.47 per ADS) to BVF, a more than 5% shareholder of the Company, for aggregate gross proceeds of approximately $30.0 million, in the Private Placement which closed on October 3, 2023.</w:t>
      </w:r>
    </w:p>
    <w:p>
      <w:pPr>
        <w:spacing w:after="0" w:line="187"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color w:val="auto"/>
        </w:rPr>
        <w:t>As of December 31, 2023, all outstanding non-voting ordinary shares were converted into 9,812,438 ordinary shares.</w:t>
      </w:r>
    </w:p>
    <w:p>
      <w:pPr>
        <w:sectPr>
          <w:pgSz w:w="11880" w:h="15480" w:orient="portrait"/>
          <w:cols w:equalWidth="0" w:num="1">
            <w:col w:w="9640"/>
          </w:cols>
          <w:pgMar w:left="1080" w:top="1061" w:right="116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204</w:t>
      </w:r>
    </w:p>
    <w:p>
      <w:pPr>
        <w:sectPr>
          <w:pgSz w:w="11880" w:h="15480" w:orient="portrait"/>
          <w:cols w:equalWidth="0" w:num="1">
            <w:col w:w="9640"/>
          </w:cols>
          <w:pgMar w:left="1080" w:top="1061" w:right="1160" w:bottom="555" w:gutter="0" w:footer="0" w:header="0"/>
          <w:type w:val="continuous"/>
        </w:sectPr>
      </w:pPr>
    </w:p>
    <w:bookmarkStart w:id="206" w:name="page207"/>
    <w:bookmarkEnd w:id="206"/>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43"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Our management, with the participation of our Chief Executive Officer and our Chief Financial Officer, has evaluated the effectiveness of the design and operation of our disclosure controls and procedures (as defined in Rules 13a-15(e) and 15d-15(e) under the Exchange Act) as of December 31, 2023, which is the end of the period covered by this Annual Report on Form 10-K. These disclosure controls and procedures are designed to provide reasonable assurance that information required to be disclosed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our Chief Financial Officer, to allow timely decisions regarding required disclosure.</w:t>
      </w:r>
    </w:p>
    <w:p>
      <w:pPr>
        <w:spacing w:after="0" w:line="197"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color w:val="auto"/>
        </w:rPr>
        <w:t>Based on that evaluation, our Chief Executive Officer and our Chief Financial Officer have concluded that, as of December 31, 2023, our disclosure controls and procedures were not effective at the reasonable assurance level.</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44"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Our management is responsible for establishing and maintaining adequate internal control over financial reporting, as such term is defined in Rule 13a-15(f) under the Exchange Act. Our management, including our Chief Executive Officer and Chief Financial Officer, conducted an evaluation of the effectiveness of our internal control over financial reporting based on the 2013 framework in Internal Control—Integrated Framework issued by the Committee of Sponsoring Organizations of the Treadway Commission. Based on this evaluation, our management concluded that our internal control over financial reporting was not effective as of December 31, 2023 due to the material weakness in internal control over financial reporting, described below.</w:t>
      </w:r>
    </w:p>
    <w:p>
      <w:pPr>
        <w:spacing w:after="0" w:line="194"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Material Weakness in Internal Controls Over Financial Reporting</w:t>
      </w:r>
    </w:p>
    <w:p>
      <w:pPr>
        <w:spacing w:after="0" w:line="242" w:lineRule="exact"/>
        <w:rPr>
          <w:sz w:val="20"/>
          <w:szCs w:val="20"/>
          <w:color w:val="auto"/>
        </w:rPr>
      </w:pPr>
    </w:p>
    <w:p>
      <w:pPr>
        <w:ind w:right="540"/>
        <w:spacing w:after="0" w:line="262" w:lineRule="auto"/>
        <w:rPr>
          <w:sz w:val="20"/>
          <w:szCs w:val="20"/>
          <w:color w:val="auto"/>
        </w:rPr>
      </w:pPr>
      <w:r>
        <w:rPr>
          <w:rFonts w:ascii="Arial" w:cs="Arial" w:eastAsia="Arial" w:hAnsi="Arial"/>
          <w:sz w:val="20"/>
          <w:szCs w:val="20"/>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77" w:lineRule="exact"/>
        <w:rPr>
          <w:sz w:val="20"/>
          <w:szCs w:val="20"/>
          <w:color w:val="auto"/>
        </w:rPr>
      </w:pPr>
    </w:p>
    <w:p>
      <w:pPr>
        <w:jc w:val="both"/>
        <w:ind w:right="120"/>
        <w:spacing w:after="0" w:line="262" w:lineRule="auto"/>
        <w:rPr>
          <w:sz w:val="20"/>
          <w:szCs w:val="20"/>
          <w:color w:val="auto"/>
        </w:rPr>
      </w:pPr>
      <w:r>
        <w:rPr>
          <w:rFonts w:ascii="Arial" w:cs="Arial" w:eastAsia="Arial" w:hAnsi="Arial"/>
          <w:sz w:val="20"/>
          <w:szCs w:val="20"/>
          <w:color w:val="auto"/>
        </w:rPr>
        <w:t>We previously identified a material weakness in our internal control over financial reporting that continues to exist as of December 31, 2023 in that we did not design and maintain an effective control environment as we lacked a sufficient complement of professionals commensurate with our financial reporting requirements.</w:t>
      </w:r>
    </w:p>
    <w:p>
      <w:pPr>
        <w:spacing w:after="0" w:line="98" w:lineRule="exact"/>
        <w:rPr>
          <w:sz w:val="20"/>
          <w:szCs w:val="20"/>
          <w:color w:val="auto"/>
        </w:rPr>
      </w:pPr>
    </w:p>
    <w:p>
      <w:pPr>
        <w:ind w:right="100"/>
        <w:spacing w:after="0" w:line="544" w:lineRule="auto"/>
        <w:rPr>
          <w:sz w:val="20"/>
          <w:szCs w:val="20"/>
          <w:color w:val="auto"/>
        </w:rPr>
      </w:pPr>
      <w:r>
        <w:rPr>
          <w:rFonts w:ascii="Arial" w:cs="Arial" w:eastAsia="Arial" w:hAnsi="Arial"/>
          <w:sz w:val="20"/>
          <w:szCs w:val="20"/>
          <w:color w:val="auto"/>
        </w:rPr>
        <w:t xml:space="preserve">This material weakness did not result in any material misstatements to the consolidated financial statements. </w:t>
      </w:r>
      <w:r>
        <w:rPr>
          <w:rFonts w:ascii="Arial" w:cs="Arial" w:eastAsia="Arial" w:hAnsi="Arial"/>
          <w:sz w:val="20"/>
          <w:szCs w:val="20"/>
          <w:b w:val="1"/>
          <w:bCs w:val="1"/>
          <w:color w:val="auto"/>
        </w:rPr>
        <w:t>Management’s Plan to Remediate the Remaining Material Weakness</w:t>
      </w:r>
    </w:p>
    <w:p>
      <w:pPr>
        <w:sectPr>
          <w:pgSz w:w="11880" w:h="15480" w:orient="portrait"/>
          <w:cols w:equalWidth="0" w:num="1">
            <w:col w:w="9720"/>
          </w:cols>
          <w:pgMar w:left="1080" w:top="1063"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205</w:t>
      </w:r>
    </w:p>
    <w:p>
      <w:pPr>
        <w:sectPr>
          <w:pgSz w:w="11880" w:h="15480" w:orient="portrait"/>
          <w:cols w:equalWidth="0" w:num="1">
            <w:col w:w="9720"/>
          </w:cols>
          <w:pgMar w:left="1080" w:top="1063" w:right="1080" w:bottom="555" w:gutter="0" w:footer="0" w:header="0"/>
          <w:type w:val="continuous"/>
        </w:sectPr>
      </w:pPr>
    </w:p>
    <w:bookmarkStart w:id="207" w:name="page208"/>
    <w:bookmarkEnd w:id="207"/>
    <w:p>
      <w:pPr>
        <w:ind w:right="40"/>
        <w:spacing w:after="0" w:line="246" w:lineRule="auto"/>
        <w:rPr>
          <w:sz w:val="20"/>
          <w:szCs w:val="20"/>
          <w:color w:val="auto"/>
        </w:rPr>
      </w:pPr>
      <w:r>
        <w:rPr>
          <w:rFonts w:ascii="Arial" w:cs="Arial" w:eastAsia="Arial" w:hAnsi="Arial"/>
          <w:sz w:val="20"/>
          <w:szCs w:val="20"/>
          <w:color w:val="auto"/>
        </w:rPr>
        <w:t>We have taken and will continue to take certain measures to remediate the material weakness that continues to exist as of December 31, 2023 as efficiently and effectively as possible. We have hired additional accounting personnel, including but not limited to the hiring of a senior director of SEC reporting and technical accounting, senior director of financial planning and analysis, director of accounting, senior director of internal controls and senior director of accounting and controller. The material weakness will not be considered remediated until management completes the design and implementation of the measures described above and the controls operate for a sufficient period of time and management has concluded, through testing, that these controls are effective.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Remediation of Previously Reported Material Weaknesses</w:t>
      </w:r>
    </w:p>
    <w:p>
      <w:pPr>
        <w:spacing w:after="0" w:line="242" w:lineRule="exact"/>
        <w:rPr>
          <w:sz w:val="20"/>
          <w:szCs w:val="20"/>
          <w:color w:val="auto"/>
        </w:rPr>
      </w:pPr>
    </w:p>
    <w:p>
      <w:pPr>
        <w:ind w:right="320"/>
        <w:spacing w:after="0" w:line="284" w:lineRule="auto"/>
        <w:rPr>
          <w:sz w:val="20"/>
          <w:szCs w:val="20"/>
          <w:color w:val="auto"/>
        </w:rPr>
      </w:pPr>
      <w:r>
        <w:rPr>
          <w:rFonts w:ascii="Arial" w:cs="Arial" w:eastAsia="Arial" w:hAnsi="Arial"/>
          <w:sz w:val="20"/>
          <w:szCs w:val="20"/>
          <w:color w:val="auto"/>
        </w:rPr>
        <w:t>Two material weaknesses reported in the prior year were remediated in 2023. These material weaknesses were as follows:</w:t>
      </w:r>
    </w:p>
    <w:p>
      <w:pPr>
        <w:spacing w:after="0" w:line="76" w:lineRule="exact"/>
        <w:rPr>
          <w:sz w:val="20"/>
          <w:szCs w:val="20"/>
          <w:color w:val="auto"/>
        </w:rPr>
      </w:pPr>
    </w:p>
    <w:p>
      <w:pPr>
        <w:ind w:right="440"/>
        <w:spacing w:after="0" w:line="249" w:lineRule="auto"/>
        <w:rPr>
          <w:sz w:val="20"/>
          <w:szCs w:val="20"/>
          <w:color w:val="auto"/>
        </w:rPr>
      </w:pPr>
      <w:r>
        <w:rPr>
          <w:rFonts w:ascii="Arial" w:cs="Arial" w:eastAsia="Arial" w:hAnsi="Arial"/>
          <w:sz w:val="20"/>
          <w:szCs w:val="20"/>
          <w:color w:val="auto"/>
        </w:rPr>
        <w:t>We did not design and maintain effective controls to ensure adequate segregation of duties within our financial reporting function, including controls related to the procurement and payroll processes, journal entries and account reconciliations. Specifically, certain personnel have incompatible duties including the ability to (i) generate and approve invoices and authorize disbursements; (ii) add employees or modify employee data in the payroll system and authorize payments; (iii) create and post manual journal entries without an independent review; and (iv) prepare and review account reconciliations.</w:t>
      </w:r>
    </w:p>
    <w:p>
      <w:pPr>
        <w:spacing w:after="0" w:line="189"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color w:val="auto"/>
        </w:rPr>
        <w:t>We did not design and maintain effective controls over certain information technology (“IT”) general controls for information systems that are relevant to the preparation of our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and (iii) computer operations controls to ensure that processing of data and data backups and recovery are monitored.</w:t>
      </w:r>
    </w:p>
    <w:p>
      <w:pPr>
        <w:spacing w:after="0" w:line="193"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To respond to these material weaknesses, we have hired additional accounting personnel and we have also engaged third-party consultants and advisors to assist us in designing and implementing controls necessary to remediate these material weaknesses, including implementation of key mitigating controls to address key risks. We have properly segregated duties throughout our financial reporting function through hiring additional personnel and also through system changes where applicable. We designed and implemented IT general controls related to change management, user access and computer operations. The new measures have been determined to have operated effectively for a sufficient period of time to conclude that the material weaknesses previously identified have been remediated as of December 31, 2023.</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Controls Over Financial Reporting</w:t>
      </w:r>
    </w:p>
    <w:p>
      <w:pPr>
        <w:spacing w:after="0" w:line="242" w:lineRule="exact"/>
        <w:rPr>
          <w:sz w:val="20"/>
          <w:szCs w:val="20"/>
          <w:color w:val="auto"/>
        </w:rPr>
      </w:pPr>
    </w:p>
    <w:p>
      <w:pPr>
        <w:ind w:right="340"/>
        <w:spacing w:after="0" w:line="251" w:lineRule="auto"/>
        <w:rPr>
          <w:sz w:val="20"/>
          <w:szCs w:val="20"/>
          <w:color w:val="auto"/>
        </w:rPr>
      </w:pPr>
      <w:r>
        <w:rPr>
          <w:rFonts w:ascii="Arial" w:cs="Arial" w:eastAsia="Arial" w:hAnsi="Arial"/>
          <w:sz w:val="20"/>
          <w:szCs w:val="20"/>
          <w:color w:val="auto"/>
        </w:rPr>
        <w:t>Except for the changes in internal control as referenced above for the remediation of previously reported material weaknesses, there were no changes in our internal controls over financial reporting identified in management’s evaluation pursuant to Rules 13a- 15(f) or 15d- 15(f) of the Exchange Act during our fourth quarter ended December 31, 2023 that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Effectiveness of Disclosure Controls and Procedures</w:t>
      </w:r>
    </w:p>
    <w:p>
      <w:pPr>
        <w:spacing w:after="0" w:line="242"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A system of internal control over financial reporting is intended to provide reasonable assurance regarding the reliability of financial reporting and the preparation of financial statements in accordance with GAAP and no control system, no matter how well designed and operated, can provide absolute assurance. The design of any control system is based in part upon certain assumptions about the likelihood of future events, and there can be no assurance that any design will succeed in achieving its stated goals under all potential future</w:t>
      </w:r>
    </w:p>
    <w:p>
      <w:pPr>
        <w:sectPr>
          <w:pgSz w:w="11880" w:h="15480" w:orient="portrait"/>
          <w:cols w:equalWidth="0" w:num="1">
            <w:col w:w="9720"/>
          </w:cols>
          <w:pgMar w:left="1080" w:top="1066"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206</w:t>
      </w:r>
    </w:p>
    <w:p>
      <w:pPr>
        <w:sectPr>
          <w:pgSz w:w="11880" w:h="15480" w:orient="portrait"/>
          <w:cols w:equalWidth="0" w:num="1">
            <w:col w:w="9720"/>
          </w:cols>
          <w:pgMar w:left="1080" w:top="1066" w:right="1080" w:bottom="555" w:gutter="0" w:footer="0" w:header="0"/>
          <w:type w:val="continuous"/>
        </w:sectPr>
      </w:pPr>
    </w:p>
    <w:bookmarkStart w:id="208" w:name="page209"/>
    <w:bookmarkEnd w:id="208"/>
    <w:p>
      <w:pPr>
        <w:spacing w:after="0" w:line="254" w:lineRule="auto"/>
        <w:rPr>
          <w:sz w:val="20"/>
          <w:szCs w:val="20"/>
          <w:color w:val="auto"/>
        </w:rPr>
      </w:pPr>
      <w:r>
        <w:rPr>
          <w:rFonts w:ascii="Arial" w:cs="Arial" w:eastAsia="Arial" w:hAnsi="Arial"/>
          <w:sz w:val="20"/>
          <w:szCs w:val="20"/>
          <w:color w:val="auto"/>
        </w:rPr>
        <w:t>conditions. Because of its inherent limitations, internal control over financial reporting may not prevent or detect financial statement errors and misstatements. Also, projection of any evaluation of effectiveness to future periods is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Trading Arrangements</w:t>
      </w:r>
    </w:p>
    <w:p>
      <w:pPr>
        <w:spacing w:after="0" w:line="242" w:lineRule="exact"/>
        <w:rPr>
          <w:sz w:val="20"/>
          <w:szCs w:val="20"/>
          <w:color w:val="auto"/>
        </w:rPr>
      </w:pPr>
    </w:p>
    <w:p>
      <w:pPr>
        <w:jc w:val="both"/>
        <w:ind w:right="240"/>
        <w:spacing w:after="0" w:line="262" w:lineRule="auto"/>
        <w:rPr>
          <w:sz w:val="20"/>
          <w:szCs w:val="20"/>
          <w:color w:val="auto"/>
        </w:rPr>
      </w:pPr>
      <w:r>
        <w:rPr>
          <w:rFonts w:ascii="Arial" w:cs="Arial" w:eastAsia="Arial" w:hAnsi="Arial"/>
          <w:sz w:val="20"/>
          <w:szCs w:val="20"/>
          <w:color w:val="auto"/>
        </w:rPr>
        <w:t>During the three months ended December 31, 2023, the following officer (as defined in Rule 16a- 1(f) under the Exchange Act) adopted a “Rule 10b5-1 trading arrangement” (as such term is defined in Item 408(a) of Regulation S-K).</w:t>
      </w:r>
    </w:p>
    <w:p>
      <w:pPr>
        <w:spacing w:after="0" w:line="203" w:lineRule="exact"/>
        <w:rPr>
          <w:sz w:val="20"/>
          <w:szCs w:val="20"/>
          <w:color w:val="auto"/>
        </w:rPr>
      </w:pPr>
    </w:p>
    <w:p>
      <w:pPr>
        <w:jc w:val="center"/>
        <w:ind w:left="1140"/>
        <w:spacing w:after="0"/>
        <w:rPr>
          <w:sz w:val="20"/>
          <w:szCs w:val="20"/>
          <w:color w:val="auto"/>
        </w:rPr>
      </w:pPr>
      <w:r>
        <w:rPr>
          <w:rFonts w:ascii="Arial" w:cs="Arial" w:eastAsia="Arial" w:hAnsi="Arial"/>
          <w:sz w:val="20"/>
          <w:szCs w:val="20"/>
          <w:b w:val="1"/>
          <w:bCs w:val="1"/>
          <w:color w:val="auto"/>
        </w:rPr>
        <w:t>Type of Trading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-133985</wp:posOffset>
                </wp:positionV>
                <wp:extent cx="612140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14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5499pt" to="482.1pt,-10.5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6119495</wp:posOffset>
                </wp:positionH>
                <wp:positionV relativeFrom="paragraph">
                  <wp:posOffset>-137160</wp:posOffset>
                </wp:positionV>
                <wp:extent cx="0" cy="1047115"/>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7115"/>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85pt,-10.7999pt" to="481.85pt,71.65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-137160</wp:posOffset>
                </wp:positionV>
                <wp:extent cx="0" cy="1047115"/>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7115"/>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0.7999pt" to="0.35pt,71.65pt" o:allowincell="f" strokecolor="#000000" strokeweight="0.4809pt"/>
            </w:pict>
          </mc:Fallback>
        </mc:AlternateContent>
      </w:r>
    </w:p>
    <w:p>
      <w:pPr>
        <w:jc w:val="center"/>
        <w:ind w:left="1140"/>
        <w:spacing w:after="0"/>
        <w:rPr>
          <w:sz w:val="20"/>
          <w:szCs w:val="20"/>
          <w:color w:val="auto"/>
        </w:rPr>
      </w:pPr>
      <w:r>
        <w:rPr>
          <w:rFonts w:ascii="Arial" w:cs="Arial" w:eastAsia="Arial" w:hAnsi="Arial"/>
          <w:sz w:val="20"/>
          <w:szCs w:val="20"/>
          <w:b w:val="1"/>
          <w:bCs w:val="1"/>
          <w:color w:val="auto"/>
        </w:rPr>
        <w:t>Arrangement</w:t>
      </w:r>
    </w:p>
    <w:tbl>
      <w:tblPr>
        <w:tblLayout w:type="fixed"/>
        <w:tblInd w:w="0" w:type="dxa"/>
        <w:tblCellMar>
          <w:top w:w="0" w:type="dxa"/>
          <w:left w:w="0" w:type="dxa"/>
          <w:bottom w:w="0" w:type="dxa"/>
          <w:right w:w="0" w:type="dxa"/>
        </w:tblCellMar>
      </w:tblPr>
      <w:tr>
        <w:trPr>
          <w:trHeight w:val="219"/>
        </w:trPr>
        <w:tc>
          <w:tcPr>
            <w:tcW w:w="1740" w:type="dxa"/>
            <w:vAlign w:val="bottom"/>
            <w:tcBorders>
              <w:top w:val="single" w:sz="8" w:color="auto"/>
              <w:right w:val="single" w:sz="8" w:color="auto"/>
            </w:tcBorders>
          </w:tcPr>
          <w:p>
            <w:pPr>
              <w:jc w:val="center"/>
              <w:spacing w:after="0" w:line="219" w:lineRule="exact"/>
              <w:rPr>
                <w:sz w:val="20"/>
                <w:szCs w:val="20"/>
                <w:color w:val="auto"/>
              </w:rPr>
            </w:pPr>
            <w:r>
              <w:rPr>
                <w:rFonts w:ascii="Arial" w:cs="Arial" w:eastAsia="Arial" w:hAnsi="Arial"/>
                <w:sz w:val="20"/>
                <w:szCs w:val="20"/>
                <w:b w:val="1"/>
                <w:bCs w:val="1"/>
                <w:color w:val="auto"/>
              </w:rPr>
              <w:t>Name and</w:t>
            </w:r>
          </w:p>
        </w:tc>
        <w:tc>
          <w:tcPr>
            <w:tcW w:w="1080" w:type="dxa"/>
            <w:vAlign w:val="bottom"/>
            <w:tcBorders>
              <w:top w:val="single" w:sz="8" w:color="auto"/>
              <w:right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spacing w:after="0"/>
              <w:rPr>
                <w:sz w:val="19"/>
                <w:szCs w:val="19"/>
                <w:color w:val="auto"/>
              </w:rPr>
            </w:pPr>
          </w:p>
        </w:tc>
        <w:tc>
          <w:tcPr>
            <w:tcW w:w="1440" w:type="dxa"/>
            <w:vAlign w:val="bottom"/>
            <w:tcBorders>
              <w:top w:val="single" w:sz="8" w:color="auto"/>
              <w:right w:val="single" w:sz="8" w:color="auto"/>
            </w:tcBorders>
          </w:tcPr>
          <w:p>
            <w:pPr>
              <w:spacing w:after="0"/>
              <w:rPr>
                <w:sz w:val="19"/>
                <w:szCs w:val="19"/>
                <w:color w:val="auto"/>
              </w:rPr>
            </w:pPr>
          </w:p>
        </w:tc>
        <w:tc>
          <w:tcPr>
            <w:tcW w:w="1540" w:type="dxa"/>
            <w:vAlign w:val="bottom"/>
            <w:tcBorders>
              <w:top w:val="single" w:sz="8" w:color="auto"/>
              <w:right w:val="single" w:sz="8" w:color="auto"/>
            </w:tcBorders>
          </w:tcPr>
          <w:p>
            <w:pPr>
              <w:jc w:val="center"/>
              <w:spacing w:after="0" w:line="219" w:lineRule="exact"/>
              <w:rPr>
                <w:sz w:val="20"/>
                <w:szCs w:val="20"/>
                <w:color w:val="auto"/>
              </w:rPr>
            </w:pPr>
            <w:r>
              <w:rPr>
                <w:rFonts w:ascii="Arial" w:cs="Arial" w:eastAsia="Arial" w:hAnsi="Arial"/>
                <w:sz w:val="20"/>
                <w:szCs w:val="20"/>
                <w:b w:val="1"/>
                <w:bCs w:val="1"/>
                <w:color w:val="auto"/>
              </w:rPr>
              <w:t>Non-</w:t>
            </w:r>
          </w:p>
        </w:tc>
        <w:tc>
          <w:tcPr>
            <w:tcW w:w="1440" w:type="dxa"/>
            <w:vAlign w:val="bottom"/>
            <w:tcBorders>
              <w:top w:val="single" w:sz="8" w:color="auto"/>
              <w:right w:val="single" w:sz="8" w:color="auto"/>
            </w:tcBorders>
          </w:tcPr>
          <w:p>
            <w:pPr>
              <w:jc w:val="center"/>
              <w:spacing w:after="0" w:line="219" w:lineRule="exact"/>
              <w:rPr>
                <w:sz w:val="20"/>
                <w:szCs w:val="20"/>
                <w:color w:val="auto"/>
              </w:rPr>
            </w:pPr>
            <w:r>
              <w:rPr>
                <w:rFonts w:ascii="Arial" w:cs="Arial" w:eastAsia="Arial" w:hAnsi="Arial"/>
                <w:sz w:val="20"/>
                <w:szCs w:val="20"/>
                <w:b w:val="1"/>
                <w:bCs w:val="1"/>
                <w:color w:val="auto"/>
              </w:rPr>
              <w:t>Total ADSs</w:t>
            </w:r>
          </w:p>
        </w:tc>
        <w:tc>
          <w:tcPr>
            <w:tcW w:w="1240" w:type="dxa"/>
            <w:vAlign w:val="bottom"/>
            <w:tcBorders>
              <w:top w:val="single" w:sz="8" w:color="auto"/>
            </w:tcBorders>
          </w:tcPr>
          <w:p>
            <w:pPr>
              <w:jc w:val="center"/>
              <w:spacing w:after="0" w:line="219" w:lineRule="exact"/>
              <w:rPr>
                <w:sz w:val="20"/>
                <w:szCs w:val="20"/>
                <w:color w:val="auto"/>
              </w:rPr>
            </w:pPr>
            <w:r>
              <w:rPr>
                <w:rFonts w:ascii="Arial" w:cs="Arial" w:eastAsia="Arial" w:hAnsi="Arial"/>
                <w:sz w:val="20"/>
                <w:szCs w:val="20"/>
                <w:b w:val="1"/>
                <w:bCs w:val="1"/>
                <w:color w:val="auto"/>
              </w:rPr>
              <w:t>Expiration</w:t>
            </w:r>
          </w:p>
        </w:tc>
        <w:tc>
          <w:tcPr>
            <w:tcW w:w="0" w:type="dxa"/>
            <w:vAlign w:val="bottom"/>
          </w:tcPr>
          <w:p>
            <w:pPr>
              <w:spacing w:after="0"/>
              <w:rPr>
                <w:sz w:val="1"/>
                <w:szCs w:val="1"/>
                <w:color w:val="auto"/>
              </w:rPr>
            </w:pPr>
          </w:p>
        </w:tc>
      </w:tr>
      <w:tr>
        <w:trPr>
          <w:trHeight w:val="254"/>
        </w:trPr>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Position</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Action</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Date</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Rule 10b5-1*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Rule 10b5-1**</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to be Sold</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Date</w:t>
            </w:r>
          </w:p>
        </w:tc>
        <w:tc>
          <w:tcPr>
            <w:tcW w:w="0" w:type="dxa"/>
            <w:vAlign w:val="bottom"/>
          </w:tcPr>
          <w:p>
            <w:pPr>
              <w:spacing w:after="0"/>
              <w:rPr>
                <w:sz w:val="1"/>
                <w:szCs w:val="1"/>
                <w:color w:val="auto"/>
              </w:rPr>
            </w:pPr>
          </w:p>
        </w:tc>
      </w:tr>
      <w:tr>
        <w:trPr>
          <w:trHeight w:val="200"/>
        </w:trPr>
        <w:tc>
          <w:tcPr>
            <w:tcW w:w="1740" w:type="dxa"/>
            <w:vAlign w:val="bottom"/>
            <w:tcBorders>
              <w:right w:val="single" w:sz="8" w:color="auto"/>
            </w:tcBorders>
          </w:tcPr>
          <w:p>
            <w:pPr>
              <w:ind w:left="120"/>
              <w:spacing w:after="0" w:line="200" w:lineRule="exact"/>
              <w:rPr>
                <w:sz w:val="20"/>
                <w:szCs w:val="20"/>
                <w:color w:val="auto"/>
              </w:rPr>
            </w:pPr>
            <w:r>
              <w:rPr>
                <w:rFonts w:ascii="Arial" w:cs="Arial" w:eastAsia="Arial" w:hAnsi="Arial"/>
                <w:sz w:val="20"/>
                <w:szCs w:val="20"/>
                <w:color w:val="auto"/>
              </w:rPr>
              <w:t>Xichen Lin,</w:t>
            </w:r>
          </w:p>
        </w:tc>
        <w:tc>
          <w:tcPr>
            <w:tcW w:w="10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December</w:t>
            </w:r>
          </w:p>
        </w:tc>
        <w:tc>
          <w:tcPr>
            <w:tcW w:w="14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240" w:type="dxa"/>
            <w:vAlign w:val="bottom"/>
            <w:vMerge w:val="restart"/>
          </w:tcPr>
          <w:p>
            <w:pPr>
              <w:ind w:left="80"/>
              <w:spacing w:after="0"/>
              <w:rPr>
                <w:sz w:val="20"/>
                <w:szCs w:val="20"/>
                <w:color w:val="auto"/>
              </w:rPr>
            </w:pPr>
            <w:r>
              <w:rPr>
                <w:rFonts w:ascii="Arial" w:cs="Arial" w:eastAsia="Arial" w:hAnsi="Arial"/>
                <w:sz w:val="20"/>
                <w:szCs w:val="20"/>
                <w:color w:val="auto"/>
              </w:rPr>
              <w:t>December</w:t>
            </w:r>
          </w:p>
        </w:tc>
        <w:tc>
          <w:tcPr>
            <w:tcW w:w="0" w:type="dxa"/>
            <w:vAlign w:val="bottom"/>
          </w:tcPr>
          <w:p>
            <w:pPr>
              <w:spacing w:after="0"/>
              <w:rPr>
                <w:sz w:val="1"/>
                <w:szCs w:val="1"/>
                <w:color w:val="auto"/>
              </w:rPr>
            </w:pP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Ph.D., Chief</w:t>
            </w:r>
          </w:p>
        </w:tc>
        <w:tc>
          <w:tcPr>
            <w:tcW w:w="10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vMerge w:val="continue"/>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Scientific Officer</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Adoption</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28, 2023</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54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jc w:val="right"/>
              <w:ind w:right="540"/>
              <w:spacing w:after="0"/>
              <w:rPr>
                <w:sz w:val="20"/>
                <w:szCs w:val="20"/>
                <w:color w:val="auto"/>
              </w:rPr>
            </w:pPr>
            <w:r>
              <w:rPr>
                <w:rFonts w:ascii="Arial" w:cs="Arial" w:eastAsia="Arial" w:hAnsi="Arial"/>
                <w:sz w:val="20"/>
                <w:szCs w:val="20"/>
                <w:color w:val="auto"/>
              </w:rPr>
              <w:t>106,666</w:t>
            </w:r>
          </w:p>
        </w:tc>
        <w:tc>
          <w:tcPr>
            <w:tcW w:w="124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15, 2024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20" w:right="460" w:hanging="5"/>
        <w:spacing w:after="0" w:line="239" w:lineRule="auto"/>
        <w:tabs>
          <w:tab w:leader="none" w:pos="227"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Contract, instruction or written plan intended to satisfy the affirmative defense conditions of Rule 10b5-1(c) under the Exchange Act.</w:t>
      </w:r>
    </w:p>
    <w:p>
      <w:pPr>
        <w:ind w:left="280" w:hanging="165"/>
        <w:spacing w:after="0"/>
        <w:tabs>
          <w:tab w:leader="none" w:pos="2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“Non-Rule 10b5-1 trading arrangement” as defined in Item 408(c) of Regulation S-K under the Exchange Act.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680"/>
          </w:cols>
          <w:pgMar w:left="1080" w:top="1066" w:right="112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207</w:t>
      </w:r>
    </w:p>
    <w:p>
      <w:pPr>
        <w:sectPr>
          <w:pgSz w:w="11880" w:h="15480" w:orient="portrait"/>
          <w:cols w:equalWidth="0" w:num="1">
            <w:col w:w="9680"/>
          </w:cols>
          <w:pgMar w:left="1080" w:top="1066" w:right="1120" w:bottom="555" w:gutter="0" w:footer="0" w:header="0"/>
          <w:type w:val="continuous"/>
        </w:sectPr>
      </w:pPr>
    </w:p>
    <w:bookmarkStart w:id="209" w:name="page210"/>
    <w:bookmarkEnd w:id="209"/>
    <w:p>
      <w:pPr>
        <w:jc w:val="center"/>
        <w:spacing w:after="0"/>
        <w:rPr>
          <w:sz w:val="20"/>
          <w:szCs w:val="20"/>
          <w:color w:val="auto"/>
        </w:rPr>
      </w:pPr>
      <w:r>
        <w:rPr>
          <w:rFonts w:ascii="Arial" w:cs="Arial" w:eastAsia="Arial" w:hAnsi="Arial"/>
          <w:sz w:val="20"/>
          <w:szCs w:val="20"/>
          <w:b w:val="1"/>
          <w:bCs w:val="1"/>
          <w:color w:val="auto"/>
        </w:rPr>
        <w:t>PART III</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We will file a definitive Proxy Statement for our 2024 Annual General Meeting of shareholders (the “Proxy</w:t>
      </w:r>
    </w:p>
    <w:p>
      <w:pPr>
        <w:spacing w:after="0"/>
        <w:rPr>
          <w:sz w:val="20"/>
          <w:szCs w:val="20"/>
          <w:color w:val="auto"/>
        </w:rPr>
      </w:pPr>
      <w:r>
        <w:rPr>
          <w:rFonts w:ascii="Arial" w:cs="Arial" w:eastAsia="Arial" w:hAnsi="Arial"/>
          <w:sz w:val="20"/>
          <w:szCs w:val="20"/>
          <w:color w:val="auto"/>
        </w:rPr>
        <w:t>Statement”) with the SEC, pursuant to Regulation 14A, not later than 120 days after the end of our fiscal year.</w:t>
      </w:r>
    </w:p>
    <w:p>
      <w:pPr>
        <w:spacing w:after="0"/>
        <w:rPr>
          <w:sz w:val="20"/>
          <w:szCs w:val="20"/>
          <w:color w:val="auto"/>
        </w:rPr>
      </w:pPr>
      <w:r>
        <w:rPr>
          <w:rFonts w:ascii="Arial" w:cs="Arial" w:eastAsia="Arial" w:hAnsi="Arial"/>
          <w:sz w:val="20"/>
          <w:szCs w:val="20"/>
          <w:color w:val="auto"/>
        </w:rPr>
        <w:t>Accordingly, certain information required by Part III has been omitted under General Instruction G(3) to</w:t>
      </w:r>
    </w:p>
    <w:p>
      <w:pPr>
        <w:spacing w:after="0"/>
        <w:rPr>
          <w:sz w:val="20"/>
          <w:szCs w:val="20"/>
          <w:color w:val="auto"/>
        </w:rPr>
      </w:pPr>
      <w:r>
        <w:rPr>
          <w:rFonts w:ascii="Arial" w:cs="Arial" w:eastAsia="Arial" w:hAnsi="Arial"/>
          <w:sz w:val="20"/>
          <w:szCs w:val="20"/>
          <w:color w:val="auto"/>
        </w:rPr>
        <w:t>Form 10-K. Only those sections of the Proxy Statement that specifically address the items set forth herein are</w:t>
      </w:r>
    </w:p>
    <w:p>
      <w:pPr>
        <w:spacing w:after="0"/>
        <w:rPr>
          <w:sz w:val="20"/>
          <w:szCs w:val="20"/>
          <w:color w:val="auto"/>
        </w:rPr>
      </w:pPr>
      <w:r>
        <w:rPr>
          <w:rFonts w:ascii="Arial" w:cs="Arial" w:eastAsia="Arial" w:hAnsi="Arial"/>
          <w:sz w:val="20"/>
          <w:szCs w:val="20"/>
          <w:color w:val="auto"/>
        </w:rPr>
        <w:t>incorporated by reference.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42" w:lineRule="exact"/>
        <w:rPr>
          <w:sz w:val="20"/>
          <w:szCs w:val="20"/>
          <w:color w:val="auto"/>
        </w:rPr>
      </w:pPr>
    </w:p>
    <w:p>
      <w:pPr>
        <w:ind w:right="200"/>
        <w:spacing w:after="0" w:line="262" w:lineRule="auto"/>
        <w:rPr>
          <w:sz w:val="20"/>
          <w:szCs w:val="20"/>
          <w:color w:val="auto"/>
        </w:rPr>
      </w:pPr>
      <w:r>
        <w:rPr>
          <w:rFonts w:ascii="Arial" w:cs="Arial" w:eastAsia="Arial" w:hAnsi="Arial"/>
          <w:sz w:val="20"/>
          <w:szCs w:val="20"/>
          <w:color w:val="auto"/>
        </w:rPr>
        <w:t>The information required by this item will be set forth in the Proxy Statement in the section headed “Election of Directors,” “Information Regarding the Board and Corporate Governance,” and “Delinquent Section 16(a) Reports,” if any, and is incorporated herein by reference.</w:t>
      </w:r>
    </w:p>
    <w:p>
      <w:pPr>
        <w:spacing w:after="0" w:line="177"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We have adopted a Code of Business Conduct and Ethics that applies to all officers, directors and employees, including our principal executive officer, principal financial officer, principal accounting officer or controller, or persons performing similar functions. A current copy of the Code of Business Conduct and Ethics is available on the Corporate Governance section of our website at www.structuretx.com. To the extent required by rules adopted by the SEC, we will promptly disclose future amendments to our Code of Business Conduct and Ethics or waivers of its requirements that apply to our principal executive officer, principal financial officer, principal accounting officer or controller, or persons performing similar functions on our website. The information contained on our website is not considered part of, or incorporated by reference into, this Annual Report on Form 10-K or any other filing that we make with the SEC.</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42" w:lineRule="exact"/>
        <w:rPr>
          <w:sz w:val="20"/>
          <w:szCs w:val="20"/>
          <w:color w:val="auto"/>
        </w:rPr>
      </w:pPr>
    </w:p>
    <w:p>
      <w:pPr>
        <w:ind w:right="760"/>
        <w:spacing w:after="0" w:line="262" w:lineRule="auto"/>
        <w:rPr>
          <w:sz w:val="20"/>
          <w:szCs w:val="20"/>
          <w:color w:val="auto"/>
        </w:rPr>
      </w:pPr>
      <w:r>
        <w:rPr>
          <w:rFonts w:ascii="Arial" w:cs="Arial" w:eastAsia="Arial" w:hAnsi="Arial"/>
          <w:sz w:val="20"/>
          <w:szCs w:val="20"/>
          <w:color w:val="auto"/>
        </w:rPr>
        <w:t>The information required by this item will be set forth in the Proxy Statement in the sections headed “Executive Compensation” and “Information Regarding the Board and Corporate Governance,” and is incorporated herein by reference.</w:t>
      </w:r>
    </w:p>
    <w:p>
      <w:pPr>
        <w:spacing w:after="0" w:line="164" w:lineRule="exact"/>
        <w:rPr>
          <w:sz w:val="20"/>
          <w:szCs w:val="20"/>
          <w:color w:val="auto"/>
        </w:rPr>
      </w:pPr>
    </w:p>
    <w:p>
      <w:pPr>
        <w:ind w:right="160"/>
        <w:spacing w:after="0" w:line="298"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32" w:lineRule="exact"/>
        <w:rPr>
          <w:sz w:val="20"/>
          <w:szCs w:val="20"/>
          <w:color w:val="auto"/>
        </w:rPr>
      </w:pPr>
    </w:p>
    <w:p>
      <w:pPr>
        <w:jc w:val="both"/>
        <w:ind w:right="200"/>
        <w:spacing w:after="0" w:line="262" w:lineRule="auto"/>
        <w:rPr>
          <w:sz w:val="20"/>
          <w:szCs w:val="20"/>
          <w:color w:val="auto"/>
        </w:rPr>
      </w:pPr>
      <w:r>
        <w:rPr>
          <w:rFonts w:ascii="Arial" w:cs="Arial" w:eastAsia="Arial" w:hAnsi="Arial"/>
          <w:sz w:val="20"/>
          <w:szCs w:val="20"/>
          <w:color w:val="auto"/>
        </w:rPr>
        <w:t>The information required by this item will be set forth in the Proxy Statement in the section headed “Security Ownership of Certain Beneficial Owners and Management,” and “Securities Authorized for Issuance Under Equity Compensation Plans,” and is incorporated herein by reference.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42"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auto"/>
        </w:rPr>
        <w:t>The information called for by this item will be set forth in the Proxy Statement in the section headed “Transactions with Related Persons,” and “Information Regarding the Board and Corporate Governance,” and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33" w:lineRule="exact"/>
        <w:rPr>
          <w:sz w:val="20"/>
          <w:szCs w:val="20"/>
          <w:color w:val="auto"/>
        </w:rPr>
      </w:pPr>
    </w:p>
    <w:p>
      <w:pPr>
        <w:ind w:right="160"/>
        <w:spacing w:after="0" w:line="284" w:lineRule="auto"/>
        <w:rPr>
          <w:sz w:val="20"/>
          <w:szCs w:val="20"/>
          <w:color w:val="auto"/>
        </w:rPr>
      </w:pPr>
      <w:r>
        <w:rPr>
          <w:rFonts w:ascii="Arial" w:cs="Arial" w:eastAsia="Arial" w:hAnsi="Arial"/>
          <w:sz w:val="20"/>
          <w:szCs w:val="20"/>
          <w:color w:val="auto"/>
        </w:rPr>
        <w:t xml:space="preserve">The information required by this item will be set forth in the Proxy Statement in the section headed </w:t>
      </w:r>
      <w:r>
        <w:rPr>
          <w:rFonts w:ascii="Arial" w:cs="Arial" w:eastAsia="Arial" w:hAnsi="Arial"/>
          <w:sz w:val="20"/>
          <w:szCs w:val="20"/>
          <w:i w:val="1"/>
          <w:iCs w:val="1"/>
          <w:color w:val="auto"/>
        </w:rPr>
        <w:t>“</w:t>
      </w:r>
      <w:r>
        <w:rPr>
          <w:rFonts w:ascii="Arial" w:cs="Arial" w:eastAsia="Arial" w:hAnsi="Arial"/>
          <w:sz w:val="20"/>
          <w:szCs w:val="20"/>
          <w:color w:val="auto"/>
        </w:rPr>
        <w:t>Principal Accountant Fees and Services” and is incorporated by reference.</w:t>
      </w:r>
    </w:p>
    <w:p>
      <w:pPr>
        <w:sectPr>
          <w:pgSz w:w="11880" w:h="15480" w:orient="portrait"/>
          <w:cols w:equalWidth="0" w:num="1">
            <w:col w:w="9720"/>
          </w:cols>
          <w:pgMar w:left="1080" w:top="1063"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208</w:t>
      </w:r>
    </w:p>
    <w:p>
      <w:pPr>
        <w:sectPr>
          <w:pgSz w:w="11880" w:h="15480" w:orient="portrait"/>
          <w:cols w:equalWidth="0" w:num="1">
            <w:col w:w="9720"/>
          </w:cols>
          <w:pgMar w:left="1080" w:top="1063" w:right="1080" w:bottom="555" w:gutter="0" w:footer="0" w:header="0"/>
          <w:type w:val="continuous"/>
        </w:sectPr>
      </w:pPr>
    </w:p>
    <w:bookmarkStart w:id="210" w:name="page211"/>
    <w:bookmarkEnd w:id="210"/>
    <w:p>
      <w:pPr>
        <w:ind w:left="4460"/>
        <w:spacing w:after="0"/>
        <w:rPr>
          <w:sz w:val="20"/>
          <w:szCs w:val="20"/>
          <w:color w:val="auto"/>
        </w:rPr>
      </w:pPr>
      <w:r>
        <w:rPr>
          <w:rFonts w:ascii="Arial" w:cs="Arial" w:eastAsia="Arial" w:hAnsi="Arial"/>
          <w:sz w:val="20"/>
          <w:szCs w:val="20"/>
          <w:b w:val="1"/>
          <w:bCs w:val="1"/>
          <w:color w:val="auto"/>
        </w:rPr>
        <w:t>PART IV</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documents are filed as part of this Annual Report on Form 10-K:</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(1) FINANCIAL STATEMENTS</w:t>
      </w:r>
    </w:p>
    <w:p>
      <w:pPr>
        <w:spacing w:after="0" w:line="239"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Our financial statements are listed in the “Index to the Financial Statements” under Part II, Item 8, “Financial Statements and Supplementary Data” of this Annual Report on Form 10-K.</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(2) FINANCIAL STATEMENT SCHEDULES</w:t>
      </w:r>
    </w:p>
    <w:p>
      <w:pPr>
        <w:spacing w:after="0" w:line="239" w:lineRule="exact"/>
        <w:rPr>
          <w:sz w:val="20"/>
          <w:szCs w:val="20"/>
          <w:color w:val="auto"/>
        </w:rPr>
      </w:pPr>
    </w:p>
    <w:p>
      <w:pPr>
        <w:ind w:right="320"/>
        <w:spacing w:after="0" w:line="262" w:lineRule="auto"/>
        <w:rPr>
          <w:sz w:val="20"/>
          <w:szCs w:val="20"/>
          <w:color w:val="auto"/>
        </w:rPr>
      </w:pPr>
      <w:r>
        <w:rPr>
          <w:rFonts w:ascii="Arial" w:cs="Arial" w:eastAsia="Arial" w:hAnsi="Arial"/>
          <w:sz w:val="20"/>
          <w:szCs w:val="20"/>
          <w:color w:val="auto"/>
        </w:rPr>
        <w:t>All schedules to the financial statements are omitted because they are not applicable, not material or the required information is shown in Part II, Item 8, “Financial Statements and Supplementary Data”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(3) EXHIBITS</w:t>
      </w:r>
    </w:p>
    <w:p>
      <w:pPr>
        <w:spacing w:after="0" w:line="240"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The documents listed in the Exhibit Index of this Annual Report on Form 10- K are incorporated by reference or are filed with this Annual Report on Form 10-K, in each case as indicated therein.</w:t>
      </w:r>
    </w:p>
    <w:p>
      <w:pPr>
        <w:sectPr>
          <w:pgSz w:w="11880" w:h="15480" w:orient="portrait"/>
          <w:cols w:equalWidth="0" w:num="1">
            <w:col w:w="9540"/>
          </w:cols>
          <w:pgMar w:left="1080" w:top="1063" w:right="126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209</w:t>
      </w:r>
    </w:p>
    <w:p>
      <w:pPr>
        <w:sectPr>
          <w:pgSz w:w="11880" w:h="15480" w:orient="portrait"/>
          <w:cols w:equalWidth="0" w:num="1">
            <w:col w:w="9540"/>
          </w:cols>
          <w:pgMar w:left="1080" w:top="1063" w:right="1260" w:bottom="555" w:gutter="0" w:footer="0" w:header="0"/>
          <w:type w:val="continuous"/>
        </w:sectPr>
      </w:pPr>
    </w:p>
    <w:bookmarkStart w:id="211" w:name="page212"/>
    <w:bookmarkEnd w:id="211"/>
    <w:p>
      <w:pPr>
        <w:jc w:val="center"/>
        <w:spacing w:after="0"/>
        <w:rPr>
          <w:sz w:val="20"/>
          <w:szCs w:val="20"/>
          <w:color w:val="auto"/>
        </w:rPr>
      </w:pPr>
      <w:r>
        <w:rPr>
          <w:rFonts w:ascii="Arial" w:cs="Arial" w:eastAsia="Arial" w:hAnsi="Arial"/>
          <w:sz w:val="19"/>
          <w:szCs w:val="19"/>
          <w:b w:val="1"/>
          <w:bCs w:val="1"/>
          <w:color w:val="auto"/>
        </w:rPr>
        <w:t>EXHIBIT INDEX</w:t>
      </w:r>
    </w:p>
    <w:p>
      <w:pPr>
        <w:sectPr>
          <w:pgSz w:w="11880" w:h="15480" w:orient="portrait"/>
          <w:cols w:equalWidth="0" w:num="1">
            <w:col w:w="9720"/>
          </w:cols>
          <w:pgMar w:left="1080" w:top="1063" w:right="1080" w:bottom="555" w:gutter="0" w:footer="0" w:header="0"/>
        </w:sect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57"/>
        </w:trPr>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2"/>
                <w:szCs w:val="22"/>
                <w:color w:val="auto"/>
              </w:rPr>
            </w:pPr>
          </w:p>
        </w:tc>
        <w:tc>
          <w:tcPr>
            <w:tcW w:w="30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Description of Document</w:t>
            </w:r>
          </w:p>
        </w:tc>
      </w:tr>
      <w:tr>
        <w:trPr>
          <w:trHeight w:val="330"/>
        </w:trPr>
        <w:tc>
          <w:tcPr>
            <w:tcW w:w="840" w:type="dxa"/>
            <w:vAlign w:val="bottom"/>
          </w:tcPr>
          <w:p>
            <w:pPr>
              <w:ind w:left="6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Amended and Restated</w:t>
            </w:r>
          </w:p>
        </w:tc>
      </w:tr>
      <w:tr>
        <w:trPr>
          <w:trHeight w:val="238"/>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Memorandum and Articles of</w:t>
            </w:r>
          </w:p>
        </w:tc>
      </w:tr>
      <w:tr>
        <w:trPr>
          <w:trHeight w:val="245"/>
        </w:trPr>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Association of the registrant.</w:t>
            </w:r>
          </w:p>
        </w:tc>
      </w:tr>
      <w:tr>
        <w:trPr>
          <w:trHeight w:val="395"/>
        </w:trPr>
        <w:tc>
          <w:tcPr>
            <w:tcW w:w="840" w:type="dxa"/>
            <w:vAlign w:val="bottom"/>
          </w:tcPr>
          <w:p>
            <w:pPr>
              <w:ind w:left="6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Registrant’s Specimen Certificate</w:t>
            </w:r>
          </w:p>
        </w:tc>
      </w:tr>
      <w:tr>
        <w:trPr>
          <w:trHeight w:val="245"/>
        </w:trPr>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for Ordinary Shares.</w:t>
            </w:r>
          </w:p>
        </w:tc>
      </w:tr>
      <w:tr>
        <w:trPr>
          <w:trHeight w:val="423"/>
        </w:trPr>
        <w:tc>
          <w:tcPr>
            <w:tcW w:w="840" w:type="dxa"/>
            <w:vAlign w:val="bottom"/>
          </w:tcPr>
          <w:p>
            <w:pPr>
              <w:ind w:left="6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Form of Deposit Agreement.</w:t>
            </w:r>
          </w:p>
        </w:tc>
      </w:tr>
      <w:tr>
        <w:trPr>
          <w:trHeight w:val="404"/>
        </w:trPr>
        <w:tc>
          <w:tcPr>
            <w:tcW w:w="840" w:type="dxa"/>
            <w:vAlign w:val="bottom"/>
          </w:tcPr>
          <w:p>
            <w:pPr>
              <w:ind w:left="6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Form of American Depositary</w:t>
            </w:r>
          </w:p>
        </w:tc>
      </w:tr>
      <w:tr>
        <w:trPr>
          <w:trHeight w:val="238"/>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Receipt evidencing American</w:t>
            </w:r>
          </w:p>
        </w:tc>
      </w:tr>
      <w:tr>
        <w:trPr>
          <w:trHeight w:val="245"/>
        </w:trPr>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Depositary Shares (included in</w:t>
            </w:r>
          </w:p>
        </w:tc>
      </w:tr>
      <w:tr>
        <w:trPr>
          <w:trHeight w:val="355"/>
        </w:trPr>
        <w:tc>
          <w:tcPr>
            <w:tcW w:w="840" w:type="dxa"/>
            <w:vAlign w:val="bottom"/>
          </w:tcPr>
          <w:p>
            <w:pPr>
              <w:ind w:left="6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Amended and Restated Investors’</w:t>
            </w:r>
          </w:p>
        </w:tc>
      </w:tr>
      <w:tr>
        <w:trPr>
          <w:trHeight w:val="238"/>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Rights Agreement, dated July 30,</w:t>
            </w:r>
          </w:p>
        </w:tc>
      </w:tr>
      <w:tr>
        <w:trPr>
          <w:trHeight w:val="239"/>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2021, by and between the registrant</w:t>
            </w:r>
          </w:p>
        </w:tc>
      </w:tr>
      <w:tr>
        <w:trPr>
          <w:trHeight w:val="245"/>
        </w:trPr>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and the investors named therein.</w:t>
            </w:r>
          </w:p>
        </w:tc>
      </w:tr>
      <w:tr>
        <w:trPr>
          <w:trHeight w:val="416"/>
        </w:trPr>
        <w:tc>
          <w:tcPr>
            <w:tcW w:w="840" w:type="dxa"/>
            <w:vAlign w:val="bottom"/>
          </w:tcPr>
          <w:p>
            <w:pPr>
              <w:ind w:left="6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Summary of Rights of Non-Voting</w:t>
            </w:r>
          </w:p>
        </w:tc>
      </w:tr>
      <w:tr>
        <w:trPr>
          <w:trHeight w:val="272"/>
        </w:trPr>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Ordinary Shares</w:t>
            </w:r>
            <w:r>
              <w:rPr>
                <w:rFonts w:ascii="Arial" w:cs="Arial" w:eastAsia="Arial" w:hAnsi="Arial"/>
                <w:sz w:val="20"/>
                <w:szCs w:val="20"/>
                <w:color w:val="auto"/>
              </w:rPr>
              <w:t>.</w:t>
            </w:r>
          </w:p>
        </w:tc>
      </w:tr>
      <w:tr>
        <w:trPr>
          <w:trHeight w:val="419"/>
        </w:trPr>
        <w:tc>
          <w:tcPr>
            <w:tcW w:w="840" w:type="dxa"/>
            <w:vAlign w:val="bottom"/>
          </w:tcPr>
          <w:p>
            <w:pPr>
              <w:ind w:left="6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Description of Securities.</w:t>
            </w:r>
          </w:p>
        </w:tc>
      </w:tr>
      <w:tr>
        <w:trPr>
          <w:trHeight w:val="409"/>
        </w:trPr>
        <w:tc>
          <w:tcPr>
            <w:tcW w:w="840" w:type="dxa"/>
            <w:vAlign w:val="bottom"/>
          </w:tcPr>
          <w:p>
            <w:pPr>
              <w:ind w:left="6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Form of Indemnification Agreement</w:t>
            </w:r>
          </w:p>
        </w:tc>
      </w:tr>
      <w:tr>
        <w:trPr>
          <w:trHeight w:val="209"/>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between the registrant and each of</w:t>
            </w:r>
          </w:p>
        </w:tc>
      </w:tr>
      <w:tr>
        <w:trPr>
          <w:trHeight w:val="245"/>
        </w:trPr>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its executive officers and directors.</w:t>
            </w:r>
          </w:p>
        </w:tc>
      </w:tr>
      <w:tr>
        <w:trPr>
          <w:trHeight w:val="442"/>
        </w:trPr>
        <w:tc>
          <w:tcPr>
            <w:tcW w:w="840" w:type="dxa"/>
            <w:vAlign w:val="bottom"/>
          </w:tcPr>
          <w:p>
            <w:pPr>
              <w:ind w:left="6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ShouTi Inc. 2019 Equity Incentive</w:t>
            </w:r>
          </w:p>
        </w:tc>
      </w:tr>
      <w:tr>
        <w:trPr>
          <w:trHeight w:val="208"/>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Plan, as amended (including Forms</w:t>
            </w:r>
          </w:p>
        </w:tc>
      </w:tr>
      <w:tr>
        <w:trPr>
          <w:trHeight w:val="20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of Option Grant Notice, Option</w:t>
            </w:r>
          </w:p>
        </w:tc>
      </w:tr>
      <w:tr>
        <w:trPr>
          <w:trHeight w:val="245"/>
        </w:trPr>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Agreement and Notice of Exercise</w:t>
            </w:r>
          </w:p>
        </w:tc>
      </w:tr>
      <w:tr>
        <w:trPr>
          <w:trHeight w:val="330"/>
        </w:trPr>
        <w:tc>
          <w:tcPr>
            <w:tcW w:w="840" w:type="dxa"/>
            <w:vAlign w:val="bottom"/>
          </w:tcPr>
          <w:p>
            <w:pPr>
              <w:ind w:left="6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Structure Therapeutics Inc. 2023</w:t>
            </w:r>
          </w:p>
        </w:tc>
      </w:tr>
      <w:tr>
        <w:trPr>
          <w:trHeight w:val="272"/>
        </w:trPr>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Equity Incentive Plan</w:t>
            </w:r>
            <w:r>
              <w:rPr>
                <w:rFonts w:ascii="Arial" w:cs="Arial" w:eastAsia="Arial" w:hAnsi="Arial"/>
                <w:sz w:val="20"/>
                <w:szCs w:val="20"/>
                <w:color w:val="auto"/>
              </w:rPr>
              <w:t>.</w:t>
            </w:r>
          </w:p>
        </w:tc>
      </w:tr>
      <w:tr>
        <w:trPr>
          <w:trHeight w:val="271"/>
        </w:trPr>
        <w:tc>
          <w:tcPr>
            <w:tcW w:w="840" w:type="dxa"/>
            <w:vAlign w:val="bottom"/>
          </w:tcPr>
          <w:p>
            <w:pPr>
              <w:ind w:left="6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Form of Share Option Grant Notice,</w:t>
            </w:r>
          </w:p>
        </w:tc>
      </w:tr>
      <w:tr>
        <w:trPr>
          <w:trHeight w:val="20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Share Option Agreement and</w:t>
            </w:r>
          </w:p>
        </w:tc>
      </w:tr>
      <w:tr>
        <w:trPr>
          <w:trHeight w:val="208"/>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Notice of Exercise (US) under the</w:t>
            </w:r>
          </w:p>
        </w:tc>
      </w:tr>
      <w:tr>
        <w:trPr>
          <w:trHeight w:val="208"/>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Structure Therapeutics Inc. 2023</w:t>
            </w:r>
          </w:p>
        </w:tc>
      </w:tr>
      <w:tr>
        <w:trPr>
          <w:trHeight w:val="245"/>
        </w:trPr>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Equity Incentive Plan.</w:t>
            </w:r>
          </w:p>
        </w:tc>
      </w:tr>
      <w:tr>
        <w:trPr>
          <w:trHeight w:val="308"/>
        </w:trPr>
        <w:tc>
          <w:tcPr>
            <w:tcW w:w="840" w:type="dxa"/>
            <w:vAlign w:val="bottom"/>
          </w:tcPr>
          <w:p>
            <w:pPr>
              <w:ind w:left="6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Form of Share Option Grant Notice,</w:t>
            </w:r>
          </w:p>
        </w:tc>
      </w:tr>
      <w:tr>
        <w:trPr>
          <w:trHeight w:val="20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Share Option Agreement and</w:t>
            </w:r>
          </w:p>
        </w:tc>
      </w:tr>
      <w:tr>
        <w:trPr>
          <w:trHeight w:val="208"/>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auto"/>
              </w:rPr>
              <w:t>Notice of Exercise (Non-Employee</w:t>
            </w:r>
          </w:p>
        </w:tc>
      </w:tr>
    </w:tbl>
    <w:p>
      <w:pPr>
        <w:ind w:left="1080" w:right="580"/>
        <w:spacing w:after="0" w:line="262" w:lineRule="auto"/>
        <w:rPr>
          <w:sz w:val="20"/>
          <w:szCs w:val="20"/>
          <w:color w:val="auto"/>
        </w:rPr>
      </w:pPr>
      <w:r>
        <w:rPr>
          <w:rFonts w:ascii="Arial" w:cs="Arial" w:eastAsia="Arial" w:hAnsi="Arial"/>
          <w:sz w:val="18"/>
          <w:szCs w:val="18"/>
          <w:color w:val="auto"/>
        </w:rPr>
        <w:t>Director) under the Structure Therapeutics Inc. 2023 Equity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9"/>
              </w:rPr>
              <w:t>Filed</w:t>
            </w:r>
          </w:p>
        </w:tc>
      </w:tr>
      <w:tr>
        <w:trPr>
          <w:trHeight w:val="288"/>
        </w:trPr>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Form</w:t>
            </w:r>
          </w:p>
        </w:tc>
        <w:tc>
          <w:tcPr>
            <w:tcW w:w="180" w:type="dxa"/>
            <w:vAlign w:val="bottom"/>
          </w:tcPr>
          <w:p>
            <w:pPr>
              <w:spacing w:after="0"/>
              <w:rPr>
                <w:sz w:val="24"/>
                <w:szCs w:val="2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File No.</w:t>
            </w:r>
          </w:p>
        </w:tc>
        <w:tc>
          <w:tcPr>
            <w:tcW w:w="200" w:type="dxa"/>
            <w:vAlign w:val="bottom"/>
          </w:tcPr>
          <w:p>
            <w:pPr>
              <w:spacing w:after="0"/>
              <w:rPr>
                <w:sz w:val="24"/>
                <w:szCs w:val="2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Filing Date</w:t>
            </w:r>
          </w:p>
        </w:tc>
        <w:tc>
          <w:tcPr>
            <w:tcW w:w="24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r>
      <w:tr>
        <w:trPr>
          <w:trHeight w:val="330"/>
        </w:trPr>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001-41608</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February 7,</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5"/>
        </w:trPr>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2023</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632"/>
        </w:trPr>
        <w:tc>
          <w:tcPr>
            <w:tcW w:w="6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333-269200</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January 30,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5"/>
        </w:trPr>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2023</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24"/>
        </w:trPr>
        <w:tc>
          <w:tcPr>
            <w:tcW w:w="6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333-269200</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January 30,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8"/>
        </w:trPr>
        <w:tc>
          <w:tcPr>
            <w:tcW w:w="6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333-269200</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January 30,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5"/>
        </w:trPr>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2023</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593"/>
        </w:trPr>
        <w:tc>
          <w:tcPr>
            <w:tcW w:w="64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333-269200</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January 12,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5"/>
        </w:trPr>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2023</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896"/>
        </w:trPr>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001-41608</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September 29,</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5"/>
        </w:trPr>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2023</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74"/>
        </w:trPr>
        <w:tc>
          <w:tcPr>
            <w:tcW w:w="6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001-41608</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March 30, 2023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95"/>
        </w:trPr>
        <w:tc>
          <w:tcPr>
            <w:tcW w:w="64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333-269200</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6"/>
              </w:rPr>
              <w:t>10.1</w:t>
            </w:r>
          </w:p>
        </w:tc>
        <w:tc>
          <w:tcPr>
            <w:tcW w:w="2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January 12,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5"/>
        </w:trPr>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2023</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651"/>
        </w:trPr>
        <w:tc>
          <w:tcPr>
            <w:tcW w:w="64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333-269200</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6"/>
              </w:rPr>
              <w:t>10.2</w:t>
            </w:r>
          </w:p>
        </w:tc>
        <w:tc>
          <w:tcPr>
            <w:tcW w:w="2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January 12,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5"/>
        </w:trPr>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2023</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715"/>
        </w:trPr>
        <w:tc>
          <w:tcPr>
            <w:tcW w:w="6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001-41608</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6"/>
              </w:rPr>
              <w:t>10.3</w:t>
            </w:r>
          </w:p>
        </w:tc>
        <w:tc>
          <w:tcPr>
            <w:tcW w:w="2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March 30,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5"/>
        </w:trPr>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2023</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327"/>
        </w:trPr>
        <w:tc>
          <w:tcPr>
            <w:tcW w:w="64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333-269200</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6"/>
              </w:rPr>
              <w:t>10.4</w:t>
            </w:r>
          </w:p>
        </w:tc>
        <w:tc>
          <w:tcPr>
            <w:tcW w:w="2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January 12,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5"/>
        </w:trPr>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2023</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930"/>
        </w:trPr>
        <w:tc>
          <w:tcPr>
            <w:tcW w:w="64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333-269200</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6"/>
              </w:rPr>
              <w:t>10.5</w:t>
            </w:r>
          </w:p>
        </w:tc>
        <w:tc>
          <w:tcPr>
            <w:tcW w:w="2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January 12,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5"/>
        </w:trPr>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2023</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1014" w:lineRule="exact"/>
        <w:rPr>
          <w:sz w:val="20"/>
          <w:szCs w:val="20"/>
          <w:color w:val="auto"/>
        </w:rPr>
      </w:pPr>
    </w:p>
    <w:p>
      <w:pPr>
        <w:sectPr>
          <w:pgSz w:w="11880" w:h="15480" w:orient="portrait"/>
          <w:cols w:equalWidth="0" w:num="2">
            <w:col w:w="4020" w:space="160"/>
            <w:col w:w="5540"/>
          </w:cols>
          <w:pgMar w:left="1080" w:top="1063" w:right="1080" w:bottom="55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210</w:t>
      </w:r>
    </w:p>
    <w:p>
      <w:pPr>
        <w:sectPr>
          <w:pgSz w:w="11880" w:h="15480" w:orient="portrait"/>
          <w:cols w:equalWidth="0" w:num="1">
            <w:col w:w="9720"/>
          </w:cols>
          <w:pgMar w:left="1080" w:top="1063" w:right="1080" w:bottom="555" w:gutter="0" w:footer="0" w:header="0"/>
          <w:type w:val="continuous"/>
        </w:sectPr>
      </w:pPr>
    </w:p>
    <w:bookmarkStart w:id="212" w:name="page213"/>
    <w:bookmarkEnd w:id="212"/>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3080" w:type="dxa"/>
            <w:vAlign w:val="bottom"/>
          </w:tcPr>
          <w:p>
            <w:pPr>
              <w:ind w:left="240"/>
              <w:spacing w:after="0"/>
              <w:rPr>
                <w:sz w:val="20"/>
                <w:szCs w:val="20"/>
                <w:color w:val="auto"/>
              </w:rPr>
            </w:pPr>
            <w:r>
              <w:rPr>
                <w:rFonts w:ascii="Arial" w:cs="Arial" w:eastAsia="Arial" w:hAnsi="Arial"/>
                <w:sz w:val="18"/>
                <w:szCs w:val="18"/>
                <w:color w:val="auto"/>
                <w:w w:val="99"/>
              </w:rPr>
              <w:t>Form of Share Option Grant Notice,</w:t>
            </w:r>
          </w:p>
        </w:tc>
      </w:tr>
      <w:tr>
        <w:trPr>
          <w:trHeight w:val="208"/>
        </w:trPr>
        <w:tc>
          <w:tcPr>
            <w:tcW w:w="780" w:type="dxa"/>
            <w:vAlign w:val="bottom"/>
          </w:tcPr>
          <w:p>
            <w:pPr>
              <w:spacing w:after="0"/>
              <w:rPr>
                <w:sz w:val="18"/>
                <w:szCs w:val="18"/>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Share Option Agreement and</w:t>
            </w:r>
          </w:p>
        </w:tc>
      </w:tr>
      <w:tr>
        <w:trPr>
          <w:trHeight w:val="206"/>
        </w:trPr>
        <w:tc>
          <w:tcPr>
            <w:tcW w:w="780" w:type="dxa"/>
            <w:vAlign w:val="bottom"/>
          </w:tcPr>
          <w:p>
            <w:pPr>
              <w:spacing w:after="0"/>
              <w:rPr>
                <w:sz w:val="17"/>
                <w:szCs w:val="17"/>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Notice of Exercise (PRC) under the</w:t>
            </w:r>
          </w:p>
        </w:tc>
      </w:tr>
      <w:tr>
        <w:trPr>
          <w:trHeight w:val="209"/>
        </w:trPr>
        <w:tc>
          <w:tcPr>
            <w:tcW w:w="780" w:type="dxa"/>
            <w:vAlign w:val="bottom"/>
          </w:tcPr>
          <w:p>
            <w:pPr>
              <w:spacing w:after="0"/>
              <w:rPr>
                <w:sz w:val="18"/>
                <w:szCs w:val="18"/>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Structure Therapeutics Inc. 2023</w:t>
            </w:r>
          </w:p>
        </w:tc>
      </w:tr>
      <w:tr>
        <w:trPr>
          <w:trHeight w:val="245"/>
        </w:trPr>
        <w:tc>
          <w:tcPr>
            <w:tcW w:w="780" w:type="dxa"/>
            <w:vAlign w:val="bottom"/>
          </w:tcPr>
          <w:p>
            <w:pPr>
              <w:spacing w:after="0"/>
              <w:rPr>
                <w:sz w:val="21"/>
                <w:szCs w:val="21"/>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Equity Incentive Plan.</w:t>
            </w:r>
          </w:p>
        </w:tc>
      </w:tr>
      <w:tr>
        <w:trPr>
          <w:trHeight w:val="461"/>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3080" w:type="dxa"/>
            <w:vAlign w:val="bottom"/>
          </w:tcPr>
          <w:p>
            <w:pPr>
              <w:ind w:left="240"/>
              <w:spacing w:after="0"/>
              <w:rPr>
                <w:sz w:val="20"/>
                <w:szCs w:val="20"/>
                <w:color w:val="auto"/>
              </w:rPr>
            </w:pPr>
            <w:r>
              <w:rPr>
                <w:rFonts w:ascii="Arial" w:cs="Arial" w:eastAsia="Arial" w:hAnsi="Arial"/>
                <w:sz w:val="18"/>
                <w:szCs w:val="18"/>
                <w:color w:val="auto"/>
              </w:rPr>
              <w:t>Form of Restricted Share Unit</w:t>
            </w:r>
          </w:p>
        </w:tc>
      </w:tr>
      <w:tr>
        <w:trPr>
          <w:trHeight w:val="208"/>
        </w:trPr>
        <w:tc>
          <w:tcPr>
            <w:tcW w:w="780" w:type="dxa"/>
            <w:vAlign w:val="bottom"/>
          </w:tcPr>
          <w:p>
            <w:pPr>
              <w:spacing w:after="0"/>
              <w:rPr>
                <w:sz w:val="18"/>
                <w:szCs w:val="18"/>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Award Grant Notice and Award</w:t>
            </w:r>
          </w:p>
        </w:tc>
      </w:tr>
      <w:tr>
        <w:trPr>
          <w:trHeight w:val="206"/>
        </w:trPr>
        <w:tc>
          <w:tcPr>
            <w:tcW w:w="780" w:type="dxa"/>
            <w:vAlign w:val="bottom"/>
          </w:tcPr>
          <w:p>
            <w:pPr>
              <w:spacing w:after="0"/>
              <w:rPr>
                <w:sz w:val="17"/>
                <w:szCs w:val="17"/>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Agreement (US) under the</w:t>
            </w:r>
          </w:p>
        </w:tc>
      </w:tr>
      <w:tr>
        <w:trPr>
          <w:trHeight w:val="209"/>
        </w:trPr>
        <w:tc>
          <w:tcPr>
            <w:tcW w:w="780" w:type="dxa"/>
            <w:vAlign w:val="bottom"/>
          </w:tcPr>
          <w:p>
            <w:pPr>
              <w:spacing w:after="0"/>
              <w:rPr>
                <w:sz w:val="18"/>
                <w:szCs w:val="18"/>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Structure Therapeutics Inc. 2023</w:t>
            </w:r>
          </w:p>
        </w:tc>
      </w:tr>
      <w:tr>
        <w:trPr>
          <w:trHeight w:val="245"/>
        </w:trPr>
        <w:tc>
          <w:tcPr>
            <w:tcW w:w="780" w:type="dxa"/>
            <w:vAlign w:val="bottom"/>
          </w:tcPr>
          <w:p>
            <w:pPr>
              <w:spacing w:after="0"/>
              <w:rPr>
                <w:sz w:val="21"/>
                <w:szCs w:val="21"/>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Equity Incentive Plan.</w:t>
            </w:r>
          </w:p>
        </w:tc>
      </w:tr>
      <w:tr>
        <w:trPr>
          <w:trHeight w:val="352"/>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3080" w:type="dxa"/>
            <w:vAlign w:val="bottom"/>
          </w:tcPr>
          <w:p>
            <w:pPr>
              <w:ind w:left="240"/>
              <w:spacing w:after="0"/>
              <w:rPr>
                <w:sz w:val="20"/>
                <w:szCs w:val="20"/>
                <w:color w:val="auto"/>
              </w:rPr>
            </w:pPr>
            <w:r>
              <w:rPr>
                <w:rFonts w:ascii="Arial" w:cs="Arial" w:eastAsia="Arial" w:hAnsi="Arial"/>
                <w:sz w:val="18"/>
                <w:szCs w:val="18"/>
                <w:color w:val="auto"/>
              </w:rPr>
              <w:t>Form of Restricted Share Unit</w:t>
            </w:r>
          </w:p>
        </w:tc>
      </w:tr>
      <w:tr>
        <w:trPr>
          <w:trHeight w:val="206"/>
        </w:trPr>
        <w:tc>
          <w:tcPr>
            <w:tcW w:w="780" w:type="dxa"/>
            <w:vAlign w:val="bottom"/>
          </w:tcPr>
          <w:p>
            <w:pPr>
              <w:spacing w:after="0"/>
              <w:rPr>
                <w:sz w:val="17"/>
                <w:szCs w:val="17"/>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Award Grant Notice and Award</w:t>
            </w:r>
          </w:p>
        </w:tc>
      </w:tr>
      <w:tr>
        <w:trPr>
          <w:trHeight w:val="208"/>
        </w:trPr>
        <w:tc>
          <w:tcPr>
            <w:tcW w:w="780" w:type="dxa"/>
            <w:vAlign w:val="bottom"/>
          </w:tcPr>
          <w:p>
            <w:pPr>
              <w:spacing w:after="0"/>
              <w:rPr>
                <w:sz w:val="18"/>
                <w:szCs w:val="18"/>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Agreement (PRC) under the</w:t>
            </w:r>
          </w:p>
        </w:tc>
      </w:tr>
      <w:tr>
        <w:trPr>
          <w:trHeight w:val="208"/>
        </w:trPr>
        <w:tc>
          <w:tcPr>
            <w:tcW w:w="780" w:type="dxa"/>
            <w:vAlign w:val="bottom"/>
          </w:tcPr>
          <w:p>
            <w:pPr>
              <w:spacing w:after="0"/>
              <w:rPr>
                <w:sz w:val="18"/>
                <w:szCs w:val="18"/>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Structure Therapeutics Inc. 2023</w:t>
            </w:r>
          </w:p>
        </w:tc>
      </w:tr>
      <w:tr>
        <w:trPr>
          <w:trHeight w:val="245"/>
        </w:trPr>
        <w:tc>
          <w:tcPr>
            <w:tcW w:w="780" w:type="dxa"/>
            <w:vAlign w:val="bottom"/>
          </w:tcPr>
          <w:p>
            <w:pPr>
              <w:spacing w:after="0"/>
              <w:rPr>
                <w:sz w:val="21"/>
                <w:szCs w:val="21"/>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Equity Incentive Plan.</w:t>
            </w:r>
          </w:p>
        </w:tc>
      </w:tr>
      <w:tr>
        <w:trPr>
          <w:trHeight w:val="436"/>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3080" w:type="dxa"/>
            <w:vAlign w:val="bottom"/>
          </w:tcPr>
          <w:p>
            <w:pPr>
              <w:ind w:left="240"/>
              <w:spacing w:after="0"/>
              <w:rPr>
                <w:sz w:val="20"/>
                <w:szCs w:val="20"/>
                <w:color w:val="auto"/>
              </w:rPr>
            </w:pPr>
            <w:r>
              <w:rPr>
                <w:rFonts w:ascii="Arial" w:cs="Arial" w:eastAsia="Arial" w:hAnsi="Arial"/>
                <w:sz w:val="18"/>
                <w:szCs w:val="18"/>
                <w:color w:val="auto"/>
              </w:rPr>
              <w:t>Structure Therapeutics Inc. 2023</w:t>
            </w:r>
          </w:p>
        </w:tc>
      </w:tr>
      <w:tr>
        <w:trPr>
          <w:trHeight w:val="272"/>
        </w:trPr>
        <w:tc>
          <w:tcPr>
            <w:tcW w:w="780" w:type="dxa"/>
            <w:vAlign w:val="bottom"/>
          </w:tcPr>
          <w:p>
            <w:pPr>
              <w:spacing w:after="0"/>
              <w:rPr>
                <w:sz w:val="23"/>
                <w:szCs w:val="23"/>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Employee Share Purchase Plan</w:t>
            </w:r>
            <w:r>
              <w:rPr>
                <w:rFonts w:ascii="Arial" w:cs="Arial" w:eastAsia="Arial" w:hAnsi="Arial"/>
                <w:sz w:val="20"/>
                <w:szCs w:val="20"/>
                <w:color w:val="auto"/>
              </w:rPr>
              <w:t>.</w:t>
            </w:r>
          </w:p>
        </w:tc>
      </w:tr>
      <w:tr>
        <w:trPr>
          <w:trHeight w:val="326"/>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3080" w:type="dxa"/>
            <w:vAlign w:val="bottom"/>
          </w:tcPr>
          <w:p>
            <w:pPr>
              <w:ind w:left="240"/>
              <w:spacing w:after="0"/>
              <w:rPr>
                <w:sz w:val="20"/>
                <w:szCs w:val="20"/>
                <w:color w:val="auto"/>
              </w:rPr>
            </w:pPr>
            <w:r>
              <w:rPr>
                <w:rFonts w:ascii="Arial" w:cs="Arial" w:eastAsia="Arial" w:hAnsi="Arial"/>
                <w:sz w:val="18"/>
                <w:szCs w:val="18"/>
                <w:color w:val="auto"/>
              </w:rPr>
              <w:t>Executive Employment Agreement,</w:t>
            </w:r>
          </w:p>
        </w:tc>
      </w:tr>
      <w:tr>
        <w:trPr>
          <w:trHeight w:val="206"/>
        </w:trPr>
        <w:tc>
          <w:tcPr>
            <w:tcW w:w="780" w:type="dxa"/>
            <w:vAlign w:val="bottom"/>
          </w:tcPr>
          <w:p>
            <w:pPr>
              <w:spacing w:after="0"/>
              <w:rPr>
                <w:sz w:val="17"/>
                <w:szCs w:val="17"/>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by and between the registrant and</w:t>
            </w:r>
          </w:p>
        </w:tc>
      </w:tr>
      <w:tr>
        <w:trPr>
          <w:trHeight w:val="209"/>
        </w:trPr>
        <w:tc>
          <w:tcPr>
            <w:tcW w:w="780" w:type="dxa"/>
            <w:vAlign w:val="bottom"/>
          </w:tcPr>
          <w:p>
            <w:pPr>
              <w:spacing w:after="0"/>
              <w:rPr>
                <w:sz w:val="18"/>
                <w:szCs w:val="18"/>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Raymond Stevens, dated May 16,</w:t>
            </w:r>
          </w:p>
        </w:tc>
      </w:tr>
      <w:tr>
        <w:trPr>
          <w:trHeight w:val="245"/>
        </w:trPr>
        <w:tc>
          <w:tcPr>
            <w:tcW w:w="780" w:type="dxa"/>
            <w:vAlign w:val="bottom"/>
          </w:tcPr>
          <w:p>
            <w:pPr>
              <w:spacing w:after="0"/>
              <w:rPr>
                <w:sz w:val="21"/>
                <w:szCs w:val="21"/>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2019.</w:t>
            </w:r>
          </w:p>
        </w:tc>
      </w:tr>
      <w:tr>
        <w:trPr>
          <w:trHeight w:val="299"/>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3080" w:type="dxa"/>
            <w:vAlign w:val="bottom"/>
          </w:tcPr>
          <w:p>
            <w:pPr>
              <w:ind w:left="240"/>
              <w:spacing w:after="0"/>
              <w:rPr>
                <w:sz w:val="20"/>
                <w:szCs w:val="20"/>
                <w:color w:val="auto"/>
              </w:rPr>
            </w:pPr>
            <w:r>
              <w:rPr>
                <w:rFonts w:ascii="Arial" w:cs="Arial" w:eastAsia="Arial" w:hAnsi="Arial"/>
                <w:sz w:val="18"/>
                <w:szCs w:val="18"/>
                <w:color w:val="auto"/>
              </w:rPr>
              <w:t>Executive Employment Agreement</w:t>
            </w:r>
          </w:p>
        </w:tc>
      </w:tr>
      <w:tr>
        <w:trPr>
          <w:trHeight w:val="208"/>
        </w:trPr>
        <w:tc>
          <w:tcPr>
            <w:tcW w:w="780" w:type="dxa"/>
            <w:vAlign w:val="bottom"/>
          </w:tcPr>
          <w:p>
            <w:pPr>
              <w:spacing w:after="0"/>
              <w:rPr>
                <w:sz w:val="18"/>
                <w:szCs w:val="18"/>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by and between the registrant and</w:t>
            </w:r>
          </w:p>
        </w:tc>
      </w:tr>
      <w:tr>
        <w:trPr>
          <w:trHeight w:val="245"/>
        </w:trPr>
        <w:tc>
          <w:tcPr>
            <w:tcW w:w="780" w:type="dxa"/>
            <w:vAlign w:val="bottom"/>
          </w:tcPr>
          <w:p>
            <w:pPr>
              <w:spacing w:after="0"/>
              <w:rPr>
                <w:sz w:val="21"/>
                <w:szCs w:val="21"/>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Jun Yoon, dated May 1, 2019.</w:t>
            </w:r>
          </w:p>
        </w:tc>
      </w:tr>
      <w:tr>
        <w:trPr>
          <w:trHeight w:val="298"/>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3080" w:type="dxa"/>
            <w:vAlign w:val="bottom"/>
          </w:tcPr>
          <w:p>
            <w:pPr>
              <w:ind w:left="240"/>
              <w:spacing w:after="0"/>
              <w:rPr>
                <w:sz w:val="20"/>
                <w:szCs w:val="20"/>
                <w:color w:val="auto"/>
              </w:rPr>
            </w:pPr>
            <w:r>
              <w:rPr>
                <w:rFonts w:ascii="Arial" w:cs="Arial" w:eastAsia="Arial" w:hAnsi="Arial"/>
                <w:sz w:val="18"/>
                <w:szCs w:val="18"/>
                <w:color w:val="auto"/>
              </w:rPr>
              <w:t>Amendment to the Executive</w:t>
            </w:r>
          </w:p>
        </w:tc>
      </w:tr>
      <w:tr>
        <w:trPr>
          <w:trHeight w:val="206"/>
        </w:trPr>
        <w:tc>
          <w:tcPr>
            <w:tcW w:w="780" w:type="dxa"/>
            <w:vAlign w:val="bottom"/>
          </w:tcPr>
          <w:p>
            <w:pPr>
              <w:spacing w:after="0"/>
              <w:rPr>
                <w:sz w:val="17"/>
                <w:szCs w:val="17"/>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Employment Agreement by and</w:t>
            </w:r>
          </w:p>
        </w:tc>
      </w:tr>
      <w:tr>
        <w:trPr>
          <w:trHeight w:val="245"/>
        </w:trPr>
        <w:tc>
          <w:tcPr>
            <w:tcW w:w="780" w:type="dxa"/>
            <w:vAlign w:val="bottom"/>
          </w:tcPr>
          <w:p>
            <w:pPr>
              <w:spacing w:after="0"/>
              <w:rPr>
                <w:sz w:val="21"/>
                <w:szCs w:val="21"/>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between the registrant and Jun</w:t>
            </w:r>
          </w:p>
        </w:tc>
      </w:tr>
      <w:tr>
        <w:trPr>
          <w:trHeight w:val="263"/>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3080" w:type="dxa"/>
            <w:vAlign w:val="bottom"/>
          </w:tcPr>
          <w:p>
            <w:pPr>
              <w:ind w:left="240"/>
              <w:spacing w:after="0"/>
              <w:rPr>
                <w:sz w:val="20"/>
                <w:szCs w:val="20"/>
                <w:color w:val="auto"/>
              </w:rPr>
            </w:pPr>
            <w:r>
              <w:rPr>
                <w:rFonts w:ascii="Arial" w:cs="Arial" w:eastAsia="Arial" w:hAnsi="Arial"/>
                <w:sz w:val="18"/>
                <w:szCs w:val="18"/>
                <w:color w:val="auto"/>
              </w:rPr>
              <w:t>Offer Letter, by and between the</w:t>
            </w:r>
          </w:p>
        </w:tc>
      </w:tr>
      <w:tr>
        <w:trPr>
          <w:trHeight w:val="208"/>
        </w:trPr>
        <w:tc>
          <w:tcPr>
            <w:tcW w:w="780" w:type="dxa"/>
            <w:vAlign w:val="bottom"/>
          </w:tcPr>
          <w:p>
            <w:pPr>
              <w:spacing w:after="0"/>
              <w:rPr>
                <w:sz w:val="18"/>
                <w:szCs w:val="18"/>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registrant and Mark Bach, M.D.,</w:t>
            </w:r>
          </w:p>
        </w:tc>
      </w:tr>
      <w:tr>
        <w:trPr>
          <w:trHeight w:val="245"/>
        </w:trPr>
        <w:tc>
          <w:tcPr>
            <w:tcW w:w="780" w:type="dxa"/>
            <w:vAlign w:val="bottom"/>
          </w:tcPr>
          <w:p>
            <w:pPr>
              <w:spacing w:after="0"/>
              <w:rPr>
                <w:sz w:val="21"/>
                <w:szCs w:val="21"/>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dated April 19, 2021.</w:t>
            </w:r>
          </w:p>
        </w:tc>
      </w:tr>
      <w:tr>
        <w:trPr>
          <w:trHeight w:val="331"/>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3080" w:type="dxa"/>
            <w:vAlign w:val="bottom"/>
          </w:tcPr>
          <w:p>
            <w:pPr>
              <w:ind w:left="240"/>
              <w:spacing w:after="0"/>
              <w:rPr>
                <w:sz w:val="20"/>
                <w:szCs w:val="20"/>
                <w:color w:val="auto"/>
              </w:rPr>
            </w:pPr>
            <w:r>
              <w:rPr>
                <w:rFonts w:ascii="Arial" w:cs="Arial" w:eastAsia="Arial" w:hAnsi="Arial"/>
                <w:sz w:val="18"/>
                <w:szCs w:val="18"/>
                <w:color w:val="auto"/>
              </w:rPr>
              <w:t>Employment Contract, by and</w:t>
            </w:r>
          </w:p>
        </w:tc>
      </w:tr>
      <w:tr>
        <w:trPr>
          <w:trHeight w:val="200"/>
        </w:trPr>
        <w:tc>
          <w:tcPr>
            <w:tcW w:w="780" w:type="dxa"/>
            <w:vAlign w:val="bottom"/>
          </w:tcPr>
          <w:p>
            <w:pPr>
              <w:spacing w:after="0"/>
              <w:rPr>
                <w:sz w:val="17"/>
                <w:szCs w:val="17"/>
                <w:color w:val="auto"/>
              </w:rPr>
            </w:pPr>
          </w:p>
        </w:tc>
        <w:tc>
          <w:tcPr>
            <w:tcW w:w="3080" w:type="dxa"/>
            <w:vAlign w:val="bottom"/>
          </w:tcPr>
          <w:p>
            <w:pPr>
              <w:ind w:left="240"/>
              <w:spacing w:after="0" w:line="201" w:lineRule="exact"/>
              <w:rPr>
                <w:sz w:val="20"/>
                <w:szCs w:val="20"/>
                <w:color w:val="auto"/>
              </w:rPr>
            </w:pPr>
            <w:r>
              <w:rPr>
                <w:rFonts w:ascii="Arial" w:cs="Arial" w:eastAsia="Arial" w:hAnsi="Arial"/>
                <w:sz w:val="18"/>
                <w:szCs w:val="18"/>
                <w:color w:val="auto"/>
              </w:rPr>
              <w:t>between Shanghai ShouTi</w:t>
            </w:r>
          </w:p>
        </w:tc>
      </w:tr>
      <w:tr>
        <w:trPr>
          <w:trHeight w:val="200"/>
        </w:trPr>
        <w:tc>
          <w:tcPr>
            <w:tcW w:w="780" w:type="dxa"/>
            <w:vAlign w:val="bottom"/>
          </w:tcPr>
          <w:p>
            <w:pPr>
              <w:spacing w:after="0"/>
              <w:rPr>
                <w:sz w:val="17"/>
                <w:szCs w:val="17"/>
                <w:color w:val="auto"/>
              </w:rPr>
            </w:pPr>
          </w:p>
        </w:tc>
        <w:tc>
          <w:tcPr>
            <w:tcW w:w="3080" w:type="dxa"/>
            <w:vAlign w:val="bottom"/>
          </w:tcPr>
          <w:p>
            <w:pPr>
              <w:ind w:left="240"/>
              <w:spacing w:after="0" w:line="201" w:lineRule="exact"/>
              <w:rPr>
                <w:sz w:val="20"/>
                <w:szCs w:val="20"/>
                <w:color w:val="auto"/>
              </w:rPr>
            </w:pPr>
            <w:r>
              <w:rPr>
                <w:rFonts w:ascii="Arial" w:cs="Arial" w:eastAsia="Arial" w:hAnsi="Arial"/>
                <w:sz w:val="18"/>
                <w:szCs w:val="18"/>
                <w:color w:val="auto"/>
              </w:rPr>
              <w:t>Biotechnology Co., Ltd. and Xichen</w:t>
            </w:r>
          </w:p>
        </w:tc>
      </w:tr>
      <w:tr>
        <w:trPr>
          <w:trHeight w:val="245"/>
        </w:trPr>
        <w:tc>
          <w:tcPr>
            <w:tcW w:w="780" w:type="dxa"/>
            <w:vAlign w:val="bottom"/>
          </w:tcPr>
          <w:p>
            <w:pPr>
              <w:spacing w:after="0"/>
              <w:rPr>
                <w:sz w:val="21"/>
                <w:szCs w:val="21"/>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Lin, dated July 22, 2019.</w:t>
            </w:r>
          </w:p>
        </w:tc>
      </w:tr>
      <w:tr>
        <w:trPr>
          <w:trHeight w:val="314"/>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3080" w:type="dxa"/>
            <w:vAlign w:val="bottom"/>
          </w:tcPr>
          <w:p>
            <w:pPr>
              <w:ind w:left="240"/>
              <w:spacing w:after="0"/>
              <w:rPr>
                <w:sz w:val="20"/>
                <w:szCs w:val="20"/>
                <w:color w:val="auto"/>
              </w:rPr>
            </w:pPr>
            <w:r>
              <w:rPr>
                <w:rFonts w:ascii="Arial" w:cs="Arial" w:eastAsia="Arial" w:hAnsi="Arial"/>
                <w:sz w:val="18"/>
                <w:szCs w:val="18"/>
                <w:color w:val="auto"/>
              </w:rPr>
              <w:t>Employment Contract, by and</w:t>
            </w:r>
          </w:p>
        </w:tc>
      </w:tr>
      <w:tr>
        <w:trPr>
          <w:trHeight w:val="200"/>
        </w:trPr>
        <w:tc>
          <w:tcPr>
            <w:tcW w:w="780" w:type="dxa"/>
            <w:vAlign w:val="bottom"/>
          </w:tcPr>
          <w:p>
            <w:pPr>
              <w:spacing w:after="0"/>
              <w:rPr>
                <w:sz w:val="17"/>
                <w:szCs w:val="17"/>
                <w:color w:val="auto"/>
              </w:rPr>
            </w:pPr>
          </w:p>
        </w:tc>
        <w:tc>
          <w:tcPr>
            <w:tcW w:w="3080" w:type="dxa"/>
            <w:vAlign w:val="bottom"/>
          </w:tcPr>
          <w:p>
            <w:pPr>
              <w:ind w:left="240"/>
              <w:spacing w:after="0" w:line="201" w:lineRule="exact"/>
              <w:rPr>
                <w:sz w:val="20"/>
                <w:szCs w:val="20"/>
                <w:color w:val="auto"/>
              </w:rPr>
            </w:pPr>
            <w:r>
              <w:rPr>
                <w:rFonts w:ascii="Arial" w:cs="Arial" w:eastAsia="Arial" w:hAnsi="Arial"/>
                <w:sz w:val="18"/>
                <w:szCs w:val="18"/>
                <w:color w:val="auto"/>
              </w:rPr>
              <w:t>between Shanghai ShouTi</w:t>
            </w:r>
          </w:p>
        </w:tc>
      </w:tr>
      <w:tr>
        <w:trPr>
          <w:trHeight w:val="200"/>
        </w:trPr>
        <w:tc>
          <w:tcPr>
            <w:tcW w:w="780" w:type="dxa"/>
            <w:vAlign w:val="bottom"/>
          </w:tcPr>
          <w:p>
            <w:pPr>
              <w:spacing w:after="0"/>
              <w:rPr>
                <w:sz w:val="17"/>
                <w:szCs w:val="17"/>
                <w:color w:val="auto"/>
              </w:rPr>
            </w:pPr>
          </w:p>
        </w:tc>
        <w:tc>
          <w:tcPr>
            <w:tcW w:w="3080" w:type="dxa"/>
            <w:vAlign w:val="bottom"/>
          </w:tcPr>
          <w:p>
            <w:pPr>
              <w:ind w:left="240"/>
              <w:spacing w:after="0" w:line="201" w:lineRule="exact"/>
              <w:rPr>
                <w:sz w:val="20"/>
                <w:szCs w:val="20"/>
                <w:color w:val="auto"/>
              </w:rPr>
            </w:pPr>
            <w:r>
              <w:rPr>
                <w:rFonts w:ascii="Arial" w:cs="Arial" w:eastAsia="Arial" w:hAnsi="Arial"/>
                <w:sz w:val="18"/>
                <w:szCs w:val="18"/>
                <w:color w:val="auto"/>
              </w:rPr>
              <w:t>Biotechnology Co., Ltd. and Yingli</w:t>
            </w:r>
          </w:p>
        </w:tc>
      </w:tr>
      <w:tr>
        <w:trPr>
          <w:trHeight w:val="245"/>
        </w:trPr>
        <w:tc>
          <w:tcPr>
            <w:tcW w:w="780" w:type="dxa"/>
            <w:vAlign w:val="bottom"/>
          </w:tcPr>
          <w:p>
            <w:pPr>
              <w:spacing w:after="0"/>
              <w:rPr>
                <w:sz w:val="21"/>
                <w:szCs w:val="21"/>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Ma, dated November 1, 2022.</w:t>
            </w:r>
          </w:p>
        </w:tc>
      </w:tr>
      <w:tr>
        <w:trPr>
          <w:trHeight w:val="314"/>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3080" w:type="dxa"/>
            <w:vAlign w:val="bottom"/>
          </w:tcPr>
          <w:p>
            <w:pPr>
              <w:ind w:left="240"/>
              <w:spacing w:after="0"/>
              <w:rPr>
                <w:sz w:val="20"/>
                <w:szCs w:val="20"/>
                <w:color w:val="auto"/>
              </w:rPr>
            </w:pPr>
            <w:r>
              <w:rPr>
                <w:rFonts w:ascii="Arial" w:cs="Arial" w:eastAsia="Arial" w:hAnsi="Arial"/>
                <w:sz w:val="18"/>
                <w:szCs w:val="18"/>
                <w:color w:val="auto"/>
              </w:rPr>
              <w:t>Supplemental Agreement, by and</w:t>
            </w:r>
          </w:p>
        </w:tc>
      </w:tr>
      <w:tr>
        <w:trPr>
          <w:trHeight w:val="200"/>
        </w:trPr>
        <w:tc>
          <w:tcPr>
            <w:tcW w:w="780" w:type="dxa"/>
            <w:vAlign w:val="bottom"/>
          </w:tcPr>
          <w:p>
            <w:pPr>
              <w:spacing w:after="0"/>
              <w:rPr>
                <w:sz w:val="17"/>
                <w:szCs w:val="17"/>
                <w:color w:val="auto"/>
              </w:rPr>
            </w:pPr>
          </w:p>
        </w:tc>
        <w:tc>
          <w:tcPr>
            <w:tcW w:w="3080" w:type="dxa"/>
            <w:vAlign w:val="bottom"/>
          </w:tcPr>
          <w:p>
            <w:pPr>
              <w:ind w:left="240"/>
              <w:spacing w:after="0" w:line="201" w:lineRule="exact"/>
              <w:rPr>
                <w:sz w:val="20"/>
                <w:szCs w:val="20"/>
                <w:color w:val="auto"/>
              </w:rPr>
            </w:pPr>
            <w:r>
              <w:rPr>
                <w:rFonts w:ascii="Arial" w:cs="Arial" w:eastAsia="Arial" w:hAnsi="Arial"/>
                <w:sz w:val="18"/>
                <w:szCs w:val="18"/>
                <w:color w:val="auto"/>
              </w:rPr>
              <w:t>among Shanghai Basecamp</w:t>
            </w:r>
          </w:p>
        </w:tc>
      </w:tr>
      <w:tr>
        <w:trPr>
          <w:trHeight w:val="200"/>
        </w:trPr>
        <w:tc>
          <w:tcPr>
            <w:tcW w:w="780" w:type="dxa"/>
            <w:vAlign w:val="bottom"/>
          </w:tcPr>
          <w:p>
            <w:pPr>
              <w:spacing w:after="0"/>
              <w:rPr>
                <w:sz w:val="17"/>
                <w:szCs w:val="17"/>
                <w:color w:val="auto"/>
              </w:rPr>
            </w:pPr>
          </w:p>
        </w:tc>
        <w:tc>
          <w:tcPr>
            <w:tcW w:w="3080" w:type="dxa"/>
            <w:vAlign w:val="bottom"/>
          </w:tcPr>
          <w:p>
            <w:pPr>
              <w:ind w:left="240"/>
              <w:spacing w:after="0" w:line="201" w:lineRule="exact"/>
              <w:rPr>
                <w:sz w:val="20"/>
                <w:szCs w:val="20"/>
                <w:color w:val="auto"/>
              </w:rPr>
            </w:pPr>
            <w:r>
              <w:rPr>
                <w:rFonts w:ascii="Arial" w:cs="Arial" w:eastAsia="Arial" w:hAnsi="Arial"/>
                <w:sz w:val="18"/>
                <w:szCs w:val="18"/>
                <w:color w:val="auto"/>
              </w:rPr>
              <w:t>Biotechnology Co., Ltd., Shanghai</w:t>
            </w:r>
          </w:p>
        </w:tc>
      </w:tr>
      <w:tr>
        <w:trPr>
          <w:trHeight w:val="200"/>
        </w:trPr>
        <w:tc>
          <w:tcPr>
            <w:tcW w:w="780" w:type="dxa"/>
            <w:vAlign w:val="bottom"/>
          </w:tcPr>
          <w:p>
            <w:pPr>
              <w:spacing w:after="0"/>
              <w:rPr>
                <w:sz w:val="17"/>
                <w:szCs w:val="17"/>
                <w:color w:val="auto"/>
              </w:rPr>
            </w:pPr>
          </w:p>
        </w:tc>
        <w:tc>
          <w:tcPr>
            <w:tcW w:w="3080" w:type="dxa"/>
            <w:vAlign w:val="bottom"/>
          </w:tcPr>
          <w:p>
            <w:pPr>
              <w:ind w:left="240"/>
              <w:spacing w:after="0" w:line="201" w:lineRule="exact"/>
              <w:rPr>
                <w:sz w:val="20"/>
                <w:szCs w:val="20"/>
                <w:color w:val="auto"/>
              </w:rPr>
            </w:pPr>
            <w:r>
              <w:rPr>
                <w:rFonts w:ascii="Arial" w:cs="Arial" w:eastAsia="Arial" w:hAnsi="Arial"/>
                <w:sz w:val="18"/>
                <w:szCs w:val="18"/>
                <w:color w:val="auto"/>
                <w:w w:val="99"/>
              </w:rPr>
              <w:t>ShouTi Biotechnology Co., Ltd. and</w:t>
            </w:r>
          </w:p>
        </w:tc>
      </w:tr>
      <w:tr>
        <w:trPr>
          <w:trHeight w:val="245"/>
        </w:trPr>
        <w:tc>
          <w:tcPr>
            <w:tcW w:w="780" w:type="dxa"/>
            <w:vAlign w:val="bottom"/>
          </w:tcPr>
          <w:p>
            <w:pPr>
              <w:spacing w:after="0"/>
              <w:rPr>
                <w:sz w:val="21"/>
                <w:szCs w:val="21"/>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Yingli Ma, dated October 31, 2022.</w:t>
            </w:r>
          </w:p>
        </w:tc>
      </w:tr>
      <w:tr>
        <w:trPr>
          <w:trHeight w:val="465"/>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3080" w:type="dxa"/>
            <w:vAlign w:val="bottom"/>
          </w:tcPr>
          <w:p>
            <w:pPr>
              <w:ind w:left="240"/>
              <w:spacing w:after="0"/>
              <w:rPr>
                <w:sz w:val="20"/>
                <w:szCs w:val="20"/>
                <w:color w:val="auto"/>
              </w:rPr>
            </w:pPr>
            <w:r>
              <w:rPr>
                <w:rFonts w:ascii="Arial" w:cs="Arial" w:eastAsia="Arial" w:hAnsi="Arial"/>
                <w:sz w:val="18"/>
                <w:szCs w:val="18"/>
                <w:color w:val="auto"/>
              </w:rPr>
              <w:t>Non-Employee Director</w:t>
            </w:r>
          </w:p>
        </w:tc>
      </w:tr>
      <w:tr>
        <w:trPr>
          <w:trHeight w:val="245"/>
        </w:trPr>
        <w:tc>
          <w:tcPr>
            <w:tcW w:w="780" w:type="dxa"/>
            <w:vAlign w:val="bottom"/>
          </w:tcPr>
          <w:p>
            <w:pPr>
              <w:spacing w:after="0"/>
              <w:rPr>
                <w:sz w:val="21"/>
                <w:szCs w:val="21"/>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Compensation Policy.</w:t>
            </w:r>
          </w:p>
        </w:tc>
      </w:tr>
      <w:tr>
        <w:trPr>
          <w:trHeight w:val="321"/>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3080" w:type="dxa"/>
            <w:vAlign w:val="bottom"/>
          </w:tcPr>
          <w:p>
            <w:pPr>
              <w:ind w:left="240"/>
              <w:spacing w:after="0"/>
              <w:rPr>
                <w:sz w:val="20"/>
                <w:szCs w:val="20"/>
                <w:color w:val="auto"/>
              </w:rPr>
            </w:pPr>
            <w:r>
              <w:rPr>
                <w:rFonts w:ascii="Arial" w:cs="Arial" w:eastAsia="Arial" w:hAnsi="Arial"/>
                <w:sz w:val="18"/>
                <w:szCs w:val="18"/>
                <w:color w:val="auto"/>
              </w:rPr>
              <w:t>Severance and Change in Control</w:t>
            </w:r>
          </w:p>
        </w:tc>
      </w:tr>
      <w:tr>
        <w:trPr>
          <w:trHeight w:val="245"/>
        </w:trPr>
        <w:tc>
          <w:tcPr>
            <w:tcW w:w="780" w:type="dxa"/>
            <w:vAlign w:val="bottom"/>
          </w:tcPr>
          <w:p>
            <w:pPr>
              <w:spacing w:after="0"/>
              <w:rPr>
                <w:sz w:val="21"/>
                <w:szCs w:val="21"/>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Plan.</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333-269200</w:t>
            </w: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10.6</w:t>
            </w:r>
          </w:p>
        </w:tc>
        <w:tc>
          <w:tcPr>
            <w:tcW w:w="1240" w:type="dxa"/>
            <w:vAlign w:val="bottom"/>
          </w:tcPr>
          <w:p>
            <w:pPr>
              <w:jc w:val="center"/>
              <w:ind w:left="210"/>
              <w:spacing w:after="0"/>
              <w:rPr>
                <w:sz w:val="20"/>
                <w:szCs w:val="20"/>
                <w:color w:val="auto"/>
              </w:rPr>
            </w:pPr>
            <w:r>
              <w:rPr>
                <w:rFonts w:ascii="Arial" w:cs="Arial" w:eastAsia="Arial" w:hAnsi="Arial"/>
                <w:sz w:val="18"/>
                <w:szCs w:val="18"/>
                <w:color w:val="auto"/>
                <w:w w:val="99"/>
              </w:rPr>
              <w:t>January 12,</w:t>
            </w:r>
          </w:p>
        </w:tc>
      </w:tr>
      <w:tr>
        <w:trPr>
          <w:trHeight w:val="245"/>
        </w:trPr>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2023</w:t>
            </w:r>
          </w:p>
        </w:tc>
      </w:tr>
      <w:tr>
        <w:trPr>
          <w:trHeight w:val="1083"/>
        </w:trPr>
        <w:tc>
          <w:tcPr>
            <w:tcW w:w="54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333-269200</w:t>
            </w: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1240" w:type="dxa"/>
            <w:vAlign w:val="bottom"/>
          </w:tcPr>
          <w:p>
            <w:pPr>
              <w:jc w:val="center"/>
              <w:ind w:left="210"/>
              <w:spacing w:after="0"/>
              <w:rPr>
                <w:sz w:val="20"/>
                <w:szCs w:val="20"/>
                <w:color w:val="auto"/>
              </w:rPr>
            </w:pPr>
            <w:r>
              <w:rPr>
                <w:rFonts w:ascii="Arial" w:cs="Arial" w:eastAsia="Arial" w:hAnsi="Arial"/>
                <w:sz w:val="18"/>
                <w:szCs w:val="18"/>
                <w:color w:val="auto"/>
                <w:w w:val="99"/>
              </w:rPr>
              <w:t>January 12,</w:t>
            </w:r>
          </w:p>
        </w:tc>
      </w:tr>
      <w:tr>
        <w:trPr>
          <w:trHeight w:val="245"/>
        </w:trPr>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2023</w:t>
            </w:r>
          </w:p>
        </w:tc>
      </w:tr>
      <w:tr>
        <w:trPr>
          <w:trHeight w:val="975"/>
        </w:trPr>
        <w:tc>
          <w:tcPr>
            <w:tcW w:w="54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333-269200</w:t>
            </w: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1240" w:type="dxa"/>
            <w:vAlign w:val="bottom"/>
          </w:tcPr>
          <w:p>
            <w:pPr>
              <w:jc w:val="center"/>
              <w:ind w:left="210"/>
              <w:spacing w:after="0"/>
              <w:rPr>
                <w:sz w:val="20"/>
                <w:szCs w:val="20"/>
                <w:color w:val="auto"/>
              </w:rPr>
            </w:pPr>
            <w:r>
              <w:rPr>
                <w:rFonts w:ascii="Arial" w:cs="Arial" w:eastAsia="Arial" w:hAnsi="Arial"/>
                <w:sz w:val="18"/>
                <w:szCs w:val="18"/>
                <w:color w:val="auto"/>
                <w:w w:val="99"/>
              </w:rPr>
              <w:t>January 12,</w:t>
            </w:r>
          </w:p>
        </w:tc>
      </w:tr>
      <w:tr>
        <w:trPr>
          <w:trHeight w:val="245"/>
        </w:trPr>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2023</w:t>
            </w:r>
          </w:p>
        </w:tc>
      </w:tr>
      <w:tr>
        <w:trPr>
          <w:trHeight w:val="1112"/>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001-41608</w:t>
            </w: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March 30,</w:t>
            </w:r>
          </w:p>
        </w:tc>
      </w:tr>
      <w:tr>
        <w:trPr>
          <w:trHeight w:val="245"/>
        </w:trPr>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2023</w:t>
            </w:r>
          </w:p>
        </w:tc>
      </w:tr>
      <w:tr>
        <w:trPr>
          <w:trHeight w:val="298"/>
        </w:trPr>
        <w:tc>
          <w:tcPr>
            <w:tcW w:w="54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333-269200</w:t>
            </w:r>
          </w:p>
        </w:tc>
        <w:tc>
          <w:tcPr>
            <w:tcW w:w="1000" w:type="dxa"/>
            <w:vAlign w:val="bottom"/>
          </w:tcPr>
          <w:p>
            <w:pPr>
              <w:jc w:val="center"/>
              <w:spacing w:after="0"/>
              <w:rPr>
                <w:sz w:val="20"/>
                <w:szCs w:val="20"/>
                <w:color w:val="auto"/>
              </w:rPr>
            </w:pPr>
            <w:r>
              <w:rPr>
                <w:rFonts w:ascii="Arial" w:cs="Arial" w:eastAsia="Arial" w:hAnsi="Arial"/>
                <w:sz w:val="18"/>
                <w:szCs w:val="18"/>
                <w:color w:val="auto"/>
              </w:rPr>
              <w:t>10.10</w:t>
            </w:r>
          </w:p>
        </w:tc>
        <w:tc>
          <w:tcPr>
            <w:tcW w:w="1240" w:type="dxa"/>
            <w:vAlign w:val="bottom"/>
          </w:tcPr>
          <w:p>
            <w:pPr>
              <w:jc w:val="center"/>
              <w:ind w:left="210"/>
              <w:spacing w:after="0"/>
              <w:rPr>
                <w:sz w:val="20"/>
                <w:szCs w:val="20"/>
                <w:color w:val="auto"/>
              </w:rPr>
            </w:pPr>
            <w:r>
              <w:rPr>
                <w:rFonts w:ascii="Arial" w:cs="Arial" w:eastAsia="Arial" w:hAnsi="Arial"/>
                <w:sz w:val="18"/>
                <w:szCs w:val="18"/>
                <w:color w:val="auto"/>
                <w:w w:val="99"/>
              </w:rPr>
              <w:t>January 12,</w:t>
            </w:r>
          </w:p>
        </w:tc>
      </w:tr>
      <w:tr>
        <w:trPr>
          <w:trHeight w:val="245"/>
        </w:trPr>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2023</w:t>
            </w:r>
          </w:p>
        </w:tc>
      </w:tr>
      <w:tr>
        <w:trPr>
          <w:trHeight w:val="715"/>
        </w:trPr>
        <w:tc>
          <w:tcPr>
            <w:tcW w:w="54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333-269200</w:t>
            </w:r>
          </w:p>
        </w:tc>
        <w:tc>
          <w:tcPr>
            <w:tcW w:w="1000" w:type="dxa"/>
            <w:vAlign w:val="bottom"/>
          </w:tcPr>
          <w:p>
            <w:pPr>
              <w:jc w:val="center"/>
              <w:spacing w:after="0"/>
              <w:rPr>
                <w:sz w:val="20"/>
                <w:szCs w:val="20"/>
                <w:color w:val="auto"/>
              </w:rPr>
            </w:pPr>
            <w:r>
              <w:rPr>
                <w:rFonts w:ascii="Arial" w:cs="Arial" w:eastAsia="Arial" w:hAnsi="Arial"/>
                <w:sz w:val="18"/>
                <w:szCs w:val="18"/>
                <w:color w:val="auto"/>
              </w:rPr>
              <w:t>10.11</w:t>
            </w:r>
          </w:p>
        </w:tc>
        <w:tc>
          <w:tcPr>
            <w:tcW w:w="1240" w:type="dxa"/>
            <w:vAlign w:val="bottom"/>
          </w:tcPr>
          <w:p>
            <w:pPr>
              <w:jc w:val="center"/>
              <w:ind w:left="210"/>
              <w:spacing w:after="0"/>
              <w:rPr>
                <w:sz w:val="20"/>
                <w:szCs w:val="20"/>
                <w:color w:val="auto"/>
              </w:rPr>
            </w:pPr>
            <w:r>
              <w:rPr>
                <w:rFonts w:ascii="Arial" w:cs="Arial" w:eastAsia="Arial" w:hAnsi="Arial"/>
                <w:sz w:val="18"/>
                <w:szCs w:val="18"/>
                <w:color w:val="auto"/>
                <w:w w:val="99"/>
              </w:rPr>
              <w:t>January 12,</w:t>
            </w:r>
          </w:p>
        </w:tc>
      </w:tr>
      <w:tr>
        <w:trPr>
          <w:trHeight w:val="245"/>
        </w:trPr>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2023</w:t>
            </w:r>
          </w:p>
        </w:tc>
      </w:tr>
      <w:tr>
        <w:trPr>
          <w:trHeight w:val="506"/>
        </w:trPr>
        <w:tc>
          <w:tcPr>
            <w:tcW w:w="54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333-269200</w:t>
            </w:r>
          </w:p>
        </w:tc>
        <w:tc>
          <w:tcPr>
            <w:tcW w:w="1000" w:type="dxa"/>
            <w:vAlign w:val="bottom"/>
          </w:tcPr>
          <w:p>
            <w:pPr>
              <w:jc w:val="center"/>
              <w:spacing w:after="0"/>
              <w:rPr>
                <w:sz w:val="20"/>
                <w:szCs w:val="20"/>
                <w:color w:val="auto"/>
              </w:rPr>
            </w:pPr>
            <w:r>
              <w:rPr>
                <w:rFonts w:ascii="Arial" w:cs="Arial" w:eastAsia="Arial" w:hAnsi="Arial"/>
                <w:sz w:val="18"/>
                <w:szCs w:val="18"/>
                <w:color w:val="auto"/>
              </w:rPr>
              <w:t>10.12</w:t>
            </w:r>
          </w:p>
        </w:tc>
        <w:tc>
          <w:tcPr>
            <w:tcW w:w="1240" w:type="dxa"/>
            <w:vAlign w:val="bottom"/>
          </w:tcPr>
          <w:p>
            <w:pPr>
              <w:jc w:val="center"/>
              <w:ind w:left="210"/>
              <w:spacing w:after="0"/>
              <w:rPr>
                <w:sz w:val="20"/>
                <w:szCs w:val="20"/>
                <w:color w:val="auto"/>
              </w:rPr>
            </w:pPr>
            <w:r>
              <w:rPr>
                <w:rFonts w:ascii="Arial" w:cs="Arial" w:eastAsia="Arial" w:hAnsi="Arial"/>
                <w:sz w:val="18"/>
                <w:szCs w:val="18"/>
                <w:color w:val="auto"/>
                <w:w w:val="99"/>
              </w:rPr>
              <w:t>January 12,</w:t>
            </w:r>
          </w:p>
        </w:tc>
      </w:tr>
      <w:tr>
        <w:trPr>
          <w:trHeight w:val="245"/>
        </w:trPr>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2023</w:t>
            </w:r>
          </w:p>
        </w:tc>
      </w:tr>
      <w:tr>
        <w:trPr>
          <w:trHeight w:val="384"/>
        </w:trPr>
        <w:tc>
          <w:tcPr>
            <w:tcW w:w="54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333-269200</w:t>
            </w:r>
          </w:p>
        </w:tc>
        <w:tc>
          <w:tcPr>
            <w:tcW w:w="1000" w:type="dxa"/>
            <w:vAlign w:val="bottom"/>
          </w:tcPr>
          <w:p>
            <w:pPr>
              <w:jc w:val="center"/>
              <w:spacing w:after="0"/>
              <w:rPr>
                <w:sz w:val="20"/>
                <w:szCs w:val="20"/>
                <w:color w:val="auto"/>
              </w:rPr>
            </w:pPr>
            <w:r>
              <w:rPr>
                <w:rFonts w:ascii="Arial" w:cs="Arial" w:eastAsia="Arial" w:hAnsi="Arial"/>
                <w:sz w:val="18"/>
                <w:szCs w:val="18"/>
                <w:color w:val="auto"/>
              </w:rPr>
              <w:t>10.13</w:t>
            </w:r>
          </w:p>
        </w:tc>
        <w:tc>
          <w:tcPr>
            <w:tcW w:w="1240" w:type="dxa"/>
            <w:vAlign w:val="bottom"/>
          </w:tcPr>
          <w:p>
            <w:pPr>
              <w:jc w:val="center"/>
              <w:ind w:left="210"/>
              <w:spacing w:after="0"/>
              <w:rPr>
                <w:sz w:val="20"/>
                <w:szCs w:val="20"/>
                <w:color w:val="auto"/>
              </w:rPr>
            </w:pPr>
            <w:r>
              <w:rPr>
                <w:rFonts w:ascii="Arial" w:cs="Arial" w:eastAsia="Arial" w:hAnsi="Arial"/>
                <w:sz w:val="18"/>
                <w:szCs w:val="18"/>
                <w:color w:val="auto"/>
                <w:w w:val="99"/>
              </w:rPr>
              <w:t>January 12,</w:t>
            </w:r>
          </w:p>
        </w:tc>
      </w:tr>
      <w:tr>
        <w:trPr>
          <w:trHeight w:val="245"/>
        </w:trPr>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2023</w:t>
            </w:r>
          </w:p>
        </w:tc>
      </w:tr>
      <w:tr>
        <w:trPr>
          <w:trHeight w:val="639"/>
        </w:trPr>
        <w:tc>
          <w:tcPr>
            <w:tcW w:w="54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333-269200</w:t>
            </w:r>
          </w:p>
        </w:tc>
        <w:tc>
          <w:tcPr>
            <w:tcW w:w="1000" w:type="dxa"/>
            <w:vAlign w:val="bottom"/>
          </w:tcPr>
          <w:p>
            <w:pPr>
              <w:jc w:val="center"/>
              <w:spacing w:after="0"/>
              <w:rPr>
                <w:sz w:val="20"/>
                <w:szCs w:val="20"/>
                <w:color w:val="auto"/>
              </w:rPr>
            </w:pPr>
            <w:r>
              <w:rPr>
                <w:rFonts w:ascii="Arial" w:cs="Arial" w:eastAsia="Arial" w:hAnsi="Arial"/>
                <w:sz w:val="18"/>
                <w:szCs w:val="18"/>
                <w:color w:val="auto"/>
              </w:rPr>
              <w:t>10.15</w:t>
            </w:r>
          </w:p>
        </w:tc>
        <w:tc>
          <w:tcPr>
            <w:tcW w:w="1240" w:type="dxa"/>
            <w:vAlign w:val="bottom"/>
          </w:tcPr>
          <w:p>
            <w:pPr>
              <w:jc w:val="center"/>
              <w:ind w:left="210"/>
              <w:spacing w:after="0"/>
              <w:rPr>
                <w:sz w:val="20"/>
                <w:szCs w:val="20"/>
                <w:color w:val="auto"/>
              </w:rPr>
            </w:pPr>
            <w:r>
              <w:rPr>
                <w:rFonts w:ascii="Arial" w:cs="Arial" w:eastAsia="Arial" w:hAnsi="Arial"/>
                <w:sz w:val="18"/>
                <w:szCs w:val="18"/>
                <w:color w:val="auto"/>
                <w:w w:val="99"/>
              </w:rPr>
              <w:t>January 12,</w:t>
            </w:r>
          </w:p>
        </w:tc>
      </w:tr>
      <w:tr>
        <w:trPr>
          <w:trHeight w:val="245"/>
        </w:trPr>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2023</w:t>
            </w:r>
          </w:p>
        </w:tc>
      </w:tr>
      <w:tr>
        <w:trPr>
          <w:trHeight w:val="715"/>
        </w:trPr>
        <w:tc>
          <w:tcPr>
            <w:tcW w:w="54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333-269200</w:t>
            </w:r>
          </w:p>
        </w:tc>
        <w:tc>
          <w:tcPr>
            <w:tcW w:w="1000" w:type="dxa"/>
            <w:vAlign w:val="bottom"/>
          </w:tcPr>
          <w:p>
            <w:pPr>
              <w:jc w:val="center"/>
              <w:spacing w:after="0"/>
              <w:rPr>
                <w:sz w:val="20"/>
                <w:szCs w:val="20"/>
                <w:color w:val="auto"/>
              </w:rPr>
            </w:pPr>
            <w:r>
              <w:rPr>
                <w:rFonts w:ascii="Arial" w:cs="Arial" w:eastAsia="Arial" w:hAnsi="Arial"/>
                <w:sz w:val="18"/>
                <w:szCs w:val="18"/>
                <w:color w:val="auto"/>
              </w:rPr>
              <w:t>10.16</w:t>
            </w:r>
          </w:p>
        </w:tc>
        <w:tc>
          <w:tcPr>
            <w:tcW w:w="1240" w:type="dxa"/>
            <w:vAlign w:val="bottom"/>
          </w:tcPr>
          <w:p>
            <w:pPr>
              <w:jc w:val="center"/>
              <w:ind w:left="210"/>
              <w:spacing w:after="0"/>
              <w:rPr>
                <w:sz w:val="20"/>
                <w:szCs w:val="20"/>
                <w:color w:val="auto"/>
              </w:rPr>
            </w:pPr>
            <w:r>
              <w:rPr>
                <w:rFonts w:ascii="Arial" w:cs="Arial" w:eastAsia="Arial" w:hAnsi="Arial"/>
                <w:sz w:val="18"/>
                <w:szCs w:val="18"/>
                <w:color w:val="auto"/>
                <w:w w:val="99"/>
              </w:rPr>
              <w:t>January 12,</w:t>
            </w:r>
          </w:p>
        </w:tc>
      </w:tr>
      <w:tr>
        <w:trPr>
          <w:trHeight w:val="245"/>
        </w:trPr>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2023</w:t>
            </w:r>
          </w:p>
        </w:tc>
      </w:tr>
      <w:tr>
        <w:trPr>
          <w:trHeight w:val="715"/>
        </w:trPr>
        <w:tc>
          <w:tcPr>
            <w:tcW w:w="54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333-269200</w:t>
            </w:r>
          </w:p>
        </w:tc>
        <w:tc>
          <w:tcPr>
            <w:tcW w:w="1000" w:type="dxa"/>
            <w:vAlign w:val="bottom"/>
          </w:tcPr>
          <w:p>
            <w:pPr>
              <w:jc w:val="center"/>
              <w:spacing w:after="0"/>
              <w:rPr>
                <w:sz w:val="20"/>
                <w:szCs w:val="20"/>
                <w:color w:val="auto"/>
              </w:rPr>
            </w:pPr>
            <w:r>
              <w:rPr>
                <w:rFonts w:ascii="Arial" w:cs="Arial" w:eastAsia="Arial" w:hAnsi="Arial"/>
                <w:sz w:val="18"/>
                <w:szCs w:val="18"/>
                <w:color w:val="auto"/>
              </w:rPr>
              <w:t>10.17</w:t>
            </w:r>
          </w:p>
        </w:tc>
        <w:tc>
          <w:tcPr>
            <w:tcW w:w="1240" w:type="dxa"/>
            <w:vAlign w:val="bottom"/>
          </w:tcPr>
          <w:p>
            <w:pPr>
              <w:jc w:val="center"/>
              <w:ind w:left="210"/>
              <w:spacing w:after="0"/>
              <w:rPr>
                <w:sz w:val="20"/>
                <w:szCs w:val="20"/>
                <w:color w:val="auto"/>
              </w:rPr>
            </w:pPr>
            <w:r>
              <w:rPr>
                <w:rFonts w:ascii="Arial" w:cs="Arial" w:eastAsia="Arial" w:hAnsi="Arial"/>
                <w:sz w:val="18"/>
                <w:szCs w:val="18"/>
                <w:color w:val="auto"/>
                <w:w w:val="99"/>
              </w:rPr>
              <w:t>January 12,</w:t>
            </w:r>
          </w:p>
        </w:tc>
      </w:tr>
      <w:tr>
        <w:trPr>
          <w:trHeight w:val="245"/>
        </w:trPr>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2023</w:t>
            </w:r>
          </w:p>
        </w:tc>
      </w:tr>
      <w:tr>
        <w:trPr>
          <w:trHeight w:val="1051"/>
        </w:trPr>
        <w:tc>
          <w:tcPr>
            <w:tcW w:w="54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001-41608</w:t>
            </w: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August 4,</w:t>
            </w:r>
          </w:p>
        </w:tc>
      </w:tr>
      <w:tr>
        <w:trPr>
          <w:trHeight w:val="245"/>
        </w:trPr>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2023</w:t>
            </w:r>
          </w:p>
        </w:tc>
      </w:tr>
      <w:tr>
        <w:trPr>
          <w:trHeight w:val="321"/>
        </w:trPr>
        <w:tc>
          <w:tcPr>
            <w:tcW w:w="540" w:type="dxa"/>
            <w:vAlign w:val="bottom"/>
          </w:tcPr>
          <w:p>
            <w:pPr>
              <w:jc w:val="center"/>
              <w:ind w:right="50"/>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333-269200</w:t>
            </w:r>
          </w:p>
        </w:tc>
        <w:tc>
          <w:tcPr>
            <w:tcW w:w="1000" w:type="dxa"/>
            <w:vAlign w:val="bottom"/>
          </w:tcPr>
          <w:p>
            <w:pPr>
              <w:jc w:val="center"/>
              <w:spacing w:after="0"/>
              <w:rPr>
                <w:sz w:val="20"/>
                <w:szCs w:val="20"/>
                <w:color w:val="auto"/>
              </w:rPr>
            </w:pPr>
            <w:r>
              <w:rPr>
                <w:rFonts w:ascii="Arial" w:cs="Arial" w:eastAsia="Arial" w:hAnsi="Arial"/>
                <w:sz w:val="18"/>
                <w:szCs w:val="18"/>
                <w:color w:val="auto"/>
              </w:rPr>
              <w:t>10.23</w:t>
            </w:r>
          </w:p>
        </w:tc>
        <w:tc>
          <w:tcPr>
            <w:tcW w:w="1240" w:type="dxa"/>
            <w:vAlign w:val="bottom"/>
          </w:tcPr>
          <w:p>
            <w:pPr>
              <w:jc w:val="center"/>
              <w:ind w:left="210"/>
              <w:spacing w:after="0"/>
              <w:rPr>
                <w:sz w:val="20"/>
                <w:szCs w:val="20"/>
                <w:color w:val="auto"/>
              </w:rPr>
            </w:pPr>
            <w:r>
              <w:rPr>
                <w:rFonts w:ascii="Arial" w:cs="Arial" w:eastAsia="Arial" w:hAnsi="Arial"/>
                <w:sz w:val="18"/>
                <w:szCs w:val="18"/>
                <w:color w:val="auto"/>
                <w:w w:val="99"/>
              </w:rPr>
              <w:t>January 12,</w:t>
            </w:r>
          </w:p>
        </w:tc>
      </w:tr>
      <w:tr>
        <w:trPr>
          <w:trHeight w:val="245"/>
        </w:trPr>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color w:val="auto"/>
                <w:w w:val="99"/>
              </w:rPr>
              <w:t>2023</w:t>
            </w:r>
          </w:p>
        </w:tc>
      </w:tr>
    </w:tbl>
    <w:p>
      <w:pPr>
        <w:spacing w:after="0" w:line="200" w:lineRule="exact"/>
        <w:rPr>
          <w:sz w:val="20"/>
          <w:szCs w:val="20"/>
          <w:color w:val="auto"/>
        </w:rPr>
      </w:pPr>
    </w:p>
    <w:p>
      <w:pPr>
        <w:sectPr>
          <w:pgSz w:w="11880" w:h="15480" w:orient="portrait"/>
          <w:cols w:equalWidth="0" w:num="2">
            <w:col w:w="3860" w:space="380"/>
            <w:col w:w="5060"/>
          </w:cols>
          <w:pgMar w:left="1140" w:top="1120" w:right="144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211</w:t>
      </w:r>
    </w:p>
    <w:p>
      <w:pPr>
        <w:sectPr>
          <w:pgSz w:w="11880" w:h="15480" w:orient="portrait"/>
          <w:cols w:equalWidth="0" w:num="1">
            <w:col w:w="9300"/>
          </w:cols>
          <w:pgMar w:left="1140" w:top="1120" w:right="1440" w:bottom="555" w:gutter="0" w:footer="0" w:header="0"/>
          <w:type w:val="continuous"/>
        </w:sectPr>
      </w:pPr>
    </w:p>
    <w:bookmarkStart w:id="213" w:name="page214"/>
    <w:bookmarkEnd w:id="213"/>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10.19*</w:t>
            </w:r>
          </w:p>
        </w:tc>
        <w:tc>
          <w:tcPr>
            <w:tcW w:w="3300" w:type="dxa"/>
            <w:vAlign w:val="bottom"/>
          </w:tcPr>
          <w:p>
            <w:pPr>
              <w:ind w:left="260"/>
              <w:spacing w:after="0"/>
              <w:rPr>
                <w:sz w:val="20"/>
                <w:szCs w:val="20"/>
                <w:color w:val="auto"/>
              </w:rPr>
            </w:pPr>
            <w:r>
              <w:rPr>
                <w:rFonts w:ascii="Arial" w:cs="Arial" w:eastAsia="Arial" w:hAnsi="Arial"/>
                <w:sz w:val="18"/>
                <w:szCs w:val="18"/>
                <w:color w:val="auto"/>
              </w:rPr>
              <w:t>Collaboration Agreement, by and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9"/>
              </w:rPr>
              <w:t>333-269200</w:t>
            </w:r>
          </w:p>
        </w:tc>
        <w:tc>
          <w:tcPr>
            <w:tcW w:w="940" w:type="dxa"/>
            <w:vAlign w:val="bottom"/>
          </w:tcPr>
          <w:p>
            <w:pPr>
              <w:jc w:val="center"/>
              <w:spacing w:after="0"/>
              <w:rPr>
                <w:sz w:val="20"/>
                <w:szCs w:val="20"/>
                <w:color w:val="auto"/>
              </w:rPr>
            </w:pPr>
            <w:r>
              <w:rPr>
                <w:rFonts w:ascii="Arial" w:cs="Arial" w:eastAsia="Arial" w:hAnsi="Arial"/>
                <w:sz w:val="18"/>
                <w:szCs w:val="18"/>
                <w:color w:val="auto"/>
              </w:rPr>
              <w:t>10.24</w:t>
            </w:r>
          </w:p>
        </w:tc>
        <w:tc>
          <w:tcPr>
            <w:tcW w:w="2200" w:type="dxa"/>
            <w:vAlign w:val="bottom"/>
          </w:tcPr>
          <w:p>
            <w:pPr>
              <w:jc w:val="center"/>
              <w:ind w:right="450"/>
              <w:spacing w:after="0"/>
              <w:rPr>
                <w:sz w:val="20"/>
                <w:szCs w:val="20"/>
                <w:color w:val="auto"/>
              </w:rPr>
            </w:pPr>
            <w:r>
              <w:rPr>
                <w:rFonts w:ascii="Arial" w:cs="Arial" w:eastAsia="Arial" w:hAnsi="Arial"/>
                <w:sz w:val="18"/>
                <w:szCs w:val="18"/>
                <w:color w:val="auto"/>
                <w:w w:val="99"/>
              </w:rPr>
              <w:t>January 12,</w:t>
            </w:r>
          </w:p>
        </w:tc>
      </w:tr>
      <w:tr>
        <w:trPr>
          <w:trHeight w:val="219"/>
        </w:trPr>
        <w:tc>
          <w:tcPr>
            <w:tcW w:w="760" w:type="dxa"/>
            <w:vAlign w:val="bottom"/>
          </w:tcPr>
          <w:p>
            <w:pPr>
              <w:spacing w:after="0"/>
              <w:rPr>
                <w:sz w:val="19"/>
                <w:szCs w:val="19"/>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between Lhotse Bio, Inc. and</w:t>
            </w:r>
          </w:p>
        </w:tc>
        <w:tc>
          <w:tcPr>
            <w:tcW w:w="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0" w:type="dxa"/>
            <w:vAlign w:val="bottom"/>
          </w:tcPr>
          <w:p>
            <w:pPr>
              <w:jc w:val="right"/>
              <w:ind w:right="1090"/>
              <w:spacing w:after="0"/>
              <w:rPr>
                <w:sz w:val="20"/>
                <w:szCs w:val="20"/>
                <w:color w:val="auto"/>
              </w:rPr>
            </w:pPr>
            <w:r>
              <w:rPr>
                <w:rFonts w:ascii="Arial" w:cs="Arial" w:eastAsia="Arial" w:hAnsi="Arial"/>
                <w:sz w:val="18"/>
                <w:szCs w:val="18"/>
                <w:color w:val="auto"/>
              </w:rPr>
              <w:t>2023</w:t>
            </w:r>
          </w:p>
        </w:tc>
      </w:tr>
      <w:tr>
        <w:trPr>
          <w:trHeight w:val="196"/>
        </w:trPr>
        <w:tc>
          <w:tcPr>
            <w:tcW w:w="760" w:type="dxa"/>
            <w:vAlign w:val="bottom"/>
          </w:tcPr>
          <w:p>
            <w:pPr>
              <w:spacing w:after="0"/>
              <w:rPr>
                <w:sz w:val="17"/>
                <w:szCs w:val="17"/>
                <w:color w:val="auto"/>
              </w:rPr>
            </w:pPr>
          </w:p>
        </w:tc>
        <w:tc>
          <w:tcPr>
            <w:tcW w:w="3300" w:type="dxa"/>
            <w:vAlign w:val="bottom"/>
          </w:tcPr>
          <w:p>
            <w:pPr>
              <w:ind w:left="260"/>
              <w:spacing w:after="0" w:line="195" w:lineRule="exact"/>
              <w:rPr>
                <w:sz w:val="20"/>
                <w:szCs w:val="20"/>
                <w:color w:val="auto"/>
              </w:rPr>
            </w:pPr>
            <w:r>
              <w:rPr>
                <w:rFonts w:ascii="Arial" w:cs="Arial" w:eastAsia="Arial" w:hAnsi="Arial"/>
                <w:sz w:val="18"/>
                <w:szCs w:val="18"/>
                <w:color w:val="auto"/>
              </w:rPr>
              <w:t>Schrödinger, LLC, dated October 9,</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45"/>
        </w:trPr>
        <w:tc>
          <w:tcPr>
            <w:tcW w:w="760" w:type="dxa"/>
            <w:vAlign w:val="bottom"/>
          </w:tcPr>
          <w:p>
            <w:pPr>
              <w:spacing w:after="0"/>
              <w:rPr>
                <w:sz w:val="21"/>
                <w:szCs w:val="21"/>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300"/>
        </w:trPr>
        <w:tc>
          <w:tcPr>
            <w:tcW w:w="760" w:type="dxa"/>
            <w:vAlign w:val="bottom"/>
          </w:tcPr>
          <w:p>
            <w:pPr>
              <w:spacing w:after="0"/>
              <w:rPr>
                <w:sz w:val="20"/>
                <w:szCs w:val="20"/>
                <w:color w:val="auto"/>
              </w:rPr>
            </w:pPr>
            <w:r>
              <w:rPr>
                <w:rFonts w:ascii="Arial" w:cs="Arial" w:eastAsia="Arial" w:hAnsi="Arial"/>
                <w:sz w:val="18"/>
                <w:szCs w:val="18"/>
                <w:color w:val="auto"/>
              </w:rPr>
              <w:t>10.20</w:t>
            </w:r>
          </w:p>
        </w:tc>
        <w:tc>
          <w:tcPr>
            <w:tcW w:w="3300" w:type="dxa"/>
            <w:vAlign w:val="bottom"/>
          </w:tcPr>
          <w:p>
            <w:pPr>
              <w:ind w:left="260"/>
              <w:spacing w:after="0"/>
              <w:rPr>
                <w:sz w:val="20"/>
                <w:szCs w:val="20"/>
                <w:color w:val="auto"/>
              </w:rPr>
            </w:pPr>
            <w:r>
              <w:rPr>
                <w:rFonts w:ascii="Arial" w:cs="Arial" w:eastAsia="Arial" w:hAnsi="Arial"/>
                <w:sz w:val="18"/>
                <w:szCs w:val="18"/>
                <w:color w:val="auto"/>
              </w:rPr>
              <w:t>Shanghai Premises Lease Contract,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9"/>
              </w:rPr>
              <w:t>333-269200</w:t>
            </w:r>
          </w:p>
        </w:tc>
        <w:tc>
          <w:tcPr>
            <w:tcW w:w="940" w:type="dxa"/>
            <w:vAlign w:val="bottom"/>
          </w:tcPr>
          <w:p>
            <w:pPr>
              <w:jc w:val="center"/>
              <w:spacing w:after="0"/>
              <w:rPr>
                <w:sz w:val="20"/>
                <w:szCs w:val="20"/>
                <w:color w:val="auto"/>
              </w:rPr>
            </w:pPr>
            <w:r>
              <w:rPr>
                <w:rFonts w:ascii="Arial" w:cs="Arial" w:eastAsia="Arial" w:hAnsi="Arial"/>
                <w:sz w:val="18"/>
                <w:szCs w:val="18"/>
                <w:color w:val="auto"/>
              </w:rPr>
              <w:t>10.25</w:t>
            </w:r>
          </w:p>
        </w:tc>
        <w:tc>
          <w:tcPr>
            <w:tcW w:w="2200" w:type="dxa"/>
            <w:vAlign w:val="bottom"/>
          </w:tcPr>
          <w:p>
            <w:pPr>
              <w:jc w:val="center"/>
              <w:ind w:right="450"/>
              <w:spacing w:after="0"/>
              <w:rPr>
                <w:sz w:val="20"/>
                <w:szCs w:val="20"/>
                <w:color w:val="auto"/>
              </w:rPr>
            </w:pPr>
            <w:r>
              <w:rPr>
                <w:rFonts w:ascii="Arial" w:cs="Arial" w:eastAsia="Arial" w:hAnsi="Arial"/>
                <w:sz w:val="18"/>
                <w:szCs w:val="18"/>
                <w:color w:val="auto"/>
                <w:w w:val="99"/>
              </w:rPr>
              <w:t>January 12,</w:t>
            </w:r>
          </w:p>
        </w:tc>
      </w:tr>
      <w:tr>
        <w:trPr>
          <w:trHeight w:val="208"/>
        </w:trPr>
        <w:tc>
          <w:tcPr>
            <w:tcW w:w="76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by and between Shanghai ShouTi</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tcPr>
          <w:p>
            <w:pPr>
              <w:jc w:val="right"/>
              <w:ind w:right="1090"/>
              <w:spacing w:after="0"/>
              <w:rPr>
                <w:sz w:val="20"/>
                <w:szCs w:val="20"/>
                <w:color w:val="auto"/>
              </w:rPr>
            </w:pPr>
            <w:r>
              <w:rPr>
                <w:rFonts w:ascii="Arial" w:cs="Arial" w:eastAsia="Arial" w:hAnsi="Arial"/>
                <w:sz w:val="18"/>
                <w:szCs w:val="18"/>
                <w:color w:val="auto"/>
              </w:rPr>
              <w:t>2023</w:t>
            </w:r>
          </w:p>
        </w:tc>
      </w:tr>
      <w:tr>
        <w:trPr>
          <w:trHeight w:val="206"/>
        </w:trPr>
        <w:tc>
          <w:tcPr>
            <w:tcW w:w="760" w:type="dxa"/>
            <w:vAlign w:val="bottom"/>
          </w:tcPr>
          <w:p>
            <w:pPr>
              <w:spacing w:after="0"/>
              <w:rPr>
                <w:sz w:val="17"/>
                <w:szCs w:val="17"/>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Biotechnology Co., Ltd. and</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8"/>
        </w:trPr>
        <w:tc>
          <w:tcPr>
            <w:tcW w:w="76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Shanghai Changtai Business</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8"/>
        </w:trPr>
        <w:tc>
          <w:tcPr>
            <w:tcW w:w="76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Management Co., Ltd., dated</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45"/>
        </w:trPr>
        <w:tc>
          <w:tcPr>
            <w:tcW w:w="760" w:type="dxa"/>
            <w:vAlign w:val="bottom"/>
          </w:tcPr>
          <w:p>
            <w:pPr>
              <w:spacing w:after="0"/>
              <w:rPr>
                <w:sz w:val="21"/>
                <w:szCs w:val="21"/>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June 22, 2021.</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88"/>
        </w:trPr>
        <w:tc>
          <w:tcPr>
            <w:tcW w:w="760" w:type="dxa"/>
            <w:vAlign w:val="bottom"/>
          </w:tcPr>
          <w:p>
            <w:pPr>
              <w:spacing w:after="0"/>
              <w:rPr>
                <w:sz w:val="20"/>
                <w:szCs w:val="20"/>
                <w:color w:val="auto"/>
              </w:rPr>
            </w:pPr>
            <w:r>
              <w:rPr>
                <w:rFonts w:ascii="Arial" w:cs="Arial" w:eastAsia="Arial" w:hAnsi="Arial"/>
                <w:sz w:val="18"/>
                <w:szCs w:val="18"/>
                <w:color w:val="auto"/>
              </w:rPr>
              <w:t>10.21</w:t>
            </w:r>
          </w:p>
        </w:tc>
        <w:tc>
          <w:tcPr>
            <w:tcW w:w="3300" w:type="dxa"/>
            <w:vAlign w:val="bottom"/>
          </w:tcPr>
          <w:p>
            <w:pPr>
              <w:ind w:left="260"/>
              <w:spacing w:after="0"/>
              <w:rPr>
                <w:sz w:val="20"/>
                <w:szCs w:val="20"/>
                <w:color w:val="auto"/>
              </w:rPr>
            </w:pPr>
            <w:r>
              <w:rPr>
                <w:rFonts w:ascii="Arial" w:cs="Arial" w:eastAsia="Arial" w:hAnsi="Arial"/>
                <w:sz w:val="18"/>
                <w:szCs w:val="18"/>
                <w:color w:val="auto"/>
              </w:rPr>
              <w:t>Exchange Agreement dated</w:t>
            </w:r>
          </w:p>
        </w:tc>
        <w:tc>
          <w:tcPr>
            <w:tcW w:w="740" w:type="dxa"/>
            <w:vAlign w:val="bottom"/>
          </w:tcPr>
          <w:p>
            <w:pPr>
              <w:jc w:val="center"/>
              <w:spacing w:after="0"/>
              <w:rPr>
                <w:sz w:val="20"/>
                <w:szCs w:val="20"/>
                <w:color w:val="auto"/>
              </w:rPr>
            </w:pPr>
            <w:r>
              <w:rPr>
                <w:rFonts w:ascii="Arial" w:cs="Arial" w:eastAsia="Arial" w:hAnsi="Arial"/>
                <w:sz w:val="18"/>
                <w:szCs w:val="18"/>
                <w:color w:val="auto"/>
              </w:rPr>
              <w:t>10-Q</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001-41608</w:t>
            </w:r>
          </w:p>
        </w:tc>
        <w:tc>
          <w:tcPr>
            <w:tcW w:w="94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2200" w:type="dxa"/>
            <w:vAlign w:val="bottom"/>
          </w:tcPr>
          <w:p>
            <w:pPr>
              <w:jc w:val="center"/>
              <w:ind w:right="470"/>
              <w:spacing w:after="0"/>
              <w:rPr>
                <w:sz w:val="20"/>
                <w:szCs w:val="20"/>
                <w:color w:val="auto"/>
              </w:rPr>
            </w:pPr>
            <w:r>
              <w:rPr>
                <w:rFonts w:ascii="Arial" w:cs="Arial" w:eastAsia="Arial" w:hAnsi="Arial"/>
                <w:sz w:val="18"/>
                <w:szCs w:val="18"/>
                <w:color w:val="auto"/>
              </w:rPr>
              <w:t>May 11, 2023</w:t>
            </w:r>
          </w:p>
        </w:tc>
      </w:tr>
      <w:tr>
        <w:trPr>
          <w:trHeight w:val="206"/>
        </w:trPr>
        <w:tc>
          <w:tcPr>
            <w:tcW w:w="760" w:type="dxa"/>
            <w:vAlign w:val="bottom"/>
          </w:tcPr>
          <w:p>
            <w:pPr>
              <w:spacing w:after="0"/>
              <w:rPr>
                <w:sz w:val="17"/>
                <w:szCs w:val="17"/>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May 10, 2023 between the</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45"/>
        </w:trPr>
        <w:tc>
          <w:tcPr>
            <w:tcW w:w="760" w:type="dxa"/>
            <w:vAlign w:val="bottom"/>
          </w:tcPr>
          <w:p>
            <w:pPr>
              <w:spacing w:after="0"/>
              <w:rPr>
                <w:sz w:val="21"/>
                <w:szCs w:val="21"/>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registrant and the investors named</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52"/>
        </w:trPr>
        <w:tc>
          <w:tcPr>
            <w:tcW w:w="760" w:type="dxa"/>
            <w:vAlign w:val="bottom"/>
          </w:tcPr>
          <w:p>
            <w:pPr>
              <w:spacing w:after="0"/>
              <w:rPr>
                <w:sz w:val="20"/>
                <w:szCs w:val="20"/>
                <w:color w:val="auto"/>
              </w:rPr>
            </w:pPr>
            <w:r>
              <w:rPr>
                <w:rFonts w:ascii="Arial" w:cs="Arial" w:eastAsia="Arial" w:hAnsi="Arial"/>
                <w:sz w:val="18"/>
                <w:szCs w:val="18"/>
                <w:color w:val="auto"/>
              </w:rPr>
              <w:t>10.22</w:t>
            </w:r>
          </w:p>
        </w:tc>
        <w:tc>
          <w:tcPr>
            <w:tcW w:w="3300" w:type="dxa"/>
            <w:vAlign w:val="bottom"/>
          </w:tcPr>
          <w:p>
            <w:pPr>
              <w:ind w:left="260"/>
              <w:spacing w:after="0"/>
              <w:rPr>
                <w:sz w:val="20"/>
                <w:szCs w:val="20"/>
                <w:color w:val="auto"/>
              </w:rPr>
            </w:pPr>
            <w:r>
              <w:rPr>
                <w:rFonts w:ascii="Arial" w:cs="Arial" w:eastAsia="Arial" w:hAnsi="Arial"/>
                <w:sz w:val="18"/>
                <w:szCs w:val="18"/>
                <w:color w:val="auto"/>
              </w:rPr>
              <w:t>Lease Agreement, dated June 29,</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001-41608</w:t>
            </w:r>
          </w:p>
        </w:tc>
        <w:tc>
          <w:tcPr>
            <w:tcW w:w="940" w:type="dxa"/>
            <w:vAlign w:val="bottom"/>
          </w:tcPr>
          <w:p>
            <w:pPr>
              <w:jc w:val="center"/>
              <w:spacing w:after="0"/>
              <w:rPr>
                <w:sz w:val="20"/>
                <w:szCs w:val="20"/>
                <w:color w:val="auto"/>
              </w:rPr>
            </w:pPr>
            <w:r>
              <w:rPr>
                <w:rFonts w:ascii="Arial" w:cs="Arial" w:eastAsia="Arial" w:hAnsi="Arial"/>
                <w:sz w:val="18"/>
                <w:szCs w:val="18"/>
                <w:color w:val="auto"/>
              </w:rPr>
              <w:t>10.1</w:t>
            </w:r>
          </w:p>
        </w:tc>
        <w:tc>
          <w:tcPr>
            <w:tcW w:w="2200" w:type="dxa"/>
            <w:vAlign w:val="bottom"/>
          </w:tcPr>
          <w:p>
            <w:pPr>
              <w:jc w:val="center"/>
              <w:ind w:right="470"/>
              <w:spacing w:after="0"/>
              <w:rPr>
                <w:sz w:val="20"/>
                <w:szCs w:val="20"/>
                <w:color w:val="auto"/>
              </w:rPr>
            </w:pPr>
            <w:r>
              <w:rPr>
                <w:rFonts w:ascii="Arial" w:cs="Arial" w:eastAsia="Arial" w:hAnsi="Arial"/>
                <w:sz w:val="18"/>
                <w:szCs w:val="18"/>
                <w:color w:val="auto"/>
              </w:rPr>
              <w:t>July 6, 2023</w:t>
            </w:r>
          </w:p>
        </w:tc>
      </w:tr>
      <w:tr>
        <w:trPr>
          <w:trHeight w:val="208"/>
        </w:trPr>
        <w:tc>
          <w:tcPr>
            <w:tcW w:w="76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2023, by and between the registrant</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8"/>
        </w:trPr>
        <w:tc>
          <w:tcPr>
            <w:tcW w:w="76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and Shanghai Changtai Business</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45"/>
        </w:trPr>
        <w:tc>
          <w:tcPr>
            <w:tcW w:w="760" w:type="dxa"/>
            <w:vAlign w:val="bottom"/>
          </w:tcPr>
          <w:p>
            <w:pPr>
              <w:spacing w:after="0"/>
              <w:rPr>
                <w:sz w:val="21"/>
                <w:szCs w:val="21"/>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Management Co., Ltd.</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322"/>
        </w:trPr>
        <w:tc>
          <w:tcPr>
            <w:tcW w:w="760" w:type="dxa"/>
            <w:vAlign w:val="bottom"/>
          </w:tcPr>
          <w:p>
            <w:pPr>
              <w:spacing w:after="0"/>
              <w:rPr>
                <w:sz w:val="20"/>
                <w:szCs w:val="20"/>
                <w:color w:val="auto"/>
              </w:rPr>
            </w:pPr>
            <w:r>
              <w:rPr>
                <w:rFonts w:ascii="Arial" w:cs="Arial" w:eastAsia="Arial" w:hAnsi="Arial"/>
                <w:sz w:val="18"/>
                <w:szCs w:val="18"/>
                <w:color w:val="auto"/>
              </w:rPr>
              <w:t>10.23</w:t>
            </w:r>
          </w:p>
        </w:tc>
        <w:tc>
          <w:tcPr>
            <w:tcW w:w="3300" w:type="dxa"/>
            <w:vAlign w:val="bottom"/>
          </w:tcPr>
          <w:p>
            <w:pPr>
              <w:ind w:left="260"/>
              <w:spacing w:after="0"/>
              <w:rPr>
                <w:sz w:val="20"/>
                <w:szCs w:val="20"/>
                <w:color w:val="auto"/>
              </w:rPr>
            </w:pPr>
            <w:r>
              <w:rPr>
                <w:rFonts w:ascii="Arial" w:cs="Arial" w:eastAsia="Arial" w:hAnsi="Arial"/>
                <w:sz w:val="18"/>
                <w:szCs w:val="18"/>
                <w:color w:val="auto"/>
              </w:rPr>
              <w:t>House Leasing Contract, dated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001-41608</w:t>
            </w:r>
          </w:p>
        </w:tc>
        <w:tc>
          <w:tcPr>
            <w:tcW w:w="940" w:type="dxa"/>
            <w:vAlign w:val="bottom"/>
          </w:tcPr>
          <w:p>
            <w:pPr>
              <w:jc w:val="center"/>
              <w:spacing w:after="0"/>
              <w:rPr>
                <w:sz w:val="20"/>
                <w:szCs w:val="20"/>
                <w:color w:val="auto"/>
              </w:rPr>
            </w:pPr>
            <w:r>
              <w:rPr>
                <w:rFonts w:ascii="Arial" w:cs="Arial" w:eastAsia="Arial" w:hAnsi="Arial"/>
                <w:sz w:val="18"/>
                <w:szCs w:val="18"/>
                <w:color w:val="auto"/>
              </w:rPr>
              <w:t>10.2</w:t>
            </w:r>
          </w:p>
        </w:tc>
        <w:tc>
          <w:tcPr>
            <w:tcW w:w="2200" w:type="dxa"/>
            <w:vAlign w:val="bottom"/>
          </w:tcPr>
          <w:p>
            <w:pPr>
              <w:jc w:val="center"/>
              <w:ind w:right="470"/>
              <w:spacing w:after="0"/>
              <w:rPr>
                <w:sz w:val="20"/>
                <w:szCs w:val="20"/>
                <w:color w:val="auto"/>
              </w:rPr>
            </w:pPr>
            <w:r>
              <w:rPr>
                <w:rFonts w:ascii="Arial" w:cs="Arial" w:eastAsia="Arial" w:hAnsi="Arial"/>
                <w:sz w:val="18"/>
                <w:szCs w:val="18"/>
                <w:color w:val="auto"/>
              </w:rPr>
              <w:t>July 6, 2023</w:t>
            </w:r>
          </w:p>
        </w:tc>
      </w:tr>
      <w:tr>
        <w:trPr>
          <w:trHeight w:val="208"/>
        </w:trPr>
        <w:tc>
          <w:tcPr>
            <w:tcW w:w="76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June 29, 2023, by and between the</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6"/>
        </w:trPr>
        <w:tc>
          <w:tcPr>
            <w:tcW w:w="760" w:type="dxa"/>
            <w:vAlign w:val="bottom"/>
          </w:tcPr>
          <w:p>
            <w:pPr>
              <w:spacing w:after="0"/>
              <w:rPr>
                <w:sz w:val="17"/>
                <w:szCs w:val="17"/>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Shanghai ShouTi Biotechnology</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8"/>
        </w:trPr>
        <w:tc>
          <w:tcPr>
            <w:tcW w:w="76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Co., ltd. and Shanghai Chuangzhi</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8"/>
        </w:trPr>
        <w:tc>
          <w:tcPr>
            <w:tcW w:w="76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Space Entrepreneurship Incubator</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45"/>
        </w:trPr>
        <w:tc>
          <w:tcPr>
            <w:tcW w:w="760" w:type="dxa"/>
            <w:vAlign w:val="bottom"/>
          </w:tcPr>
          <w:p>
            <w:pPr>
              <w:spacing w:after="0"/>
              <w:rPr>
                <w:sz w:val="21"/>
                <w:szCs w:val="21"/>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Management Co., Ltd.</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88"/>
        </w:trPr>
        <w:tc>
          <w:tcPr>
            <w:tcW w:w="760" w:type="dxa"/>
            <w:vAlign w:val="bottom"/>
          </w:tcPr>
          <w:p>
            <w:pPr>
              <w:spacing w:after="0"/>
              <w:rPr>
                <w:sz w:val="20"/>
                <w:szCs w:val="20"/>
                <w:color w:val="auto"/>
              </w:rPr>
            </w:pPr>
            <w:r>
              <w:rPr>
                <w:rFonts w:ascii="Arial" w:cs="Arial" w:eastAsia="Arial" w:hAnsi="Arial"/>
                <w:sz w:val="18"/>
                <w:szCs w:val="18"/>
                <w:color w:val="auto"/>
              </w:rPr>
              <w:t>10.24</w:t>
            </w:r>
          </w:p>
        </w:tc>
        <w:tc>
          <w:tcPr>
            <w:tcW w:w="3300" w:type="dxa"/>
            <w:vAlign w:val="bottom"/>
          </w:tcPr>
          <w:p>
            <w:pPr>
              <w:ind w:left="260"/>
              <w:spacing w:after="0"/>
              <w:rPr>
                <w:sz w:val="20"/>
                <w:szCs w:val="20"/>
                <w:color w:val="auto"/>
              </w:rPr>
            </w:pPr>
            <w:r>
              <w:rPr>
                <w:rFonts w:ascii="Arial" w:cs="Arial" w:eastAsia="Arial" w:hAnsi="Arial"/>
                <w:sz w:val="18"/>
                <w:szCs w:val="18"/>
                <w:color w:val="auto"/>
              </w:rPr>
              <w:t>Sublease, dated June 29, 2023, by</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001-41608</w:t>
            </w:r>
          </w:p>
        </w:tc>
        <w:tc>
          <w:tcPr>
            <w:tcW w:w="940" w:type="dxa"/>
            <w:vAlign w:val="bottom"/>
          </w:tcPr>
          <w:p>
            <w:pPr>
              <w:jc w:val="center"/>
              <w:spacing w:after="0"/>
              <w:rPr>
                <w:sz w:val="20"/>
                <w:szCs w:val="20"/>
                <w:color w:val="auto"/>
              </w:rPr>
            </w:pPr>
            <w:r>
              <w:rPr>
                <w:rFonts w:ascii="Arial" w:cs="Arial" w:eastAsia="Arial" w:hAnsi="Arial"/>
                <w:sz w:val="18"/>
                <w:szCs w:val="18"/>
                <w:color w:val="auto"/>
              </w:rPr>
              <w:t>10.3</w:t>
            </w:r>
          </w:p>
        </w:tc>
        <w:tc>
          <w:tcPr>
            <w:tcW w:w="2200" w:type="dxa"/>
            <w:vAlign w:val="bottom"/>
          </w:tcPr>
          <w:p>
            <w:pPr>
              <w:jc w:val="center"/>
              <w:ind w:right="470"/>
              <w:spacing w:after="0"/>
              <w:rPr>
                <w:sz w:val="20"/>
                <w:szCs w:val="20"/>
                <w:color w:val="auto"/>
              </w:rPr>
            </w:pPr>
            <w:r>
              <w:rPr>
                <w:rFonts w:ascii="Arial" w:cs="Arial" w:eastAsia="Arial" w:hAnsi="Arial"/>
                <w:sz w:val="18"/>
                <w:szCs w:val="18"/>
                <w:color w:val="auto"/>
              </w:rPr>
              <w:t>July 6, 2023</w:t>
            </w:r>
          </w:p>
        </w:tc>
      </w:tr>
      <w:tr>
        <w:trPr>
          <w:trHeight w:val="206"/>
        </w:trPr>
        <w:tc>
          <w:tcPr>
            <w:tcW w:w="760" w:type="dxa"/>
            <w:vAlign w:val="bottom"/>
          </w:tcPr>
          <w:p>
            <w:pPr>
              <w:spacing w:after="0"/>
              <w:rPr>
                <w:sz w:val="17"/>
                <w:szCs w:val="17"/>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and between Structure</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9"/>
        </w:trPr>
        <w:tc>
          <w:tcPr>
            <w:tcW w:w="76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Therapeutics USA Inc. and Aligos</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45"/>
        </w:trPr>
        <w:tc>
          <w:tcPr>
            <w:tcW w:w="760" w:type="dxa"/>
            <w:vAlign w:val="bottom"/>
          </w:tcPr>
          <w:p>
            <w:pPr>
              <w:spacing w:after="0"/>
              <w:rPr>
                <w:sz w:val="21"/>
                <w:szCs w:val="21"/>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Therapeutics, Inc.</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322"/>
        </w:trPr>
        <w:tc>
          <w:tcPr>
            <w:tcW w:w="760" w:type="dxa"/>
            <w:vAlign w:val="bottom"/>
          </w:tcPr>
          <w:p>
            <w:pPr>
              <w:spacing w:after="0"/>
              <w:rPr>
                <w:sz w:val="20"/>
                <w:szCs w:val="20"/>
                <w:color w:val="auto"/>
              </w:rPr>
            </w:pPr>
            <w:r>
              <w:rPr>
                <w:rFonts w:ascii="Arial" w:cs="Arial" w:eastAsia="Arial" w:hAnsi="Arial"/>
                <w:sz w:val="18"/>
                <w:szCs w:val="18"/>
                <w:color w:val="auto"/>
              </w:rPr>
              <w:t>10.25</w:t>
            </w:r>
          </w:p>
        </w:tc>
        <w:tc>
          <w:tcPr>
            <w:tcW w:w="3300" w:type="dxa"/>
            <w:vAlign w:val="bottom"/>
          </w:tcPr>
          <w:p>
            <w:pPr>
              <w:ind w:left="260"/>
              <w:spacing w:after="0"/>
              <w:rPr>
                <w:sz w:val="20"/>
                <w:szCs w:val="20"/>
                <w:color w:val="auto"/>
              </w:rPr>
            </w:pPr>
            <w:r>
              <w:rPr>
                <w:rFonts w:ascii="Arial" w:cs="Arial" w:eastAsia="Arial" w:hAnsi="Arial"/>
                <w:sz w:val="18"/>
                <w:szCs w:val="18"/>
                <w:color w:val="auto"/>
              </w:rPr>
              <w:t>Share Purchase Agreement, dated</w:t>
            </w:r>
          </w:p>
        </w:tc>
        <w:tc>
          <w:tcPr>
            <w:tcW w:w="740" w:type="dxa"/>
            <w:vAlign w:val="bottom"/>
          </w:tcPr>
          <w:p>
            <w:pPr>
              <w:jc w:val="center"/>
              <w:spacing w:after="0"/>
              <w:rPr>
                <w:sz w:val="20"/>
                <w:szCs w:val="20"/>
                <w:color w:val="auto"/>
              </w:rPr>
            </w:pPr>
            <w:r>
              <w:rPr>
                <w:rFonts w:ascii="Arial" w:cs="Arial" w:eastAsia="Arial" w:hAnsi="Arial"/>
                <w:sz w:val="18"/>
                <w:szCs w:val="18"/>
                <w:color w:val="auto"/>
              </w:rPr>
              <w:t>10-Q</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001-41608</w:t>
            </w:r>
          </w:p>
        </w:tc>
        <w:tc>
          <w:tcPr>
            <w:tcW w:w="940" w:type="dxa"/>
            <w:vAlign w:val="bottom"/>
          </w:tcPr>
          <w:p>
            <w:pPr>
              <w:jc w:val="center"/>
              <w:spacing w:after="0"/>
              <w:rPr>
                <w:sz w:val="20"/>
                <w:szCs w:val="20"/>
                <w:color w:val="auto"/>
              </w:rPr>
            </w:pPr>
            <w:r>
              <w:rPr>
                <w:rFonts w:ascii="Arial" w:cs="Arial" w:eastAsia="Arial" w:hAnsi="Arial"/>
                <w:sz w:val="18"/>
                <w:szCs w:val="18"/>
                <w:color w:val="auto"/>
              </w:rPr>
              <w:t>10.4</w:t>
            </w:r>
          </w:p>
        </w:tc>
        <w:tc>
          <w:tcPr>
            <w:tcW w:w="2200" w:type="dxa"/>
            <w:vAlign w:val="bottom"/>
          </w:tcPr>
          <w:p>
            <w:pPr>
              <w:jc w:val="center"/>
              <w:ind w:right="470"/>
              <w:spacing w:after="0"/>
              <w:rPr>
                <w:sz w:val="20"/>
                <w:szCs w:val="20"/>
                <w:color w:val="auto"/>
              </w:rPr>
            </w:pPr>
            <w:r>
              <w:rPr>
                <w:rFonts w:ascii="Arial" w:cs="Arial" w:eastAsia="Arial" w:hAnsi="Arial"/>
                <w:sz w:val="18"/>
                <w:szCs w:val="18"/>
                <w:color w:val="auto"/>
              </w:rPr>
              <w:t>November 17,</w:t>
            </w:r>
          </w:p>
        </w:tc>
      </w:tr>
      <w:tr>
        <w:trPr>
          <w:trHeight w:val="220"/>
        </w:trPr>
        <w:tc>
          <w:tcPr>
            <w:tcW w:w="760" w:type="dxa"/>
            <w:vAlign w:val="bottom"/>
          </w:tcPr>
          <w:p>
            <w:pPr>
              <w:spacing w:after="0"/>
              <w:rPr>
                <w:sz w:val="19"/>
                <w:szCs w:val="19"/>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as of September 29, 2023, by and</w:t>
            </w:r>
          </w:p>
        </w:tc>
        <w:tc>
          <w:tcPr>
            <w:tcW w:w="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0" w:type="dxa"/>
            <w:vAlign w:val="bottom"/>
          </w:tcPr>
          <w:p>
            <w:pPr>
              <w:jc w:val="right"/>
              <w:ind w:right="1090"/>
              <w:spacing w:after="0"/>
              <w:rPr>
                <w:sz w:val="20"/>
                <w:szCs w:val="20"/>
                <w:color w:val="auto"/>
              </w:rPr>
            </w:pPr>
            <w:r>
              <w:rPr>
                <w:rFonts w:ascii="Arial" w:cs="Arial" w:eastAsia="Arial" w:hAnsi="Arial"/>
                <w:sz w:val="18"/>
                <w:szCs w:val="18"/>
                <w:color w:val="auto"/>
              </w:rPr>
              <w:t>2023</w:t>
            </w:r>
          </w:p>
        </w:tc>
      </w:tr>
      <w:tr>
        <w:trPr>
          <w:trHeight w:val="196"/>
        </w:trPr>
        <w:tc>
          <w:tcPr>
            <w:tcW w:w="760" w:type="dxa"/>
            <w:vAlign w:val="bottom"/>
          </w:tcPr>
          <w:p>
            <w:pPr>
              <w:spacing w:after="0"/>
              <w:rPr>
                <w:sz w:val="17"/>
                <w:szCs w:val="17"/>
                <w:color w:val="auto"/>
              </w:rPr>
            </w:pPr>
          </w:p>
        </w:tc>
        <w:tc>
          <w:tcPr>
            <w:tcW w:w="3300" w:type="dxa"/>
            <w:vAlign w:val="bottom"/>
          </w:tcPr>
          <w:p>
            <w:pPr>
              <w:ind w:left="260"/>
              <w:spacing w:after="0" w:line="195" w:lineRule="exact"/>
              <w:rPr>
                <w:sz w:val="20"/>
                <w:szCs w:val="20"/>
                <w:color w:val="auto"/>
              </w:rPr>
            </w:pPr>
            <w:r>
              <w:rPr>
                <w:rFonts w:ascii="Arial" w:cs="Arial" w:eastAsia="Arial" w:hAnsi="Arial"/>
                <w:sz w:val="18"/>
                <w:szCs w:val="18"/>
                <w:color w:val="auto"/>
              </w:rPr>
              <w:t>among the registrant and the</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45"/>
        </w:trPr>
        <w:tc>
          <w:tcPr>
            <w:tcW w:w="760" w:type="dxa"/>
            <w:vAlign w:val="bottom"/>
          </w:tcPr>
          <w:p>
            <w:pPr>
              <w:spacing w:after="0"/>
              <w:rPr>
                <w:sz w:val="21"/>
                <w:szCs w:val="21"/>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purchasers named therein.</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10.26*</w:t>
            </w:r>
          </w:p>
        </w:tc>
        <w:tc>
          <w:tcPr>
            <w:tcW w:w="3300" w:type="dxa"/>
            <w:vAlign w:val="bottom"/>
          </w:tcPr>
          <w:p>
            <w:pPr>
              <w:ind w:left="260"/>
              <w:spacing w:after="0"/>
              <w:rPr>
                <w:sz w:val="20"/>
                <w:szCs w:val="20"/>
                <w:color w:val="auto"/>
              </w:rPr>
            </w:pPr>
            <w:r>
              <w:rPr>
                <w:rFonts w:ascii="Arial" w:cs="Arial" w:eastAsia="Arial" w:hAnsi="Arial"/>
                <w:sz w:val="18"/>
                <w:szCs w:val="18"/>
                <w:color w:val="auto"/>
              </w:rPr>
              <w:t>Collaboration Agreement, dated</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001-41608</w:t>
            </w:r>
          </w:p>
        </w:tc>
        <w:tc>
          <w:tcPr>
            <w:tcW w:w="940" w:type="dxa"/>
            <w:vAlign w:val="bottom"/>
          </w:tcPr>
          <w:p>
            <w:pPr>
              <w:jc w:val="center"/>
              <w:spacing w:after="0"/>
              <w:rPr>
                <w:sz w:val="20"/>
                <w:szCs w:val="20"/>
                <w:color w:val="auto"/>
              </w:rPr>
            </w:pPr>
            <w:r>
              <w:rPr>
                <w:rFonts w:ascii="Arial" w:cs="Arial" w:eastAsia="Arial" w:hAnsi="Arial"/>
                <w:sz w:val="18"/>
                <w:szCs w:val="18"/>
                <w:color w:val="auto"/>
              </w:rPr>
              <w:t>10.1</w:t>
            </w:r>
          </w:p>
        </w:tc>
        <w:tc>
          <w:tcPr>
            <w:tcW w:w="2200" w:type="dxa"/>
            <w:vAlign w:val="bottom"/>
          </w:tcPr>
          <w:p>
            <w:pPr>
              <w:jc w:val="center"/>
              <w:ind w:right="470"/>
              <w:spacing w:after="0"/>
              <w:rPr>
                <w:sz w:val="20"/>
                <w:szCs w:val="20"/>
                <w:color w:val="auto"/>
              </w:rPr>
            </w:pPr>
            <w:r>
              <w:rPr>
                <w:rFonts w:ascii="Arial" w:cs="Arial" w:eastAsia="Arial" w:hAnsi="Arial"/>
                <w:sz w:val="18"/>
                <w:szCs w:val="18"/>
                <w:color w:val="auto"/>
              </w:rPr>
              <w:t>November 14,</w:t>
            </w:r>
          </w:p>
        </w:tc>
      </w:tr>
      <w:tr>
        <w:trPr>
          <w:trHeight w:val="208"/>
        </w:trPr>
        <w:tc>
          <w:tcPr>
            <w:tcW w:w="76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November 7, 2023, by and between</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tcPr>
          <w:p>
            <w:pPr>
              <w:jc w:val="right"/>
              <w:ind w:right="1090"/>
              <w:spacing w:after="0"/>
              <w:rPr>
                <w:sz w:val="20"/>
                <w:szCs w:val="20"/>
                <w:color w:val="auto"/>
              </w:rPr>
            </w:pPr>
            <w:r>
              <w:rPr>
                <w:rFonts w:ascii="Arial" w:cs="Arial" w:eastAsia="Arial" w:hAnsi="Arial"/>
                <w:sz w:val="18"/>
                <w:szCs w:val="18"/>
                <w:color w:val="auto"/>
              </w:rPr>
              <w:t>2023</w:t>
            </w:r>
          </w:p>
        </w:tc>
      </w:tr>
      <w:tr>
        <w:trPr>
          <w:trHeight w:val="206"/>
        </w:trPr>
        <w:tc>
          <w:tcPr>
            <w:tcW w:w="760" w:type="dxa"/>
            <w:vAlign w:val="bottom"/>
          </w:tcPr>
          <w:p>
            <w:pPr>
              <w:spacing w:after="0"/>
              <w:rPr>
                <w:sz w:val="17"/>
                <w:szCs w:val="17"/>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Schrödinger, Inc. and Aconcagua</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9"/>
        </w:trPr>
        <w:tc>
          <w:tcPr>
            <w:tcW w:w="76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Bio, Inc. Schrödinger, Inc. and</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45"/>
        </w:trPr>
        <w:tc>
          <w:tcPr>
            <w:tcW w:w="760" w:type="dxa"/>
            <w:vAlign w:val="bottom"/>
          </w:tcPr>
          <w:p>
            <w:pPr>
              <w:spacing w:after="0"/>
              <w:rPr>
                <w:sz w:val="21"/>
                <w:szCs w:val="21"/>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Aconcagua Bio, Inc.</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96"/>
        </w:trPr>
        <w:tc>
          <w:tcPr>
            <w:tcW w:w="760" w:type="dxa"/>
            <w:vAlign w:val="bottom"/>
          </w:tcPr>
          <w:p>
            <w:pPr>
              <w:spacing w:after="0"/>
              <w:rPr>
                <w:sz w:val="20"/>
                <w:szCs w:val="20"/>
                <w:color w:val="auto"/>
              </w:rPr>
            </w:pPr>
            <w:r>
              <w:rPr>
                <w:rFonts w:ascii="Arial" w:cs="Arial" w:eastAsia="Arial" w:hAnsi="Arial"/>
                <w:sz w:val="18"/>
                <w:szCs w:val="18"/>
                <w:color w:val="auto"/>
              </w:rPr>
              <w:t>16.1</w:t>
            </w:r>
          </w:p>
        </w:tc>
        <w:tc>
          <w:tcPr>
            <w:tcW w:w="3300" w:type="dxa"/>
            <w:vAlign w:val="bottom"/>
          </w:tcPr>
          <w:p>
            <w:pPr>
              <w:ind w:left="260"/>
              <w:spacing w:after="0"/>
              <w:rPr>
                <w:sz w:val="20"/>
                <w:szCs w:val="20"/>
                <w:color w:val="auto"/>
              </w:rPr>
            </w:pPr>
            <w:r>
              <w:rPr>
                <w:rFonts w:ascii="Arial" w:cs="Arial" w:eastAsia="Arial" w:hAnsi="Arial"/>
                <w:sz w:val="18"/>
                <w:szCs w:val="18"/>
                <w:color w:val="auto"/>
              </w:rPr>
              <w:t>Letter from</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001-41608</w:t>
            </w:r>
          </w:p>
        </w:tc>
        <w:tc>
          <w:tcPr>
            <w:tcW w:w="940" w:type="dxa"/>
            <w:vAlign w:val="bottom"/>
          </w:tcPr>
          <w:p>
            <w:pPr>
              <w:jc w:val="center"/>
              <w:spacing w:after="0"/>
              <w:rPr>
                <w:sz w:val="20"/>
                <w:szCs w:val="20"/>
                <w:color w:val="auto"/>
              </w:rPr>
            </w:pPr>
            <w:r>
              <w:rPr>
                <w:rFonts w:ascii="Arial" w:cs="Arial" w:eastAsia="Arial" w:hAnsi="Arial"/>
                <w:sz w:val="18"/>
                <w:szCs w:val="18"/>
                <w:color w:val="auto"/>
                <w:w w:val="96"/>
              </w:rPr>
              <w:t>16.1</w:t>
            </w:r>
          </w:p>
        </w:tc>
        <w:tc>
          <w:tcPr>
            <w:tcW w:w="2200" w:type="dxa"/>
            <w:vAlign w:val="bottom"/>
          </w:tcPr>
          <w:p>
            <w:pPr>
              <w:jc w:val="center"/>
              <w:ind w:right="470"/>
              <w:spacing w:after="0"/>
              <w:rPr>
                <w:sz w:val="20"/>
                <w:szCs w:val="20"/>
                <w:color w:val="auto"/>
              </w:rPr>
            </w:pPr>
            <w:r>
              <w:rPr>
                <w:rFonts w:ascii="Arial" w:cs="Arial" w:eastAsia="Arial" w:hAnsi="Arial"/>
                <w:sz w:val="18"/>
                <w:szCs w:val="18"/>
                <w:color w:val="auto"/>
                <w:w w:val="99"/>
              </w:rPr>
              <w:t>June 5, 2023</w:t>
            </w:r>
          </w:p>
        </w:tc>
      </w:tr>
      <w:tr>
        <w:trPr>
          <w:trHeight w:val="205"/>
        </w:trPr>
        <w:tc>
          <w:tcPr>
            <w:tcW w:w="760" w:type="dxa"/>
            <w:vAlign w:val="bottom"/>
          </w:tcPr>
          <w:p>
            <w:pPr>
              <w:spacing w:after="0"/>
              <w:rPr>
                <w:sz w:val="17"/>
                <w:szCs w:val="17"/>
                <w:color w:val="auto"/>
              </w:rPr>
            </w:pPr>
          </w:p>
        </w:tc>
        <w:tc>
          <w:tcPr>
            <w:tcW w:w="3300" w:type="dxa"/>
            <w:vAlign w:val="bottom"/>
          </w:tcPr>
          <w:p>
            <w:pPr>
              <w:ind w:left="260"/>
              <w:spacing w:after="0" w:line="206" w:lineRule="exact"/>
              <w:rPr>
                <w:sz w:val="20"/>
                <w:szCs w:val="20"/>
                <w:color w:val="auto"/>
              </w:rPr>
            </w:pPr>
            <w:r>
              <w:rPr>
                <w:rFonts w:ascii="Arial" w:cs="Arial" w:eastAsia="Arial" w:hAnsi="Arial"/>
                <w:sz w:val="18"/>
                <w:szCs w:val="18"/>
                <w:color w:val="auto"/>
              </w:rPr>
              <w:t>PricewaterhouseCoopers LLP to</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72"/>
        </w:trPr>
        <w:tc>
          <w:tcPr>
            <w:tcW w:w="760" w:type="dxa"/>
            <w:vAlign w:val="bottom"/>
          </w:tcPr>
          <w:p>
            <w:pPr>
              <w:spacing w:after="0"/>
              <w:rPr>
                <w:sz w:val="23"/>
                <w:szCs w:val="23"/>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the SEC, dated June 5, 2023</w:t>
            </w:r>
            <w:r>
              <w:rPr>
                <w:rFonts w:ascii="Arial" w:cs="Arial" w:eastAsia="Arial" w:hAnsi="Arial"/>
                <w:sz w:val="20"/>
                <w:szCs w:val="20"/>
                <w:color w:val="auto"/>
              </w:rPr>
              <w:t>.</w:t>
            </w:r>
          </w:p>
        </w:tc>
        <w:tc>
          <w:tcPr>
            <w:tcW w:w="7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366"/>
        </w:trPr>
        <w:tc>
          <w:tcPr>
            <w:tcW w:w="760" w:type="dxa"/>
            <w:vAlign w:val="bottom"/>
          </w:tcPr>
          <w:p>
            <w:pPr>
              <w:spacing w:after="0"/>
              <w:rPr>
                <w:sz w:val="20"/>
                <w:szCs w:val="20"/>
                <w:color w:val="auto"/>
              </w:rPr>
            </w:pPr>
            <w:r>
              <w:rPr>
                <w:rFonts w:ascii="Arial" w:cs="Arial" w:eastAsia="Arial" w:hAnsi="Arial"/>
                <w:sz w:val="18"/>
                <w:szCs w:val="18"/>
                <w:color w:val="auto"/>
              </w:rPr>
              <w:t>21.1</w:t>
            </w:r>
          </w:p>
        </w:tc>
        <w:tc>
          <w:tcPr>
            <w:tcW w:w="3300" w:type="dxa"/>
            <w:vAlign w:val="bottom"/>
          </w:tcPr>
          <w:p>
            <w:pPr>
              <w:ind w:left="260"/>
              <w:spacing w:after="0"/>
              <w:rPr>
                <w:sz w:val="20"/>
                <w:szCs w:val="20"/>
                <w:color w:val="auto"/>
              </w:rPr>
            </w:pPr>
            <w:r>
              <w:rPr>
                <w:rFonts w:ascii="Arial" w:cs="Arial" w:eastAsia="Arial" w:hAnsi="Arial"/>
                <w:sz w:val="18"/>
                <w:szCs w:val="18"/>
                <w:color w:val="auto"/>
              </w:rPr>
              <w:t>Subsidiaries of the registrant.</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9"/>
              </w:rPr>
              <w:t>333-275651</w:t>
            </w:r>
          </w:p>
        </w:tc>
        <w:tc>
          <w:tcPr>
            <w:tcW w:w="940" w:type="dxa"/>
            <w:vAlign w:val="bottom"/>
          </w:tcPr>
          <w:p>
            <w:pPr>
              <w:jc w:val="center"/>
              <w:spacing w:after="0"/>
              <w:rPr>
                <w:sz w:val="20"/>
                <w:szCs w:val="20"/>
                <w:color w:val="auto"/>
              </w:rPr>
            </w:pPr>
            <w:r>
              <w:rPr>
                <w:rFonts w:ascii="Arial" w:cs="Arial" w:eastAsia="Arial" w:hAnsi="Arial"/>
                <w:sz w:val="18"/>
                <w:szCs w:val="18"/>
                <w:color w:val="auto"/>
                <w:w w:val="96"/>
              </w:rPr>
              <w:t>21.1</w:t>
            </w:r>
          </w:p>
        </w:tc>
        <w:tc>
          <w:tcPr>
            <w:tcW w:w="2200" w:type="dxa"/>
            <w:vAlign w:val="bottom"/>
          </w:tcPr>
          <w:p>
            <w:pPr>
              <w:jc w:val="center"/>
              <w:ind w:right="470"/>
              <w:spacing w:after="0"/>
              <w:rPr>
                <w:sz w:val="20"/>
                <w:szCs w:val="20"/>
                <w:color w:val="auto"/>
              </w:rPr>
            </w:pPr>
            <w:r>
              <w:rPr>
                <w:rFonts w:ascii="Arial" w:cs="Arial" w:eastAsia="Arial" w:hAnsi="Arial"/>
                <w:sz w:val="18"/>
                <w:szCs w:val="18"/>
                <w:color w:val="auto"/>
                <w:w w:val="99"/>
              </w:rPr>
              <w:t>November 17,</w:t>
            </w:r>
          </w:p>
        </w:tc>
      </w:tr>
      <w:tr>
        <w:trPr>
          <w:trHeight w:val="245"/>
        </w:trPr>
        <w:tc>
          <w:tcPr>
            <w:tcW w:w="7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0" w:type="dxa"/>
            <w:vAlign w:val="bottom"/>
          </w:tcPr>
          <w:p>
            <w:pPr>
              <w:jc w:val="right"/>
              <w:ind w:right="1090"/>
              <w:spacing w:after="0"/>
              <w:rPr>
                <w:sz w:val="20"/>
                <w:szCs w:val="20"/>
                <w:color w:val="auto"/>
              </w:rPr>
            </w:pPr>
            <w:r>
              <w:rPr>
                <w:rFonts w:ascii="Arial" w:cs="Arial" w:eastAsia="Arial" w:hAnsi="Arial"/>
                <w:sz w:val="18"/>
                <w:szCs w:val="18"/>
                <w:color w:val="auto"/>
              </w:rPr>
              <w:t>2023</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3300" w:type="dxa"/>
            <w:vAlign w:val="bottom"/>
          </w:tcPr>
          <w:p>
            <w:pPr>
              <w:ind w:left="260"/>
              <w:spacing w:after="0"/>
              <w:rPr>
                <w:sz w:val="20"/>
                <w:szCs w:val="20"/>
                <w:color w:val="auto"/>
              </w:rPr>
            </w:pPr>
            <w:r>
              <w:rPr>
                <w:rFonts w:ascii="Arial" w:cs="Arial" w:eastAsia="Arial" w:hAnsi="Arial"/>
                <w:sz w:val="18"/>
                <w:szCs w:val="18"/>
                <w:color w:val="auto"/>
              </w:rPr>
              <w:t>Consent of Ernst &amp; Young LLP,</w:t>
            </w: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09"/>
        </w:trPr>
        <w:tc>
          <w:tcPr>
            <w:tcW w:w="76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Independent Registered Public</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45"/>
        </w:trPr>
        <w:tc>
          <w:tcPr>
            <w:tcW w:w="760" w:type="dxa"/>
            <w:vAlign w:val="bottom"/>
          </w:tcPr>
          <w:p>
            <w:pPr>
              <w:spacing w:after="0"/>
              <w:rPr>
                <w:sz w:val="21"/>
                <w:szCs w:val="21"/>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Accounting Firm.</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96"/>
        </w:trPr>
        <w:tc>
          <w:tcPr>
            <w:tcW w:w="760" w:type="dxa"/>
            <w:vAlign w:val="bottom"/>
          </w:tcPr>
          <w:p>
            <w:pPr>
              <w:spacing w:after="0"/>
              <w:rPr>
                <w:sz w:val="20"/>
                <w:szCs w:val="20"/>
                <w:color w:val="auto"/>
              </w:rPr>
            </w:pPr>
            <w:r>
              <w:rPr>
                <w:rFonts w:ascii="Arial" w:cs="Arial" w:eastAsia="Arial" w:hAnsi="Arial"/>
                <w:sz w:val="18"/>
                <w:szCs w:val="18"/>
                <w:color w:val="auto"/>
              </w:rPr>
              <w:t>23.2</w:t>
            </w:r>
          </w:p>
        </w:tc>
        <w:tc>
          <w:tcPr>
            <w:tcW w:w="3300" w:type="dxa"/>
            <w:vAlign w:val="bottom"/>
          </w:tcPr>
          <w:p>
            <w:pPr>
              <w:ind w:left="260"/>
              <w:spacing w:after="0"/>
              <w:rPr>
                <w:sz w:val="20"/>
                <w:szCs w:val="20"/>
                <w:color w:val="auto"/>
              </w:rPr>
            </w:pPr>
            <w:r>
              <w:rPr>
                <w:rFonts w:ascii="Arial" w:cs="Arial" w:eastAsia="Arial" w:hAnsi="Arial"/>
                <w:sz w:val="18"/>
                <w:szCs w:val="18"/>
                <w:color w:val="auto"/>
              </w:rPr>
              <w:t>Consent of</w:t>
            </w: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08"/>
        </w:trPr>
        <w:tc>
          <w:tcPr>
            <w:tcW w:w="760" w:type="dxa"/>
            <w:vAlign w:val="bottom"/>
          </w:tcPr>
          <w:p>
            <w:pPr>
              <w:spacing w:after="0"/>
              <w:rPr>
                <w:sz w:val="18"/>
                <w:szCs w:val="18"/>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PricewaterhouseCoopers LLP,</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45"/>
        </w:trPr>
        <w:tc>
          <w:tcPr>
            <w:tcW w:w="760" w:type="dxa"/>
            <w:vAlign w:val="bottom"/>
          </w:tcPr>
          <w:p>
            <w:pPr>
              <w:spacing w:after="0"/>
              <w:rPr>
                <w:sz w:val="21"/>
                <w:szCs w:val="21"/>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Independent Registered Public</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374"/>
        </w:trPr>
        <w:tc>
          <w:tcPr>
            <w:tcW w:w="760" w:type="dxa"/>
            <w:vAlign w:val="bottom"/>
          </w:tcPr>
          <w:p>
            <w:pPr>
              <w:spacing w:after="0"/>
              <w:rPr>
                <w:sz w:val="20"/>
                <w:szCs w:val="20"/>
                <w:color w:val="auto"/>
              </w:rPr>
            </w:pPr>
            <w:r>
              <w:rPr>
                <w:rFonts w:ascii="Arial" w:cs="Arial" w:eastAsia="Arial" w:hAnsi="Arial"/>
                <w:sz w:val="18"/>
                <w:szCs w:val="18"/>
                <w:color w:val="auto"/>
              </w:rPr>
              <w:t>24.1</w:t>
            </w:r>
          </w:p>
        </w:tc>
        <w:tc>
          <w:tcPr>
            <w:tcW w:w="3300" w:type="dxa"/>
            <w:vAlign w:val="bottom"/>
          </w:tcPr>
          <w:p>
            <w:pPr>
              <w:ind w:left="260"/>
              <w:spacing w:after="0"/>
              <w:rPr>
                <w:sz w:val="20"/>
                <w:szCs w:val="20"/>
                <w:color w:val="auto"/>
              </w:rPr>
            </w:pPr>
            <w:r>
              <w:rPr>
                <w:rFonts w:ascii="Arial" w:cs="Arial" w:eastAsia="Arial" w:hAnsi="Arial"/>
                <w:sz w:val="18"/>
                <w:szCs w:val="18"/>
                <w:color w:val="auto"/>
              </w:rPr>
              <w:t>Powers of Attorney (included on the</w:t>
            </w: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45"/>
        </w:trPr>
        <w:tc>
          <w:tcPr>
            <w:tcW w:w="760" w:type="dxa"/>
            <w:vAlign w:val="bottom"/>
          </w:tcPr>
          <w:p>
            <w:pPr>
              <w:spacing w:after="0"/>
              <w:rPr>
                <w:sz w:val="21"/>
                <w:szCs w:val="21"/>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signature page).</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0" w:type="dxa"/>
            <w:vAlign w:val="bottom"/>
          </w:tcPr>
          <w:p>
            <w:pPr>
              <w:spacing w:after="0"/>
              <w:rPr>
                <w:sz w:val="21"/>
                <w:szCs w:val="21"/>
                <w:color w:val="auto"/>
              </w:rPr>
            </w:pPr>
          </w:p>
        </w:tc>
      </w:tr>
    </w:tbl>
    <w:p>
      <w:pPr>
        <w:spacing w:after="0" w:line="200" w:lineRule="exact"/>
        <w:rPr>
          <w:sz w:val="20"/>
          <w:szCs w:val="20"/>
          <w:color w:val="auto"/>
        </w:rPr>
      </w:pPr>
    </w:p>
    <w:p>
      <w:pPr>
        <w:sectPr>
          <w:pgSz w:w="11880" w:h="15480" w:orient="portrait"/>
          <w:cols w:equalWidth="0" w:num="1">
            <w:col w:w="9300"/>
          </w:cols>
          <w:pgMar w:left="1140" w:top="1120" w:right="144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212</w:t>
      </w:r>
    </w:p>
    <w:p>
      <w:pPr>
        <w:sectPr>
          <w:pgSz w:w="11880" w:h="15480" w:orient="portrait"/>
          <w:cols w:equalWidth="0" w:num="1">
            <w:col w:w="9300"/>
          </w:cols>
          <w:pgMar w:left="1140" w:top="1120" w:right="1440" w:bottom="555" w:gutter="0" w:footer="0" w:header="0"/>
          <w:type w:val="continuous"/>
        </w:sectPr>
      </w:pPr>
    </w:p>
    <w:bookmarkStart w:id="214" w:name="page215"/>
    <w:bookmarkEnd w:id="214"/>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5640" w:type="dxa"/>
            <w:vAlign w:val="bottom"/>
          </w:tcPr>
          <w:p>
            <w:pPr>
              <w:ind w:left="160"/>
              <w:spacing w:after="0"/>
              <w:rPr>
                <w:sz w:val="20"/>
                <w:szCs w:val="20"/>
                <w:color w:val="auto"/>
              </w:rPr>
            </w:pPr>
            <w:r>
              <w:rPr>
                <w:rFonts w:ascii="Arial" w:cs="Arial" w:eastAsia="Arial" w:hAnsi="Arial"/>
                <w:sz w:val="18"/>
                <w:szCs w:val="18"/>
                <w:color w:val="auto"/>
              </w:rPr>
              <w:t>Certification of Principal Executive</w:t>
            </w:r>
          </w:p>
        </w:tc>
        <w:tc>
          <w:tcPr>
            <w:tcW w:w="2780" w:type="dxa"/>
            <w:vAlign w:val="bottom"/>
          </w:tcPr>
          <w:p>
            <w:pPr>
              <w:ind w:left="2660"/>
              <w:spacing w:after="0"/>
              <w:rPr>
                <w:sz w:val="20"/>
                <w:szCs w:val="20"/>
                <w:color w:val="auto"/>
              </w:rPr>
            </w:pPr>
            <w:r>
              <w:rPr>
                <w:rFonts w:ascii="Arial" w:cs="Arial" w:eastAsia="Arial" w:hAnsi="Arial"/>
                <w:sz w:val="18"/>
                <w:szCs w:val="18"/>
                <w:color w:val="auto"/>
                <w:w w:val="82"/>
              </w:rPr>
              <w:t>X</w:t>
            </w:r>
          </w:p>
        </w:tc>
      </w:tr>
      <w:tr>
        <w:trPr>
          <w:trHeight w:val="208"/>
        </w:trPr>
        <w:tc>
          <w:tcPr>
            <w:tcW w:w="86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Officer pursuant to Rules</w:t>
            </w:r>
          </w:p>
        </w:tc>
        <w:tc>
          <w:tcPr>
            <w:tcW w:w="2780" w:type="dxa"/>
            <w:vAlign w:val="bottom"/>
          </w:tcPr>
          <w:p>
            <w:pPr>
              <w:spacing w:after="0"/>
              <w:rPr>
                <w:sz w:val="18"/>
                <w:szCs w:val="18"/>
                <w:color w:val="auto"/>
              </w:rPr>
            </w:pPr>
          </w:p>
        </w:tc>
      </w:tr>
      <w:tr>
        <w:trPr>
          <w:trHeight w:val="206"/>
        </w:trPr>
        <w:tc>
          <w:tcPr>
            <w:tcW w:w="860" w:type="dxa"/>
            <w:vAlign w:val="bottom"/>
          </w:tcPr>
          <w:p>
            <w:pPr>
              <w:spacing w:after="0"/>
              <w:rPr>
                <w:sz w:val="17"/>
                <w:szCs w:val="17"/>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13a-14(a) and 15d-14(a) under the</w:t>
            </w:r>
          </w:p>
        </w:tc>
        <w:tc>
          <w:tcPr>
            <w:tcW w:w="2780" w:type="dxa"/>
            <w:vAlign w:val="bottom"/>
          </w:tcPr>
          <w:p>
            <w:pPr>
              <w:spacing w:after="0"/>
              <w:rPr>
                <w:sz w:val="17"/>
                <w:szCs w:val="17"/>
                <w:color w:val="auto"/>
              </w:rPr>
            </w:pPr>
          </w:p>
        </w:tc>
      </w:tr>
      <w:tr>
        <w:trPr>
          <w:trHeight w:val="208"/>
        </w:trPr>
        <w:tc>
          <w:tcPr>
            <w:tcW w:w="86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Securities Exchange Act of 1934,</w:t>
            </w:r>
          </w:p>
        </w:tc>
        <w:tc>
          <w:tcPr>
            <w:tcW w:w="2780" w:type="dxa"/>
            <w:vAlign w:val="bottom"/>
          </w:tcPr>
          <w:p>
            <w:pPr>
              <w:spacing w:after="0"/>
              <w:rPr>
                <w:sz w:val="18"/>
                <w:szCs w:val="18"/>
                <w:color w:val="auto"/>
              </w:rPr>
            </w:pPr>
          </w:p>
        </w:tc>
      </w:tr>
      <w:tr>
        <w:trPr>
          <w:trHeight w:val="208"/>
        </w:trPr>
        <w:tc>
          <w:tcPr>
            <w:tcW w:w="86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as adopted pursuant to Section 302</w:t>
            </w:r>
          </w:p>
        </w:tc>
        <w:tc>
          <w:tcPr>
            <w:tcW w:w="2780" w:type="dxa"/>
            <w:vAlign w:val="bottom"/>
          </w:tcPr>
          <w:p>
            <w:pPr>
              <w:spacing w:after="0"/>
              <w:rPr>
                <w:sz w:val="18"/>
                <w:szCs w:val="18"/>
                <w:color w:val="auto"/>
              </w:rPr>
            </w:pPr>
          </w:p>
        </w:tc>
      </w:tr>
      <w:tr>
        <w:trPr>
          <w:trHeight w:val="245"/>
        </w:trPr>
        <w:tc>
          <w:tcPr>
            <w:tcW w:w="860" w:type="dxa"/>
            <w:vAlign w:val="bottom"/>
          </w:tcPr>
          <w:p>
            <w:pPr>
              <w:spacing w:after="0"/>
              <w:rPr>
                <w:sz w:val="21"/>
                <w:szCs w:val="21"/>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of the Sarbanes-Oxley Act of 2002.</w:t>
            </w:r>
          </w:p>
        </w:tc>
        <w:tc>
          <w:tcPr>
            <w:tcW w:w="2780" w:type="dxa"/>
            <w:vAlign w:val="bottom"/>
          </w:tcPr>
          <w:p>
            <w:pPr>
              <w:spacing w:after="0"/>
              <w:rPr>
                <w:sz w:val="21"/>
                <w:szCs w:val="21"/>
                <w:color w:val="auto"/>
              </w:rPr>
            </w:pPr>
          </w:p>
        </w:tc>
      </w:tr>
      <w:tr>
        <w:trPr>
          <w:trHeight w:val="362"/>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5640" w:type="dxa"/>
            <w:vAlign w:val="bottom"/>
          </w:tcPr>
          <w:p>
            <w:pPr>
              <w:ind w:left="160"/>
              <w:spacing w:after="0"/>
              <w:rPr>
                <w:sz w:val="20"/>
                <w:szCs w:val="20"/>
                <w:color w:val="auto"/>
              </w:rPr>
            </w:pPr>
            <w:r>
              <w:rPr>
                <w:rFonts w:ascii="Arial" w:cs="Arial" w:eastAsia="Arial" w:hAnsi="Arial"/>
                <w:sz w:val="18"/>
                <w:szCs w:val="18"/>
                <w:color w:val="auto"/>
              </w:rPr>
              <w:t>Certification of Principal Financial</w:t>
            </w:r>
          </w:p>
        </w:tc>
        <w:tc>
          <w:tcPr>
            <w:tcW w:w="2780" w:type="dxa"/>
            <w:vAlign w:val="bottom"/>
          </w:tcPr>
          <w:p>
            <w:pPr>
              <w:ind w:left="2660"/>
              <w:spacing w:after="0"/>
              <w:rPr>
                <w:sz w:val="20"/>
                <w:szCs w:val="20"/>
                <w:color w:val="auto"/>
              </w:rPr>
            </w:pPr>
            <w:r>
              <w:rPr>
                <w:rFonts w:ascii="Arial" w:cs="Arial" w:eastAsia="Arial" w:hAnsi="Arial"/>
                <w:sz w:val="18"/>
                <w:szCs w:val="18"/>
                <w:color w:val="auto"/>
                <w:w w:val="82"/>
              </w:rPr>
              <w:t>X</w:t>
            </w:r>
          </w:p>
        </w:tc>
      </w:tr>
      <w:tr>
        <w:trPr>
          <w:trHeight w:val="208"/>
        </w:trPr>
        <w:tc>
          <w:tcPr>
            <w:tcW w:w="86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Officer pursuant to Rules</w:t>
            </w:r>
          </w:p>
        </w:tc>
        <w:tc>
          <w:tcPr>
            <w:tcW w:w="2780" w:type="dxa"/>
            <w:vAlign w:val="bottom"/>
          </w:tcPr>
          <w:p>
            <w:pPr>
              <w:spacing w:after="0"/>
              <w:rPr>
                <w:sz w:val="18"/>
                <w:szCs w:val="18"/>
                <w:color w:val="auto"/>
              </w:rPr>
            </w:pPr>
          </w:p>
        </w:tc>
      </w:tr>
      <w:tr>
        <w:trPr>
          <w:trHeight w:val="206"/>
        </w:trPr>
        <w:tc>
          <w:tcPr>
            <w:tcW w:w="860" w:type="dxa"/>
            <w:vAlign w:val="bottom"/>
          </w:tcPr>
          <w:p>
            <w:pPr>
              <w:spacing w:after="0"/>
              <w:rPr>
                <w:sz w:val="17"/>
                <w:szCs w:val="17"/>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13a-14(a) and 15d-14(a) under the</w:t>
            </w:r>
          </w:p>
        </w:tc>
        <w:tc>
          <w:tcPr>
            <w:tcW w:w="2780" w:type="dxa"/>
            <w:vAlign w:val="bottom"/>
          </w:tcPr>
          <w:p>
            <w:pPr>
              <w:spacing w:after="0"/>
              <w:rPr>
                <w:sz w:val="17"/>
                <w:szCs w:val="17"/>
                <w:color w:val="auto"/>
              </w:rPr>
            </w:pPr>
          </w:p>
        </w:tc>
      </w:tr>
      <w:tr>
        <w:trPr>
          <w:trHeight w:val="208"/>
        </w:trPr>
        <w:tc>
          <w:tcPr>
            <w:tcW w:w="86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Securities Exchange Act of 1934,</w:t>
            </w:r>
          </w:p>
        </w:tc>
        <w:tc>
          <w:tcPr>
            <w:tcW w:w="2780" w:type="dxa"/>
            <w:vAlign w:val="bottom"/>
          </w:tcPr>
          <w:p>
            <w:pPr>
              <w:spacing w:after="0"/>
              <w:rPr>
                <w:sz w:val="18"/>
                <w:szCs w:val="18"/>
                <w:color w:val="auto"/>
              </w:rPr>
            </w:pPr>
          </w:p>
        </w:tc>
      </w:tr>
      <w:tr>
        <w:trPr>
          <w:trHeight w:val="208"/>
        </w:trPr>
        <w:tc>
          <w:tcPr>
            <w:tcW w:w="86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as adopted pursuant to Section 302</w:t>
            </w:r>
          </w:p>
        </w:tc>
        <w:tc>
          <w:tcPr>
            <w:tcW w:w="2780" w:type="dxa"/>
            <w:vAlign w:val="bottom"/>
          </w:tcPr>
          <w:p>
            <w:pPr>
              <w:spacing w:after="0"/>
              <w:rPr>
                <w:sz w:val="18"/>
                <w:szCs w:val="18"/>
                <w:color w:val="auto"/>
              </w:rPr>
            </w:pPr>
          </w:p>
        </w:tc>
      </w:tr>
      <w:tr>
        <w:trPr>
          <w:trHeight w:val="245"/>
        </w:trPr>
        <w:tc>
          <w:tcPr>
            <w:tcW w:w="860" w:type="dxa"/>
            <w:vAlign w:val="bottom"/>
          </w:tcPr>
          <w:p>
            <w:pPr>
              <w:spacing w:after="0"/>
              <w:rPr>
                <w:sz w:val="21"/>
                <w:szCs w:val="21"/>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of the Sarbanes-Oxley Act of 2002.</w:t>
            </w:r>
          </w:p>
        </w:tc>
        <w:tc>
          <w:tcPr>
            <w:tcW w:w="2780" w:type="dxa"/>
            <w:vAlign w:val="bottom"/>
          </w:tcPr>
          <w:p>
            <w:pPr>
              <w:spacing w:after="0"/>
              <w:rPr>
                <w:sz w:val="21"/>
                <w:szCs w:val="21"/>
                <w:color w:val="auto"/>
              </w:rPr>
            </w:pPr>
          </w:p>
        </w:tc>
      </w:tr>
      <w:tr>
        <w:trPr>
          <w:trHeight w:val="346"/>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5640" w:type="dxa"/>
            <w:vAlign w:val="bottom"/>
          </w:tcPr>
          <w:p>
            <w:pPr>
              <w:ind w:left="160"/>
              <w:spacing w:after="0"/>
              <w:rPr>
                <w:sz w:val="20"/>
                <w:szCs w:val="20"/>
                <w:color w:val="auto"/>
              </w:rPr>
            </w:pPr>
            <w:r>
              <w:rPr>
                <w:rFonts w:ascii="Arial" w:cs="Arial" w:eastAsia="Arial" w:hAnsi="Arial"/>
                <w:sz w:val="18"/>
                <w:szCs w:val="18"/>
                <w:color w:val="auto"/>
              </w:rPr>
              <w:t>Certification of Principal Executive</w:t>
            </w:r>
          </w:p>
        </w:tc>
        <w:tc>
          <w:tcPr>
            <w:tcW w:w="2780" w:type="dxa"/>
            <w:vAlign w:val="bottom"/>
          </w:tcPr>
          <w:p>
            <w:pPr>
              <w:ind w:left="2660"/>
              <w:spacing w:after="0"/>
              <w:rPr>
                <w:sz w:val="20"/>
                <w:szCs w:val="20"/>
                <w:color w:val="auto"/>
              </w:rPr>
            </w:pPr>
            <w:r>
              <w:rPr>
                <w:rFonts w:ascii="Arial" w:cs="Arial" w:eastAsia="Arial" w:hAnsi="Arial"/>
                <w:sz w:val="18"/>
                <w:szCs w:val="18"/>
                <w:color w:val="auto"/>
                <w:w w:val="82"/>
              </w:rPr>
              <w:t>X</w:t>
            </w:r>
          </w:p>
        </w:tc>
      </w:tr>
      <w:tr>
        <w:trPr>
          <w:trHeight w:val="208"/>
        </w:trPr>
        <w:tc>
          <w:tcPr>
            <w:tcW w:w="86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Officer pursuant to 18 U.S.C.</w:t>
            </w:r>
          </w:p>
        </w:tc>
        <w:tc>
          <w:tcPr>
            <w:tcW w:w="2780" w:type="dxa"/>
            <w:vAlign w:val="bottom"/>
          </w:tcPr>
          <w:p>
            <w:pPr>
              <w:spacing w:after="0"/>
              <w:rPr>
                <w:sz w:val="18"/>
                <w:szCs w:val="18"/>
                <w:color w:val="auto"/>
              </w:rPr>
            </w:pPr>
          </w:p>
        </w:tc>
      </w:tr>
      <w:tr>
        <w:trPr>
          <w:trHeight w:val="206"/>
        </w:trPr>
        <w:tc>
          <w:tcPr>
            <w:tcW w:w="860" w:type="dxa"/>
            <w:vAlign w:val="bottom"/>
          </w:tcPr>
          <w:p>
            <w:pPr>
              <w:spacing w:after="0"/>
              <w:rPr>
                <w:sz w:val="17"/>
                <w:szCs w:val="17"/>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Section 1350, as adopted pursuant</w:t>
            </w:r>
          </w:p>
        </w:tc>
        <w:tc>
          <w:tcPr>
            <w:tcW w:w="2780" w:type="dxa"/>
            <w:vAlign w:val="bottom"/>
          </w:tcPr>
          <w:p>
            <w:pPr>
              <w:spacing w:after="0"/>
              <w:rPr>
                <w:sz w:val="17"/>
                <w:szCs w:val="17"/>
                <w:color w:val="auto"/>
              </w:rPr>
            </w:pPr>
          </w:p>
        </w:tc>
      </w:tr>
      <w:tr>
        <w:trPr>
          <w:trHeight w:val="209"/>
        </w:trPr>
        <w:tc>
          <w:tcPr>
            <w:tcW w:w="86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to Section 906 of the Sarbanes-</w:t>
            </w:r>
          </w:p>
        </w:tc>
        <w:tc>
          <w:tcPr>
            <w:tcW w:w="2780" w:type="dxa"/>
            <w:vAlign w:val="bottom"/>
          </w:tcPr>
          <w:p>
            <w:pPr>
              <w:spacing w:after="0"/>
              <w:rPr>
                <w:sz w:val="18"/>
                <w:szCs w:val="18"/>
                <w:color w:val="auto"/>
              </w:rPr>
            </w:pPr>
          </w:p>
        </w:tc>
      </w:tr>
      <w:tr>
        <w:trPr>
          <w:trHeight w:val="245"/>
        </w:trPr>
        <w:tc>
          <w:tcPr>
            <w:tcW w:w="860" w:type="dxa"/>
            <w:vAlign w:val="bottom"/>
          </w:tcPr>
          <w:p>
            <w:pPr>
              <w:spacing w:after="0"/>
              <w:rPr>
                <w:sz w:val="21"/>
                <w:szCs w:val="21"/>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Oxley Act of 2002.</w:t>
            </w:r>
          </w:p>
        </w:tc>
        <w:tc>
          <w:tcPr>
            <w:tcW w:w="2780" w:type="dxa"/>
            <w:vAlign w:val="bottom"/>
          </w:tcPr>
          <w:p>
            <w:pPr>
              <w:spacing w:after="0"/>
              <w:rPr>
                <w:sz w:val="21"/>
                <w:szCs w:val="21"/>
                <w:color w:val="auto"/>
              </w:rPr>
            </w:pPr>
          </w:p>
        </w:tc>
      </w:tr>
      <w:tr>
        <w:trPr>
          <w:trHeight w:val="361"/>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5640" w:type="dxa"/>
            <w:vAlign w:val="bottom"/>
          </w:tcPr>
          <w:p>
            <w:pPr>
              <w:ind w:left="160"/>
              <w:spacing w:after="0"/>
              <w:rPr>
                <w:sz w:val="20"/>
                <w:szCs w:val="20"/>
                <w:color w:val="auto"/>
              </w:rPr>
            </w:pPr>
            <w:r>
              <w:rPr>
                <w:rFonts w:ascii="Arial" w:cs="Arial" w:eastAsia="Arial" w:hAnsi="Arial"/>
                <w:sz w:val="18"/>
                <w:szCs w:val="18"/>
                <w:color w:val="auto"/>
              </w:rPr>
              <w:t>Certification of Principal Financial</w:t>
            </w:r>
          </w:p>
        </w:tc>
        <w:tc>
          <w:tcPr>
            <w:tcW w:w="2780" w:type="dxa"/>
            <w:vAlign w:val="bottom"/>
          </w:tcPr>
          <w:p>
            <w:pPr>
              <w:ind w:left="2660"/>
              <w:spacing w:after="0"/>
              <w:rPr>
                <w:sz w:val="20"/>
                <w:szCs w:val="20"/>
                <w:color w:val="auto"/>
              </w:rPr>
            </w:pPr>
            <w:r>
              <w:rPr>
                <w:rFonts w:ascii="Arial" w:cs="Arial" w:eastAsia="Arial" w:hAnsi="Arial"/>
                <w:sz w:val="18"/>
                <w:szCs w:val="18"/>
                <w:color w:val="auto"/>
                <w:w w:val="82"/>
              </w:rPr>
              <w:t>X</w:t>
            </w:r>
          </w:p>
        </w:tc>
      </w:tr>
      <w:tr>
        <w:trPr>
          <w:trHeight w:val="208"/>
        </w:trPr>
        <w:tc>
          <w:tcPr>
            <w:tcW w:w="86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Officer pursuant to 18 U.S.C.</w:t>
            </w:r>
          </w:p>
        </w:tc>
        <w:tc>
          <w:tcPr>
            <w:tcW w:w="2780" w:type="dxa"/>
            <w:vAlign w:val="bottom"/>
          </w:tcPr>
          <w:p>
            <w:pPr>
              <w:spacing w:after="0"/>
              <w:rPr>
                <w:sz w:val="18"/>
                <w:szCs w:val="18"/>
                <w:color w:val="auto"/>
              </w:rPr>
            </w:pPr>
          </w:p>
        </w:tc>
      </w:tr>
      <w:tr>
        <w:trPr>
          <w:trHeight w:val="206"/>
        </w:trPr>
        <w:tc>
          <w:tcPr>
            <w:tcW w:w="860" w:type="dxa"/>
            <w:vAlign w:val="bottom"/>
          </w:tcPr>
          <w:p>
            <w:pPr>
              <w:spacing w:after="0"/>
              <w:rPr>
                <w:sz w:val="17"/>
                <w:szCs w:val="17"/>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Section 1350, as adopted pursuant</w:t>
            </w:r>
          </w:p>
        </w:tc>
        <w:tc>
          <w:tcPr>
            <w:tcW w:w="2780" w:type="dxa"/>
            <w:vAlign w:val="bottom"/>
          </w:tcPr>
          <w:p>
            <w:pPr>
              <w:spacing w:after="0"/>
              <w:rPr>
                <w:sz w:val="17"/>
                <w:szCs w:val="17"/>
                <w:color w:val="auto"/>
              </w:rPr>
            </w:pPr>
          </w:p>
        </w:tc>
      </w:tr>
      <w:tr>
        <w:trPr>
          <w:trHeight w:val="209"/>
        </w:trPr>
        <w:tc>
          <w:tcPr>
            <w:tcW w:w="86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to Section 906 of the Sarbanes-</w:t>
            </w:r>
          </w:p>
        </w:tc>
        <w:tc>
          <w:tcPr>
            <w:tcW w:w="2780" w:type="dxa"/>
            <w:vAlign w:val="bottom"/>
          </w:tcPr>
          <w:p>
            <w:pPr>
              <w:spacing w:after="0"/>
              <w:rPr>
                <w:sz w:val="18"/>
                <w:szCs w:val="18"/>
                <w:color w:val="auto"/>
              </w:rPr>
            </w:pPr>
          </w:p>
        </w:tc>
      </w:tr>
      <w:tr>
        <w:trPr>
          <w:trHeight w:val="245"/>
        </w:trPr>
        <w:tc>
          <w:tcPr>
            <w:tcW w:w="860" w:type="dxa"/>
            <w:vAlign w:val="bottom"/>
          </w:tcPr>
          <w:p>
            <w:pPr>
              <w:spacing w:after="0"/>
              <w:rPr>
                <w:sz w:val="21"/>
                <w:szCs w:val="21"/>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Oxley Act of 2002.</w:t>
            </w:r>
          </w:p>
        </w:tc>
        <w:tc>
          <w:tcPr>
            <w:tcW w:w="2780" w:type="dxa"/>
            <w:vAlign w:val="bottom"/>
          </w:tcPr>
          <w:p>
            <w:pPr>
              <w:spacing w:after="0"/>
              <w:rPr>
                <w:sz w:val="21"/>
                <w:szCs w:val="21"/>
                <w:color w:val="auto"/>
              </w:rPr>
            </w:pPr>
          </w:p>
        </w:tc>
      </w:tr>
      <w:tr>
        <w:trPr>
          <w:trHeight w:val="393"/>
        </w:trPr>
        <w:tc>
          <w:tcPr>
            <w:tcW w:w="860" w:type="dxa"/>
            <w:vAlign w:val="bottom"/>
          </w:tcPr>
          <w:p>
            <w:pPr>
              <w:spacing w:after="0"/>
              <w:rPr>
                <w:sz w:val="20"/>
                <w:szCs w:val="20"/>
                <w:color w:val="auto"/>
              </w:rPr>
            </w:pPr>
            <w:r>
              <w:rPr>
                <w:rFonts w:ascii="Arial" w:cs="Arial" w:eastAsia="Arial" w:hAnsi="Arial"/>
                <w:sz w:val="18"/>
                <w:szCs w:val="18"/>
                <w:color w:val="auto"/>
              </w:rPr>
              <w:t>97</w:t>
            </w:r>
          </w:p>
        </w:tc>
        <w:tc>
          <w:tcPr>
            <w:tcW w:w="5640" w:type="dxa"/>
            <w:vAlign w:val="bottom"/>
          </w:tcPr>
          <w:p>
            <w:pPr>
              <w:ind w:left="160"/>
              <w:spacing w:after="0"/>
              <w:rPr>
                <w:sz w:val="20"/>
                <w:szCs w:val="20"/>
                <w:color w:val="auto"/>
              </w:rPr>
            </w:pPr>
            <w:r>
              <w:rPr>
                <w:rFonts w:ascii="Arial" w:cs="Arial" w:eastAsia="Arial" w:hAnsi="Arial"/>
                <w:sz w:val="18"/>
                <w:szCs w:val="18"/>
                <w:color w:val="auto"/>
              </w:rPr>
              <w:t>Incentive Compensation</w:t>
            </w:r>
          </w:p>
        </w:tc>
        <w:tc>
          <w:tcPr>
            <w:tcW w:w="2780" w:type="dxa"/>
            <w:vAlign w:val="bottom"/>
          </w:tcPr>
          <w:p>
            <w:pPr>
              <w:ind w:left="2660"/>
              <w:spacing w:after="0"/>
              <w:rPr>
                <w:sz w:val="20"/>
                <w:szCs w:val="20"/>
                <w:color w:val="auto"/>
              </w:rPr>
            </w:pPr>
            <w:r>
              <w:rPr>
                <w:rFonts w:ascii="Arial" w:cs="Arial" w:eastAsia="Arial" w:hAnsi="Arial"/>
                <w:sz w:val="18"/>
                <w:szCs w:val="18"/>
                <w:color w:val="auto"/>
                <w:w w:val="82"/>
              </w:rPr>
              <w:t>X</w:t>
            </w:r>
          </w:p>
        </w:tc>
      </w:tr>
      <w:tr>
        <w:trPr>
          <w:trHeight w:val="245"/>
        </w:trPr>
        <w:tc>
          <w:tcPr>
            <w:tcW w:w="860" w:type="dxa"/>
            <w:vAlign w:val="bottom"/>
          </w:tcPr>
          <w:p>
            <w:pPr>
              <w:spacing w:after="0"/>
              <w:rPr>
                <w:sz w:val="21"/>
                <w:szCs w:val="21"/>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Recoupment Policy.</w:t>
            </w:r>
          </w:p>
        </w:tc>
        <w:tc>
          <w:tcPr>
            <w:tcW w:w="2780" w:type="dxa"/>
            <w:vAlign w:val="bottom"/>
          </w:tcPr>
          <w:p>
            <w:pPr>
              <w:spacing w:after="0"/>
              <w:rPr>
                <w:sz w:val="21"/>
                <w:szCs w:val="21"/>
                <w:color w:val="auto"/>
              </w:rPr>
            </w:pPr>
          </w:p>
        </w:tc>
      </w:tr>
      <w:tr>
        <w:trPr>
          <w:trHeight w:val="533"/>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5640" w:type="dxa"/>
            <w:vAlign w:val="bottom"/>
          </w:tcPr>
          <w:p>
            <w:pPr>
              <w:ind w:left="160"/>
              <w:spacing w:after="0"/>
              <w:rPr>
                <w:sz w:val="20"/>
                <w:szCs w:val="20"/>
                <w:color w:val="auto"/>
              </w:rPr>
            </w:pPr>
            <w:r>
              <w:rPr>
                <w:rFonts w:ascii="Arial" w:cs="Arial" w:eastAsia="Arial" w:hAnsi="Arial"/>
                <w:sz w:val="18"/>
                <w:szCs w:val="18"/>
                <w:color w:val="auto"/>
              </w:rPr>
              <w:t>Inline XBRL Instance Document</w:t>
            </w:r>
          </w:p>
        </w:tc>
        <w:tc>
          <w:tcPr>
            <w:tcW w:w="2780" w:type="dxa"/>
            <w:vAlign w:val="bottom"/>
          </w:tcPr>
          <w:p>
            <w:pPr>
              <w:ind w:left="2660"/>
              <w:spacing w:after="0"/>
              <w:rPr>
                <w:sz w:val="20"/>
                <w:szCs w:val="20"/>
                <w:color w:val="auto"/>
              </w:rPr>
            </w:pPr>
            <w:r>
              <w:rPr>
                <w:rFonts w:ascii="Arial" w:cs="Arial" w:eastAsia="Arial" w:hAnsi="Arial"/>
                <w:sz w:val="18"/>
                <w:szCs w:val="18"/>
                <w:color w:val="auto"/>
                <w:w w:val="82"/>
              </w:rPr>
              <w:t>X</w:t>
            </w:r>
          </w:p>
        </w:tc>
      </w:tr>
      <w:tr>
        <w:trPr>
          <w:trHeight w:val="40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5640" w:type="dxa"/>
            <w:vAlign w:val="bottom"/>
          </w:tcPr>
          <w:p>
            <w:pPr>
              <w:ind w:left="160"/>
              <w:spacing w:after="0"/>
              <w:rPr>
                <w:sz w:val="20"/>
                <w:szCs w:val="20"/>
                <w:color w:val="auto"/>
              </w:rPr>
            </w:pPr>
            <w:r>
              <w:rPr>
                <w:rFonts w:ascii="Arial" w:cs="Arial" w:eastAsia="Arial" w:hAnsi="Arial"/>
                <w:sz w:val="18"/>
                <w:szCs w:val="18"/>
                <w:color w:val="auto"/>
              </w:rPr>
              <w:t>Inline XBRL Taxonomy Extension</w:t>
            </w:r>
          </w:p>
        </w:tc>
        <w:tc>
          <w:tcPr>
            <w:tcW w:w="2780" w:type="dxa"/>
            <w:vAlign w:val="bottom"/>
          </w:tcPr>
          <w:p>
            <w:pPr>
              <w:ind w:left="2660"/>
              <w:spacing w:after="0"/>
              <w:rPr>
                <w:sz w:val="20"/>
                <w:szCs w:val="20"/>
                <w:color w:val="auto"/>
              </w:rPr>
            </w:pPr>
            <w:r>
              <w:rPr>
                <w:rFonts w:ascii="Arial" w:cs="Arial" w:eastAsia="Arial" w:hAnsi="Arial"/>
                <w:sz w:val="18"/>
                <w:szCs w:val="18"/>
                <w:color w:val="auto"/>
                <w:w w:val="82"/>
              </w:rPr>
              <w:t>X</w:t>
            </w:r>
          </w:p>
        </w:tc>
      </w:tr>
      <w:tr>
        <w:trPr>
          <w:trHeight w:val="245"/>
        </w:trPr>
        <w:tc>
          <w:tcPr>
            <w:tcW w:w="860" w:type="dxa"/>
            <w:vAlign w:val="bottom"/>
          </w:tcPr>
          <w:p>
            <w:pPr>
              <w:spacing w:after="0"/>
              <w:rPr>
                <w:sz w:val="21"/>
                <w:szCs w:val="21"/>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Schema Document</w:t>
            </w:r>
          </w:p>
        </w:tc>
        <w:tc>
          <w:tcPr>
            <w:tcW w:w="2780" w:type="dxa"/>
            <w:vAlign w:val="bottom"/>
          </w:tcPr>
          <w:p>
            <w:pPr>
              <w:spacing w:after="0"/>
              <w:rPr>
                <w:sz w:val="21"/>
                <w:szCs w:val="21"/>
                <w:color w:val="auto"/>
              </w:rPr>
            </w:pPr>
          </w:p>
        </w:tc>
      </w:tr>
      <w:tr>
        <w:trPr>
          <w:trHeight w:val="302"/>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5640" w:type="dxa"/>
            <w:vAlign w:val="bottom"/>
          </w:tcPr>
          <w:p>
            <w:pPr>
              <w:ind w:left="160"/>
              <w:spacing w:after="0"/>
              <w:rPr>
                <w:sz w:val="20"/>
                <w:szCs w:val="20"/>
                <w:color w:val="auto"/>
              </w:rPr>
            </w:pPr>
            <w:r>
              <w:rPr>
                <w:rFonts w:ascii="Arial" w:cs="Arial" w:eastAsia="Arial" w:hAnsi="Arial"/>
                <w:sz w:val="18"/>
                <w:szCs w:val="18"/>
                <w:color w:val="auto"/>
              </w:rPr>
              <w:t>Inline XBRL Taxonomy Extension</w:t>
            </w:r>
          </w:p>
        </w:tc>
        <w:tc>
          <w:tcPr>
            <w:tcW w:w="2780" w:type="dxa"/>
            <w:vAlign w:val="bottom"/>
          </w:tcPr>
          <w:p>
            <w:pPr>
              <w:ind w:left="2660"/>
              <w:spacing w:after="0"/>
              <w:rPr>
                <w:sz w:val="20"/>
                <w:szCs w:val="20"/>
                <w:color w:val="auto"/>
              </w:rPr>
            </w:pPr>
            <w:r>
              <w:rPr>
                <w:rFonts w:ascii="Arial" w:cs="Arial" w:eastAsia="Arial" w:hAnsi="Arial"/>
                <w:sz w:val="18"/>
                <w:szCs w:val="18"/>
                <w:color w:val="auto"/>
                <w:w w:val="82"/>
              </w:rPr>
              <w:t>X</w:t>
            </w:r>
          </w:p>
        </w:tc>
      </w:tr>
      <w:tr>
        <w:trPr>
          <w:trHeight w:val="245"/>
        </w:trPr>
        <w:tc>
          <w:tcPr>
            <w:tcW w:w="860" w:type="dxa"/>
            <w:vAlign w:val="bottom"/>
          </w:tcPr>
          <w:p>
            <w:pPr>
              <w:spacing w:after="0"/>
              <w:rPr>
                <w:sz w:val="21"/>
                <w:szCs w:val="21"/>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Calculation Linkbase Document</w:t>
            </w:r>
          </w:p>
        </w:tc>
        <w:tc>
          <w:tcPr>
            <w:tcW w:w="2780" w:type="dxa"/>
            <w:vAlign w:val="bottom"/>
          </w:tcPr>
          <w:p>
            <w:pPr>
              <w:spacing w:after="0"/>
              <w:rPr>
                <w:sz w:val="21"/>
                <w:szCs w:val="21"/>
                <w:color w:val="auto"/>
              </w:rPr>
            </w:pPr>
          </w:p>
        </w:tc>
      </w:tr>
      <w:tr>
        <w:trPr>
          <w:trHeight w:val="382"/>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5640" w:type="dxa"/>
            <w:vAlign w:val="bottom"/>
          </w:tcPr>
          <w:p>
            <w:pPr>
              <w:ind w:left="140"/>
              <w:spacing w:after="0"/>
              <w:rPr>
                <w:sz w:val="20"/>
                <w:szCs w:val="20"/>
                <w:color w:val="auto"/>
              </w:rPr>
            </w:pPr>
            <w:r>
              <w:rPr>
                <w:rFonts w:ascii="Arial" w:cs="Arial" w:eastAsia="Arial" w:hAnsi="Arial"/>
                <w:sz w:val="18"/>
                <w:szCs w:val="18"/>
                <w:color w:val="auto"/>
              </w:rPr>
              <w:t>Inline XBRL Taxonomy Extension</w:t>
            </w:r>
          </w:p>
        </w:tc>
        <w:tc>
          <w:tcPr>
            <w:tcW w:w="2780" w:type="dxa"/>
            <w:vAlign w:val="bottom"/>
          </w:tcPr>
          <w:p>
            <w:pPr>
              <w:ind w:left="2660"/>
              <w:spacing w:after="0"/>
              <w:rPr>
                <w:sz w:val="20"/>
                <w:szCs w:val="20"/>
                <w:color w:val="auto"/>
              </w:rPr>
            </w:pPr>
            <w:r>
              <w:rPr>
                <w:rFonts w:ascii="Arial" w:cs="Arial" w:eastAsia="Arial" w:hAnsi="Arial"/>
                <w:sz w:val="18"/>
                <w:szCs w:val="18"/>
                <w:color w:val="auto"/>
                <w:w w:val="82"/>
              </w:rPr>
              <w:t>X</w:t>
            </w:r>
          </w:p>
        </w:tc>
      </w:tr>
      <w:tr>
        <w:trPr>
          <w:trHeight w:val="245"/>
        </w:trPr>
        <w:tc>
          <w:tcPr>
            <w:tcW w:w="860" w:type="dxa"/>
            <w:vAlign w:val="bottom"/>
          </w:tcPr>
          <w:p>
            <w:pPr>
              <w:spacing w:after="0"/>
              <w:rPr>
                <w:sz w:val="21"/>
                <w:szCs w:val="21"/>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Definition Linkbase Document</w:t>
            </w:r>
          </w:p>
        </w:tc>
        <w:tc>
          <w:tcPr>
            <w:tcW w:w="2780" w:type="dxa"/>
            <w:vAlign w:val="bottom"/>
          </w:tcPr>
          <w:p>
            <w:pPr>
              <w:spacing w:after="0"/>
              <w:rPr>
                <w:sz w:val="21"/>
                <w:szCs w:val="21"/>
                <w:color w:val="auto"/>
              </w:rPr>
            </w:pPr>
          </w:p>
        </w:tc>
      </w:tr>
      <w:tr>
        <w:trPr>
          <w:trHeight w:val="302"/>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5640" w:type="dxa"/>
            <w:vAlign w:val="bottom"/>
          </w:tcPr>
          <w:p>
            <w:pPr>
              <w:ind w:left="140"/>
              <w:spacing w:after="0"/>
              <w:rPr>
                <w:sz w:val="20"/>
                <w:szCs w:val="20"/>
                <w:color w:val="auto"/>
              </w:rPr>
            </w:pPr>
            <w:r>
              <w:rPr>
                <w:rFonts w:ascii="Arial" w:cs="Arial" w:eastAsia="Arial" w:hAnsi="Arial"/>
                <w:sz w:val="18"/>
                <w:szCs w:val="18"/>
                <w:color w:val="auto"/>
              </w:rPr>
              <w:t>XBRL Taxonomy Extension Labels</w:t>
            </w:r>
          </w:p>
        </w:tc>
        <w:tc>
          <w:tcPr>
            <w:tcW w:w="2780" w:type="dxa"/>
            <w:vAlign w:val="bottom"/>
          </w:tcPr>
          <w:p>
            <w:pPr>
              <w:ind w:left="2660"/>
              <w:spacing w:after="0"/>
              <w:rPr>
                <w:sz w:val="20"/>
                <w:szCs w:val="20"/>
                <w:color w:val="auto"/>
              </w:rPr>
            </w:pPr>
            <w:r>
              <w:rPr>
                <w:rFonts w:ascii="Arial" w:cs="Arial" w:eastAsia="Arial" w:hAnsi="Arial"/>
                <w:sz w:val="18"/>
                <w:szCs w:val="18"/>
                <w:color w:val="auto"/>
                <w:w w:val="82"/>
              </w:rPr>
              <w:t>X</w:t>
            </w:r>
          </w:p>
        </w:tc>
      </w:tr>
      <w:tr>
        <w:trPr>
          <w:trHeight w:val="245"/>
        </w:trPr>
        <w:tc>
          <w:tcPr>
            <w:tcW w:w="860" w:type="dxa"/>
            <w:vAlign w:val="bottom"/>
          </w:tcPr>
          <w:p>
            <w:pPr>
              <w:spacing w:after="0"/>
              <w:rPr>
                <w:sz w:val="21"/>
                <w:szCs w:val="21"/>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Linkbase Document</w:t>
            </w:r>
          </w:p>
        </w:tc>
        <w:tc>
          <w:tcPr>
            <w:tcW w:w="2780" w:type="dxa"/>
            <w:vAlign w:val="bottom"/>
          </w:tcPr>
          <w:p>
            <w:pPr>
              <w:spacing w:after="0"/>
              <w:rPr>
                <w:sz w:val="21"/>
                <w:szCs w:val="21"/>
                <w:color w:val="auto"/>
              </w:rPr>
            </w:pP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5640" w:type="dxa"/>
            <w:vAlign w:val="bottom"/>
          </w:tcPr>
          <w:p>
            <w:pPr>
              <w:ind w:left="140"/>
              <w:spacing w:after="0"/>
              <w:rPr>
                <w:sz w:val="20"/>
                <w:szCs w:val="20"/>
                <w:color w:val="auto"/>
              </w:rPr>
            </w:pPr>
            <w:r>
              <w:rPr>
                <w:rFonts w:ascii="Arial" w:cs="Arial" w:eastAsia="Arial" w:hAnsi="Arial"/>
                <w:sz w:val="18"/>
                <w:szCs w:val="18"/>
                <w:color w:val="auto"/>
              </w:rPr>
              <w:t>XBRL Taxonomy Extension</w:t>
            </w:r>
          </w:p>
        </w:tc>
        <w:tc>
          <w:tcPr>
            <w:tcW w:w="2780" w:type="dxa"/>
            <w:vAlign w:val="bottom"/>
          </w:tcPr>
          <w:p>
            <w:pPr>
              <w:ind w:left="2660"/>
              <w:spacing w:after="0"/>
              <w:rPr>
                <w:sz w:val="20"/>
                <w:szCs w:val="20"/>
                <w:color w:val="auto"/>
              </w:rPr>
            </w:pPr>
            <w:r>
              <w:rPr>
                <w:rFonts w:ascii="Arial" w:cs="Arial" w:eastAsia="Arial" w:hAnsi="Arial"/>
                <w:sz w:val="18"/>
                <w:szCs w:val="18"/>
                <w:color w:val="auto"/>
                <w:w w:val="82"/>
              </w:rPr>
              <w:t>X</w:t>
            </w:r>
          </w:p>
        </w:tc>
      </w:tr>
      <w:tr>
        <w:trPr>
          <w:trHeight w:val="245"/>
        </w:trPr>
        <w:tc>
          <w:tcPr>
            <w:tcW w:w="860" w:type="dxa"/>
            <w:vAlign w:val="bottom"/>
          </w:tcPr>
          <w:p>
            <w:pPr>
              <w:spacing w:after="0"/>
              <w:rPr>
                <w:sz w:val="21"/>
                <w:szCs w:val="21"/>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Presentation Linkbase Document</w:t>
            </w:r>
          </w:p>
        </w:tc>
        <w:tc>
          <w:tcPr>
            <w:tcW w:w="2780" w:type="dxa"/>
            <w:vAlign w:val="bottom"/>
          </w:tcPr>
          <w:p>
            <w:pPr>
              <w:spacing w:after="0"/>
              <w:rPr>
                <w:sz w:val="21"/>
                <w:szCs w:val="21"/>
                <w:color w:val="auto"/>
              </w:rPr>
            </w:pPr>
          </w:p>
        </w:tc>
      </w:tr>
      <w:tr>
        <w:trPr>
          <w:trHeight w:val="355"/>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5640" w:type="dxa"/>
            <w:vAlign w:val="bottom"/>
          </w:tcPr>
          <w:p>
            <w:pPr>
              <w:ind w:left="140"/>
              <w:spacing w:after="0"/>
              <w:rPr>
                <w:sz w:val="20"/>
                <w:szCs w:val="20"/>
                <w:color w:val="auto"/>
              </w:rPr>
            </w:pPr>
            <w:r>
              <w:rPr>
                <w:rFonts w:ascii="Arial" w:cs="Arial" w:eastAsia="Arial" w:hAnsi="Arial"/>
                <w:sz w:val="18"/>
                <w:szCs w:val="18"/>
                <w:color w:val="auto"/>
              </w:rPr>
              <w:t>Cover Page Interactive Data File</w:t>
            </w:r>
          </w:p>
        </w:tc>
        <w:tc>
          <w:tcPr>
            <w:tcW w:w="2780" w:type="dxa"/>
            <w:vAlign w:val="bottom"/>
          </w:tcPr>
          <w:p>
            <w:pPr>
              <w:ind w:left="2660"/>
              <w:spacing w:after="0"/>
              <w:rPr>
                <w:sz w:val="20"/>
                <w:szCs w:val="20"/>
                <w:color w:val="auto"/>
              </w:rPr>
            </w:pPr>
            <w:r>
              <w:rPr>
                <w:rFonts w:ascii="Arial" w:cs="Arial" w:eastAsia="Arial" w:hAnsi="Arial"/>
                <w:sz w:val="18"/>
                <w:szCs w:val="18"/>
                <w:color w:val="auto"/>
                <w:w w:val="82"/>
              </w:rPr>
              <w:t>X</w:t>
            </w:r>
          </w:p>
        </w:tc>
      </w:tr>
      <w:tr>
        <w:trPr>
          <w:trHeight w:val="208"/>
        </w:trPr>
        <w:tc>
          <w:tcPr>
            <w:tcW w:w="86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(embedded within the Inline XBRL</w:t>
            </w:r>
          </w:p>
        </w:tc>
        <w:tc>
          <w:tcPr>
            <w:tcW w:w="2780" w:type="dxa"/>
            <w:vAlign w:val="bottom"/>
          </w:tcPr>
          <w:p>
            <w:pPr>
              <w:spacing w:after="0"/>
              <w:rPr>
                <w:sz w:val="18"/>
                <w:szCs w:val="18"/>
                <w:color w:val="auto"/>
              </w:rPr>
            </w:pPr>
          </w:p>
        </w:tc>
      </w:tr>
      <w:tr>
        <w:trPr>
          <w:trHeight w:val="246"/>
        </w:trPr>
        <w:tc>
          <w:tcPr>
            <w:tcW w:w="860" w:type="dxa"/>
            <w:vAlign w:val="bottom"/>
          </w:tcPr>
          <w:p>
            <w:pPr>
              <w:spacing w:after="0"/>
              <w:rPr>
                <w:sz w:val="21"/>
                <w:szCs w:val="21"/>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document)</w:t>
            </w:r>
          </w:p>
        </w:tc>
        <w:tc>
          <w:tcPr>
            <w:tcW w:w="27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77470</wp:posOffset>
                </wp:positionV>
                <wp:extent cx="1541780"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6.1pt" to="121.65pt,6.1pt" o:allowincell="f" strokecolor="#000000" strokeweight="1.0199pt"/>
            </w:pict>
          </mc:Fallback>
        </mc:AlternateContent>
      </w:r>
    </w:p>
    <w:p>
      <w:pPr>
        <w:spacing w:after="0" w:line="148" w:lineRule="exact"/>
        <w:rPr>
          <w:sz w:val="20"/>
          <w:szCs w:val="20"/>
          <w:color w:val="auto"/>
        </w:rPr>
      </w:pPr>
    </w:p>
    <w:p>
      <w:pPr>
        <w:ind w:left="280" w:hanging="273"/>
        <w:spacing w:after="0"/>
        <w:tabs>
          <w:tab w:leader="none" w:pos="2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121" w:lineRule="exact"/>
        <w:rPr>
          <w:sz w:val="20"/>
          <w:szCs w:val="20"/>
          <w:color w:val="auto"/>
        </w:rPr>
      </w:pPr>
    </w:p>
    <w:p>
      <w:pPr>
        <w:ind w:right="40" w:firstLine="7"/>
        <w:spacing w:after="0" w:line="260" w:lineRule="auto"/>
        <w:tabs>
          <w:tab w:leader="none" w:pos="2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Pursuant to Item 601(b)(10)(iv) of Regulation S-K promulgated by the SEC, certain portions of this exhibit have been redacted because they are both not material and is the type that the Registrant treats as private or confidential. The Registrant hereby agrees to furnish supplementally to the SEC, upon its request, an unredacted copy of this exhibit.</w:t>
      </w:r>
    </w:p>
    <w:p>
      <w:pPr>
        <w:spacing w:after="0" w:line="73"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6"/>
          <w:szCs w:val="16"/>
          <w:color w:val="auto"/>
        </w:rPr>
        <w:t>˄ The certifications attached as Exhibits 32.1 and 32.2 accompanying this Annual Report on Form 10-K are not deemed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p>
      <w:pPr>
        <w:sectPr>
          <w:pgSz w:w="11880" w:h="15480" w:orient="portrait"/>
          <w:cols w:equalWidth="0" w:num="1">
            <w:col w:w="9560"/>
          </w:cols>
          <w:pgMar w:left="1080" w:top="1120" w:right="124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213</w:t>
      </w:r>
    </w:p>
    <w:p>
      <w:pPr>
        <w:sectPr>
          <w:pgSz w:w="11880" w:h="15480" w:orient="portrait"/>
          <w:cols w:equalWidth="0" w:num="1">
            <w:col w:w="9560"/>
          </w:cols>
          <w:pgMar w:left="1080" w:top="1120" w:right="1240" w:bottom="555" w:gutter="0" w:footer="0" w:header="0"/>
          <w:type w:val="continuous"/>
        </w:sectPr>
      </w:pPr>
    </w:p>
    <w:bookmarkStart w:id="215" w:name="page216"/>
    <w:bookmarkEnd w:id="215"/>
    <w:p>
      <w:pPr>
        <w:spacing w:after="0"/>
        <w:rPr>
          <w:sz w:val="20"/>
          <w:szCs w:val="20"/>
          <w:color w:val="auto"/>
        </w:rPr>
      </w:pPr>
      <w:r>
        <w:rPr>
          <w:rFonts w:ascii="Arial" w:cs="Arial" w:eastAsia="Arial" w:hAnsi="Arial"/>
          <w:sz w:val="20"/>
          <w:szCs w:val="20"/>
          <w:b w:val="1"/>
          <w:bCs w:val="1"/>
          <w:color w:val="auto"/>
        </w:rPr>
        <w:t>Item 16. Form 10–K Summary.</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360"/>
          </w:cols>
          <w:pgMar w:left="1080" w:top="1063" w:right="144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59"/>
        <w:spacing w:after="0"/>
        <w:rPr>
          <w:sz w:val="20"/>
          <w:szCs w:val="20"/>
          <w:color w:val="auto"/>
        </w:rPr>
      </w:pPr>
      <w:r>
        <w:rPr>
          <w:rFonts w:ascii="Arial" w:cs="Arial" w:eastAsia="Arial" w:hAnsi="Arial"/>
          <w:sz w:val="19"/>
          <w:szCs w:val="19"/>
          <w:color w:val="auto"/>
        </w:rPr>
        <w:t>214</w:t>
      </w:r>
    </w:p>
    <w:p>
      <w:pPr>
        <w:sectPr>
          <w:pgSz w:w="11880" w:h="15480" w:orient="portrait"/>
          <w:cols w:equalWidth="0" w:num="1">
            <w:col w:w="9360"/>
          </w:cols>
          <w:pgMar w:left="1080" w:top="1063" w:right="1440" w:bottom="555" w:gutter="0" w:footer="0" w:header="0"/>
          <w:type w:val="continuous"/>
        </w:sectPr>
      </w:pPr>
    </w:p>
    <w:bookmarkStart w:id="216" w:name="page217"/>
    <w:bookmarkEnd w:id="216"/>
    <w:p>
      <w:pPr>
        <w:jc w:val="center"/>
        <w:ind w:right="-359"/>
        <w:spacing w:after="0"/>
        <w:rPr>
          <w:sz w:val="20"/>
          <w:szCs w:val="20"/>
          <w:color w:val="auto"/>
        </w:rPr>
      </w:pPr>
      <w:r>
        <w:rPr>
          <w:rFonts w:ascii="Arial" w:cs="Arial" w:eastAsia="Arial" w:hAnsi="Arial"/>
          <w:sz w:val="20"/>
          <w:szCs w:val="20"/>
          <w:b w:val="1"/>
          <w:bCs w:val="1"/>
          <w:color w:val="auto"/>
        </w:rPr>
        <w:t>SIGNATURES</w:t>
      </w:r>
    </w:p>
    <w:p>
      <w:pPr>
        <w:spacing w:after="0" w:line="242"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registration statement to be signed on its behalf by the undersigned, thereunto duly authorized, in the City of San Francisco, State of California, on March 8, 2024.</w:t>
      </w:r>
    </w:p>
    <w:p>
      <w:pPr>
        <w:spacing w:after="0" w:line="194"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STRUCTURE THERAPEUTICS INC.</w:t>
      </w:r>
    </w:p>
    <w:p>
      <w:pPr>
        <w:spacing w:after="0" w:line="124" w:lineRule="exact"/>
        <w:rPr>
          <w:sz w:val="20"/>
          <w:szCs w:val="20"/>
          <w:color w:val="auto"/>
        </w:rPr>
      </w:pPr>
    </w:p>
    <w:p>
      <w:pPr>
        <w:ind w:left="5080"/>
        <w:spacing w:after="0"/>
        <w:tabs>
          <w:tab w:leader="none" w:pos="56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Raymond Stevens, Ph.D.</w:t>
      </w:r>
    </w:p>
    <w:p>
      <w:pPr>
        <w:spacing w:after="0" w:line="12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Raymond Stevens,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3547745</wp:posOffset>
                </wp:positionH>
                <wp:positionV relativeFrom="paragraph">
                  <wp:posOffset>-135890</wp:posOffset>
                </wp:positionV>
                <wp:extent cx="261366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1366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35pt,-10.6999pt" to="485.15pt,-10.6999pt" o:allowincell="f" strokecolor="#000000" strokeweight="0.4809pt"/>
            </w:pict>
          </mc:Fallback>
        </mc:AlternateContent>
      </w:r>
    </w:p>
    <w:p>
      <w:pPr>
        <w:ind w:left="5700"/>
        <w:spacing w:after="0"/>
        <w:rPr>
          <w:sz w:val="20"/>
          <w:szCs w:val="20"/>
          <w:color w:val="auto"/>
        </w:rPr>
      </w:pPr>
      <w:r>
        <w:rPr>
          <w:rFonts w:ascii="Arial" w:cs="Arial" w:eastAsia="Arial" w:hAnsi="Arial"/>
          <w:sz w:val="20"/>
          <w:szCs w:val="20"/>
          <w:i w:val="1"/>
          <w:iCs w:val="1"/>
          <w:color w:val="auto"/>
        </w:rPr>
        <w:t>Chief Executive Officer</w:t>
      </w:r>
    </w:p>
    <w:p>
      <w:pPr>
        <w:spacing w:after="0" w:line="223" w:lineRule="exact"/>
        <w:rPr>
          <w:sz w:val="20"/>
          <w:szCs w:val="20"/>
          <w:color w:val="auto"/>
        </w:rPr>
      </w:pPr>
    </w:p>
    <w:p>
      <w:pPr>
        <w:ind w:left="5080"/>
        <w:spacing w:after="0"/>
        <w:tabs>
          <w:tab w:leader="none" w:pos="56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Jun Yoon</w:t>
      </w:r>
    </w:p>
    <w:p>
      <w:pPr>
        <w:spacing w:after="0" w:line="12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Jun Yoon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3547745</wp:posOffset>
                </wp:positionH>
                <wp:positionV relativeFrom="paragraph">
                  <wp:posOffset>-135890</wp:posOffset>
                </wp:positionV>
                <wp:extent cx="261366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136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35pt,-10.6999pt" to="485.15pt,-10.6999pt" o:allowincell="f" strokecolor="#000000" strokeweight="0.4799pt"/>
            </w:pict>
          </mc:Fallback>
        </mc:AlternateContent>
      </w:r>
    </w:p>
    <w:p>
      <w:pPr>
        <w:ind w:left="5700"/>
        <w:spacing w:after="0"/>
        <w:rPr>
          <w:sz w:val="20"/>
          <w:szCs w:val="20"/>
          <w:color w:val="auto"/>
        </w:rPr>
      </w:pPr>
      <w:r>
        <w:rPr>
          <w:rFonts w:ascii="Arial" w:cs="Arial" w:eastAsia="Arial" w:hAnsi="Arial"/>
          <w:sz w:val="20"/>
          <w:szCs w:val="20"/>
          <w:i w:val="1"/>
          <w:iCs w:val="1"/>
          <w:color w:val="auto"/>
        </w:rPr>
        <w:t>Chief Financial Officer</w:t>
      </w:r>
    </w:p>
    <w:p>
      <w:pPr>
        <w:sectPr>
          <w:pgSz w:w="11880" w:h="15480" w:orient="portrait"/>
          <w:cols w:equalWidth="0" w:num="1">
            <w:col w:w="9360"/>
          </w:cols>
          <w:pgMar w:left="1080" w:top="1063" w:right="144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Arial" w:cs="Arial" w:eastAsia="Arial" w:hAnsi="Arial"/>
          <w:sz w:val="19"/>
          <w:szCs w:val="19"/>
          <w:color w:val="auto"/>
        </w:rPr>
        <w:t>215</w:t>
      </w:r>
    </w:p>
    <w:p>
      <w:pPr>
        <w:sectPr>
          <w:pgSz w:w="11880" w:h="15480" w:orient="portrait"/>
          <w:cols w:equalWidth="0" w:num="1">
            <w:col w:w="9360"/>
          </w:cols>
          <w:pgMar w:left="1080" w:top="1063" w:right="1440" w:bottom="555" w:gutter="0" w:footer="0" w:header="0"/>
          <w:type w:val="continuous"/>
        </w:sectPr>
      </w:pPr>
    </w:p>
    <w:bookmarkStart w:id="217" w:name="page218"/>
    <w:bookmarkEnd w:id="217"/>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42"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KNOW ALL PERSONS BY THESE PRESENTS, that each person whose signature appears below constitutes and appoints Raymond Stevens and Jun Yoon,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his or their substitute or substitutes, may lawfully do or cause to be done by virtue hereof.</w:t>
      </w:r>
    </w:p>
    <w:p>
      <w:pPr>
        <w:spacing w:after="0" w:line="193"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920" w:type="dxa"/>
            <w:vAlign w:val="bottom"/>
          </w:tcPr>
          <w:p>
            <w:pPr>
              <w:jc w:val="center"/>
              <w:spacing w:after="0"/>
              <w:rPr>
                <w:sz w:val="20"/>
                <w:szCs w:val="20"/>
                <w:color w:val="auto"/>
              </w:rPr>
            </w:pPr>
            <w:r>
              <w:rPr>
                <w:rFonts w:ascii="Arial" w:cs="Arial" w:eastAsia="Arial" w:hAnsi="Arial"/>
                <w:sz w:val="20"/>
                <w:szCs w:val="20"/>
                <w:b w:val="1"/>
                <w:bCs w:val="1"/>
                <w:color w:val="auto"/>
              </w:rPr>
              <w:t>SIGNATURE</w:t>
            </w:r>
          </w:p>
        </w:tc>
        <w:tc>
          <w:tcPr>
            <w:tcW w:w="28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Arial" w:cs="Arial" w:eastAsia="Arial" w:hAnsi="Arial"/>
                <w:sz w:val="20"/>
                <w:szCs w:val="20"/>
                <w:b w:val="1"/>
                <w:bCs w:val="1"/>
                <w:color w:val="auto"/>
              </w:rPr>
              <w:t>TITLE</w:t>
            </w:r>
          </w:p>
        </w:tc>
        <w:tc>
          <w:tcPr>
            <w:tcW w:w="28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b w:val="1"/>
                <w:bCs w:val="1"/>
                <w:color w:val="auto"/>
                <w:w w:val="99"/>
              </w:rPr>
              <w:t>DATE</w:t>
            </w:r>
          </w:p>
        </w:tc>
        <w:tc>
          <w:tcPr>
            <w:tcW w:w="0" w:type="dxa"/>
            <w:vAlign w:val="bottom"/>
          </w:tcPr>
          <w:p>
            <w:pPr>
              <w:spacing w:after="0"/>
              <w:rPr>
                <w:sz w:val="1"/>
                <w:szCs w:val="1"/>
                <w:color w:val="auto"/>
              </w:rPr>
            </w:pPr>
          </w:p>
        </w:tc>
      </w:tr>
      <w:tr>
        <w:trPr>
          <w:trHeight w:val="86"/>
        </w:trPr>
        <w:tc>
          <w:tcPr>
            <w:tcW w:w="29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1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88"/>
        </w:trPr>
        <w:tc>
          <w:tcPr>
            <w:tcW w:w="2920" w:type="dxa"/>
            <w:vAlign w:val="bottom"/>
          </w:tcPr>
          <w:p>
            <w:pPr>
              <w:jc w:val="center"/>
              <w:spacing w:after="0"/>
              <w:rPr>
                <w:sz w:val="20"/>
                <w:szCs w:val="20"/>
                <w:color w:val="auto"/>
              </w:rPr>
            </w:pPr>
            <w:r>
              <w:rPr>
                <w:rFonts w:ascii="Arial" w:cs="Arial" w:eastAsia="Arial" w:hAnsi="Arial"/>
                <w:sz w:val="20"/>
                <w:szCs w:val="20"/>
                <w:color w:val="auto"/>
                <w:w w:val="99"/>
              </w:rPr>
              <w:t>/s/ Raymond Stevens, Ph.D.</w:t>
            </w:r>
          </w:p>
        </w:tc>
        <w:tc>
          <w:tcPr>
            <w:tcW w:w="28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Arial" w:cs="Arial" w:eastAsia="Arial" w:hAnsi="Arial"/>
                <w:sz w:val="20"/>
                <w:szCs w:val="20"/>
                <w:color w:val="auto"/>
              </w:rPr>
              <w:t>Chief Executive Officer and Director</w:t>
            </w:r>
          </w:p>
        </w:tc>
        <w:tc>
          <w:tcPr>
            <w:tcW w:w="280" w:type="dxa"/>
            <w:vAlign w:val="bottom"/>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20"/>
                <w:szCs w:val="20"/>
                <w:color w:val="auto"/>
              </w:rPr>
              <w:t>March 8, 2024</w:t>
            </w:r>
          </w:p>
        </w:tc>
        <w:tc>
          <w:tcPr>
            <w:tcW w:w="0" w:type="dxa"/>
            <w:vAlign w:val="bottom"/>
          </w:tcPr>
          <w:p>
            <w:pPr>
              <w:spacing w:after="0"/>
              <w:rPr>
                <w:sz w:val="1"/>
                <w:szCs w:val="1"/>
                <w:color w:val="auto"/>
              </w:rPr>
            </w:pPr>
          </w:p>
        </w:tc>
      </w:tr>
      <w:tr>
        <w:trPr>
          <w:trHeight w:val="98"/>
        </w:trPr>
        <w:tc>
          <w:tcPr>
            <w:tcW w:w="2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920" w:type="dxa"/>
            <w:vAlign w:val="bottom"/>
            <w:vMerge w:val="restart"/>
          </w:tcPr>
          <w:p>
            <w:pPr>
              <w:jc w:val="center"/>
              <w:spacing w:after="0"/>
              <w:rPr>
                <w:sz w:val="20"/>
                <w:szCs w:val="20"/>
                <w:color w:val="auto"/>
              </w:rPr>
            </w:pPr>
            <w:r>
              <w:rPr>
                <w:rFonts w:ascii="Arial" w:cs="Arial" w:eastAsia="Arial" w:hAnsi="Arial"/>
                <w:sz w:val="20"/>
                <w:szCs w:val="20"/>
                <w:color w:val="auto"/>
              </w:rPr>
              <w:t>Raymond Stevens, Ph.D.</w:t>
            </w:r>
          </w:p>
        </w:tc>
        <w:tc>
          <w:tcPr>
            <w:tcW w:w="280" w:type="dxa"/>
            <w:vAlign w:val="bottom"/>
          </w:tcPr>
          <w:p>
            <w:pPr>
              <w:spacing w:after="0"/>
              <w:rPr>
                <w:sz w:val="5"/>
                <w:szCs w:val="5"/>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i w:val="1"/>
                <w:iCs w:val="1"/>
                <w:color w:val="auto"/>
              </w:rPr>
              <w:t>(Principal Executive Officer)</w:t>
            </w:r>
          </w:p>
        </w:tc>
        <w:tc>
          <w:tcPr>
            <w:tcW w:w="28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9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2920" w:type="dxa"/>
            <w:vAlign w:val="bottom"/>
          </w:tcPr>
          <w:p>
            <w:pPr>
              <w:jc w:val="center"/>
              <w:spacing w:after="0"/>
              <w:rPr>
                <w:sz w:val="20"/>
                <w:szCs w:val="20"/>
                <w:color w:val="auto"/>
              </w:rPr>
            </w:pPr>
            <w:r>
              <w:rPr>
                <w:rFonts w:ascii="Arial" w:cs="Arial" w:eastAsia="Arial" w:hAnsi="Arial"/>
                <w:sz w:val="20"/>
                <w:szCs w:val="20"/>
                <w:color w:val="auto"/>
                <w:w w:val="98"/>
              </w:rPr>
              <w:t>/s/ Jun Yoon</w:t>
            </w:r>
          </w:p>
        </w:tc>
        <w:tc>
          <w:tcPr>
            <w:tcW w:w="28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Arial" w:cs="Arial" w:eastAsia="Arial" w:hAnsi="Arial"/>
                <w:sz w:val="20"/>
                <w:szCs w:val="20"/>
                <w:color w:val="auto"/>
              </w:rPr>
              <w:t>Chief Financial Officer and Director</w:t>
            </w:r>
          </w:p>
        </w:tc>
        <w:tc>
          <w:tcPr>
            <w:tcW w:w="280" w:type="dxa"/>
            <w:vAlign w:val="bottom"/>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20"/>
                <w:szCs w:val="20"/>
                <w:color w:val="auto"/>
              </w:rPr>
              <w:t>March 8, 2024</w:t>
            </w:r>
          </w:p>
        </w:tc>
        <w:tc>
          <w:tcPr>
            <w:tcW w:w="0" w:type="dxa"/>
            <w:vAlign w:val="bottom"/>
          </w:tcPr>
          <w:p>
            <w:pPr>
              <w:spacing w:after="0"/>
              <w:rPr>
                <w:sz w:val="1"/>
                <w:szCs w:val="1"/>
                <w:color w:val="auto"/>
              </w:rPr>
            </w:pPr>
          </w:p>
        </w:tc>
      </w:tr>
      <w:tr>
        <w:trPr>
          <w:trHeight w:val="97"/>
        </w:trPr>
        <w:tc>
          <w:tcPr>
            <w:tcW w:w="2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920" w:type="dxa"/>
            <w:vAlign w:val="bottom"/>
            <w:vMerge w:val="restart"/>
          </w:tcPr>
          <w:p>
            <w:pPr>
              <w:jc w:val="center"/>
              <w:spacing w:after="0"/>
              <w:rPr>
                <w:sz w:val="20"/>
                <w:szCs w:val="20"/>
                <w:color w:val="auto"/>
              </w:rPr>
            </w:pPr>
            <w:r>
              <w:rPr>
                <w:rFonts w:ascii="Arial" w:cs="Arial" w:eastAsia="Arial" w:hAnsi="Arial"/>
                <w:sz w:val="20"/>
                <w:szCs w:val="20"/>
                <w:color w:val="auto"/>
              </w:rPr>
              <w:t>Jun Yoon</w:t>
            </w:r>
          </w:p>
        </w:tc>
        <w:tc>
          <w:tcPr>
            <w:tcW w:w="280" w:type="dxa"/>
            <w:vAlign w:val="bottom"/>
          </w:tcPr>
          <w:p>
            <w:pPr>
              <w:spacing w:after="0"/>
              <w:rPr>
                <w:sz w:val="5"/>
                <w:szCs w:val="5"/>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i w:val="1"/>
                <w:iCs w:val="1"/>
                <w:color w:val="auto"/>
              </w:rPr>
              <w:t>(Principal Financial and Accounting Officer)</w:t>
            </w:r>
          </w:p>
        </w:tc>
        <w:tc>
          <w:tcPr>
            <w:tcW w:w="28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9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2920" w:type="dxa"/>
            <w:vAlign w:val="bottom"/>
          </w:tcPr>
          <w:p>
            <w:pPr>
              <w:jc w:val="center"/>
              <w:spacing w:after="0"/>
              <w:rPr>
                <w:sz w:val="20"/>
                <w:szCs w:val="20"/>
                <w:color w:val="auto"/>
              </w:rPr>
            </w:pPr>
            <w:r>
              <w:rPr>
                <w:rFonts w:ascii="Arial" w:cs="Arial" w:eastAsia="Arial" w:hAnsi="Arial"/>
                <w:sz w:val="20"/>
                <w:szCs w:val="20"/>
                <w:color w:val="auto"/>
                <w:w w:val="99"/>
              </w:rPr>
              <w:t>/s/ Daniel Welch</w:t>
            </w:r>
          </w:p>
        </w:tc>
        <w:tc>
          <w:tcPr>
            <w:tcW w:w="280" w:type="dxa"/>
            <w:vAlign w:val="bottom"/>
          </w:tcPr>
          <w:p>
            <w:pPr>
              <w:spacing w:after="0"/>
              <w:rPr>
                <w:sz w:val="24"/>
                <w:szCs w:val="24"/>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color w:val="auto"/>
              </w:rPr>
              <w:t>Chairman</w:t>
            </w:r>
          </w:p>
        </w:tc>
        <w:tc>
          <w:tcPr>
            <w:tcW w:w="280" w:type="dxa"/>
            <w:vAlign w:val="bottom"/>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20"/>
                <w:szCs w:val="20"/>
                <w:color w:val="auto"/>
              </w:rPr>
              <w:t>March 8, 2024</w:t>
            </w:r>
          </w:p>
        </w:tc>
        <w:tc>
          <w:tcPr>
            <w:tcW w:w="0" w:type="dxa"/>
            <w:vAlign w:val="bottom"/>
          </w:tcPr>
          <w:p>
            <w:pPr>
              <w:spacing w:after="0"/>
              <w:rPr>
                <w:sz w:val="1"/>
                <w:szCs w:val="1"/>
                <w:color w:val="auto"/>
              </w:rPr>
            </w:pPr>
          </w:p>
        </w:tc>
      </w:tr>
      <w:tr>
        <w:trPr>
          <w:trHeight w:val="98"/>
        </w:trPr>
        <w:tc>
          <w:tcPr>
            <w:tcW w:w="2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1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920" w:type="dxa"/>
            <w:vAlign w:val="bottom"/>
            <w:vMerge w:val="restart"/>
          </w:tcPr>
          <w:p>
            <w:pPr>
              <w:jc w:val="center"/>
              <w:spacing w:after="0"/>
              <w:rPr>
                <w:sz w:val="20"/>
                <w:szCs w:val="20"/>
                <w:color w:val="auto"/>
              </w:rPr>
            </w:pPr>
            <w:r>
              <w:rPr>
                <w:rFonts w:ascii="Arial" w:cs="Arial" w:eastAsia="Arial" w:hAnsi="Arial"/>
                <w:sz w:val="20"/>
                <w:szCs w:val="20"/>
                <w:color w:val="auto"/>
              </w:rPr>
              <w:t>Daniel Welch</w:t>
            </w:r>
          </w:p>
        </w:tc>
        <w:tc>
          <w:tcPr>
            <w:tcW w:w="280" w:type="dxa"/>
            <w:vAlign w:val="bottom"/>
          </w:tcPr>
          <w:p>
            <w:pPr>
              <w:spacing w:after="0"/>
              <w:rPr>
                <w:sz w:val="5"/>
                <w:szCs w:val="5"/>
                <w:color w:val="auto"/>
              </w:rPr>
            </w:pPr>
          </w:p>
        </w:tc>
        <w:tc>
          <w:tcPr>
            <w:tcW w:w="41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9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4"/>
        </w:trPr>
        <w:tc>
          <w:tcPr>
            <w:tcW w:w="2920" w:type="dxa"/>
            <w:vAlign w:val="bottom"/>
          </w:tcPr>
          <w:p>
            <w:pPr>
              <w:jc w:val="center"/>
              <w:spacing w:after="0"/>
              <w:rPr>
                <w:sz w:val="20"/>
                <w:szCs w:val="20"/>
                <w:color w:val="auto"/>
              </w:rPr>
            </w:pPr>
            <w:r>
              <w:rPr>
                <w:rFonts w:ascii="Arial" w:cs="Arial" w:eastAsia="Arial" w:hAnsi="Arial"/>
                <w:sz w:val="20"/>
                <w:szCs w:val="20"/>
                <w:color w:val="auto"/>
              </w:rPr>
              <w:t>/s/ Eric Dobmeier</w:t>
            </w:r>
          </w:p>
        </w:tc>
        <w:tc>
          <w:tcPr>
            <w:tcW w:w="280" w:type="dxa"/>
            <w:vAlign w:val="bottom"/>
          </w:tcPr>
          <w:p>
            <w:pPr>
              <w:spacing w:after="0"/>
              <w:rPr>
                <w:sz w:val="24"/>
                <w:szCs w:val="24"/>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color w:val="auto"/>
                <w:w w:val="99"/>
              </w:rPr>
              <w:t>Director</w:t>
            </w:r>
          </w:p>
        </w:tc>
        <w:tc>
          <w:tcPr>
            <w:tcW w:w="280" w:type="dxa"/>
            <w:vAlign w:val="bottom"/>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20"/>
                <w:szCs w:val="20"/>
                <w:color w:val="auto"/>
              </w:rPr>
              <w:t>March 8, 2024</w:t>
            </w:r>
          </w:p>
        </w:tc>
        <w:tc>
          <w:tcPr>
            <w:tcW w:w="0" w:type="dxa"/>
            <w:vAlign w:val="bottom"/>
          </w:tcPr>
          <w:p>
            <w:pPr>
              <w:spacing w:after="0"/>
              <w:rPr>
                <w:sz w:val="1"/>
                <w:szCs w:val="1"/>
                <w:color w:val="auto"/>
              </w:rPr>
            </w:pPr>
          </w:p>
        </w:tc>
      </w:tr>
      <w:tr>
        <w:trPr>
          <w:trHeight w:val="98"/>
        </w:trPr>
        <w:tc>
          <w:tcPr>
            <w:tcW w:w="2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1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920" w:type="dxa"/>
            <w:vAlign w:val="bottom"/>
            <w:vMerge w:val="restart"/>
          </w:tcPr>
          <w:p>
            <w:pPr>
              <w:jc w:val="center"/>
              <w:spacing w:after="0"/>
              <w:rPr>
                <w:sz w:val="20"/>
                <w:szCs w:val="20"/>
                <w:color w:val="auto"/>
              </w:rPr>
            </w:pPr>
            <w:r>
              <w:rPr>
                <w:rFonts w:ascii="Arial" w:cs="Arial" w:eastAsia="Arial" w:hAnsi="Arial"/>
                <w:sz w:val="20"/>
                <w:szCs w:val="20"/>
                <w:color w:val="auto"/>
                <w:w w:val="99"/>
              </w:rPr>
              <w:t>Eric Dobmeier</w:t>
            </w:r>
          </w:p>
        </w:tc>
        <w:tc>
          <w:tcPr>
            <w:tcW w:w="280" w:type="dxa"/>
            <w:vAlign w:val="bottom"/>
          </w:tcPr>
          <w:p>
            <w:pPr>
              <w:spacing w:after="0"/>
              <w:rPr>
                <w:sz w:val="5"/>
                <w:szCs w:val="5"/>
                <w:color w:val="auto"/>
              </w:rPr>
            </w:pPr>
          </w:p>
        </w:tc>
        <w:tc>
          <w:tcPr>
            <w:tcW w:w="41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9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2920" w:type="dxa"/>
            <w:vAlign w:val="bottom"/>
          </w:tcPr>
          <w:p>
            <w:pPr>
              <w:jc w:val="center"/>
              <w:spacing w:after="0"/>
              <w:rPr>
                <w:sz w:val="20"/>
                <w:szCs w:val="20"/>
                <w:color w:val="auto"/>
              </w:rPr>
            </w:pPr>
            <w:r>
              <w:rPr>
                <w:rFonts w:ascii="Arial" w:cs="Arial" w:eastAsia="Arial" w:hAnsi="Arial"/>
                <w:sz w:val="20"/>
                <w:szCs w:val="20"/>
                <w:color w:val="auto"/>
                <w:w w:val="99"/>
              </w:rPr>
              <w:t>/s/ Ramy Farid, Ph.D.</w:t>
            </w:r>
          </w:p>
        </w:tc>
        <w:tc>
          <w:tcPr>
            <w:tcW w:w="280" w:type="dxa"/>
            <w:vAlign w:val="bottom"/>
          </w:tcPr>
          <w:p>
            <w:pPr>
              <w:spacing w:after="0"/>
              <w:rPr>
                <w:sz w:val="24"/>
                <w:szCs w:val="24"/>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color w:val="auto"/>
                <w:w w:val="99"/>
              </w:rPr>
              <w:t>Director</w:t>
            </w:r>
          </w:p>
        </w:tc>
        <w:tc>
          <w:tcPr>
            <w:tcW w:w="280" w:type="dxa"/>
            <w:vAlign w:val="bottom"/>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20"/>
                <w:szCs w:val="20"/>
                <w:color w:val="auto"/>
              </w:rPr>
              <w:t>March 8, 2024</w:t>
            </w:r>
          </w:p>
        </w:tc>
        <w:tc>
          <w:tcPr>
            <w:tcW w:w="0" w:type="dxa"/>
            <w:vAlign w:val="bottom"/>
          </w:tcPr>
          <w:p>
            <w:pPr>
              <w:spacing w:after="0"/>
              <w:rPr>
                <w:sz w:val="1"/>
                <w:szCs w:val="1"/>
                <w:color w:val="auto"/>
              </w:rPr>
            </w:pPr>
          </w:p>
        </w:tc>
      </w:tr>
      <w:tr>
        <w:trPr>
          <w:trHeight w:val="98"/>
        </w:trPr>
        <w:tc>
          <w:tcPr>
            <w:tcW w:w="2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1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920" w:type="dxa"/>
            <w:vAlign w:val="bottom"/>
            <w:vMerge w:val="restart"/>
          </w:tcPr>
          <w:p>
            <w:pPr>
              <w:jc w:val="center"/>
              <w:spacing w:after="0"/>
              <w:rPr>
                <w:sz w:val="20"/>
                <w:szCs w:val="20"/>
                <w:color w:val="auto"/>
              </w:rPr>
            </w:pPr>
            <w:r>
              <w:rPr>
                <w:rFonts w:ascii="Arial" w:cs="Arial" w:eastAsia="Arial" w:hAnsi="Arial"/>
                <w:sz w:val="20"/>
                <w:szCs w:val="20"/>
                <w:color w:val="auto"/>
              </w:rPr>
              <w:t>Ramy Farid, Ph.D.</w:t>
            </w:r>
          </w:p>
        </w:tc>
        <w:tc>
          <w:tcPr>
            <w:tcW w:w="280" w:type="dxa"/>
            <w:vAlign w:val="bottom"/>
          </w:tcPr>
          <w:p>
            <w:pPr>
              <w:spacing w:after="0"/>
              <w:rPr>
                <w:sz w:val="5"/>
                <w:szCs w:val="5"/>
                <w:color w:val="auto"/>
              </w:rPr>
            </w:pPr>
          </w:p>
        </w:tc>
        <w:tc>
          <w:tcPr>
            <w:tcW w:w="41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9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4"/>
        </w:trPr>
        <w:tc>
          <w:tcPr>
            <w:tcW w:w="2920" w:type="dxa"/>
            <w:vAlign w:val="bottom"/>
          </w:tcPr>
          <w:p>
            <w:pPr>
              <w:jc w:val="center"/>
              <w:spacing w:after="0"/>
              <w:rPr>
                <w:sz w:val="20"/>
                <w:szCs w:val="20"/>
                <w:color w:val="auto"/>
              </w:rPr>
            </w:pPr>
            <w:r>
              <w:rPr>
                <w:rFonts w:ascii="Arial" w:cs="Arial" w:eastAsia="Arial" w:hAnsi="Arial"/>
                <w:sz w:val="20"/>
                <w:szCs w:val="20"/>
                <w:color w:val="auto"/>
              </w:rPr>
              <w:t>/s/ Ted W. Love, M.D.</w:t>
            </w:r>
          </w:p>
        </w:tc>
        <w:tc>
          <w:tcPr>
            <w:tcW w:w="280" w:type="dxa"/>
            <w:vAlign w:val="bottom"/>
          </w:tcPr>
          <w:p>
            <w:pPr>
              <w:spacing w:after="0"/>
              <w:rPr>
                <w:sz w:val="24"/>
                <w:szCs w:val="24"/>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color w:val="auto"/>
                <w:w w:val="99"/>
              </w:rPr>
              <w:t>Director</w:t>
            </w:r>
          </w:p>
        </w:tc>
        <w:tc>
          <w:tcPr>
            <w:tcW w:w="280" w:type="dxa"/>
            <w:vAlign w:val="bottom"/>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20"/>
                <w:szCs w:val="20"/>
                <w:color w:val="auto"/>
              </w:rPr>
              <w:t>March 8, 2024</w:t>
            </w:r>
          </w:p>
        </w:tc>
        <w:tc>
          <w:tcPr>
            <w:tcW w:w="0" w:type="dxa"/>
            <w:vAlign w:val="bottom"/>
          </w:tcPr>
          <w:p>
            <w:pPr>
              <w:spacing w:after="0"/>
              <w:rPr>
                <w:sz w:val="1"/>
                <w:szCs w:val="1"/>
                <w:color w:val="auto"/>
              </w:rPr>
            </w:pPr>
          </w:p>
        </w:tc>
      </w:tr>
      <w:tr>
        <w:trPr>
          <w:trHeight w:val="98"/>
        </w:trPr>
        <w:tc>
          <w:tcPr>
            <w:tcW w:w="2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1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920" w:type="dxa"/>
            <w:vAlign w:val="bottom"/>
            <w:vMerge w:val="restart"/>
          </w:tcPr>
          <w:p>
            <w:pPr>
              <w:jc w:val="center"/>
              <w:spacing w:after="0"/>
              <w:rPr>
                <w:sz w:val="20"/>
                <w:szCs w:val="20"/>
                <w:color w:val="auto"/>
              </w:rPr>
            </w:pPr>
            <w:r>
              <w:rPr>
                <w:rFonts w:ascii="Arial" w:cs="Arial" w:eastAsia="Arial" w:hAnsi="Arial"/>
                <w:sz w:val="20"/>
                <w:szCs w:val="20"/>
                <w:color w:val="auto"/>
                <w:w w:val="99"/>
              </w:rPr>
              <w:t>Ted W. Love, M.D.</w:t>
            </w:r>
          </w:p>
        </w:tc>
        <w:tc>
          <w:tcPr>
            <w:tcW w:w="280" w:type="dxa"/>
            <w:vAlign w:val="bottom"/>
          </w:tcPr>
          <w:p>
            <w:pPr>
              <w:spacing w:after="0"/>
              <w:rPr>
                <w:sz w:val="5"/>
                <w:szCs w:val="5"/>
                <w:color w:val="auto"/>
              </w:rPr>
            </w:pPr>
          </w:p>
        </w:tc>
        <w:tc>
          <w:tcPr>
            <w:tcW w:w="41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9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2920" w:type="dxa"/>
            <w:vAlign w:val="bottom"/>
          </w:tcPr>
          <w:p>
            <w:pPr>
              <w:jc w:val="center"/>
              <w:spacing w:after="0"/>
              <w:rPr>
                <w:sz w:val="20"/>
                <w:szCs w:val="20"/>
                <w:color w:val="auto"/>
              </w:rPr>
            </w:pPr>
            <w:r>
              <w:rPr>
                <w:rFonts w:ascii="Arial" w:cs="Arial" w:eastAsia="Arial" w:hAnsi="Arial"/>
                <w:sz w:val="20"/>
                <w:szCs w:val="20"/>
                <w:color w:val="auto"/>
                <w:w w:val="98"/>
              </w:rPr>
              <w:t>/s/ Sharon Tetlow</w:t>
            </w:r>
          </w:p>
        </w:tc>
        <w:tc>
          <w:tcPr>
            <w:tcW w:w="280" w:type="dxa"/>
            <w:vAlign w:val="bottom"/>
          </w:tcPr>
          <w:p>
            <w:pPr>
              <w:spacing w:after="0"/>
              <w:rPr>
                <w:sz w:val="24"/>
                <w:szCs w:val="24"/>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color w:val="auto"/>
                <w:w w:val="99"/>
              </w:rPr>
              <w:t>Director</w:t>
            </w:r>
          </w:p>
        </w:tc>
        <w:tc>
          <w:tcPr>
            <w:tcW w:w="280" w:type="dxa"/>
            <w:vAlign w:val="bottom"/>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20"/>
                <w:szCs w:val="20"/>
                <w:color w:val="auto"/>
              </w:rPr>
              <w:t>March 8, 2024</w:t>
            </w:r>
          </w:p>
        </w:tc>
        <w:tc>
          <w:tcPr>
            <w:tcW w:w="0" w:type="dxa"/>
            <w:vAlign w:val="bottom"/>
          </w:tcPr>
          <w:p>
            <w:pPr>
              <w:spacing w:after="0"/>
              <w:rPr>
                <w:sz w:val="1"/>
                <w:szCs w:val="1"/>
                <w:color w:val="auto"/>
              </w:rPr>
            </w:pPr>
          </w:p>
        </w:tc>
      </w:tr>
      <w:tr>
        <w:trPr>
          <w:trHeight w:val="97"/>
        </w:trPr>
        <w:tc>
          <w:tcPr>
            <w:tcW w:w="2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1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920" w:type="dxa"/>
            <w:vAlign w:val="bottom"/>
            <w:vMerge w:val="restart"/>
          </w:tcPr>
          <w:p>
            <w:pPr>
              <w:jc w:val="center"/>
              <w:spacing w:after="0"/>
              <w:rPr>
                <w:sz w:val="20"/>
                <w:szCs w:val="20"/>
                <w:color w:val="auto"/>
              </w:rPr>
            </w:pPr>
            <w:r>
              <w:rPr>
                <w:rFonts w:ascii="Arial" w:cs="Arial" w:eastAsia="Arial" w:hAnsi="Arial"/>
                <w:sz w:val="20"/>
                <w:szCs w:val="20"/>
                <w:color w:val="auto"/>
              </w:rPr>
              <w:t>Sharon Tetlow</w:t>
            </w:r>
          </w:p>
        </w:tc>
        <w:tc>
          <w:tcPr>
            <w:tcW w:w="280" w:type="dxa"/>
            <w:vAlign w:val="bottom"/>
          </w:tcPr>
          <w:p>
            <w:pPr>
              <w:spacing w:after="0"/>
              <w:rPr>
                <w:sz w:val="5"/>
                <w:szCs w:val="5"/>
                <w:color w:val="auto"/>
              </w:rPr>
            </w:pPr>
          </w:p>
        </w:tc>
        <w:tc>
          <w:tcPr>
            <w:tcW w:w="41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9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2920" w:type="dxa"/>
            <w:vAlign w:val="bottom"/>
          </w:tcPr>
          <w:p>
            <w:pPr>
              <w:jc w:val="center"/>
              <w:spacing w:after="0"/>
              <w:rPr>
                <w:sz w:val="20"/>
                <w:szCs w:val="20"/>
                <w:color w:val="auto"/>
              </w:rPr>
            </w:pPr>
            <w:r>
              <w:rPr>
                <w:rFonts w:ascii="Arial" w:cs="Arial" w:eastAsia="Arial" w:hAnsi="Arial"/>
                <w:sz w:val="20"/>
                <w:szCs w:val="20"/>
                <w:color w:val="auto"/>
              </w:rPr>
              <w:t>/s/ Joanne Waldstreicher,</w:t>
            </w:r>
          </w:p>
        </w:tc>
        <w:tc>
          <w:tcPr>
            <w:tcW w:w="2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920" w:type="dxa"/>
            <w:vAlign w:val="bottom"/>
          </w:tcPr>
          <w:p>
            <w:pPr>
              <w:jc w:val="center"/>
              <w:spacing w:after="0"/>
              <w:rPr>
                <w:sz w:val="20"/>
                <w:szCs w:val="20"/>
                <w:color w:val="auto"/>
              </w:rPr>
            </w:pPr>
            <w:r>
              <w:rPr>
                <w:rFonts w:ascii="Arial" w:cs="Arial" w:eastAsia="Arial" w:hAnsi="Arial"/>
                <w:sz w:val="20"/>
                <w:szCs w:val="20"/>
                <w:color w:val="auto"/>
                <w:w w:val="99"/>
              </w:rPr>
              <w:t>M.D.</w:t>
            </w:r>
          </w:p>
        </w:tc>
        <w:tc>
          <w:tcPr>
            <w:tcW w:w="28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Arial" w:cs="Arial" w:eastAsia="Arial" w:hAnsi="Arial"/>
                <w:sz w:val="20"/>
                <w:szCs w:val="20"/>
                <w:color w:val="auto"/>
                <w:w w:val="99"/>
              </w:rPr>
              <w:t>Director</w:t>
            </w:r>
          </w:p>
        </w:tc>
        <w:tc>
          <w:tcPr>
            <w:tcW w:w="28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8, 2024</w:t>
            </w:r>
          </w:p>
        </w:tc>
        <w:tc>
          <w:tcPr>
            <w:tcW w:w="0" w:type="dxa"/>
            <w:vAlign w:val="bottom"/>
          </w:tcPr>
          <w:p>
            <w:pPr>
              <w:spacing w:after="0"/>
              <w:rPr>
                <w:sz w:val="1"/>
                <w:szCs w:val="1"/>
                <w:color w:val="auto"/>
              </w:rPr>
            </w:pPr>
          </w:p>
        </w:tc>
      </w:tr>
      <w:tr>
        <w:trPr>
          <w:trHeight w:val="33"/>
        </w:trPr>
        <w:tc>
          <w:tcPr>
            <w:tcW w:w="2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2920" w:type="dxa"/>
            <w:vAlign w:val="bottom"/>
          </w:tcPr>
          <w:p>
            <w:pPr>
              <w:jc w:val="center"/>
              <w:spacing w:after="0"/>
              <w:rPr>
                <w:sz w:val="20"/>
                <w:szCs w:val="20"/>
                <w:color w:val="auto"/>
              </w:rPr>
            </w:pPr>
            <w:r>
              <w:rPr>
                <w:rFonts w:ascii="Arial" w:cs="Arial" w:eastAsia="Arial" w:hAnsi="Arial"/>
                <w:sz w:val="20"/>
                <w:szCs w:val="20"/>
                <w:color w:val="auto"/>
                <w:w w:val="99"/>
              </w:rPr>
              <w:t>Joanne Waldstreicher, M.D.</w:t>
            </w:r>
          </w:p>
        </w:tc>
        <w:tc>
          <w:tcPr>
            <w:tcW w:w="28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3" w:right="108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216</w:t>
      </w:r>
    </w:p>
    <w:p>
      <w:pPr>
        <w:sectPr>
          <w:pgSz w:w="11880" w:h="15480" w:orient="portrait"/>
          <w:cols w:equalWidth="0" w:num="1">
            <w:col w:w="9720"/>
          </w:cols>
          <w:pgMar w:left="1080" w:top="1063" w:right="1080" w:bottom="555" w:gutter="0" w:footer="0" w:header="0"/>
          <w:type w:val="continuous"/>
        </w:sectPr>
      </w:pPr>
    </w:p>
    <w:bookmarkStart w:id="218" w:name="page219"/>
    <w:bookmarkEnd w:id="2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2298700</wp:posOffset>
            </wp:positionH>
            <wp:positionV relativeFrom="page">
              <wp:posOffset>680085</wp:posOffset>
            </wp:positionV>
            <wp:extent cx="2954020" cy="5537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02">
                      <a:extLst>
                        <a:ext uri="{28A0092B-C50C-407E-A947-70E740481C1C}"/>
                      </a:extLst>
                    </a:blip>
                    <a:srcRect/>
                    <a:stretch>
                      <a:fillRect/>
                    </a:stretch>
                  </pic:blipFill>
                  <pic:spPr bwMode="auto">
                    <a:xfrm>
                      <a:off x="0" y="0"/>
                      <a:ext cx="2954020" cy="553720"/>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STRUCTURE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601 Gateway Blvd., Suite 900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South San Francisco, California 94080</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ANNUAL GENERAL MEETING OF SHAREHOLDERS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Be Held On June 25,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Shareholder:</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You are cordially invited to attend the 2024 Annual General Meeting of Shareholders (the “Annual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Meeting”) of Structure Therapeutics Inc., an exempted company incorporated in the Cayman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(sometimes referred to as the “Company”). The meeting will be held on Tuesday, June 25, 2024 at 9:00 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Pacific Time. The Annual General Meeting will be a virtual meeting of shareholders, which will be conducted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only via a live audio webcast. You will be able to attend the Annual General Meeting, submit your questions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vote online during the meeting by visiting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www.virtualshareholdermeeting.com/GPCR2024. The meeting will be held for the following purposes:</w:t>
      </w:r>
    </w:p>
    <w:p>
      <w:pPr>
        <w:spacing w:after="0" w:line="146" w:lineRule="exact"/>
        <w:rPr>
          <w:sz w:val="20"/>
          <w:szCs w:val="20"/>
          <w:color w:val="auto"/>
        </w:rPr>
      </w:pPr>
    </w:p>
    <w:p>
      <w:pPr>
        <w:jc w:val="both"/>
        <w:ind w:left="780" w:hanging="391"/>
        <w:spacing w:after="0" w:line="266" w:lineRule="auto"/>
        <w:tabs>
          <w:tab w:leader="none" w:pos="7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elect the Board’s nominee for Class I director named as a nominee in this Proxy Statement to hold office until the 2027 Annual General Meeting of Shareholders and her successor is duly elected and qualified, or until her earlier death, resignation or removal.</w:t>
      </w:r>
    </w:p>
    <w:p>
      <w:pPr>
        <w:spacing w:after="0" w:line="113" w:lineRule="exact"/>
        <w:rPr>
          <w:rFonts w:ascii="Times New Roman" w:cs="Times New Roman" w:eastAsia="Times New Roman" w:hAnsi="Times New Roman"/>
          <w:sz w:val="20"/>
          <w:szCs w:val="20"/>
          <w:color w:val="auto"/>
        </w:rPr>
      </w:pPr>
    </w:p>
    <w:p>
      <w:pPr>
        <w:jc w:val="both"/>
        <w:ind w:left="780" w:hanging="391"/>
        <w:spacing w:after="0" w:line="266" w:lineRule="auto"/>
        <w:tabs>
          <w:tab w:leader="none" w:pos="7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ratify the appointment by the Audit Committee of the Board of Ernst &amp; Young LLP as the Company’s independent registered public accounting firm for the fiscal year ending December 31, 2024.</w:t>
      </w:r>
    </w:p>
    <w:p>
      <w:pPr>
        <w:spacing w:after="0" w:line="113" w:lineRule="exact"/>
        <w:rPr>
          <w:rFonts w:ascii="Times New Roman" w:cs="Times New Roman" w:eastAsia="Times New Roman" w:hAnsi="Times New Roman"/>
          <w:sz w:val="20"/>
          <w:szCs w:val="20"/>
          <w:color w:val="auto"/>
        </w:rPr>
      </w:pPr>
    </w:p>
    <w:p>
      <w:pPr>
        <w:ind w:left="780" w:hanging="391"/>
        <w:spacing w:after="0"/>
        <w:tabs>
          <w:tab w:leader="none" w:pos="7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conduct any other business properly brought before the meeting.</w:t>
      </w:r>
    </w:p>
    <w:p>
      <w:pPr>
        <w:spacing w:after="0" w:line="169" w:lineRule="exact"/>
        <w:rPr>
          <w:sz w:val="20"/>
          <w:szCs w:val="20"/>
          <w:color w:val="auto"/>
        </w:rPr>
      </w:pPr>
    </w:p>
    <w:p>
      <w:pPr>
        <w:jc w:val="both"/>
        <w:ind w:right="20" w:firstLine="399"/>
        <w:spacing w:after="0" w:line="283" w:lineRule="auto"/>
        <w:rPr>
          <w:sz w:val="20"/>
          <w:szCs w:val="20"/>
          <w:color w:val="auto"/>
        </w:rPr>
      </w:pPr>
      <w:r>
        <w:rPr>
          <w:rFonts w:ascii="Times New Roman" w:cs="Times New Roman" w:eastAsia="Times New Roman" w:hAnsi="Times New Roman"/>
          <w:sz w:val="20"/>
          <w:szCs w:val="20"/>
          <w:color w:val="auto"/>
        </w:rPr>
        <w:t>These items of business are more fully described in the Proxy Statement accompanying these proxy materials.</w:t>
      </w:r>
    </w:p>
    <w:p>
      <w:pPr>
        <w:spacing w:after="0" w:line="96" w:lineRule="exact"/>
        <w:rPr>
          <w:sz w:val="20"/>
          <w:szCs w:val="20"/>
          <w:color w:val="auto"/>
        </w:rPr>
      </w:pPr>
    </w:p>
    <w:p>
      <w:pPr>
        <w:jc w:val="both"/>
        <w:ind w:firstLine="399"/>
        <w:spacing w:after="0" w:line="255" w:lineRule="auto"/>
        <w:rPr>
          <w:sz w:val="20"/>
          <w:szCs w:val="20"/>
          <w:color w:val="auto"/>
        </w:rPr>
      </w:pPr>
      <w:r>
        <w:rPr>
          <w:rFonts w:ascii="Times New Roman" w:cs="Times New Roman" w:eastAsia="Times New Roman" w:hAnsi="Times New Roman"/>
          <w:sz w:val="20"/>
          <w:szCs w:val="20"/>
          <w:color w:val="auto"/>
        </w:rPr>
        <w:t>The Annual General Meeting will be held virtually through a live webcast. Shareholders of record on the close of business (Eastern Time) on April 19, 2024 (the “Record Date”) and their proxy holders will be able to attend the Annual General Meeting, submit questions and vote during the live webcast by visiting www.virtualshareholdermeeting.com/GPCR2024 and entering the 16-digit Control Number included in your proxy card, voting instruction form, or in the instructions that you received via email. Please refer to the additional logistical details and recommendations in the accompanying proxy statement. You may log-in beginning at 8:45 a.m. Pacific Time, on Tuesday, June 25, 2024.</w:t>
      </w:r>
    </w:p>
    <w:p>
      <w:pPr>
        <w:spacing w:after="0" w:line="125"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20"/>
          <w:szCs w:val="20"/>
          <w:color w:val="auto"/>
        </w:rPr>
        <w:t>Only shareholders of record at the Record Date and their proxy holders may vote at the meeting or any adjournment thereof.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94615</wp:posOffset>
                </wp:positionV>
                <wp:extent cx="577786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78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7.45pt" to="454.5pt,7.4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5768975</wp:posOffset>
                </wp:positionH>
                <wp:positionV relativeFrom="paragraph">
                  <wp:posOffset>91440</wp:posOffset>
                </wp:positionV>
                <wp:extent cx="0" cy="1039495"/>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39495"/>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25pt,7.2pt" to="454.25pt,89.0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1127760</wp:posOffset>
                </wp:positionV>
                <wp:extent cx="577786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78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88.8pt" to="454.5pt,88.8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0" cy="1039495"/>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39495"/>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0.1999pt,89.05pt" o:allowincell="f" strokecolor="#000000" strokeweight="0.499pt"/>
            </w:pict>
          </mc:Fallback>
        </mc:AlternateContent>
      </w:r>
    </w:p>
    <w:p>
      <w:pPr>
        <w:spacing w:after="0" w:line="204"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Important Notice Regarding the Availability of Proxy Materials for the Annual General Meeting to Be Held on Tuesday, June 25, 2024 at 9:00 a.m. Pacific Time at </w:t>
      </w:r>
      <w:r>
        <w:rPr>
          <w:rFonts w:ascii="Times New Roman" w:cs="Times New Roman" w:eastAsia="Times New Roman" w:hAnsi="Times New Roman"/>
          <w:sz w:val="20"/>
          <w:szCs w:val="20"/>
          <w:color w:val="auto"/>
        </w:rPr>
        <w:t>www.virtualshareholdermeeting.com/GPCR2024</w:t>
      </w:r>
      <w:r>
        <w:rPr>
          <w:rFonts w:ascii="Times New Roman" w:cs="Times New Roman" w:eastAsia="Times New Roman" w:hAnsi="Times New Roman"/>
          <w:sz w:val="20"/>
          <w:szCs w:val="20"/>
          <w:b w:val="1"/>
          <w:bCs w:val="1"/>
          <w:color w:val="auto"/>
        </w:rPr>
        <w:t>.</w:t>
      </w:r>
    </w:p>
    <w:p>
      <w:pPr>
        <w:spacing w:after="0" w:line="187" w:lineRule="exact"/>
        <w:rPr>
          <w:sz w:val="20"/>
          <w:szCs w:val="20"/>
          <w:color w:val="auto"/>
        </w:rPr>
      </w:pPr>
    </w:p>
    <w:p>
      <w:pPr>
        <w:jc w:val="center"/>
        <w:ind w:right="20"/>
        <w:spacing w:after="0" w:line="275" w:lineRule="auto"/>
        <w:rPr>
          <w:sz w:val="20"/>
          <w:szCs w:val="20"/>
          <w:color w:val="auto"/>
        </w:rPr>
      </w:pPr>
      <w:r>
        <w:rPr>
          <w:rFonts w:ascii="Times New Roman" w:cs="Times New Roman" w:eastAsia="Times New Roman" w:hAnsi="Times New Roman"/>
          <w:sz w:val="20"/>
          <w:szCs w:val="20"/>
          <w:b w:val="1"/>
          <w:bCs w:val="1"/>
          <w:color w:val="auto"/>
        </w:rPr>
        <w:t>The proxy statement and annual report to shareholders are available at www.proxyvote.com and www.structuretx.com.</w:t>
      </w:r>
    </w:p>
    <w:p>
      <w:pPr>
        <w:sectPr>
          <w:pgSz w:w="11880" w:h="15480" w:orient="portrait"/>
          <w:cols w:equalWidth="0" w:num="1">
            <w:col w:w="9100"/>
          </w:cols>
          <w:pgMar w:left="1400" w:top="1440" w:right="1380" w:bottom="1440" w:gutter="0" w:footer="0" w:header="0"/>
        </w:sectPr>
      </w:pPr>
    </w:p>
    <w:bookmarkStart w:id="219" w:name="page220"/>
    <w:bookmarkEnd w:id="219"/>
    <w:p>
      <w:pPr>
        <w:jc w:val="center"/>
        <w:spacing w:after="0" w:line="275" w:lineRule="auto"/>
        <w:rPr>
          <w:sz w:val="20"/>
          <w:szCs w:val="20"/>
          <w:color w:val="auto"/>
        </w:rPr>
      </w:pPr>
    </w:p>
    <w:p>
      <w:pPr>
        <w:sectPr>
          <w:pgSz w:w="11880" w:h="15480" w:orient="portrait"/>
          <w:cols w:equalWidth="1" w:num="1" w:space="0"/>
          <w:pgMar w:left="1440" w:top="1440" w:right="1440" w:bottom="875"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Raymond Stevens,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24765</wp:posOffset>
                </wp:positionV>
                <wp:extent cx="281241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241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95pt" to="221pt,1.95pt" o:allowincell="f" strokecolor="#000000" strokeweight="0.499pt"/>
            </w:pict>
          </mc:Fallback>
        </mc:AlternateConten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Raymond Stevens, Ph.D.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25,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164465</wp:posOffset>
                </wp:positionV>
                <wp:extent cx="577786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78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2.95pt" to="454.5pt,12.9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5768975</wp:posOffset>
                </wp:positionH>
                <wp:positionV relativeFrom="paragraph">
                  <wp:posOffset>161290</wp:posOffset>
                </wp:positionV>
                <wp:extent cx="0" cy="887095"/>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7095"/>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25pt,12.7pt" to="454.25pt,82.5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1045210</wp:posOffset>
                </wp:positionV>
                <wp:extent cx="577786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78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82.3pt" to="454.5pt,82.3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161290</wp:posOffset>
                </wp:positionV>
                <wp:extent cx="0" cy="887095"/>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7095"/>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2.7pt" to="-0.1999pt,82.55pt" o:allowincell="f" strokecolor="#000000" strokeweight="0.499pt"/>
            </w:pict>
          </mc:Fallback>
        </mc:AlternateContent>
      </w:r>
    </w:p>
    <w:p>
      <w:pPr>
        <w:spacing w:after="0" w:line="313" w:lineRule="exact"/>
        <w:rPr>
          <w:sz w:val="20"/>
          <w:szCs w:val="20"/>
          <w:color w:val="auto"/>
        </w:rPr>
      </w:pPr>
    </w:p>
    <w:p>
      <w:pPr>
        <w:jc w:val="both"/>
        <w:ind w:left="60" w:right="80"/>
        <w:spacing w:after="0" w:line="256" w:lineRule="auto"/>
        <w:rPr>
          <w:sz w:val="20"/>
          <w:szCs w:val="20"/>
          <w:color w:val="auto"/>
        </w:rPr>
      </w:pPr>
      <w:r>
        <w:rPr>
          <w:rFonts w:ascii="Times New Roman" w:cs="Times New Roman" w:eastAsia="Times New Roman" w:hAnsi="Times New Roman"/>
          <w:sz w:val="20"/>
          <w:szCs w:val="20"/>
          <w:b w:val="1"/>
          <w:bCs w:val="1"/>
          <w:color w:val="auto"/>
        </w:rPr>
        <w:t>You are cordially invited to attend the meeting online. Whether or not you expect to attend the meeting, please vote over the telephone or the internet as instructed in these materials, or, if you receive a paper proxy card by mail, by completing and returning the enclosed proxy, as promptly as possible in order to ensure your representation at the meeting. Even if you have voted by proxy, you may still vote online if you attend the meeting.</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YOUR VOTE IS IMPORTANT. Please read the Proxy Statement and the accompanying materials. No matter how many of our ordinary shares, par value $0.0001 per share (the “Ordinary Shares”), or American Depositary Shares, each representing three Ordinary Shares (“ADSs”), you own, please submit your proxy card or voting instruction form, as applicable, in accordance with the procedures described below.</w:t>
      </w:r>
    </w:p>
    <w:p>
      <w:pPr>
        <w:spacing w:after="0" w:line="77" w:lineRule="exact"/>
        <w:rPr>
          <w:sz w:val="20"/>
          <w:szCs w:val="20"/>
          <w:color w:val="auto"/>
        </w:rPr>
      </w:pPr>
    </w:p>
    <w:p>
      <w:pPr>
        <w:jc w:val="both"/>
        <w:ind w:left="580" w:hanging="199"/>
        <w:spacing w:after="0" w:line="249" w:lineRule="auto"/>
        <w:tabs>
          <w:tab w:leader="none" w:pos="5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i w:val="1"/>
          <w:iCs w:val="1"/>
          <w:color w:val="auto"/>
        </w:rPr>
        <w:t>Ordinary Shareholders</w:t>
      </w:r>
      <w:r>
        <w:rPr>
          <w:rFonts w:ascii="Times New Roman" w:cs="Times New Roman" w:eastAsia="Times New Roman" w:hAnsi="Times New Roman"/>
          <w:sz w:val="20"/>
          <w:szCs w:val="20"/>
          <w:color w:val="auto"/>
        </w:rPr>
        <w:t>. Registered shareholders whose names appear on the Company’s Register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Members as of the Record Date have the right to vote online at www.virtualshareholdermeeting.com/GPCR2024 during the Annual General Meeting, or vote by submitting your proxy card by mail, in each case provided that you are the holder of record of such Ordinary Shares as of the Record Date. Even if you submit your proxy card by mail in advance of the Annual General Meeting, you may still vote at the Annual General Meeting if you attend the Annual General Meeting via our live webcast. If you would like to submit your proxy card by mail and you are a registered holder of our Ordinary Shares, then you should mark the proxy card provided to you, date, and sign, and return it, in accordance with the instructions.</w:t>
      </w:r>
    </w:p>
    <w:p>
      <w:pPr>
        <w:spacing w:after="0" w:line="92" w:lineRule="exact"/>
        <w:rPr>
          <w:sz w:val="20"/>
          <w:szCs w:val="20"/>
          <w:color w:val="auto"/>
        </w:rPr>
      </w:pPr>
    </w:p>
    <w:p>
      <w:pPr>
        <w:jc w:val="both"/>
        <w:ind w:left="580" w:hanging="191"/>
        <w:spacing w:after="0" w:line="249" w:lineRule="auto"/>
        <w:tabs>
          <w:tab w:leader="none" w:pos="5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ADS Holders</w:t>
      </w:r>
      <w:r>
        <w:rPr>
          <w:rFonts w:ascii="Times New Roman" w:cs="Times New Roman" w:eastAsia="Times New Roman" w:hAnsi="Times New Roman"/>
          <w:sz w:val="20"/>
          <w:szCs w:val="20"/>
          <w:color w:val="auto"/>
        </w:rPr>
        <w:t>. You may give voting instructions to the depositary of the ADSs, J.P. Morgan Chase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Bank, N.A (the “Depositary”), or your broker, bank, or other nominee, as applicable, with respect to the Ordinary Shares underlying your ADSs. If you held ADSs as of the Record Date, you have the right to instruct the Depositary (if you held your ADSs directly) or the right to instruct your broker, bank, or other nominee (if you held your ADSs through such intermediary) how to vote. So long as the Depositary receives your voting instructions on or prior to 9:00 a.m. (Eastern Time) on June 20, 2024, it will, to the extent practicable and subject to Cayman Islands law and the terms of the deposit agreement, vote the underlying Ordinary Shares as you instruct. If your ADSs are held through a broker, bank, or other nominee, such intermediary will provide you with instructions on how you may give voting instructions with respect to the Ordinary Shares underlying your ADSs. Please check with your broker, bank, or other nominee, as applicable, and carefully follow the voting procedures provided to you.</w:t>
      </w:r>
    </w:p>
    <w:p>
      <w:pPr>
        <w:spacing w:after="0" w:line="369" w:lineRule="exact"/>
        <w:rPr>
          <w:sz w:val="20"/>
          <w:szCs w:val="20"/>
          <w:color w:val="auto"/>
        </w:rPr>
      </w:pPr>
    </w:p>
    <w:p>
      <w:pPr>
        <w:jc w:val="both"/>
        <w:ind w:left="380"/>
        <w:spacing w:after="0" w:line="259" w:lineRule="auto"/>
        <w:rPr>
          <w:sz w:val="20"/>
          <w:szCs w:val="20"/>
          <w:color w:val="auto"/>
        </w:rPr>
      </w:pPr>
      <w:r>
        <w:rPr>
          <w:rFonts w:ascii="Times New Roman" w:cs="Times New Roman" w:eastAsia="Times New Roman" w:hAnsi="Times New Roman"/>
          <w:sz w:val="20"/>
          <w:szCs w:val="20"/>
          <w:color w:val="auto"/>
        </w:rPr>
        <w:t>As an ADS holder, you will not be entitled to vote directly at the Annual General Meeting. To the extent you provide the Depositary or your broker, bank, or other nominee, as applicable, with voting instructions, the Depositary will vote the underlying Ordinary Shares represented by your ADSs in accordance with your instructions.</w:t>
      </w:r>
    </w:p>
    <w:p>
      <w:pPr>
        <w:spacing w:after="0" w:line="117" w:lineRule="exact"/>
        <w:rPr>
          <w:sz w:val="20"/>
          <w:szCs w:val="20"/>
          <w:color w:val="auto"/>
        </w:rPr>
      </w:pPr>
    </w:p>
    <w:p>
      <w:pPr>
        <w:jc w:val="both"/>
        <w:ind w:left="380"/>
        <w:spacing w:after="0" w:line="252" w:lineRule="auto"/>
        <w:rPr>
          <w:sz w:val="20"/>
          <w:szCs w:val="20"/>
          <w:color w:val="auto"/>
        </w:rPr>
      </w:pPr>
      <w:r>
        <w:rPr>
          <w:rFonts w:ascii="Times New Roman" w:cs="Times New Roman" w:eastAsia="Times New Roman" w:hAnsi="Times New Roman"/>
          <w:sz w:val="20"/>
          <w:szCs w:val="20"/>
          <w:color w:val="auto"/>
        </w:rPr>
        <w:t>As an ADS holder, you may also exercise the right to vote the underlying Ordinary Shares represented by your ADSs by surrendering your American Depositary Receipts (“ADRs”) for withdrawal of the Ordinary Shares represented by your ADSs pursuant to the terms described in the deposit agreement, prior to the Record Date. Upon surrender of (a) a certificated ADR in a form satisfactory to the Depositary at its designated transfer office or (b) proper instructions and documentation in the case of a Direct Registration ADR (as defined in the deposit agreement), the holder of the ADR is entitled to delivery at or, to the extent in dematerialized form, from, the Depositary’s custodian’s office of the Ordinary Shares at the time represented by the ADSs evidenced by such ADR. At the request, risk and expense of the holder of the ADR, the Depositary may deliver the Ordinary Shares at such other place as</w:t>
      </w:r>
    </w:p>
    <w:p>
      <w:pPr>
        <w:sectPr>
          <w:pgSz w:w="11880" w:h="15480" w:orient="portrait"/>
          <w:cols w:equalWidth="0" w:num="1">
            <w:col w:w="9100"/>
          </w:cols>
          <w:pgMar w:left="1400" w:top="1025" w:right="1380" w:bottom="585" w:gutter="0" w:footer="0" w:header="0"/>
        </w:sectPr>
      </w:pPr>
    </w:p>
    <w:bookmarkStart w:id="221" w:name="page222"/>
    <w:bookmarkEnd w:id="221"/>
    <w:p>
      <w:pPr>
        <w:jc w:val="both"/>
        <w:ind w:left="340"/>
        <w:spacing w:after="0" w:line="252" w:lineRule="auto"/>
        <w:rPr>
          <w:sz w:val="20"/>
          <w:szCs w:val="20"/>
          <w:color w:val="auto"/>
        </w:rPr>
      </w:pPr>
      <w:r>
        <w:rPr>
          <w:rFonts w:ascii="Times New Roman" w:cs="Times New Roman" w:eastAsia="Times New Roman" w:hAnsi="Times New Roman"/>
          <w:sz w:val="20"/>
          <w:szCs w:val="20"/>
          <w:color w:val="auto"/>
        </w:rPr>
        <w:t>may have been requested by the holder of the ADR. The withdrawal of Ordinary Shares may be restricted only for the reasons set forth in General Instruction I.A.(1) of Form F-6 (as such instructions may be amended from time to time) under the Securities Act of 1933, as amended (the “Securities Act”), or provisions in the deposit agreement or such ADR. The Depositary may require proper endorsement in blank of such ADR (or duly executed instruments of transfer thereof in blank) and your written order directing the Depositary to cause the Ordinary Shares represented by the ADSs evidenced by such ADR to be withdrawn and delivered to, or upon the written order of, any person designated in such order. If ADSs are held in a brokerage firm, bank or other financial institution, please contact the broker, bank or other financial institution to find out what actions need to be taken to instruct the broker, bank or other financial institution to surrender the ADR for withdrawal of Ordinary Shares. Please be aware that there is no guarantee of timely delivery of registration of the underlying Ordinary Shares represented by your ADSs prior to the Record Date, and it is possible that you may not have sufficient time to withdraw the Ordinary Shares represented by your ADSs and vote them at the upcoming Annual General Meeting as a holder of record of Ordinary Shares. Holders of ADSs may be required to pay certain applicable fees, charges and taxes associated with the surrender and withdrawal process.</w:t>
      </w:r>
    </w:p>
    <w:p>
      <w:pPr>
        <w:sectPr>
          <w:pgSz w:w="11880" w:h="15480" w:orient="portrait"/>
          <w:cols w:equalWidth="0" w:num="1">
            <w:col w:w="9060"/>
          </w:cols>
          <w:pgMar w:left="1440" w:top="1025" w:right="1380"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20"/>
          <w:szCs w:val="20"/>
          <w:b w:val="1"/>
          <w:bCs w:val="1"/>
          <w:color w:val="auto"/>
        </w:rPr>
        <w:t>STRUCTURE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601 Gateway Blvd., Suite 900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South San Francisco, California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94080</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PROXY STATEMENT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2024 ANNUAL GENERAL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BE HELD ON JUNE 25, 2024</w:t>
      </w:r>
    </w:p>
    <w:p>
      <w:pPr>
        <w:sectPr>
          <w:pgSz w:w="11880" w:h="15480" w:orient="portrait"/>
          <w:cols w:equalWidth="0" w:num="1">
            <w:col w:w="9080"/>
          </w:cols>
          <w:pgMar w:left="1400" w:top="1023" w:right="14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Proposals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33020</wp:posOffset>
                </wp:positionV>
                <wp:extent cx="182372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372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2.6pt" to="143.15pt,2.6pt" o:allowincell="f" strokecolor="#000000" strokeweight="0.499pt"/>
            </w:pict>
          </mc:Fallback>
        </mc:AlternateContent>
      </w:r>
    </w:p>
    <w:p>
      <w:pPr>
        <w:spacing w:after="0" w:line="6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Election of the Class I director named in this Proxy Statement</w:t>
      </w:r>
    </w:p>
    <w:p>
      <w:pPr>
        <w:spacing w:after="0" w:line="3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Ratification of the appointment of Ernst &amp; Young LLP as the Company’s independent registered public accounting firm for the fiscal year ending December 31, 2024</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MEETING AGENDA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20" w:type="dxa"/>
            <w:vAlign w:val="bottom"/>
            <w:gridSpan w:val="2"/>
          </w:tcPr>
          <w:p>
            <w:pPr>
              <w:ind w:left="900"/>
              <w:spacing w:after="0"/>
              <w:rPr>
                <w:sz w:val="20"/>
                <w:szCs w:val="20"/>
                <w:color w:val="auto"/>
              </w:rPr>
            </w:pPr>
            <w:r>
              <w:rPr>
                <w:rFonts w:ascii="Times New Roman" w:cs="Times New Roman" w:eastAsia="Times New Roman" w:hAnsi="Times New Roman"/>
                <w:sz w:val="16"/>
                <w:szCs w:val="16"/>
                <w:b w:val="1"/>
                <w:bCs w:val="1"/>
                <w:color w:val="auto"/>
              </w:rPr>
              <w:t>Voting Standard</w:t>
            </w:r>
          </w:p>
        </w:tc>
        <w:tc>
          <w:tcPr>
            <w:tcW w:w="28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Board Recommendation</w:t>
            </w:r>
          </w:p>
        </w:tc>
      </w:tr>
      <w:tr>
        <w:trPr>
          <w:trHeight w:val="30"/>
        </w:trPr>
        <w:tc>
          <w:tcPr>
            <w:tcW w:w="2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60"/>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Majority of the votes cast by the</w:t>
            </w:r>
          </w:p>
        </w:tc>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FOR the director nominee</w:t>
            </w:r>
          </w:p>
        </w:tc>
      </w:tr>
      <w:tr>
        <w:trPr>
          <w:trHeight w:val="239"/>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shareholders, being entitled to do</w:t>
            </w:r>
          </w:p>
        </w:tc>
        <w:tc>
          <w:tcPr>
            <w:tcW w:w="2860" w:type="dxa"/>
            <w:vAlign w:val="bottom"/>
          </w:tcPr>
          <w:p>
            <w:pPr>
              <w:spacing w:after="0"/>
              <w:rPr>
                <w:sz w:val="20"/>
                <w:szCs w:val="20"/>
                <w:color w:val="auto"/>
              </w:rPr>
            </w:pPr>
          </w:p>
        </w:tc>
      </w:tr>
      <w:tr>
        <w:trPr>
          <w:trHeight w:val="262"/>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so, voting virtually or by proxy</w:t>
            </w:r>
          </w:p>
        </w:tc>
        <w:tc>
          <w:tcPr>
            <w:tcW w:w="2860" w:type="dxa"/>
            <w:vAlign w:val="bottom"/>
          </w:tcPr>
          <w:p>
            <w:pPr>
              <w:spacing w:after="0"/>
              <w:rPr>
                <w:sz w:val="22"/>
                <w:szCs w:val="22"/>
                <w:color w:val="auto"/>
              </w:rPr>
            </w:pPr>
          </w:p>
        </w:tc>
      </w:tr>
      <w:tr>
        <w:trPr>
          <w:trHeight w:val="396"/>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Majority of the votes cast by the</w:t>
            </w:r>
          </w:p>
        </w:tc>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FOR</w:t>
            </w:r>
          </w:p>
        </w:tc>
      </w:tr>
      <w:tr>
        <w:trPr>
          <w:trHeight w:val="239"/>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shareholders, being entitled to do</w:t>
            </w:r>
          </w:p>
        </w:tc>
        <w:tc>
          <w:tcPr>
            <w:tcW w:w="2860" w:type="dxa"/>
            <w:vAlign w:val="bottom"/>
          </w:tcPr>
          <w:p>
            <w:pPr>
              <w:spacing w:after="0"/>
              <w:rPr>
                <w:sz w:val="20"/>
                <w:szCs w:val="20"/>
                <w:color w:val="auto"/>
              </w:rPr>
            </w:pPr>
          </w:p>
        </w:tc>
      </w:tr>
      <w:tr>
        <w:trPr>
          <w:trHeight w:val="262"/>
        </w:trPr>
        <w:tc>
          <w:tcPr>
            <w:tcW w:w="3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so, voting virtually or by proxy</w:t>
            </w:r>
          </w:p>
        </w:tc>
        <w:tc>
          <w:tcPr>
            <w:tcW w:w="2860" w:type="dxa"/>
            <w:vAlign w:val="bottom"/>
          </w:tcPr>
          <w:p>
            <w:pPr>
              <w:spacing w:after="0"/>
              <w:rPr>
                <w:sz w:val="22"/>
                <w:szCs w:val="22"/>
                <w:color w:val="auto"/>
              </w:rPr>
            </w:pPr>
          </w:p>
        </w:tc>
      </w:tr>
    </w:tbl>
    <w:p>
      <w:pPr>
        <w:sectPr>
          <w:pgSz w:w="11880" w:h="15480" w:orient="portrait"/>
          <w:cols w:equalWidth="0" w:num="2">
            <w:col w:w="2860" w:space="240"/>
            <w:col w:w="5980"/>
          </w:cols>
          <w:pgMar w:left="1400" w:top="1023" w:right="1400" w:bottom="1440" w:gutter="0" w:footer="0" w:header="0"/>
          <w:type w:val="continuous"/>
        </w:sectPr>
      </w:pPr>
    </w:p>
    <w:bookmarkStart w:id="223" w:name="page224"/>
    <w:bookmarkEnd w:id="2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224" w:name="page225"/>
    <w:bookmarkEnd w:id="224"/>
    <w:p>
      <w:pPr>
        <w:ind w:left="344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5560695</wp:posOffset>
                </wp:positionH>
                <wp:positionV relativeFrom="paragraph">
                  <wp:posOffset>33020</wp:posOffset>
                </wp:positionV>
                <wp:extent cx="21145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45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85pt,2.6pt" to="454.5pt,2.6pt" o:allowincell="f" strokecolor="#000000" strokeweight="0.499pt"/>
            </w:pict>
          </mc:Fallback>
        </mc:AlternateContent>
      </w:r>
    </w:p>
    <w:p>
      <w:pPr>
        <w:spacing w:after="0" w:line="69" w:lineRule="exact"/>
        <w:rPr>
          <w:sz w:val="20"/>
          <w:szCs w:val="20"/>
          <w:color w:val="auto"/>
        </w:rPr>
      </w:pPr>
    </w:p>
    <w:p>
      <w:pPr>
        <w:spacing w:after="0"/>
        <w:tabs>
          <w:tab w:leader="none" w:pos="8900" w:val="left"/>
        </w:tabs>
        <w:rPr>
          <w:sz w:val="20"/>
          <w:szCs w:val="20"/>
          <w:color w:val="auto"/>
        </w:rPr>
      </w:pPr>
      <w:r>
        <w:rPr>
          <w:rFonts w:ascii="Times New Roman" w:cs="Times New Roman" w:eastAsia="Times New Roman" w:hAnsi="Times New Roman"/>
          <w:sz w:val="20"/>
          <w:szCs w:val="20"/>
          <w:color w:val="auto"/>
        </w:rPr>
        <w:t>QUESTIONS AND ANSWERS ABOUT THESE PROXY MATERIALS AND VOTING . . . . . .</w:t>
      </w:r>
      <w:r>
        <w:rPr>
          <w:sz w:val="20"/>
          <w:szCs w:val="20"/>
          <w:color w:val="auto"/>
        </w:rPr>
        <w:tab/>
      </w:r>
      <w:r>
        <w:rPr>
          <w:rFonts w:ascii="Times New Roman" w:cs="Times New Roman" w:eastAsia="Times New Roman" w:hAnsi="Times New Roman"/>
          <w:sz w:val="20"/>
          <w:szCs w:val="20"/>
          <w:color w:val="auto"/>
        </w:rPr>
        <w:t>1</w:t>
      </w:r>
    </w:p>
    <w:p>
      <w:pPr>
        <w:spacing w:after="0" w:line="69" w:lineRule="exact"/>
        <w:rPr>
          <w:sz w:val="20"/>
          <w:szCs w:val="20"/>
          <w:color w:val="auto"/>
        </w:rPr>
      </w:pPr>
    </w:p>
    <w:p>
      <w:pPr>
        <w:spacing w:after="0"/>
        <w:tabs>
          <w:tab w:leader="none" w:pos="8900" w:val="left"/>
        </w:tabs>
        <w:rPr>
          <w:sz w:val="20"/>
          <w:szCs w:val="20"/>
          <w:color w:val="auto"/>
        </w:rPr>
      </w:pPr>
      <w:r>
        <w:rPr>
          <w:rFonts w:ascii="Times New Roman" w:cs="Times New Roman" w:eastAsia="Times New Roman" w:hAnsi="Times New Roman"/>
          <w:sz w:val="20"/>
          <w:szCs w:val="20"/>
          <w:color w:val="auto"/>
        </w:rPr>
        <w:t>PROPOSAL 1: ELECTION OF DIRECTOR  . . . . . . . . . . . . . . . . . . . . . . . . . . . . . . . . . . . . . .</w:t>
      </w:r>
      <w:r>
        <w:rPr>
          <w:sz w:val="20"/>
          <w:szCs w:val="20"/>
          <w:color w:val="auto"/>
        </w:rPr>
        <w:tab/>
      </w:r>
      <w:r>
        <w:rPr>
          <w:rFonts w:ascii="Times New Roman" w:cs="Times New Roman" w:eastAsia="Times New Roman" w:hAnsi="Times New Roman"/>
          <w:sz w:val="20"/>
          <w:szCs w:val="20"/>
          <w:color w:val="auto"/>
        </w:rPr>
        <w:t>6</w:t>
      </w:r>
    </w:p>
    <w:p>
      <w:pPr>
        <w:spacing w:after="0" w:line="69" w:lineRule="exact"/>
        <w:rPr>
          <w:sz w:val="20"/>
          <w:szCs w:val="20"/>
          <w:color w:val="auto"/>
        </w:rPr>
      </w:pPr>
    </w:p>
    <w:p>
      <w:pPr>
        <w:ind w:left="180"/>
        <w:spacing w:after="0"/>
        <w:tabs>
          <w:tab w:leader="none" w:pos="2340" w:val="left"/>
          <w:tab w:leader="none" w:pos="8900" w:val="left"/>
        </w:tabs>
        <w:rPr>
          <w:sz w:val="20"/>
          <w:szCs w:val="20"/>
          <w:color w:val="auto"/>
        </w:rPr>
      </w:pPr>
      <w:r>
        <w:rPr>
          <w:rFonts w:ascii="Times New Roman" w:cs="Times New Roman" w:eastAsia="Times New Roman" w:hAnsi="Times New Roman"/>
          <w:sz w:val="20"/>
          <w:szCs w:val="20"/>
          <w:color w:val="auto"/>
        </w:rPr>
        <w:t>Our Board of Directors</w:t>
        <w:tab/>
        <w:t>. . . . . . . . . . . . . . . . . . . . . . . . . . . . . . . . . . . . . . . . . . . . . . . . . . . .</w:t>
      </w:r>
      <w:r>
        <w:rPr>
          <w:sz w:val="20"/>
          <w:szCs w:val="20"/>
          <w:color w:val="auto"/>
        </w:rPr>
        <w:tab/>
      </w:r>
      <w:r>
        <w:rPr>
          <w:rFonts w:ascii="Times New Roman" w:cs="Times New Roman" w:eastAsia="Times New Roman" w:hAnsi="Times New Roman"/>
          <w:sz w:val="20"/>
          <w:szCs w:val="20"/>
          <w:color w:val="auto"/>
        </w:rPr>
        <w:t>6</w:t>
      </w:r>
    </w:p>
    <w:p>
      <w:pPr>
        <w:spacing w:after="0" w:line="69" w:lineRule="exact"/>
        <w:rPr>
          <w:sz w:val="20"/>
          <w:szCs w:val="20"/>
          <w:color w:val="auto"/>
        </w:rPr>
      </w:pPr>
    </w:p>
    <w:p>
      <w:pPr>
        <w:ind w:left="180"/>
        <w:spacing w:after="0"/>
        <w:tabs>
          <w:tab w:leader="none" w:pos="6640" w:val="left"/>
          <w:tab w:leader="none" w:pos="8900" w:val="left"/>
        </w:tabs>
        <w:rPr>
          <w:sz w:val="20"/>
          <w:szCs w:val="20"/>
          <w:color w:val="auto"/>
        </w:rPr>
      </w:pPr>
      <w:r>
        <w:rPr>
          <w:rFonts w:ascii="Times New Roman" w:cs="Times New Roman" w:eastAsia="Times New Roman" w:hAnsi="Times New Roman"/>
          <w:sz w:val="20"/>
          <w:szCs w:val="20"/>
          <w:color w:val="auto"/>
        </w:rPr>
        <w:t>Information Regarding the Board of Directors and Corporate Governance</w:t>
        <w:tab/>
        <w:t>. . . . . . . . . . . . . . . .</w:t>
      </w:r>
      <w:r>
        <w:rPr>
          <w:sz w:val="20"/>
          <w:szCs w:val="20"/>
          <w:color w:val="auto"/>
        </w:rPr>
        <w:tab/>
      </w:r>
      <w:r>
        <w:rPr>
          <w:rFonts w:ascii="Times New Roman" w:cs="Times New Roman" w:eastAsia="Times New Roman" w:hAnsi="Times New Roman"/>
          <w:sz w:val="20"/>
          <w:szCs w:val="20"/>
          <w:color w:val="auto"/>
        </w:rPr>
        <w:t>9</w:t>
      </w:r>
    </w:p>
    <w:p>
      <w:pPr>
        <w:spacing w:after="0" w:line="69" w:lineRule="exact"/>
        <w:rPr>
          <w:sz w:val="20"/>
          <w:szCs w:val="20"/>
          <w:color w:val="auto"/>
        </w:rPr>
      </w:pPr>
    </w:p>
    <w:p>
      <w:pPr>
        <w:ind w:left="380"/>
        <w:spacing w:after="0"/>
        <w:tabs>
          <w:tab w:leader="none" w:pos="8900" w:val="left"/>
        </w:tabs>
        <w:rPr>
          <w:sz w:val="20"/>
          <w:szCs w:val="20"/>
          <w:color w:val="auto"/>
        </w:rPr>
      </w:pPr>
      <w:r>
        <w:rPr>
          <w:rFonts w:ascii="Times New Roman" w:cs="Times New Roman" w:eastAsia="Times New Roman" w:hAnsi="Times New Roman"/>
          <w:sz w:val="20"/>
          <w:szCs w:val="20"/>
          <w:color w:val="auto"/>
        </w:rPr>
        <w:t>Director Nomination Process and Qualifications  . . . . . . . . . . . . . . . . . . . . . . . . . . . . . . . . .</w:t>
      </w:r>
      <w:r>
        <w:rPr>
          <w:sz w:val="20"/>
          <w:szCs w:val="20"/>
          <w:color w:val="auto"/>
        </w:rPr>
        <w:tab/>
      </w:r>
      <w:r>
        <w:rPr>
          <w:rFonts w:ascii="Times New Roman" w:cs="Times New Roman" w:eastAsia="Times New Roman" w:hAnsi="Times New Roman"/>
          <w:sz w:val="20"/>
          <w:szCs w:val="20"/>
          <w:color w:val="auto"/>
        </w:rPr>
        <w:t>9</w:t>
      </w:r>
    </w:p>
    <w:p>
      <w:pPr>
        <w:spacing w:after="0" w:line="69" w:lineRule="exact"/>
        <w:rPr>
          <w:sz w:val="20"/>
          <w:szCs w:val="20"/>
          <w:color w:val="auto"/>
        </w:rPr>
      </w:pPr>
    </w:p>
    <w:p>
      <w:pPr>
        <w:ind w:left="380"/>
        <w:spacing w:after="0"/>
        <w:tabs>
          <w:tab w:leader="none" w:pos="8800" w:val="left"/>
        </w:tabs>
        <w:rPr>
          <w:sz w:val="20"/>
          <w:szCs w:val="20"/>
          <w:color w:val="auto"/>
        </w:rPr>
      </w:pPr>
      <w:r>
        <w:rPr>
          <w:rFonts w:ascii="Times New Roman" w:cs="Times New Roman" w:eastAsia="Times New Roman" w:hAnsi="Times New Roman"/>
          <w:sz w:val="20"/>
          <w:szCs w:val="20"/>
          <w:color w:val="auto"/>
        </w:rPr>
        <w:t>Nominations by Securityholders . . . . . . . . . . . . . . . . . . . . . . . . . . . . . . . . . . . . . . . . . . . . .</w:t>
        <w:tab/>
        <w:t>10</w:t>
      </w:r>
    </w:p>
    <w:p>
      <w:pPr>
        <w:spacing w:after="0" w:line="69" w:lineRule="exact"/>
        <w:rPr>
          <w:sz w:val="20"/>
          <w:szCs w:val="20"/>
          <w:color w:val="auto"/>
        </w:rPr>
      </w:pPr>
    </w:p>
    <w:p>
      <w:pPr>
        <w:ind w:left="380"/>
        <w:spacing w:after="0"/>
        <w:tabs>
          <w:tab w:leader="none" w:pos="8800" w:val="left"/>
        </w:tabs>
        <w:rPr>
          <w:sz w:val="20"/>
          <w:szCs w:val="20"/>
          <w:color w:val="auto"/>
        </w:rPr>
      </w:pPr>
      <w:r>
        <w:rPr>
          <w:rFonts w:ascii="Times New Roman" w:cs="Times New Roman" w:eastAsia="Times New Roman" w:hAnsi="Times New Roman"/>
          <w:sz w:val="20"/>
          <w:szCs w:val="20"/>
          <w:color w:val="auto"/>
        </w:rPr>
        <w:t>Board Diversity  . . . . . . . . . . . . . . . . . . . . . . . . . . . . . . . . . . . . . . . . . . . . . . . . . . . . . . . .</w:t>
        <w:tab/>
        <w:t>10</w:t>
      </w:r>
    </w:p>
    <w:p>
      <w:pPr>
        <w:spacing w:after="0" w:line="69" w:lineRule="exact"/>
        <w:rPr>
          <w:sz w:val="20"/>
          <w:szCs w:val="20"/>
          <w:color w:val="auto"/>
        </w:rPr>
      </w:pPr>
    </w:p>
    <w:p>
      <w:pPr>
        <w:ind w:left="380"/>
        <w:spacing w:after="0"/>
        <w:tabs>
          <w:tab w:leader="none" w:pos="8800" w:val="left"/>
        </w:tabs>
        <w:rPr>
          <w:sz w:val="20"/>
          <w:szCs w:val="20"/>
          <w:color w:val="auto"/>
        </w:rPr>
      </w:pPr>
      <w:r>
        <w:rPr>
          <w:rFonts w:ascii="Times New Roman" w:cs="Times New Roman" w:eastAsia="Times New Roman" w:hAnsi="Times New Roman"/>
          <w:sz w:val="20"/>
          <w:szCs w:val="20"/>
          <w:color w:val="auto"/>
        </w:rPr>
        <w:t>Board Diversity Matrix . . . . . . . . . . . . . . . . . . . . . . . . . . . . . . . . . . . . . . . . . . . . . . . . . . .</w:t>
        <w:tab/>
        <w:t>11</w:t>
      </w:r>
    </w:p>
    <w:p>
      <w:pPr>
        <w:spacing w:after="0" w:line="69" w:lineRule="exact"/>
        <w:rPr>
          <w:sz w:val="20"/>
          <w:szCs w:val="20"/>
          <w:color w:val="auto"/>
        </w:rPr>
      </w:pPr>
    </w:p>
    <w:p>
      <w:pPr>
        <w:ind w:left="380"/>
        <w:spacing w:after="0"/>
        <w:tabs>
          <w:tab w:leader="none" w:pos="5460" w:val="left"/>
          <w:tab w:leader="none" w:pos="8800" w:val="left"/>
        </w:tabs>
        <w:rPr>
          <w:sz w:val="20"/>
          <w:szCs w:val="20"/>
          <w:color w:val="auto"/>
        </w:rPr>
      </w:pPr>
      <w:r>
        <w:rPr>
          <w:rFonts w:ascii="Times New Roman" w:cs="Times New Roman" w:eastAsia="Times New Roman" w:hAnsi="Times New Roman"/>
          <w:sz w:val="20"/>
          <w:szCs w:val="20"/>
          <w:color w:val="auto"/>
        </w:rPr>
        <w:t>Director Independence and Independence Determinations</w:t>
        <w:tab/>
        <w:t>. . . . . . . . . . . . . . . . . . . . . . . . . .</w:t>
        <w:tab/>
        <w:t>11</w:t>
      </w:r>
    </w:p>
    <w:p>
      <w:pPr>
        <w:spacing w:after="0" w:line="69" w:lineRule="exact"/>
        <w:rPr>
          <w:sz w:val="20"/>
          <w:szCs w:val="20"/>
          <w:color w:val="auto"/>
        </w:rPr>
      </w:pPr>
    </w:p>
    <w:p>
      <w:pPr>
        <w:ind w:left="380"/>
        <w:spacing w:after="0"/>
        <w:tabs>
          <w:tab w:leader="none" w:pos="8800" w:val="left"/>
        </w:tabs>
        <w:rPr>
          <w:sz w:val="20"/>
          <w:szCs w:val="20"/>
          <w:color w:val="auto"/>
        </w:rPr>
      </w:pPr>
      <w:r>
        <w:rPr>
          <w:rFonts w:ascii="Times New Roman" w:cs="Times New Roman" w:eastAsia="Times New Roman" w:hAnsi="Times New Roman"/>
          <w:sz w:val="20"/>
          <w:szCs w:val="20"/>
          <w:color w:val="auto"/>
        </w:rPr>
        <w:t>Board Leadership Structure . . . . . . . . . . . . . . . . . . . . . . . . . . . . . . . . . . . . . . . . . . . . . . . .</w:t>
        <w:tab/>
        <w:t>12</w:t>
      </w:r>
    </w:p>
    <w:p>
      <w:pPr>
        <w:spacing w:after="0" w:line="69" w:lineRule="exact"/>
        <w:rPr>
          <w:sz w:val="20"/>
          <w:szCs w:val="20"/>
          <w:color w:val="auto"/>
        </w:rPr>
      </w:pPr>
    </w:p>
    <w:p>
      <w:pPr>
        <w:ind w:left="380"/>
        <w:spacing w:after="0"/>
        <w:tabs>
          <w:tab w:leader="none" w:pos="8800" w:val="left"/>
        </w:tabs>
        <w:rPr>
          <w:sz w:val="20"/>
          <w:szCs w:val="20"/>
          <w:color w:val="auto"/>
        </w:rPr>
      </w:pPr>
      <w:r>
        <w:rPr>
          <w:rFonts w:ascii="Times New Roman" w:cs="Times New Roman" w:eastAsia="Times New Roman" w:hAnsi="Times New Roman"/>
          <w:sz w:val="20"/>
          <w:szCs w:val="20"/>
          <w:color w:val="auto"/>
        </w:rPr>
        <w:t>Board’s Role in Risk Oversight . . . . . . . . . . . . . . . . . . . . . . . . . . . . . . . . . . . . . . . . . . . . . .</w:t>
        <w:tab/>
        <w:t>12</w:t>
      </w:r>
    </w:p>
    <w:p>
      <w:pPr>
        <w:spacing w:after="0" w:line="69" w:lineRule="exact"/>
        <w:rPr>
          <w:sz w:val="20"/>
          <w:szCs w:val="20"/>
          <w:color w:val="auto"/>
        </w:rPr>
      </w:pPr>
    </w:p>
    <w:p>
      <w:pPr>
        <w:ind w:left="380"/>
        <w:spacing w:after="0"/>
        <w:tabs>
          <w:tab w:leader="none" w:pos="8800" w:val="left"/>
        </w:tabs>
        <w:rPr>
          <w:sz w:val="20"/>
          <w:szCs w:val="20"/>
          <w:color w:val="auto"/>
        </w:rPr>
      </w:pPr>
      <w:r>
        <w:rPr>
          <w:rFonts w:ascii="Times New Roman" w:cs="Times New Roman" w:eastAsia="Times New Roman" w:hAnsi="Times New Roman"/>
          <w:sz w:val="20"/>
          <w:szCs w:val="20"/>
          <w:color w:val="auto"/>
        </w:rPr>
        <w:t>Board and Committee Meetings and Attendance . . . . . . . . . . . . . . . . . . . . . . . . . . . . . . . . .</w:t>
        <w:tab/>
        <w:t>13</w:t>
      </w:r>
    </w:p>
    <w:p>
      <w:pPr>
        <w:spacing w:after="0" w:line="69" w:lineRule="exact"/>
        <w:rPr>
          <w:sz w:val="20"/>
          <w:szCs w:val="20"/>
          <w:color w:val="auto"/>
        </w:rPr>
      </w:pPr>
    </w:p>
    <w:p>
      <w:pPr>
        <w:ind w:left="380"/>
        <w:spacing w:after="0"/>
        <w:tabs>
          <w:tab w:leader="none" w:pos="8800" w:val="left"/>
        </w:tabs>
        <w:rPr>
          <w:sz w:val="20"/>
          <w:szCs w:val="20"/>
          <w:color w:val="auto"/>
        </w:rPr>
      </w:pPr>
      <w:r>
        <w:rPr>
          <w:rFonts w:ascii="Times New Roman" w:cs="Times New Roman" w:eastAsia="Times New Roman" w:hAnsi="Times New Roman"/>
          <w:sz w:val="20"/>
          <w:szCs w:val="20"/>
          <w:color w:val="auto"/>
        </w:rPr>
        <w:t>Information Regarding Committees of the Board of Directors . . . . . . . . . . . . . . . . . . . . . . . .</w:t>
        <w:tab/>
        <w:t>13</w:t>
      </w:r>
    </w:p>
    <w:p>
      <w:pPr>
        <w:spacing w:after="0" w:line="69" w:lineRule="exact"/>
        <w:rPr>
          <w:sz w:val="20"/>
          <w:szCs w:val="20"/>
          <w:color w:val="auto"/>
        </w:rPr>
      </w:pPr>
    </w:p>
    <w:p>
      <w:pPr>
        <w:ind w:left="580"/>
        <w:spacing w:after="0"/>
        <w:tabs>
          <w:tab w:leader="none" w:pos="8800" w:val="left"/>
        </w:tabs>
        <w:rPr>
          <w:sz w:val="20"/>
          <w:szCs w:val="20"/>
          <w:color w:val="auto"/>
        </w:rPr>
      </w:pPr>
      <w:r>
        <w:rPr>
          <w:rFonts w:ascii="Times New Roman" w:cs="Times New Roman" w:eastAsia="Times New Roman" w:hAnsi="Times New Roman"/>
          <w:sz w:val="20"/>
          <w:szCs w:val="20"/>
          <w:color w:val="auto"/>
        </w:rPr>
        <w:t>Audit Committee . . . . . . . . . . . . . . . . . . . . . . . . . . . . . . . . . . . . . . . . . . . . . . . . . . . . . .</w:t>
        <w:tab/>
        <w:t>14</w:t>
      </w:r>
    </w:p>
    <w:p>
      <w:pPr>
        <w:spacing w:after="0" w:line="69" w:lineRule="exact"/>
        <w:rPr>
          <w:sz w:val="20"/>
          <w:szCs w:val="20"/>
          <w:color w:val="auto"/>
        </w:rPr>
      </w:pPr>
    </w:p>
    <w:p>
      <w:pPr>
        <w:ind w:left="580"/>
        <w:spacing w:after="0"/>
        <w:tabs>
          <w:tab w:leader="none" w:pos="8800" w:val="left"/>
        </w:tabs>
        <w:rPr>
          <w:sz w:val="20"/>
          <w:szCs w:val="20"/>
          <w:color w:val="auto"/>
        </w:rPr>
      </w:pPr>
      <w:r>
        <w:rPr>
          <w:rFonts w:ascii="Times New Roman" w:cs="Times New Roman" w:eastAsia="Times New Roman" w:hAnsi="Times New Roman"/>
          <w:sz w:val="20"/>
          <w:szCs w:val="20"/>
          <w:color w:val="auto"/>
        </w:rPr>
        <w:t>Report of the Audit Committee of the Board . . . . . . . . . . . . . . . . . . . . . . . . . . . . . . . . . .</w:t>
        <w:tab/>
        <w:t>15</w:t>
      </w:r>
    </w:p>
    <w:p>
      <w:pPr>
        <w:spacing w:after="0" w:line="69" w:lineRule="exact"/>
        <w:rPr>
          <w:sz w:val="20"/>
          <w:szCs w:val="20"/>
          <w:color w:val="auto"/>
        </w:rPr>
      </w:pPr>
    </w:p>
    <w:p>
      <w:pPr>
        <w:ind w:left="580"/>
        <w:spacing w:after="0"/>
        <w:tabs>
          <w:tab w:leader="none" w:pos="8800" w:val="left"/>
        </w:tabs>
        <w:rPr>
          <w:sz w:val="20"/>
          <w:szCs w:val="20"/>
          <w:color w:val="auto"/>
        </w:rPr>
      </w:pPr>
      <w:r>
        <w:rPr>
          <w:rFonts w:ascii="Times New Roman" w:cs="Times New Roman" w:eastAsia="Times New Roman" w:hAnsi="Times New Roman"/>
          <w:sz w:val="20"/>
          <w:szCs w:val="20"/>
          <w:color w:val="auto"/>
        </w:rPr>
        <w:t>Compensation Committee  . . . . . . . . . . . . . . . . . . . . . . . . . . . . . . . . . . . . . . . . . . . . . . .</w:t>
        <w:tab/>
        <w:t>15</w:t>
      </w:r>
    </w:p>
    <w:p>
      <w:pPr>
        <w:spacing w:after="0" w:line="69" w:lineRule="exact"/>
        <w:rPr>
          <w:sz w:val="20"/>
          <w:szCs w:val="20"/>
          <w:color w:val="auto"/>
        </w:rPr>
      </w:pPr>
    </w:p>
    <w:p>
      <w:pPr>
        <w:ind w:left="580"/>
        <w:spacing w:after="0"/>
        <w:tabs>
          <w:tab w:leader="none" w:pos="8800" w:val="left"/>
        </w:tabs>
        <w:rPr>
          <w:sz w:val="20"/>
          <w:szCs w:val="20"/>
          <w:color w:val="auto"/>
        </w:rPr>
      </w:pPr>
      <w:r>
        <w:rPr>
          <w:rFonts w:ascii="Times New Roman" w:cs="Times New Roman" w:eastAsia="Times New Roman" w:hAnsi="Times New Roman"/>
          <w:sz w:val="20"/>
          <w:szCs w:val="20"/>
          <w:color w:val="auto"/>
        </w:rPr>
        <w:t>Compensation Committee Responsibilities . . . . . . . . . . . . . . . . . . . . . . . . . . . . . . . . . . . .</w:t>
        <w:tab/>
        <w:t>16</w:t>
      </w:r>
    </w:p>
    <w:p>
      <w:pPr>
        <w:spacing w:after="0" w:line="69" w:lineRule="exact"/>
        <w:rPr>
          <w:sz w:val="20"/>
          <w:szCs w:val="20"/>
          <w:color w:val="auto"/>
        </w:rPr>
      </w:pPr>
    </w:p>
    <w:p>
      <w:pPr>
        <w:ind w:left="580"/>
        <w:spacing w:after="0"/>
        <w:tabs>
          <w:tab w:leader="none" w:pos="8800" w:val="left"/>
        </w:tabs>
        <w:rPr>
          <w:sz w:val="20"/>
          <w:szCs w:val="20"/>
          <w:color w:val="auto"/>
        </w:rPr>
      </w:pPr>
      <w:r>
        <w:rPr>
          <w:rFonts w:ascii="Times New Roman" w:cs="Times New Roman" w:eastAsia="Times New Roman" w:hAnsi="Times New Roman"/>
          <w:sz w:val="20"/>
          <w:szCs w:val="20"/>
          <w:color w:val="auto"/>
        </w:rPr>
        <w:t>Compensation Committee Processes and Procedures . . . . . . . . . . . . . . . . . . . . . . . . . . . . .</w:t>
        <w:tab/>
        <w:t>16</w:t>
      </w:r>
    </w:p>
    <w:p>
      <w:pPr>
        <w:spacing w:after="0" w:line="69" w:lineRule="exact"/>
        <w:rPr>
          <w:sz w:val="20"/>
          <w:szCs w:val="20"/>
          <w:color w:val="auto"/>
        </w:rPr>
      </w:pPr>
    </w:p>
    <w:p>
      <w:pPr>
        <w:ind w:left="580"/>
        <w:spacing w:after="0"/>
        <w:tabs>
          <w:tab w:leader="none" w:pos="8800" w:val="left"/>
        </w:tabs>
        <w:rPr>
          <w:sz w:val="20"/>
          <w:szCs w:val="20"/>
          <w:color w:val="auto"/>
        </w:rPr>
      </w:pPr>
      <w:r>
        <w:rPr>
          <w:rFonts w:ascii="Times New Roman" w:cs="Times New Roman" w:eastAsia="Times New Roman" w:hAnsi="Times New Roman"/>
          <w:sz w:val="20"/>
          <w:szCs w:val="20"/>
          <w:color w:val="auto"/>
        </w:rPr>
        <w:t>Delegation Authority . . . . . . . . . . . . . . . . . . . . . . . . . . . . . . . . . . . . . . . . . . . . . . . . . . .</w:t>
        <w:tab/>
        <w:t>17</w:t>
      </w:r>
    </w:p>
    <w:p>
      <w:pPr>
        <w:spacing w:after="0" w:line="69" w:lineRule="exact"/>
        <w:rPr>
          <w:sz w:val="20"/>
          <w:szCs w:val="20"/>
          <w:color w:val="auto"/>
        </w:rPr>
      </w:pPr>
    </w:p>
    <w:p>
      <w:pPr>
        <w:ind w:left="580"/>
        <w:spacing w:after="0"/>
        <w:tabs>
          <w:tab w:leader="none" w:pos="8800" w:val="left"/>
        </w:tabs>
        <w:rPr>
          <w:sz w:val="20"/>
          <w:szCs w:val="20"/>
          <w:color w:val="auto"/>
        </w:rPr>
      </w:pPr>
      <w:r>
        <w:rPr>
          <w:rFonts w:ascii="Times New Roman" w:cs="Times New Roman" w:eastAsia="Times New Roman" w:hAnsi="Times New Roman"/>
          <w:sz w:val="20"/>
          <w:szCs w:val="20"/>
          <w:color w:val="auto"/>
        </w:rPr>
        <w:t>Compensation Committee Interlocks and Insider Participation . . . . . . . . . . . . . . . . . . . . . .</w:t>
        <w:tab/>
        <w:t>17</w:t>
      </w:r>
    </w:p>
    <w:p>
      <w:pPr>
        <w:spacing w:after="0" w:line="69" w:lineRule="exact"/>
        <w:rPr>
          <w:sz w:val="20"/>
          <w:szCs w:val="20"/>
          <w:color w:val="auto"/>
        </w:rPr>
      </w:pPr>
    </w:p>
    <w:p>
      <w:pPr>
        <w:ind w:left="580"/>
        <w:spacing w:after="0"/>
        <w:tabs>
          <w:tab w:leader="none" w:pos="8800" w:val="left"/>
        </w:tabs>
        <w:rPr>
          <w:sz w:val="20"/>
          <w:szCs w:val="20"/>
          <w:color w:val="auto"/>
        </w:rPr>
      </w:pPr>
      <w:r>
        <w:rPr>
          <w:rFonts w:ascii="Times New Roman" w:cs="Times New Roman" w:eastAsia="Times New Roman" w:hAnsi="Times New Roman"/>
          <w:sz w:val="20"/>
          <w:szCs w:val="20"/>
          <w:color w:val="auto"/>
        </w:rPr>
        <w:t>Nominating and Corporate Governance Committee  . . . . . . . . . . . . . . . . . . . . . . . . . . . . .</w:t>
        <w:tab/>
        <w:t>18</w:t>
      </w:r>
    </w:p>
    <w:p>
      <w:pPr>
        <w:spacing w:after="0" w:line="69" w:lineRule="exact"/>
        <w:rPr>
          <w:sz w:val="20"/>
          <w:szCs w:val="20"/>
          <w:color w:val="auto"/>
        </w:rPr>
      </w:pPr>
    </w:p>
    <w:p>
      <w:pPr>
        <w:ind w:left="580"/>
        <w:spacing w:after="0"/>
        <w:tabs>
          <w:tab w:leader="none" w:pos="8800" w:val="left"/>
        </w:tabs>
        <w:rPr>
          <w:sz w:val="20"/>
          <w:szCs w:val="20"/>
          <w:color w:val="auto"/>
        </w:rPr>
      </w:pPr>
      <w:r>
        <w:rPr>
          <w:rFonts w:ascii="Times New Roman" w:cs="Times New Roman" w:eastAsia="Times New Roman" w:hAnsi="Times New Roman"/>
          <w:sz w:val="20"/>
          <w:szCs w:val="20"/>
          <w:color w:val="auto"/>
        </w:rPr>
        <w:t>Research &amp; Development Committee . . . . . . . . . . . . . . . . . . . . . . . . . . . . . . . . . . . . . . . .</w:t>
        <w:tab/>
        <w:t>18</w:t>
      </w:r>
    </w:p>
    <w:p>
      <w:pPr>
        <w:spacing w:after="0" w:line="69" w:lineRule="exact"/>
        <w:rPr>
          <w:sz w:val="20"/>
          <w:szCs w:val="20"/>
          <w:color w:val="auto"/>
        </w:rPr>
      </w:pPr>
    </w:p>
    <w:p>
      <w:pPr>
        <w:ind w:left="580"/>
        <w:spacing w:after="0"/>
        <w:tabs>
          <w:tab w:leader="none" w:pos="8800" w:val="left"/>
        </w:tabs>
        <w:rPr>
          <w:sz w:val="20"/>
          <w:szCs w:val="20"/>
          <w:color w:val="auto"/>
        </w:rPr>
      </w:pPr>
      <w:r>
        <w:rPr>
          <w:rFonts w:ascii="Times New Roman" w:cs="Times New Roman" w:eastAsia="Times New Roman" w:hAnsi="Times New Roman"/>
          <w:sz w:val="20"/>
          <w:szCs w:val="20"/>
          <w:color w:val="auto"/>
        </w:rPr>
        <w:t>Committee Charters and Corporate Governance Guidelines . . . . . . . . . . . . . . . . . . . . . . . .</w:t>
        <w:tab/>
        <w:t>18</w:t>
      </w:r>
    </w:p>
    <w:p>
      <w:pPr>
        <w:spacing w:after="0" w:line="69" w:lineRule="exact"/>
        <w:rPr>
          <w:sz w:val="20"/>
          <w:szCs w:val="20"/>
          <w:color w:val="auto"/>
        </w:rPr>
      </w:pPr>
    </w:p>
    <w:p>
      <w:pPr>
        <w:ind w:left="580"/>
        <w:spacing w:after="0"/>
        <w:tabs>
          <w:tab w:leader="none" w:pos="8800" w:val="left"/>
        </w:tabs>
        <w:rPr>
          <w:sz w:val="20"/>
          <w:szCs w:val="20"/>
          <w:color w:val="auto"/>
        </w:rPr>
      </w:pPr>
      <w:r>
        <w:rPr>
          <w:rFonts w:ascii="Times New Roman" w:cs="Times New Roman" w:eastAsia="Times New Roman" w:hAnsi="Times New Roman"/>
          <w:sz w:val="20"/>
          <w:szCs w:val="20"/>
          <w:color w:val="auto"/>
        </w:rPr>
        <w:t>Executive Sessions . . . . . . . . . . . . . . . . . . . . . . . . . . . . . . . . . . . . . . . . . . . . . . . . . . . . .</w:t>
        <w:tab/>
        <w:t>18</w:t>
      </w:r>
    </w:p>
    <w:p>
      <w:pPr>
        <w:spacing w:after="0" w:line="69" w:lineRule="exact"/>
        <w:rPr>
          <w:sz w:val="20"/>
          <w:szCs w:val="20"/>
          <w:color w:val="auto"/>
        </w:rPr>
      </w:pPr>
    </w:p>
    <w:p>
      <w:pPr>
        <w:ind w:left="380"/>
        <w:spacing w:after="0"/>
        <w:tabs>
          <w:tab w:leader="none" w:pos="8800" w:val="left"/>
        </w:tabs>
        <w:rPr>
          <w:sz w:val="20"/>
          <w:szCs w:val="20"/>
          <w:color w:val="auto"/>
        </w:rPr>
      </w:pPr>
      <w:r>
        <w:rPr>
          <w:rFonts w:ascii="Times New Roman" w:cs="Times New Roman" w:eastAsia="Times New Roman" w:hAnsi="Times New Roman"/>
          <w:sz w:val="20"/>
          <w:szCs w:val="20"/>
          <w:color w:val="auto"/>
        </w:rPr>
        <w:t>Board’s Oversight of Strategy . . . . . . . . . . . . . . . . . . . . . . . . . . . . . . . . . . . . . . . . . . . . . . .</w:t>
        <w:tab/>
        <w:t>18</w:t>
      </w:r>
    </w:p>
    <w:p>
      <w:pPr>
        <w:spacing w:after="0" w:line="69" w:lineRule="exact"/>
        <w:rPr>
          <w:sz w:val="20"/>
          <w:szCs w:val="20"/>
          <w:color w:val="auto"/>
        </w:rPr>
      </w:pPr>
    </w:p>
    <w:p>
      <w:pPr>
        <w:ind w:left="580"/>
        <w:spacing w:after="0"/>
        <w:tabs>
          <w:tab w:leader="none" w:pos="8800" w:val="left"/>
        </w:tabs>
        <w:rPr>
          <w:sz w:val="20"/>
          <w:szCs w:val="20"/>
          <w:color w:val="auto"/>
        </w:rPr>
      </w:pPr>
      <w:r>
        <w:rPr>
          <w:rFonts w:ascii="Times New Roman" w:cs="Times New Roman" w:eastAsia="Times New Roman" w:hAnsi="Times New Roman"/>
          <w:sz w:val="20"/>
          <w:szCs w:val="20"/>
          <w:color w:val="auto"/>
        </w:rPr>
        <w:t>Cybersecurity and Data Privacy Oversight . . . . . . . . . . . . . . . . . . . . . . . . . . . . . . . . . . . .</w:t>
        <w:tab/>
        <w:t>19</w:t>
      </w:r>
    </w:p>
    <w:p>
      <w:pPr>
        <w:spacing w:after="0" w:line="69" w:lineRule="exact"/>
        <w:rPr>
          <w:sz w:val="20"/>
          <w:szCs w:val="20"/>
          <w:color w:val="auto"/>
        </w:rPr>
      </w:pPr>
    </w:p>
    <w:p>
      <w:pPr>
        <w:ind w:left="580"/>
        <w:spacing w:after="0"/>
        <w:tabs>
          <w:tab w:leader="none" w:pos="8800" w:val="left"/>
        </w:tabs>
        <w:rPr>
          <w:sz w:val="20"/>
          <w:szCs w:val="20"/>
          <w:color w:val="auto"/>
        </w:rPr>
      </w:pPr>
      <w:r>
        <w:rPr>
          <w:rFonts w:ascii="Times New Roman" w:cs="Times New Roman" w:eastAsia="Times New Roman" w:hAnsi="Times New Roman"/>
          <w:sz w:val="20"/>
          <w:szCs w:val="20"/>
          <w:color w:val="auto"/>
        </w:rPr>
        <w:t>Management and Board ESG Oversight . . . . . . . . . . . . . . . . . . . . . . . . . . . . . . . . . . . . . .</w:t>
        <w:tab/>
        <w:t>19</w:t>
      </w:r>
    </w:p>
    <w:p>
      <w:pPr>
        <w:spacing w:after="0" w:line="69" w:lineRule="exact"/>
        <w:rPr>
          <w:sz w:val="20"/>
          <w:szCs w:val="20"/>
          <w:color w:val="auto"/>
        </w:rPr>
      </w:pPr>
    </w:p>
    <w:p>
      <w:pPr>
        <w:ind w:left="380"/>
        <w:spacing w:after="0"/>
        <w:tabs>
          <w:tab w:leader="none" w:pos="8800" w:val="left"/>
        </w:tabs>
        <w:rPr>
          <w:sz w:val="20"/>
          <w:szCs w:val="20"/>
          <w:color w:val="auto"/>
        </w:rPr>
      </w:pPr>
      <w:r>
        <w:rPr>
          <w:rFonts w:ascii="Times New Roman" w:cs="Times New Roman" w:eastAsia="Times New Roman" w:hAnsi="Times New Roman"/>
          <w:sz w:val="20"/>
          <w:szCs w:val="20"/>
          <w:color w:val="auto"/>
        </w:rPr>
        <w:t>Securityholder Communications with the Board . . . . . . . . . . . . . . . . . . . . . . . . . . . . . . . . . .</w:t>
        <w:tab/>
        <w:t>19</w:t>
      </w:r>
    </w:p>
    <w:p>
      <w:pPr>
        <w:spacing w:after="0" w:line="69" w:lineRule="exact"/>
        <w:rPr>
          <w:sz w:val="20"/>
          <w:szCs w:val="20"/>
          <w:color w:val="auto"/>
        </w:rPr>
      </w:pPr>
    </w:p>
    <w:p>
      <w:pPr>
        <w:ind w:left="380"/>
        <w:spacing w:after="0"/>
        <w:tabs>
          <w:tab w:leader="none" w:pos="8800" w:val="left"/>
        </w:tabs>
        <w:rPr>
          <w:sz w:val="20"/>
          <w:szCs w:val="20"/>
          <w:color w:val="auto"/>
        </w:rPr>
      </w:pPr>
      <w:r>
        <w:rPr>
          <w:rFonts w:ascii="Times New Roman" w:cs="Times New Roman" w:eastAsia="Times New Roman" w:hAnsi="Times New Roman"/>
          <w:sz w:val="20"/>
          <w:szCs w:val="20"/>
          <w:color w:val="auto"/>
        </w:rPr>
        <w:t>Code of Business Conduct and Ethics . . . . . . . . . . . . . . . . . . . . . . . . . . . . . . . . . . . . . . . . .</w:t>
        <w:tab/>
        <w:t>19</w:t>
      </w:r>
    </w:p>
    <w:p>
      <w:pPr>
        <w:spacing w:after="0" w:line="69" w:lineRule="exact"/>
        <w:rPr>
          <w:sz w:val="20"/>
          <w:szCs w:val="20"/>
          <w:color w:val="auto"/>
        </w:rPr>
      </w:pPr>
    </w:p>
    <w:p>
      <w:pPr>
        <w:ind w:left="380"/>
        <w:spacing w:after="0"/>
        <w:tabs>
          <w:tab w:leader="none" w:pos="8800" w:val="left"/>
        </w:tabs>
        <w:rPr>
          <w:sz w:val="20"/>
          <w:szCs w:val="20"/>
          <w:color w:val="auto"/>
        </w:rPr>
      </w:pPr>
      <w:r>
        <w:rPr>
          <w:rFonts w:ascii="Times New Roman" w:cs="Times New Roman" w:eastAsia="Times New Roman" w:hAnsi="Times New Roman"/>
          <w:sz w:val="20"/>
          <w:szCs w:val="20"/>
          <w:color w:val="auto"/>
        </w:rPr>
        <w:t>Hedging and Pledging Policy . . . . . . . . . . . . . . . . . . . . . . . . . . . . . . . . . . . . . . . . . . . . . . .</w:t>
        <w:tab/>
        <w:t>20</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PROPOSAL 2: RATIFICATION OF APPOINTMENT OF INDEPENDENT REGISTERED</w:t>
      </w:r>
    </w:p>
    <w:p>
      <w:pPr>
        <w:spacing w:after="0" w:line="33"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PUBLIC ACCOUNTING FIRM . . . . . . . . . . . . . . . . . . . . . . . . . . . . . . . . . . . . . . . . . . . . .</w:t>
        <w:tab/>
        <w:t>21</w:t>
      </w:r>
    </w:p>
    <w:p>
      <w:pPr>
        <w:spacing w:after="0" w:line="46"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Principal Accountant Fees and Services  . . . . . . . . . . . . . . . . . . . . . . . . . . . . . . . . . . . . . . . . .</w:t>
        <w:tab/>
        <w:t>22</w:t>
      </w:r>
    </w:p>
    <w:p>
      <w:pPr>
        <w:spacing w:after="0" w:line="69"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Pre-Approval Policies and Procedures . . . . . . . . . . . . . . . . . . . . . . . . . . . . . . . . . . . . . . . . . . .</w:t>
        <w:tab/>
        <w:t>22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AUTHORIZED FOR ISSUANCE UNDER EQUITY COMPENSATION</w:t>
      </w:r>
    </w:p>
    <w:p>
      <w:pPr>
        <w:spacing w:after="0" w:line="33" w:lineRule="exact"/>
        <w:rPr>
          <w:sz w:val="20"/>
          <w:szCs w:val="20"/>
          <w:color w:val="auto"/>
        </w:rPr>
      </w:pPr>
    </w:p>
    <w:p>
      <w:pPr>
        <w:ind w:left="180"/>
        <w:spacing w:after="0"/>
        <w:tabs>
          <w:tab w:leader="none" w:pos="1020" w:val="left"/>
          <w:tab w:leader="none" w:pos="8800" w:val="left"/>
        </w:tabs>
        <w:rPr>
          <w:sz w:val="20"/>
          <w:szCs w:val="20"/>
          <w:color w:val="auto"/>
        </w:rPr>
      </w:pPr>
      <w:r>
        <w:rPr>
          <w:rFonts w:ascii="Times New Roman" w:cs="Times New Roman" w:eastAsia="Times New Roman" w:hAnsi="Times New Roman"/>
          <w:sz w:val="20"/>
          <w:szCs w:val="20"/>
          <w:color w:val="auto"/>
        </w:rPr>
        <w:t>PLANS</w:t>
        <w:tab/>
        <w:t>. . . . . . . . . . . . . . . . . . . . . . . . . . . . . . . . . . . . . . . . . . . . . . . . . . . . . . . . . . . . . . .</w:t>
        <w:tab/>
        <w:t>23</w:t>
      </w:r>
    </w:p>
    <w:p>
      <w:pPr>
        <w:spacing w:after="0" w:line="46"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Equity Compensation Plan Information . . . . . . . . . . . . . . . . . . . . . . . . . . . . . . . . . . . . . . . . .</w:t>
        <w:tab/>
        <w:t>23</w:t>
      </w:r>
    </w:p>
    <w:p>
      <w:pPr>
        <w:spacing w:after="0" w:line="69" w:lineRule="exact"/>
        <w:rPr>
          <w:sz w:val="20"/>
          <w:szCs w:val="20"/>
          <w:color w:val="auto"/>
        </w:rPr>
      </w:pPr>
    </w:p>
    <w:p>
      <w:pPr>
        <w:spacing w:after="0"/>
        <w:tabs>
          <w:tab w:leader="none" w:pos="8800" w:val="left"/>
        </w:tabs>
        <w:rPr>
          <w:sz w:val="20"/>
          <w:szCs w:val="20"/>
          <w:color w:val="auto"/>
        </w:rPr>
      </w:pPr>
      <w:r>
        <w:rPr>
          <w:rFonts w:ascii="Times New Roman" w:cs="Times New Roman" w:eastAsia="Times New Roman" w:hAnsi="Times New Roman"/>
          <w:sz w:val="20"/>
          <w:szCs w:val="20"/>
          <w:color w:val="auto"/>
        </w:rPr>
        <w:t>EXECUTIVE OFFICERS . . . . . . . . . . . . . . . . . . . . . . . . . . . . . . . . . . . . . . . . . . . . . . . . . . . .</w:t>
        <w:tab/>
        <w:t>23</w:t>
      </w:r>
    </w:p>
    <w:p>
      <w:pPr>
        <w:spacing w:after="0" w:line="69" w:lineRule="exact"/>
        <w:rPr>
          <w:sz w:val="20"/>
          <w:szCs w:val="20"/>
          <w:color w:val="auto"/>
        </w:rPr>
      </w:pPr>
    </w:p>
    <w:p>
      <w:pPr>
        <w:spacing w:after="0"/>
        <w:tabs>
          <w:tab w:leader="none" w:pos="8800" w:val="left"/>
        </w:tabs>
        <w:rPr>
          <w:sz w:val="20"/>
          <w:szCs w:val="20"/>
          <w:color w:val="auto"/>
        </w:rPr>
      </w:pPr>
      <w:r>
        <w:rPr>
          <w:rFonts w:ascii="Times New Roman" w:cs="Times New Roman" w:eastAsia="Times New Roman" w:hAnsi="Times New Roman"/>
          <w:sz w:val="20"/>
          <w:szCs w:val="20"/>
          <w:color w:val="auto"/>
        </w:rPr>
        <w:t>EXECUTIVE COMPENSATION  . . . . . . . . . . . . . . . . . . . . . . . . . . . . . . . . . . . . . . . . . . . . . .</w:t>
        <w:tab/>
        <w:t>24</w:t>
      </w:r>
    </w:p>
    <w:p>
      <w:pPr>
        <w:spacing w:after="0" w:line="69"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Fiscal Year 2023 Summary Compensation Table  . . . . . . . . . . . . . . . . . . . . . . . . . . . . . . . . . . .</w:t>
        <w:tab/>
        <w:t>25</w:t>
      </w:r>
    </w:p>
    <w:p>
      <w:pPr>
        <w:spacing w:after="0" w:line="69" w:lineRule="exact"/>
        <w:rPr>
          <w:sz w:val="20"/>
          <w:szCs w:val="20"/>
          <w:color w:val="auto"/>
        </w:rPr>
      </w:pPr>
    </w:p>
    <w:p>
      <w:pPr>
        <w:ind w:left="180"/>
        <w:spacing w:after="0"/>
        <w:tabs>
          <w:tab w:leader="none" w:pos="1980" w:val="left"/>
          <w:tab w:leader="none" w:pos="8800" w:val="left"/>
        </w:tabs>
        <w:rPr>
          <w:sz w:val="20"/>
          <w:szCs w:val="20"/>
          <w:color w:val="auto"/>
        </w:rPr>
      </w:pPr>
      <w:r>
        <w:rPr>
          <w:rFonts w:ascii="Times New Roman" w:cs="Times New Roman" w:eastAsia="Times New Roman" w:hAnsi="Times New Roman"/>
          <w:sz w:val="20"/>
          <w:szCs w:val="20"/>
          <w:color w:val="auto"/>
        </w:rPr>
        <w:t>Annual Base Salary</w:t>
        <w:tab/>
        <w:t>. . . . . . . . . . . . . . . . . . . . . . . . . . . . . . . . . . . . . . . . . . . . . . . . . . . . . . .</w:t>
        <w:tab/>
        <w:t>25</w:t>
      </w:r>
    </w:p>
    <w:p>
      <w:pPr>
        <w:spacing w:after="0" w:line="69"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Non-Equity Incentive Plan Compensation  . . . . . . . . . . . . . . . . . . . . . . . . . . . . . . . . . . . . . . .</w:t>
        <w:tab/>
        <w:t>25</w:t>
      </w:r>
    </w:p>
    <w:p>
      <w:pPr>
        <w:sectPr>
          <w:pgSz w:w="11880" w:h="15480" w:orient="portrait"/>
          <w:cols w:equalWidth="0" w:num="1">
            <w:col w:w="9100"/>
          </w:cols>
          <w:pgMar w:left="1400" w:top="1023" w:right="1380" w:bottom="139"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ectPr>
          <w:pgSz w:w="11880" w:h="15480" w:orient="portrait"/>
          <w:cols w:equalWidth="0" w:num="1">
            <w:col w:w="9100"/>
          </w:cols>
          <w:pgMar w:left="1400" w:top="1023" w:right="1380" w:bottom="139" w:gutter="0" w:footer="0" w:header="0"/>
          <w:type w:val="continuous"/>
        </w:sectPr>
      </w:pPr>
    </w:p>
    <w:bookmarkStart w:id="225" w:name="page226"/>
    <w:bookmarkEnd w:id="225"/>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5560695</wp:posOffset>
                </wp:positionH>
                <wp:positionV relativeFrom="paragraph">
                  <wp:posOffset>33020</wp:posOffset>
                </wp:positionV>
                <wp:extent cx="21145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45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85pt,2.6pt" to="454.5pt,2.6pt" o:allowincell="f" strokecolor="#000000" strokeweight="0.499pt"/>
            </w:pict>
          </mc:Fallback>
        </mc:AlternateContent>
      </w:r>
    </w:p>
    <w:p>
      <w:pPr>
        <w:spacing w:after="0" w:line="69"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Equity-Based Incentive Awards . . . . . . . . . . . . . . . . . . . . . . . . . . . . . . . . . . . . . . . . . . . . . . .</w:t>
        <w:tab/>
        <w:t>26</w:t>
      </w:r>
    </w:p>
    <w:p>
      <w:pPr>
        <w:spacing w:after="0" w:line="69"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Outstanding Equity Awards at Fiscal Year End . . . . . . . . . . . . . . . . . . . . . . . . . . . . . . . . . . . .</w:t>
        <w:tab/>
        <w:t>26</w:t>
      </w:r>
    </w:p>
    <w:p>
      <w:pPr>
        <w:spacing w:after="0" w:line="69"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Emerging Growth Company Status  . . . . . . . . . . . . . . . . . . . . . . . . . . . . . . . . . . . . . . . . . . . .</w:t>
        <w:tab/>
        <w:t>27</w:t>
      </w:r>
    </w:p>
    <w:p>
      <w:pPr>
        <w:spacing w:after="0" w:line="69"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Nonqualified Deferred Compensation  . . . . . . . . . . . . . . . . . . . . . . . . . . . . . . . . . . . . . . . . . .</w:t>
        <w:tab/>
        <w:t>28</w:t>
      </w:r>
    </w:p>
    <w:p>
      <w:pPr>
        <w:spacing w:after="0" w:line="69"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Employment Arrangements with our Named Executive Officers  . . . . . . . . . . . . . . . . . . . . . . . .</w:t>
        <w:tab/>
        <w:t>28</w:t>
      </w:r>
    </w:p>
    <w:p>
      <w:pPr>
        <w:spacing w:after="0" w:line="69" w:lineRule="exact"/>
        <w:rPr>
          <w:sz w:val="20"/>
          <w:szCs w:val="20"/>
          <w:color w:val="auto"/>
        </w:rPr>
      </w:pPr>
    </w:p>
    <w:p>
      <w:pPr>
        <w:ind w:left="180"/>
        <w:spacing w:after="0"/>
        <w:tabs>
          <w:tab w:leader="none" w:pos="5460" w:val="left"/>
          <w:tab w:leader="none" w:pos="8800" w:val="left"/>
        </w:tabs>
        <w:rPr>
          <w:sz w:val="20"/>
          <w:szCs w:val="20"/>
          <w:color w:val="auto"/>
        </w:rPr>
      </w:pPr>
      <w:r>
        <w:rPr>
          <w:rFonts w:ascii="Times New Roman" w:cs="Times New Roman" w:eastAsia="Times New Roman" w:hAnsi="Times New Roman"/>
          <w:sz w:val="20"/>
          <w:szCs w:val="20"/>
          <w:color w:val="auto"/>
        </w:rPr>
        <w:t>Potential Payments Upon Termination or Change in Control</w:t>
        <w:tab/>
        <w:t>. . . . . . . . . . . . . . . . . . . . . . . . . .</w:t>
        <w:tab/>
        <w:t>29</w:t>
      </w:r>
    </w:p>
    <w:p>
      <w:pPr>
        <w:spacing w:after="0" w:line="69"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Other Compensation and Benefits . . . . . . . . . . . . . . . . . . . . . . . . . . . . . . . . . . . . . . . . . . . . .</w:t>
        <w:tab/>
        <w:t>30</w:t>
      </w:r>
    </w:p>
    <w:p>
      <w:pPr>
        <w:spacing w:after="0" w:line="69"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Clawback Policy . . . . . . . . . . . . . . . . . . . . . . . . . . . . . . . . . . . . . . . . . . . . . . . . . . . . . . . . . .</w:t>
        <w:tab/>
        <w:t>30</w:t>
      </w:r>
    </w:p>
    <w:p>
      <w:pPr>
        <w:spacing w:after="0" w:line="69" w:lineRule="exact"/>
        <w:rPr>
          <w:sz w:val="20"/>
          <w:szCs w:val="20"/>
          <w:color w:val="auto"/>
        </w:rPr>
      </w:pPr>
    </w:p>
    <w:p>
      <w:pPr>
        <w:spacing w:after="0"/>
        <w:tabs>
          <w:tab w:leader="none" w:pos="4740" w:val="left"/>
          <w:tab w:leader="none" w:pos="8800" w:val="left"/>
        </w:tabs>
        <w:rPr>
          <w:sz w:val="20"/>
          <w:szCs w:val="20"/>
          <w:color w:val="auto"/>
        </w:rPr>
      </w:pPr>
      <w:r>
        <w:rPr>
          <w:rFonts w:ascii="Times New Roman" w:cs="Times New Roman" w:eastAsia="Times New Roman" w:hAnsi="Times New Roman"/>
          <w:sz w:val="20"/>
          <w:szCs w:val="20"/>
          <w:color w:val="auto"/>
        </w:rPr>
        <w:t>NON-EMPLOYEE DIRECTOR COMPENSATION</w:t>
        <w:tab/>
        <w:t>. . . . . . . . . . . . . . . . . . . . . . . . . . . . . . . .</w:t>
        <w:tab/>
        <w:t>31</w:t>
      </w:r>
    </w:p>
    <w:p>
      <w:pPr>
        <w:spacing w:after="0" w:line="69"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Non-Employee Director Compensation Policy . . . . . . . . . . . . . . . . . . . . . . . . . . . . . . . . . . . . .</w:t>
        <w:tab/>
        <w:t>31</w:t>
      </w:r>
    </w:p>
    <w:p>
      <w:pPr>
        <w:spacing w:after="0" w:line="69" w:lineRule="exact"/>
        <w:rPr>
          <w:sz w:val="20"/>
          <w:szCs w:val="20"/>
          <w:color w:val="auto"/>
        </w:rPr>
      </w:pPr>
    </w:p>
    <w:p>
      <w:pPr>
        <w:spacing w:after="0"/>
        <w:tabs>
          <w:tab w:leader="none" w:pos="8800" w:val="left"/>
        </w:tabs>
        <w:rPr>
          <w:sz w:val="20"/>
          <w:szCs w:val="20"/>
          <w:color w:val="auto"/>
        </w:rPr>
      </w:pPr>
      <w:r>
        <w:rPr>
          <w:rFonts w:ascii="Times New Roman" w:cs="Times New Roman" w:eastAsia="Times New Roman" w:hAnsi="Times New Roman"/>
          <w:sz w:val="20"/>
          <w:szCs w:val="20"/>
          <w:color w:val="auto"/>
        </w:rPr>
        <w:t>SECURITY OWNERSHIP OF CERTAIN BENEFICIAL OWNERS AND MANAGEMENT . . .</w:t>
        <w:tab/>
        <w:t>33</w:t>
      </w:r>
    </w:p>
    <w:p>
      <w:pPr>
        <w:spacing w:after="0" w:line="69" w:lineRule="exact"/>
        <w:rPr>
          <w:sz w:val="20"/>
          <w:szCs w:val="20"/>
          <w:color w:val="auto"/>
        </w:rPr>
      </w:pPr>
    </w:p>
    <w:p>
      <w:pPr>
        <w:spacing w:after="0"/>
        <w:tabs>
          <w:tab w:leader="none" w:pos="8800" w:val="left"/>
        </w:tabs>
        <w:rPr>
          <w:sz w:val="20"/>
          <w:szCs w:val="20"/>
          <w:color w:val="auto"/>
        </w:rPr>
      </w:pPr>
      <w:r>
        <w:rPr>
          <w:rFonts w:ascii="Times New Roman" w:cs="Times New Roman" w:eastAsia="Times New Roman" w:hAnsi="Times New Roman"/>
          <w:sz w:val="20"/>
          <w:szCs w:val="20"/>
          <w:color w:val="auto"/>
        </w:rPr>
        <w:t>CERTAIN RELATIONSHIPS AND RELATED PERSON TRANSACTIONS . . . . . . . . . . . . . .</w:t>
        <w:tab/>
        <w:t>34</w:t>
      </w:r>
    </w:p>
    <w:p>
      <w:pPr>
        <w:spacing w:after="0" w:line="69"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Policies and Procedures for Related Person Transactions . . . . . . . . . . . . . . . . . . . . . . . . . . . . . .</w:t>
        <w:tab/>
        <w:t>34</w:t>
      </w:r>
    </w:p>
    <w:p>
      <w:pPr>
        <w:spacing w:after="0" w:line="69" w:lineRule="exact"/>
        <w:rPr>
          <w:sz w:val="20"/>
          <w:szCs w:val="20"/>
          <w:color w:val="auto"/>
        </w:rPr>
      </w:pPr>
    </w:p>
    <w:p>
      <w:pPr>
        <w:ind w:left="180"/>
        <w:spacing w:after="0"/>
        <w:tabs>
          <w:tab w:leader="none" w:pos="3420" w:val="left"/>
          <w:tab w:leader="none" w:pos="8800" w:val="left"/>
        </w:tabs>
        <w:rPr>
          <w:sz w:val="20"/>
          <w:szCs w:val="20"/>
          <w:color w:val="auto"/>
        </w:rPr>
      </w:pPr>
      <w:r>
        <w:rPr>
          <w:rFonts w:ascii="Times New Roman" w:cs="Times New Roman" w:eastAsia="Times New Roman" w:hAnsi="Times New Roman"/>
          <w:sz w:val="20"/>
          <w:szCs w:val="20"/>
          <w:color w:val="auto"/>
        </w:rPr>
        <w:t>Certain Related Person Transactions</w:t>
        <w:tab/>
        <w:t>. . . . . . . . . . . . . . . . . . . . . . . . . . . . . . . . . . . . . . . . . . .</w:t>
        <w:tab/>
        <w:t>34</w:t>
      </w:r>
    </w:p>
    <w:p>
      <w:pPr>
        <w:spacing w:after="0" w:line="69" w:lineRule="exact"/>
        <w:rPr>
          <w:sz w:val="20"/>
          <w:szCs w:val="20"/>
          <w:color w:val="auto"/>
        </w:rPr>
      </w:pPr>
    </w:p>
    <w:p>
      <w:pPr>
        <w:spacing w:after="0"/>
        <w:tabs>
          <w:tab w:leader="none" w:pos="4740" w:val="left"/>
          <w:tab w:leader="none" w:pos="8800" w:val="left"/>
        </w:tabs>
        <w:rPr>
          <w:sz w:val="20"/>
          <w:szCs w:val="20"/>
          <w:color w:val="auto"/>
        </w:rPr>
      </w:pPr>
      <w:r>
        <w:rPr>
          <w:rFonts w:ascii="Times New Roman" w:cs="Times New Roman" w:eastAsia="Times New Roman" w:hAnsi="Times New Roman"/>
          <w:sz w:val="20"/>
          <w:szCs w:val="20"/>
          <w:color w:val="auto"/>
        </w:rPr>
        <w:t>OTHER INFORMATION FOR SHAREHOLDERS</w:t>
        <w:tab/>
        <w:t>. . . . . . . . . . . . . . . . . . . . . . . . . . . . . . . .</w:t>
        <w:tab/>
        <w:t>38</w:t>
      </w:r>
    </w:p>
    <w:p>
      <w:pPr>
        <w:spacing w:after="0" w:line="69"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Shareholder Proposals for the 2025 Annual General Meeting of Shareholders . . . . . . . . . . . . . . .</w:t>
        <w:tab/>
        <w:t>38</w:t>
      </w:r>
    </w:p>
    <w:p>
      <w:pPr>
        <w:spacing w:after="0" w:line="69"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Householding of Proxy Materials . . . . . . . . . . . . . . . . . . . . . . . . . . . . . . . . . . . . . . . . . . . . . .</w:t>
        <w:tab/>
        <w:t>38</w:t>
      </w:r>
    </w:p>
    <w:p>
      <w:pPr>
        <w:spacing w:after="0" w:line="69" w:lineRule="exact"/>
        <w:rPr>
          <w:sz w:val="20"/>
          <w:szCs w:val="20"/>
          <w:color w:val="auto"/>
        </w:rPr>
      </w:pPr>
    </w:p>
    <w:p>
      <w:pPr>
        <w:ind w:left="180"/>
        <w:spacing w:after="0"/>
        <w:tabs>
          <w:tab w:leader="none" w:pos="8800" w:val="left"/>
        </w:tabs>
        <w:rPr>
          <w:sz w:val="20"/>
          <w:szCs w:val="20"/>
          <w:color w:val="auto"/>
        </w:rPr>
      </w:pPr>
      <w:r>
        <w:rPr>
          <w:rFonts w:ascii="Times New Roman" w:cs="Times New Roman" w:eastAsia="Times New Roman" w:hAnsi="Times New Roman"/>
          <w:sz w:val="20"/>
          <w:szCs w:val="20"/>
          <w:color w:val="auto"/>
        </w:rPr>
        <w:t>Additional Filings  . . . . . . . . . . . . . . . . . . . . . . . . . . . . . . . . . . . . . . . . . . . . . . . . . . . . . . . .</w:t>
        <w:tab/>
        <w:t>39</w:t>
      </w:r>
    </w:p>
    <w:p>
      <w:pPr>
        <w:spacing w:after="0" w:line="69" w:lineRule="exact"/>
        <w:rPr>
          <w:sz w:val="20"/>
          <w:szCs w:val="20"/>
          <w:color w:val="auto"/>
        </w:rPr>
      </w:pPr>
    </w:p>
    <w:p>
      <w:pPr>
        <w:spacing w:after="0"/>
        <w:tabs>
          <w:tab w:leader="none" w:pos="8800" w:val="left"/>
        </w:tabs>
        <w:rPr>
          <w:sz w:val="20"/>
          <w:szCs w:val="20"/>
          <w:color w:val="auto"/>
        </w:rPr>
      </w:pPr>
      <w:r>
        <w:rPr>
          <w:rFonts w:ascii="Times New Roman" w:cs="Times New Roman" w:eastAsia="Times New Roman" w:hAnsi="Times New Roman"/>
          <w:sz w:val="20"/>
          <w:szCs w:val="20"/>
          <w:color w:val="auto"/>
        </w:rPr>
        <w:t>OTHER MATTERS . . . . . . . . . . . . . . . . . . . . . . . . . . . . . . . . . . . . . . . . . . . . . . . . . . . . . . . .</w:t>
        <w:tab/>
        <w:t>39</w:t>
      </w:r>
    </w:p>
    <w:p>
      <w:pPr>
        <w:sectPr>
          <w:pgSz w:w="11880" w:h="15480" w:orient="portrait"/>
          <w:cols w:equalWidth="0" w:num="1">
            <w:col w:w="9100"/>
          </w:cols>
          <w:pgMar w:left="1400" w:top="1022"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w:t>
      </w:r>
    </w:p>
    <w:p>
      <w:pPr>
        <w:sectPr>
          <w:pgSz w:w="11880" w:h="15480" w:orient="portrait"/>
          <w:cols w:equalWidth="0" w:num="1">
            <w:col w:w="9100"/>
          </w:cols>
          <w:pgMar w:left="1400" w:top="1022" w:right="1380" w:bottom="70" w:gutter="0" w:footer="0" w:header="0"/>
          <w:type w:val="continuous"/>
        </w:sectPr>
      </w:pPr>
    </w:p>
    <w:bookmarkStart w:id="226" w:name="page227"/>
    <w:bookmarkEnd w:id="226"/>
    <w:p>
      <w:pPr>
        <w:jc w:val="center"/>
        <w:spacing w:after="0"/>
        <w:rPr>
          <w:sz w:val="20"/>
          <w:szCs w:val="20"/>
          <w:color w:val="auto"/>
        </w:rPr>
      </w:pPr>
      <w:r>
        <w:rPr>
          <w:rFonts w:ascii="Times New Roman" w:cs="Times New Roman" w:eastAsia="Times New Roman" w:hAnsi="Times New Roman"/>
          <w:sz w:val="20"/>
          <w:szCs w:val="20"/>
          <w:b w:val="1"/>
          <w:bCs w:val="1"/>
          <w:color w:val="auto"/>
        </w:rPr>
        <w:t>QUESTIONS AND ANSWERS ABOUT THESE PROXY MATERIALS AND VOTING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Why am I receiving these materials?</w:t>
      </w:r>
    </w:p>
    <w:p>
      <w:pPr>
        <w:spacing w:after="0" w:line="171"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20"/>
          <w:szCs w:val="20"/>
          <w:color w:val="auto"/>
        </w:rPr>
        <w:t>We have sent you these proxy materials because the Board of Directors (the “Board”) of Structure Therapeutics Inc. (sometimes referred to as the “Company”) is soliciting your proxy to vote at the 2024 annual general meeting of shareholders (the “Annual General Meeting”), including at any adjournments or postponements of the meeting. You are invited to attend the Annual General Meeting online to vote on the proposals described in this Proxy Statement. However, you do not need to attend the meeting to vote your shares. Instead, you may simply complete, sign and return the enclosed proxy card, or follow the instructions below to submit your proxy over the phone or through the internet.</w:t>
      </w:r>
    </w:p>
    <w:p>
      <w:pPr>
        <w:spacing w:after="0" w:line="11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20"/>
          <w:szCs w:val="20"/>
          <w:color w:val="auto"/>
        </w:rPr>
        <w:t>We intend to first mail these proxy materials on or about April 25, 2024 to all holders of ordinary shares, par value $0.0001 per share (the “Ordinary Shares”), and American Depositary Shares, each representing three Ordinary Shares (“ADSs”) of record entitled to vote at the Annual General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 I attend the Annual General Meeting?</w:t>
      </w:r>
    </w:p>
    <w:p>
      <w:pPr>
        <w:spacing w:after="0" w:line="171"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20"/>
          <w:szCs w:val="20"/>
          <w:color w:val="auto"/>
        </w:rPr>
        <w:t>This year’s Annual General Meeting will be a virtual meeting, which will be conducted entirely online via audio webcast to allow greater participation. You may attend, vote and ask questions at the Annual General Meeting by following the instructions provided on the proxy card or voting instruction form to log in to www.virtualshareholdermeeting.com/GPCR2024. If you are a holder of Ordinary Shares or ADSs of record as of the close of business on April 19, 2024 (the “Record Date”), you will be asked to provide the 16-digit Control Number from your proxy card. If you are a beneficial owner of ADSs registered in the name of your broker, bank or other agent, follow the instructions from your broker or bank.</w:t>
      </w:r>
    </w:p>
    <w:p>
      <w:pPr>
        <w:spacing w:after="0" w:line="11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20"/>
          <w:szCs w:val="20"/>
          <w:color w:val="auto"/>
        </w:rPr>
        <w:t>The audio webcast of the Annual General Meeting will begin promptly at 9:00 a.m. Pacific Time. We encourage you to access the meeting prior to the start time. Online check-in will begin at 8:45 a.m. Pacific Time, and you should allow reasonable time for the check-in procedures.</w:t>
      </w:r>
    </w:p>
    <w:p>
      <w:pPr>
        <w:spacing w:after="0" w:line="100" w:lineRule="exact"/>
        <w:rPr>
          <w:sz w:val="20"/>
          <w:szCs w:val="20"/>
          <w:color w:val="auto"/>
        </w:rPr>
      </w:pPr>
    </w:p>
    <w:p>
      <w:pPr>
        <w:jc w:val="both"/>
        <w:ind w:firstLine="399"/>
        <w:spacing w:after="0" w:line="245" w:lineRule="auto"/>
        <w:rPr>
          <w:sz w:val="20"/>
          <w:szCs w:val="20"/>
          <w:color w:val="auto"/>
        </w:rPr>
      </w:pPr>
      <w:r>
        <w:rPr>
          <w:rFonts w:ascii="Times New Roman" w:cs="Times New Roman" w:eastAsia="Times New Roman" w:hAnsi="Times New Roman"/>
          <w:sz w:val="20"/>
          <w:szCs w:val="20"/>
          <w:color w:val="auto"/>
        </w:rPr>
        <w:t>You are entitled to attend the Annual General Meeting if you were a holder of Ordinary Shares or ADSs as of the Record Date, or hold a valid proxy for the meeting. To be admitted to the Annual General Meeting, you will need to visit www.virtualshareholdermeeting.com/GPCR2024 and enter the 16-digit Control Number found next to the label “Control Number” on your proxy card or voting instruction form, or in the email sending you the Proxy Statement. If you are a beneficial owner of ADSs, you should contact the bank, broker or other institution where you hold your account well in advance of the meeting if you have questions about obtaining your Control Number/proxy to vote.</w:t>
      </w:r>
    </w:p>
    <w:p>
      <w:pPr>
        <w:spacing w:after="0" w:line="11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20"/>
          <w:szCs w:val="20"/>
          <w:color w:val="auto"/>
        </w:rPr>
        <w:t>Holders of ADSs will not be entitled to vote the Ordinary Shares underlying their ADSs at the Annual General Meeting. See “How do I vote?” below for more information as to how holders of ADSs can vote at the Annual General Meeting.</w:t>
      </w:r>
    </w:p>
    <w:p>
      <w:pPr>
        <w:spacing w:after="0" w:line="100" w:lineRule="exact"/>
        <w:rPr>
          <w:sz w:val="20"/>
          <w:szCs w:val="20"/>
          <w:color w:val="auto"/>
        </w:rPr>
      </w:pPr>
    </w:p>
    <w:p>
      <w:pPr>
        <w:jc w:val="both"/>
        <w:ind w:firstLine="399"/>
        <w:spacing w:after="0" w:line="273" w:lineRule="auto"/>
        <w:rPr>
          <w:sz w:val="20"/>
          <w:szCs w:val="20"/>
          <w:color w:val="auto"/>
        </w:rPr>
      </w:pPr>
      <w:r>
        <w:rPr>
          <w:rFonts w:ascii="Times New Roman" w:cs="Times New Roman" w:eastAsia="Times New Roman" w:hAnsi="Times New Roman"/>
          <w:sz w:val="20"/>
          <w:szCs w:val="20"/>
          <w:color w:val="auto"/>
        </w:rPr>
        <w:t>Whether or not you participate in the Annual General Meeting, it is important that you vote your Ordinary Shares, including those underlying your ADSs.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if I cannot find my Control Number?</w:t>
      </w:r>
    </w:p>
    <w:p>
      <w:pPr>
        <w:spacing w:after="0" w:line="171"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20"/>
          <w:szCs w:val="20"/>
          <w:color w:val="auto"/>
        </w:rPr>
        <w:t>Please note that if you do not have your Control Number and you are a registered holder of Ordinary Shares or ADSs, you will be able to login as a guest. To view the meeting webcast visit www.virtualshareholdermeeting.com/GPCR2024 and register as a guest. If you login as a guest, you will not be able to vote your shares or ask questions during the meeting.</w:t>
      </w:r>
    </w:p>
    <w:p>
      <w:pPr>
        <w:spacing w:after="0" w:line="108"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20"/>
          <w:szCs w:val="20"/>
          <w:color w:val="auto"/>
        </w:rPr>
        <w:t>If you are a beneficial owner of ADSs (that is, you hold your ADSs in an account at a bank, broker or other holder of record), you will need to contact that bank, broker or other holder of record to obtain your Control Number prior to the Annual General Meeting.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Where can we get technical assistance if we are having trouble accessing the meeting or during the meeting?</w:t>
      </w:r>
    </w:p>
    <w:p>
      <w:pPr>
        <w:spacing w:after="0" w:line="183"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20"/>
          <w:szCs w:val="20"/>
          <w:color w:val="auto"/>
        </w:rPr>
        <w:t>If you have difficulty accessing the meeting or during the meeting, please refer to the technical support telephone number posted on the virtual meeting website login page, where technicians will be available to help you.</w:t>
      </w:r>
    </w:p>
    <w:p>
      <w:pPr>
        <w:sectPr>
          <w:pgSz w:w="11880" w:h="15480" w:orient="portrait"/>
          <w:cols w:equalWidth="0" w:num="1">
            <w:col w:w="9100"/>
          </w:cols>
          <w:pgMar w:left="1400" w:top="1023" w:right="1380" w:bottom="71"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9100"/>
          </w:cols>
          <w:pgMar w:left="1400" w:top="1023" w:right="1380" w:bottom="71" w:gutter="0" w:footer="0" w:header="0"/>
          <w:type w:val="continuous"/>
        </w:sectPr>
      </w:pPr>
    </w:p>
    <w:bookmarkStart w:id="227" w:name="page228"/>
    <w:bookmarkEnd w:id="227"/>
    <w:p>
      <w:pPr>
        <w:spacing w:after="0"/>
        <w:rPr>
          <w:sz w:val="20"/>
          <w:szCs w:val="20"/>
          <w:color w:val="auto"/>
        </w:rPr>
      </w:pPr>
      <w:r>
        <w:rPr>
          <w:rFonts w:ascii="Times New Roman" w:cs="Times New Roman" w:eastAsia="Times New Roman" w:hAnsi="Times New Roman"/>
          <w:sz w:val="20"/>
          <w:szCs w:val="20"/>
          <w:b w:val="1"/>
          <w:bCs w:val="1"/>
          <w:color w:val="auto"/>
        </w:rPr>
        <w:t>For the Annual General Meeting, how do we ask questions of management and the Board?</w:t>
      </w:r>
    </w:p>
    <w:p>
      <w:pPr>
        <w:spacing w:after="0" w:line="171"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20"/>
          <w:szCs w:val="20"/>
          <w:color w:val="auto"/>
        </w:rPr>
        <w:t>We plan to spend up to 15 minutes answering appropriate shareholder questions at the conclusion of the Annual General Meeting and will include as many shareholder questions that comply with the rules of conduct for the Annual General Meeting as the allotted time permits. If we receive substantially similar questions, we will group such questions together and provide a single response to avoid repetition. Questions that are not relevant to the proposals to be voted on at the Annual General Meeting will not be responded to. Questions may be submitted during the Annual General Meeting through www.virtualshareholdermeeting.com/ GPCR2024</w:t>
      </w:r>
      <w:r>
        <w:rPr>
          <w:rFonts w:ascii="Times New Roman" w:cs="Times New Roman" w:eastAsia="Times New Roman" w:hAnsi="Times New Roman"/>
          <w:sz w:val="20"/>
          <w:szCs w:val="20"/>
          <w:i w:val="1"/>
          <w:iCs w:val="1"/>
          <w:color w:val="auto"/>
        </w:rPr>
        <w: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can vote at the Annual General Meeting?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Ordinary Shareholders</w:t>
      </w:r>
    </w:p>
    <w:p>
      <w:pPr>
        <w:spacing w:after="0" w:line="168"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20"/>
          <w:szCs w:val="20"/>
          <w:color w:val="auto"/>
        </w:rPr>
        <w:t>Holders of record of Ordinary Shares at 2:00 p.m. Pacific Time (5:00 p.m. Eastern Time) on the Record Date will be eligible to vote at the Annual General Meeting. In deciding all matters at the Annual General Meeting, each shareholder will be entitled to one vote for each of our Ordinary Shares held by them on the Record Date. We do not have cumulative voting rights for the election of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ADS Holders</w:t>
      </w:r>
    </w:p>
    <w:p>
      <w:pPr>
        <w:spacing w:after="0" w:line="124" w:lineRule="exact"/>
        <w:rPr>
          <w:sz w:val="20"/>
          <w:szCs w:val="20"/>
          <w:color w:val="auto"/>
        </w:rPr>
      </w:pPr>
    </w:p>
    <w:p>
      <w:pPr>
        <w:jc w:val="both"/>
        <w:ind w:left="580" w:hanging="191"/>
        <w:spacing w:after="0" w:line="248" w:lineRule="auto"/>
        <w:tabs>
          <w:tab w:leader="none" w:pos="5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Registered Holders. </w:t>
      </w:r>
      <w:r>
        <w:rPr>
          <w:rFonts w:ascii="Times New Roman" w:cs="Times New Roman" w:eastAsia="Times New Roman" w:hAnsi="Times New Roman"/>
          <w:sz w:val="20"/>
          <w:szCs w:val="20"/>
          <w:color w:val="auto"/>
        </w:rPr>
        <w:t>If you are a registered holder of the ADSs on the books of J.P. Morgan Chase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Bank, N.A. (the “Depositary”) on the Record Date, then at or prior to 6:00 a.m. Pacific Time (9:00 a.m. Eastern Time) on June 20, 2024, you may provide instructions to the Depositary as to how to vote the Ordinary Shares underlying your ADSs on the proposals set forth in this Proxy Statement. The Depositary will provide you with a voting instruction card if you hold ADSs in your own name on the Depositary’s share register. Registered holders of ADSs must complete, sign, and return their voting instruction form to be actually received by the Depositary on or prior to 6:00 a.m. Pacific Time (9:00 a.m. Eastern Time) on June 20, 2024. You also may exercise the right to vote the Ordinary Shares underlying your ADSs by surrendering your ADRs and withdrawing the Ordinary Shares represented by your ADSs pursuant to the terms described in the deposit agreement, prior to the Record Date. However, it is possible that you may not have sufficient time to withdraw your Ordinary Shares and vote them at the upcoming Annual General Meeting as a holder of record of Ordinary Shares. Holders of ADSs may be required to pay certain applicable fees, charges and taxes associated with the surrender and withdrawal process.</w:t>
      </w:r>
    </w:p>
    <w:p>
      <w:pPr>
        <w:spacing w:after="0" w:line="307" w:lineRule="exact"/>
        <w:rPr>
          <w:rFonts w:ascii="Times New Roman" w:cs="Times New Roman" w:eastAsia="Times New Roman" w:hAnsi="Times New Roman"/>
          <w:sz w:val="20"/>
          <w:szCs w:val="20"/>
          <w:color w:val="auto"/>
        </w:rPr>
      </w:pPr>
    </w:p>
    <w:p>
      <w:pPr>
        <w:jc w:val="both"/>
        <w:ind w:left="580" w:hanging="191"/>
        <w:spacing w:after="0" w:line="252" w:lineRule="auto"/>
        <w:tabs>
          <w:tab w:leader="none" w:pos="5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Beneficial Holders. </w:t>
      </w:r>
      <w:r>
        <w:rPr>
          <w:rFonts w:ascii="Times New Roman" w:cs="Times New Roman" w:eastAsia="Times New Roman" w:hAnsi="Times New Roman"/>
          <w:sz w:val="20"/>
          <w:szCs w:val="20"/>
          <w:color w:val="auto"/>
        </w:rPr>
        <w:t>If you hold your ADSs through a bank, broker, custodian or other nominee/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agent on the Record Date, you are considered the beneficial owner of those ADSs held in “street name,” and it is anticipated that such bank, broker, custodian or nominee/agent will forward this Proxy Statement along with your voting instruction forms to you. If you are a beneficial holder of our ADSs, you should follow the instructions that your broker, bank, or other nominee provides to vote the Ordinary Shares underlying your ADSs.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am I voting on?</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There are two matters scheduled for a vote:</w:t>
      </w:r>
    </w:p>
    <w:p>
      <w:pPr>
        <w:spacing w:after="0" w:line="125" w:lineRule="exact"/>
        <w:rPr>
          <w:sz w:val="20"/>
          <w:szCs w:val="20"/>
          <w:color w:val="auto"/>
        </w:rPr>
      </w:pPr>
    </w:p>
    <w:p>
      <w:pPr>
        <w:jc w:val="both"/>
        <w:ind w:left="580" w:hanging="191"/>
        <w:spacing w:after="0" w:line="262" w:lineRule="auto"/>
        <w:tabs>
          <w:tab w:leader="none" w:pos="5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elect the Board’s nominee for Class I director named as a nominee in this Proxy Statement to serve until the 2027 annual general meeting of shareholders and until her successor is duly elected and qualified, or until her earlier death, resignation or removal (Proposal 1); and</w:t>
      </w:r>
    </w:p>
    <w:p>
      <w:pPr>
        <w:spacing w:after="0" w:line="53" w:lineRule="exact"/>
        <w:rPr>
          <w:rFonts w:ascii="Times New Roman" w:cs="Times New Roman" w:eastAsia="Times New Roman" w:hAnsi="Times New Roman"/>
          <w:sz w:val="20"/>
          <w:szCs w:val="20"/>
          <w:color w:val="auto"/>
        </w:rPr>
      </w:pPr>
    </w:p>
    <w:p>
      <w:pPr>
        <w:jc w:val="both"/>
        <w:ind w:left="580" w:hanging="191"/>
        <w:spacing w:after="0" w:line="262" w:lineRule="auto"/>
        <w:tabs>
          <w:tab w:leader="none" w:pos="5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ratify the appointment by the Audit Committee of the Board (the “Audit Committee”) of Ernst &amp; Young LLP as the Company’s independent registered public accounting firm for the fiscal year ending December 31, 2024 (Proposal 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if another matter is properly brought before the meeting?</w:t>
      </w:r>
    </w:p>
    <w:p>
      <w:pPr>
        <w:spacing w:after="0" w:line="171" w:lineRule="exact"/>
        <w:rPr>
          <w:sz w:val="20"/>
          <w:szCs w:val="20"/>
          <w:color w:val="auto"/>
        </w:rPr>
      </w:pPr>
    </w:p>
    <w:p>
      <w:pPr>
        <w:jc w:val="both"/>
        <w:ind w:firstLine="399"/>
        <w:spacing w:after="0" w:line="262" w:lineRule="auto"/>
        <w:rPr>
          <w:sz w:val="20"/>
          <w:szCs w:val="20"/>
          <w:color w:val="auto"/>
        </w:rPr>
      </w:pPr>
      <w:r>
        <w:rPr>
          <w:rFonts w:ascii="Times New Roman" w:cs="Times New Roman" w:eastAsia="Times New Roman" w:hAnsi="Times New Roman"/>
          <w:sz w:val="20"/>
          <w:szCs w:val="20"/>
          <w:color w:val="auto"/>
        </w:rPr>
        <w:t>The Board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w:t>
      </w:r>
    </w:p>
    <w:p>
      <w:pPr>
        <w:sectPr>
          <w:pgSz w:w="11880" w:h="15480" w:orient="portrait"/>
          <w:cols w:equalWidth="0" w:num="1">
            <w:col w:w="9100"/>
          </w:cols>
          <w:pgMar w:left="1400" w:top="1023" w:right="1380" w:bottom="70" w:gutter="0" w:footer="0" w:header="0"/>
        </w:sect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9100"/>
          </w:cols>
          <w:pgMar w:left="1400" w:top="1023" w:right="1380" w:bottom="70" w:gutter="0" w:footer="0" w:header="0"/>
          <w:type w:val="continuous"/>
        </w:sectPr>
      </w:pPr>
    </w:p>
    <w:bookmarkStart w:id="228" w:name="page229"/>
    <w:bookmarkEnd w:id="228"/>
    <w:p>
      <w:pPr>
        <w:spacing w:after="0"/>
        <w:rPr>
          <w:sz w:val="20"/>
          <w:szCs w:val="20"/>
          <w:color w:val="auto"/>
        </w:rPr>
      </w:pPr>
      <w:r>
        <w:rPr>
          <w:rFonts w:ascii="Times New Roman" w:cs="Times New Roman" w:eastAsia="Times New Roman" w:hAnsi="Times New Roman"/>
          <w:sz w:val="20"/>
          <w:szCs w:val="20"/>
          <w:b w:val="1"/>
          <w:bCs w:val="1"/>
          <w:color w:val="auto"/>
        </w:rPr>
        <w:t>How do I vote?</w:t>
      </w:r>
    </w:p>
    <w:p>
      <w:pPr>
        <w:spacing w:after="0" w:line="171"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20"/>
          <w:szCs w:val="20"/>
          <w:i w:val="1"/>
          <w:iCs w:val="1"/>
          <w:color w:val="auto"/>
        </w:rPr>
        <w:t>Ordinary Shareholders</w:t>
      </w:r>
      <w:r>
        <w:rPr>
          <w:rFonts w:ascii="Times New Roman" w:cs="Times New Roman" w:eastAsia="Times New Roman" w:hAnsi="Times New Roman"/>
          <w:sz w:val="20"/>
          <w:szCs w:val="20"/>
          <w:color w:val="auto"/>
        </w:rPr>
        <w:t>. Registered shareholders whose names appear on the Company’s Register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Members as of the Record Date have the right to vote online at www.virtualshareholdermeeting.com/ GPCR2024 during the Annual General Meeting, or vote by submitting your proxy card by mail, in each case provided that you are the holder of record of such Ordinary Shares as of the Record Date. Even if you submit your proxy card by mail in advance of the Annual General Meeting, you may still vote at the Annual General Meeting if you attend the Annual General Meeting via our live webcast. If you would like to submit your proxy card by mail and you are a registered holder of our Ordinary Shares, then you should mark the proxy card provided to you, date, sign and return it, in accordance with the instructions.</w:t>
      </w:r>
    </w:p>
    <w:p>
      <w:pPr>
        <w:spacing w:after="0" w:line="130" w:lineRule="exact"/>
        <w:rPr>
          <w:sz w:val="20"/>
          <w:szCs w:val="20"/>
          <w:color w:val="auto"/>
        </w:rPr>
      </w:pPr>
    </w:p>
    <w:p>
      <w:pPr>
        <w:jc w:val="both"/>
        <w:ind w:firstLine="399"/>
        <w:spacing w:after="0" w:line="255" w:lineRule="auto"/>
        <w:rPr>
          <w:sz w:val="20"/>
          <w:szCs w:val="20"/>
          <w:color w:val="auto"/>
        </w:rPr>
      </w:pPr>
      <w:r>
        <w:rPr>
          <w:rFonts w:ascii="Times New Roman" w:cs="Times New Roman" w:eastAsia="Times New Roman" w:hAnsi="Times New Roman"/>
          <w:sz w:val="20"/>
          <w:szCs w:val="20"/>
          <w:i w:val="1"/>
          <w:iCs w:val="1"/>
          <w:color w:val="auto"/>
        </w:rPr>
        <w:t>ADS Holders</w:t>
      </w:r>
      <w:r>
        <w:rPr>
          <w:rFonts w:ascii="Times New Roman" w:cs="Times New Roman" w:eastAsia="Times New Roman" w:hAnsi="Times New Roman"/>
          <w:sz w:val="20"/>
          <w:szCs w:val="20"/>
          <w:color w:val="auto"/>
        </w:rPr>
        <w:t>. As an ADS holder, you will not be entitled to vote online via live webcast during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Annual General Meeting. You may give voting instructions to the Depositary or your broker, bank, or other nominee, as applicable, with respect to the Ordinary Shares underlying your ADSs. If you held ADSs as of the Record Date, you have the right to instruct the Depositary (if you held your ADSs directly) or the right to instruct your broker, bank, or other nominee (if you held your ADSs through such intermediary) how to vote. So long as the Depositary receives your voting instructions on or prior to 6:00 a.m. Pacific Time (9:00 a.m. Eastern Time) on June 20, 2024, it will, to the extent practicable and subject to Cayman Islands law and the terms of the deposit agreement, vote the underlying Ordinary Shares represented by your ADSs as you instruct. If your ADSs are held through a broker, bank, or other nominee, such intermediary will provide you with instructions on how you may give voting instructions with respect to the underlying Ordinary Shares represented by your ADSs. Please check with your broker, bank, or other nominee, as applicable, and carefully follow the voting procedures provided to you.</w:t>
      </w:r>
    </w:p>
    <w:p>
      <w:pPr>
        <w:spacing w:after="0" w:line="13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20"/>
          <w:szCs w:val="20"/>
          <w:color w:val="auto"/>
        </w:rPr>
        <w:t>As an ADS holder, you may also exercise the right to vote the Ordinary Shares underlying your ADSs by surrendering your ADRs for withdrawal of the Ordinary Shares represented by your ADSs pursuant to the terms described in the deposit agreement, prior to the Record Date. Upon surrender of (a) a certificated ADR in a form satisfactory to the Depositary at its designated transfer office or (b) proper instructions and documentation in the case of a Direct Registration ADR (as defined in the deposit agreement), the holder of the ADR is entitled to delivery at or, to the extent in dematerialized form, from, the Depositary’s custodian’s office of the Ordinary Shares at the time represented by the ADSs evidenced by such ADR. At the request, risk and expense of the holder of the ADR, the Depositary may deliver the Ordinary Shares at such other place as may have been requested by the holder of the ADR. The withdrawal of Ordinary Shares may be restricted only for the reasons set forth in General Instruction I.A.(1) of Form F-6 (as such instructions may be amended from time to time) under the Securities Act of 1933, or provisions in the deposit agreement or such ADR. The Depositary may require proper endorsement in blank of such ADR (or duly executed instruments of transfer thereof in blank) and your written order directing the Depositary to cause the Ordinary Shares represented by the ADSs evidenced by such ADR to be withdrawn and delivered to, or upon the written order of, any person designated in such order. If ADSs are held in a brokerage firm, bank or other financial institution, please contact the broker, bank or other financial institution to find out what actions need to be taken to instruct the broker, bank or other financial institution to surrender the ADR for withdrawal of Ordinary Shares. Please be aware that there is no guarantee of timely delivery of registration of the Ordinary Shares underlying your ADSs prior to the Record Date, and it is possible that you may not have sufficient time to withdraw your Ordinary Shares and vote them at the upcoming Annual General Meeting as a holder of record of Ordinary Shares. Holders of ADSs may be required to pay certain applicable fees, charges and taxes associated with the surrender and withdrawal process.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993140</wp:posOffset>
                </wp:positionV>
                <wp:extent cx="577786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78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78.2pt" to="454.5pt,78.2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273685</wp:posOffset>
                </wp:positionV>
                <wp:extent cx="577786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78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21.55pt" to="454.5pt,21.5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5768975</wp:posOffset>
                </wp:positionH>
                <wp:positionV relativeFrom="paragraph">
                  <wp:posOffset>270510</wp:posOffset>
                </wp:positionV>
                <wp:extent cx="0" cy="725805"/>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25805"/>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25pt,21.3pt" to="454.25pt,78.45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270510</wp:posOffset>
                </wp:positionV>
                <wp:extent cx="0" cy="725805"/>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25805"/>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1.3pt" to="-0.1999pt,78.45pt" o:allowincell="f" strokecolor="#000000" strokeweight="0.499pt"/>
            </w:pict>
          </mc:Fallback>
        </mc:AlternateContent>
      </w:r>
    </w:p>
    <w:p>
      <w:pPr>
        <w:spacing w:after="0" w:line="200" w:lineRule="exact"/>
        <w:rPr>
          <w:sz w:val="20"/>
          <w:szCs w:val="20"/>
          <w:color w:val="auto"/>
        </w:rPr>
      </w:pPr>
    </w:p>
    <w:p>
      <w:pPr>
        <w:spacing w:after="0" w:line="286" w:lineRule="exact"/>
        <w:rPr>
          <w:sz w:val="20"/>
          <w:szCs w:val="20"/>
          <w:color w:val="auto"/>
        </w:rPr>
      </w:pPr>
    </w:p>
    <w:p>
      <w:pPr>
        <w:jc w:val="both"/>
        <w:ind w:left="120" w:right="140"/>
        <w:spacing w:after="0" w:line="258" w:lineRule="auto"/>
        <w:rPr>
          <w:sz w:val="20"/>
          <w:szCs w:val="20"/>
          <w:color w:val="auto"/>
        </w:rPr>
      </w:pPr>
      <w:r>
        <w:rPr>
          <w:rFonts w:ascii="Times New Roman" w:cs="Times New Roman" w:eastAsia="Times New Roman" w:hAnsi="Times New Roman"/>
          <w:sz w:val="20"/>
          <w:szCs w:val="20"/>
          <w:b w:val="1"/>
          <w:bCs w:val="1"/>
          <w:color w:val="auto"/>
        </w:rPr>
        <w:t>If you are a holder of Ordinary Shares, internet proxy voting will be provided to allow you to vote your ordinary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many votes do I have?</w:t>
      </w:r>
    </w:p>
    <w:p>
      <w:pPr>
        <w:spacing w:after="0" w:line="171" w:lineRule="exact"/>
        <w:rPr>
          <w:sz w:val="20"/>
          <w:szCs w:val="20"/>
          <w:color w:val="auto"/>
        </w:rPr>
      </w:pPr>
    </w:p>
    <w:p>
      <w:pPr>
        <w:ind w:firstLine="399"/>
        <w:spacing w:after="0" w:line="285" w:lineRule="auto"/>
        <w:rPr>
          <w:sz w:val="20"/>
          <w:szCs w:val="20"/>
          <w:color w:val="auto"/>
        </w:rPr>
      </w:pPr>
      <w:r>
        <w:rPr>
          <w:rFonts w:ascii="Times New Roman" w:cs="Times New Roman" w:eastAsia="Times New Roman" w:hAnsi="Times New Roman"/>
          <w:sz w:val="20"/>
          <w:szCs w:val="20"/>
          <w:color w:val="auto"/>
        </w:rPr>
        <w:t>On each matter to be voted upon, each Ordinary Share that you own as of the Record Date entitles you to one vote. Each ADS that you own as of the Record Date represents three Ordinary Shares.</w:t>
      </w:r>
    </w:p>
    <w:p>
      <w:pPr>
        <w:sectPr>
          <w:pgSz w:w="11880" w:h="15480" w:orient="portrait"/>
          <w:cols w:equalWidth="0" w:num="1">
            <w:col w:w="9100"/>
          </w:cols>
          <w:pgMar w:left="1400" w:top="1023" w:right="1380" w:bottom="70"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9100"/>
          </w:cols>
          <w:pgMar w:left="1400" w:top="1023" w:right="1380" w:bottom="70" w:gutter="0" w:footer="0" w:header="0"/>
          <w:type w:val="continuous"/>
        </w:sectPr>
      </w:pPr>
    </w:p>
    <w:bookmarkStart w:id="229" w:name="page230"/>
    <w:bookmarkEnd w:id="229"/>
    <w:p>
      <w:pPr>
        <w:ind w:right="240"/>
        <w:spacing w:after="0" w:line="277" w:lineRule="auto"/>
        <w:rPr>
          <w:sz w:val="20"/>
          <w:szCs w:val="20"/>
          <w:color w:val="auto"/>
        </w:rPr>
      </w:pPr>
      <w:r>
        <w:rPr>
          <w:rFonts w:ascii="Times New Roman" w:cs="Times New Roman" w:eastAsia="Times New Roman" w:hAnsi="Times New Roman"/>
          <w:sz w:val="20"/>
          <w:szCs w:val="20"/>
          <w:b w:val="1"/>
          <w:bCs w:val="1"/>
          <w:color w:val="auto"/>
        </w:rPr>
        <w:t>If I am a holder of Ordinary Shares of record and I do not vote, or if I return a proxy card or otherwise vote without giving specific voting instructions, what happens?</w:t>
      </w:r>
    </w:p>
    <w:p>
      <w:pPr>
        <w:spacing w:after="0" w:line="112" w:lineRule="exact"/>
        <w:rPr>
          <w:sz w:val="20"/>
          <w:szCs w:val="20"/>
          <w:color w:val="auto"/>
        </w:rPr>
      </w:pPr>
    </w:p>
    <w:p>
      <w:pPr>
        <w:jc w:val="both"/>
        <w:ind w:firstLine="399"/>
        <w:spacing w:after="0" w:line="278" w:lineRule="auto"/>
        <w:rPr>
          <w:sz w:val="20"/>
          <w:szCs w:val="20"/>
          <w:color w:val="auto"/>
        </w:rPr>
      </w:pPr>
      <w:r>
        <w:rPr>
          <w:rFonts w:ascii="Times New Roman" w:cs="Times New Roman" w:eastAsia="Times New Roman" w:hAnsi="Times New Roman"/>
          <w:sz w:val="20"/>
          <w:szCs w:val="20"/>
          <w:color w:val="auto"/>
        </w:rPr>
        <w:t>If you are a holder of Ordinary Shares of record and do not vote by completing your proxy card, by telephone, through the internet or online at the Annual General Meeting, your Ordinary Shares will not be voted.</w:t>
      </w:r>
    </w:p>
    <w:p>
      <w:pPr>
        <w:spacing w:after="0" w:line="351" w:lineRule="exact"/>
        <w:rPr>
          <w:sz w:val="20"/>
          <w:szCs w:val="20"/>
          <w:color w:val="auto"/>
        </w:rPr>
      </w:pPr>
    </w:p>
    <w:p>
      <w:pPr>
        <w:jc w:val="both"/>
        <w:ind w:firstLine="399"/>
        <w:spacing w:after="0" w:line="263" w:lineRule="auto"/>
        <w:rPr>
          <w:sz w:val="20"/>
          <w:szCs w:val="20"/>
          <w:color w:val="auto"/>
        </w:rPr>
      </w:pPr>
      <w:r>
        <w:rPr>
          <w:rFonts w:ascii="Times New Roman" w:cs="Times New Roman" w:eastAsia="Times New Roman" w:hAnsi="Times New Roman"/>
          <w:sz w:val="20"/>
          <w:szCs w:val="20"/>
          <w:color w:val="auto"/>
        </w:rPr>
        <w:t>Abstentions will be counted for the purpose of determining the presence or absence of a quorum, but will not be counted for the purpose of determining the number of votes cast on a given proposal. If you return a signed and dated proxy card or otherwise vote without marking voting selections, your Ordinary Shares will be voted in accordance with the recommendations of the Board set forth above.</w:t>
      </w:r>
    </w:p>
    <w:p>
      <w:pPr>
        <w:spacing w:after="0" w:line="19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color w:val="auto"/>
        </w:rPr>
        <w:t>If I am a record holder or beneficial holder of ADSs and I do not provide the Depositary or my broker, bank or other nominee, as applicable, with voting instructions, what happens?</w:t>
      </w:r>
    </w:p>
    <w:p>
      <w:pPr>
        <w:spacing w:after="0" w:line="1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20"/>
          <w:szCs w:val="20"/>
          <w:color w:val="auto"/>
        </w:rPr>
        <w:t>To the extent that the Depositary does not receive instructions on a particular Proposal from a holder of ADSs (including, without limitation, any broker, bank, or other nominee, as applicable, acting on behalf of a beneficial holder of ADSs) in a timely manner, such holder shall be deemed, and the Depositary is instructed to deem such holder, to have instructed the Depositary to give a discretionary proxy for such Proposal(s) to a person designated by us to vote the Ordinary Shares represented by the ADSs for which actual instructions were not so given by such holder on such agenda item(s), provided that no such instruction shall be deemed given and no discretionary proxy shall be given unless (1) we inform the Depositary in writing (and we agree to provide the Depositary with such instruction promptly in writing) that (a) we wish for such proxy to be given with respect to such Proposal(s), (b) there is no substantial opposition existing with respect to such Proposal(s) and (c) such Proposal(s), if approved, would not materially or adversely affect the rights of holders of our Ordinary Shares and ADSs.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is paying for this proxy solicitation?</w:t>
      </w:r>
    </w:p>
    <w:p>
      <w:pPr>
        <w:spacing w:after="0" w:line="171"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20"/>
          <w:szCs w:val="20"/>
          <w:color w:val="auto"/>
        </w:rPr>
        <w:t>We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does it mean if I receive more than one set of proxy materials?</w:t>
      </w:r>
    </w:p>
    <w:p>
      <w:pPr>
        <w:spacing w:after="0" w:line="171"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20"/>
          <w:szCs w:val="20"/>
          <w:color w:val="auto"/>
        </w:rPr>
        <w:t>If you receive more than one set of proxy materials, your Ordinary Shares or ADSs may be registered in more than one name or in different accounts. Please follow the voting instructions on the proxy card in the proxy materials to ensure that all of your Ordinary Shares or ADSs are voted.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Can I change my vote after submitting my proxy?</w:t>
      </w:r>
    </w:p>
    <w:p>
      <w:pPr>
        <w:spacing w:after="0" w:line="171"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20"/>
          <w:szCs w:val="20"/>
          <w:i w:val="1"/>
          <w:iCs w:val="1"/>
          <w:color w:val="auto"/>
        </w:rPr>
        <w:t>Ordinary Shareholders</w:t>
      </w:r>
      <w:r>
        <w:rPr>
          <w:rFonts w:ascii="Times New Roman" w:cs="Times New Roman" w:eastAsia="Times New Roman" w:hAnsi="Times New Roman"/>
          <w:sz w:val="20"/>
          <w:szCs w:val="20"/>
          <w:color w:val="auto"/>
        </w:rPr>
        <w:t>: If you are the record holder of your Ordinary Shares, you may revoke your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proxy in any one of the following ways:</w:t>
      </w:r>
    </w:p>
    <w:p>
      <w:pPr>
        <w:spacing w:after="0" w:line="56" w:lineRule="exact"/>
        <w:rPr>
          <w:sz w:val="20"/>
          <w:szCs w:val="20"/>
          <w:color w:val="auto"/>
        </w:rPr>
      </w:pPr>
    </w:p>
    <w:p>
      <w:pPr>
        <w:ind w:left="580" w:hanging="191"/>
        <w:spacing w:after="0"/>
        <w:tabs>
          <w:tab w:leader="none" w:pos="5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submit another properly completed proxy card with a later date.</w:t>
      </w:r>
    </w:p>
    <w:p>
      <w:pPr>
        <w:spacing w:after="0" w:line="129"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grant a subsequent proxy through the internet.</w:t>
      </w:r>
    </w:p>
    <w:p>
      <w:pPr>
        <w:spacing w:after="0" w:line="129" w:lineRule="exact"/>
        <w:rPr>
          <w:rFonts w:ascii="Times New Roman" w:cs="Times New Roman" w:eastAsia="Times New Roman" w:hAnsi="Times New Roman"/>
          <w:sz w:val="20"/>
          <w:szCs w:val="20"/>
          <w:color w:val="auto"/>
        </w:rPr>
      </w:pPr>
    </w:p>
    <w:p>
      <w:pPr>
        <w:ind w:left="580" w:hanging="191"/>
        <w:spacing w:after="0" w:line="283" w:lineRule="auto"/>
        <w:tabs>
          <w:tab w:leader="none" w:pos="5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send a timely written notice that you are revoking your proxy to Structure Therapeutics Inc., 601 Gateway Blvd., Suite 900, South San Francisco, California 94080, Attention: Secretary.</w:t>
      </w:r>
    </w:p>
    <w:p>
      <w:pPr>
        <w:spacing w:after="0" w:line="56" w:lineRule="exact"/>
        <w:rPr>
          <w:rFonts w:ascii="Times New Roman" w:cs="Times New Roman" w:eastAsia="Times New Roman" w:hAnsi="Times New Roman"/>
          <w:sz w:val="20"/>
          <w:szCs w:val="20"/>
          <w:color w:val="auto"/>
        </w:rPr>
      </w:pPr>
    </w:p>
    <w:p>
      <w:pPr>
        <w:ind w:left="580" w:hanging="191"/>
        <w:spacing w:after="0" w:line="283" w:lineRule="auto"/>
        <w:tabs>
          <w:tab w:leader="none" w:pos="5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attend the Annual General Meeting and vote electronically. Simply attending the Annual General Meeting will not, by itself, revoke your proxy.</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Your most current proxy card or internet proxy is the one that is counted.</w:t>
      </w:r>
    </w:p>
    <w:p>
      <w:pPr>
        <w:spacing w:after="0" w:line="169" w:lineRule="exact"/>
        <w:rPr>
          <w:sz w:val="20"/>
          <w:szCs w:val="20"/>
          <w:color w:val="auto"/>
        </w:rPr>
      </w:pPr>
    </w:p>
    <w:p>
      <w:pPr>
        <w:ind w:firstLine="399"/>
        <w:spacing w:after="0" w:line="283" w:lineRule="auto"/>
        <w:rPr>
          <w:sz w:val="20"/>
          <w:szCs w:val="20"/>
          <w:color w:val="auto"/>
        </w:rPr>
      </w:pPr>
      <w:r>
        <w:rPr>
          <w:rFonts w:ascii="Times New Roman" w:cs="Times New Roman" w:eastAsia="Times New Roman" w:hAnsi="Times New Roman"/>
          <w:sz w:val="20"/>
          <w:szCs w:val="20"/>
          <w:i w:val="1"/>
          <w:iCs w:val="1"/>
          <w:color w:val="auto"/>
        </w:rPr>
        <w:t>ADS Holders</w:t>
      </w:r>
      <w:r>
        <w:rPr>
          <w:rFonts w:ascii="Times New Roman" w:cs="Times New Roman" w:eastAsia="Times New Roman" w:hAnsi="Times New Roman"/>
          <w:sz w:val="20"/>
          <w:szCs w:val="20"/>
          <w:color w:val="auto"/>
        </w:rPr>
        <w:t>: If you hold ADSs, directly or through a broker, bank or other nominee, you must follow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instructions provided by the Depositary or such broker, bank or other nominee if you wish to change your</w:t>
      </w:r>
    </w:p>
    <w:p>
      <w:pPr>
        <w:sectPr>
          <w:pgSz w:w="11880" w:h="15480" w:orient="portrait"/>
          <w:cols w:equalWidth="0" w:num="1">
            <w:col w:w="9100"/>
          </w:cols>
          <w:pgMar w:left="1400" w:top="1023" w:right="1380" w:bottom="69"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100"/>
          </w:cols>
          <w:pgMar w:left="1400" w:top="1023" w:right="1380" w:bottom="69" w:gutter="0" w:footer="0" w:header="0"/>
          <w:type w:val="continuous"/>
        </w:sectPr>
      </w:pPr>
    </w:p>
    <w:bookmarkStart w:id="230" w:name="page231"/>
    <w:bookmarkEnd w:id="230"/>
    <w:p>
      <w:pPr>
        <w:ind w:left="10"/>
        <w:spacing w:after="0" w:line="273" w:lineRule="auto"/>
        <w:rPr>
          <w:sz w:val="20"/>
          <w:szCs w:val="20"/>
          <w:color w:val="auto"/>
        </w:rPr>
      </w:pPr>
      <w:r>
        <w:rPr>
          <w:rFonts w:ascii="Times New Roman" w:cs="Times New Roman" w:eastAsia="Times New Roman" w:hAnsi="Times New Roman"/>
          <w:sz w:val="20"/>
          <w:szCs w:val="20"/>
          <w:color w:val="auto"/>
        </w:rPr>
        <w:t>vote. The last instructions you submit prior to the deadline indicated by the Depositary or the broker, bank or other nominee, as applicable, will be used to instruct the Depositary how to vote your ADSs.</w:t>
      </w:r>
    </w:p>
    <w:p>
      <w:pPr>
        <w:spacing w:after="0" w:line="16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What vote is required for adoption or approval of each proposal and how will votes be counted?</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Vote</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0"/>
        </w:trPr>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0"/>
              </w:rPr>
              <w:t>Required</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Effect of</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Proposal</w:t>
            </w: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87"/>
              </w:rPr>
              <w:t>for</w:t>
            </w:r>
          </w:p>
        </w:tc>
        <w:tc>
          <w:tcPr>
            <w:tcW w:w="240" w:type="dxa"/>
            <w:vAlign w:val="bottom"/>
          </w:tcPr>
          <w:p>
            <w:pPr>
              <w:spacing w:after="0"/>
              <w:rPr>
                <w:sz w:val="15"/>
                <w:szCs w:val="15"/>
                <w:color w:val="auto"/>
              </w:rPr>
            </w:pPr>
          </w:p>
        </w:tc>
        <w:tc>
          <w:tcPr>
            <w:tcW w:w="90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b w:val="1"/>
                <w:bCs w:val="1"/>
                <w:color w:val="auto"/>
              </w:rPr>
              <w:t>Voting</w:t>
            </w:r>
          </w:p>
        </w:tc>
        <w:tc>
          <w:tcPr>
            <w:tcW w:w="24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Effect of</w:t>
            </w:r>
          </w:p>
        </w:tc>
        <w:tc>
          <w:tcPr>
            <w:tcW w:w="24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4"/>
              </w:rPr>
              <w:t>Broker</w:t>
            </w:r>
          </w:p>
        </w:tc>
        <w:tc>
          <w:tcPr>
            <w:tcW w:w="24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Board</w:t>
            </w:r>
          </w:p>
        </w:tc>
      </w:tr>
      <w:tr>
        <w:trPr>
          <w:trHeight w:val="202"/>
        </w:trPr>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7"/>
                <w:szCs w:val="17"/>
                <w:color w:val="auto"/>
              </w:rPr>
            </w:pPr>
          </w:p>
        </w:tc>
        <w:tc>
          <w:tcPr>
            <w:tcW w:w="17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Proposal Description</w:t>
            </w:r>
          </w:p>
        </w:tc>
        <w:tc>
          <w:tcPr>
            <w:tcW w:w="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Approval</w:t>
            </w:r>
          </w:p>
        </w:tc>
        <w:tc>
          <w:tcPr>
            <w:tcW w:w="240" w:type="dxa"/>
            <w:vAlign w:val="bottom"/>
          </w:tcPr>
          <w:p>
            <w:pPr>
              <w:spacing w:after="0"/>
              <w:rPr>
                <w:sz w:val="17"/>
                <w:szCs w:val="17"/>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Abstentions</w:t>
            </w: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Non-Votes</w:t>
            </w:r>
          </w:p>
        </w:tc>
        <w:tc>
          <w:tcPr>
            <w:tcW w:w="2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Recommendation</w:t>
            </w:r>
          </w:p>
        </w:tc>
      </w:tr>
      <w:tr>
        <w:trPr>
          <w:trHeight w:val="30"/>
        </w:trPr>
        <w:tc>
          <w:tcPr>
            <w:tcW w:w="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2"/>
        </w:trPr>
        <w:tc>
          <w:tcPr>
            <w:tcW w:w="700" w:type="dxa"/>
            <w:vAlign w:val="bottom"/>
          </w:tcPr>
          <w:p>
            <w:pPr>
              <w:jc w:val="right"/>
              <w:ind w:right="538"/>
              <w:spacing w:after="0"/>
              <w:rPr>
                <w:sz w:val="20"/>
                <w:szCs w:val="20"/>
                <w:color w:val="auto"/>
              </w:rPr>
            </w:pPr>
            <w:r>
              <w:rPr>
                <w:rFonts w:ascii="Times New Roman" w:cs="Times New Roman" w:eastAsia="Times New Roman" w:hAnsi="Times New Roman"/>
                <w:sz w:val="17"/>
                <w:szCs w:val="17"/>
                <w:color w:val="auto"/>
                <w:w w:val="70"/>
              </w:rPr>
              <w:t>1</w:t>
            </w: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Election of the Class I</w:t>
            </w: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Majority of the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FOR,</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No Effect</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Not</w:t>
            </w: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FOR the</w:t>
            </w:r>
          </w:p>
        </w:tc>
      </w:tr>
      <w:tr>
        <w:trPr>
          <w:trHeight w:val="204"/>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director named in this</w:t>
            </w: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votes cast by the</w:t>
            </w:r>
          </w:p>
        </w:tc>
        <w:tc>
          <w:tcPr>
            <w:tcW w:w="24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AGAINST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Applicable*</w:t>
            </w: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nominee</w:t>
            </w:r>
          </w:p>
        </w:tc>
      </w:tr>
      <w:tr>
        <w:trPr>
          <w:trHeight w:val="203"/>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Proxy Statement.</w:t>
            </w: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shareholders,</w:t>
            </w:r>
          </w:p>
        </w:tc>
        <w:tc>
          <w:tcPr>
            <w:tcW w:w="24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or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being entitled to</w:t>
            </w:r>
          </w:p>
        </w:tc>
        <w:tc>
          <w:tcPr>
            <w:tcW w:w="24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ABSTAIN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do so, voting</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virtually or by</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4"/>
        </w:trPr>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proxy.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77"/>
        </w:trPr>
        <w:tc>
          <w:tcPr>
            <w:tcW w:w="700" w:type="dxa"/>
            <w:vAlign w:val="bottom"/>
          </w:tcPr>
          <w:p>
            <w:pPr>
              <w:jc w:val="right"/>
              <w:ind w:right="538"/>
              <w:spacing w:after="0"/>
              <w:rPr>
                <w:sz w:val="20"/>
                <w:szCs w:val="20"/>
                <w:color w:val="auto"/>
              </w:rPr>
            </w:pPr>
            <w:r>
              <w:rPr>
                <w:rFonts w:ascii="Times New Roman" w:cs="Times New Roman" w:eastAsia="Times New Roman" w:hAnsi="Times New Roman"/>
                <w:sz w:val="17"/>
                <w:szCs w:val="17"/>
                <w:color w:val="auto"/>
                <w:w w:val="70"/>
              </w:rPr>
              <w:t>2</w:t>
            </w:r>
          </w:p>
        </w:tc>
        <w:tc>
          <w:tcPr>
            <w:tcW w:w="24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Ratification of the</w:t>
            </w: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Majority of the</w:t>
            </w:r>
          </w:p>
        </w:tc>
        <w:tc>
          <w:tcPr>
            <w:tcW w:w="2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FOR,</w:t>
            </w:r>
          </w:p>
        </w:tc>
        <w:tc>
          <w:tcPr>
            <w:tcW w:w="2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No Effect</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Not</w:t>
            </w: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FOR</w:t>
            </w:r>
          </w:p>
        </w:tc>
      </w:tr>
      <w:tr>
        <w:trPr>
          <w:trHeight w:val="204"/>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appointment of Ernst &amp;</w:t>
            </w: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votes cast by the</w:t>
            </w:r>
          </w:p>
        </w:tc>
        <w:tc>
          <w:tcPr>
            <w:tcW w:w="24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AGAINST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Applicable*</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Young LLP as the</w:t>
            </w: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shareholders,</w:t>
            </w:r>
          </w:p>
        </w:tc>
        <w:tc>
          <w:tcPr>
            <w:tcW w:w="24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or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Company’s independent</w:t>
            </w: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being entitled to</w:t>
            </w:r>
          </w:p>
        </w:tc>
        <w:tc>
          <w:tcPr>
            <w:tcW w:w="24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ABSTAIN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registered public</w:t>
            </w: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do so, voting</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accounting firm for the</w:t>
            </w: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virtually or by</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fiscal year ending</w:t>
            </w: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proxy.</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4"/>
        </w:trPr>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121285</wp:posOffset>
                </wp:positionV>
                <wp:extent cx="136842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55pt" to="107.75pt,9.55pt" o:allowincell="f" strokecolor="#000000" strokeweight="0.499pt"/>
            </w:pict>
          </mc:Fallback>
        </mc:AlternateContent>
      </w:r>
    </w:p>
    <w:p>
      <w:pPr>
        <w:spacing w:after="0" w:line="267" w:lineRule="exact"/>
        <w:rPr>
          <w:sz w:val="20"/>
          <w:szCs w:val="20"/>
          <w:color w:val="auto"/>
        </w:rPr>
      </w:pPr>
    </w:p>
    <w:p>
      <w:pPr>
        <w:ind w:left="390" w:hanging="390"/>
        <w:spacing w:after="0" w:line="282" w:lineRule="auto"/>
        <w:tabs>
          <w:tab w:leader="none" w:pos="39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see above under “If I am a record holder or beneficial holder of ADSs and I do not provide the Depositary or my broker, bank or other nominee, as applicable, with voting instructions, what happens?”</w:t>
      </w:r>
    </w:p>
    <w:p>
      <w:pPr>
        <w:spacing w:after="0" w:line="10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Who will count the vote?</w:t>
      </w:r>
    </w:p>
    <w:p>
      <w:pPr>
        <w:spacing w:after="0" w:line="171" w:lineRule="exact"/>
        <w:rPr>
          <w:sz w:val="20"/>
          <w:szCs w:val="20"/>
          <w:color w:val="auto"/>
        </w:rPr>
      </w:pPr>
    </w:p>
    <w:p>
      <w:pPr>
        <w:jc w:val="both"/>
        <w:ind w:left="10" w:firstLine="399"/>
        <w:spacing w:after="0" w:line="273" w:lineRule="auto"/>
        <w:rPr>
          <w:sz w:val="20"/>
          <w:szCs w:val="20"/>
          <w:color w:val="auto"/>
        </w:rPr>
      </w:pPr>
      <w:r>
        <w:rPr>
          <w:rFonts w:ascii="Times New Roman" w:cs="Times New Roman" w:eastAsia="Times New Roman" w:hAnsi="Times New Roman"/>
          <w:sz w:val="20"/>
          <w:szCs w:val="20"/>
          <w:color w:val="auto"/>
        </w:rPr>
        <w:t>Representatives of Broadridge Financial Solutions, Inc. will tabulate the votes and act as inspectors of election.</w:t>
      </w:r>
    </w:p>
    <w:p>
      <w:pPr>
        <w:spacing w:after="0" w:line="16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What is the quorum requirement?</w:t>
      </w:r>
    </w:p>
    <w:p>
      <w:pPr>
        <w:spacing w:after="0" w:line="171" w:lineRule="exact"/>
        <w:rPr>
          <w:sz w:val="20"/>
          <w:szCs w:val="20"/>
          <w:color w:val="auto"/>
        </w:rPr>
      </w:pPr>
    </w:p>
    <w:p>
      <w:pPr>
        <w:jc w:val="both"/>
        <w:ind w:left="10" w:firstLine="399"/>
        <w:spacing w:after="0" w:line="244" w:lineRule="auto"/>
        <w:rPr>
          <w:sz w:val="20"/>
          <w:szCs w:val="20"/>
          <w:color w:val="auto"/>
        </w:rPr>
      </w:pPr>
      <w:r>
        <w:rPr>
          <w:rFonts w:ascii="Times New Roman" w:cs="Times New Roman" w:eastAsia="Times New Roman" w:hAnsi="Times New Roman"/>
          <w:sz w:val="20"/>
          <w:szCs w:val="20"/>
          <w:color w:val="auto"/>
        </w:rPr>
        <w:t>A quorum of shareholders is necessary to hold a valid meeting. Pursuant to our memorandum and articles of association, the quorum required for a general meeting of shareholders consists of one or more shareholders holding not less than an aggregate of one-third of all of our voting share capital in issue who are present virtually or by proxy and entitled to vote. On the Record Date, there were 139,856,287 Ordinary Shares issued and outstanding and entitled to vote. Thus, the holders of 46,618,763 Ordinary Shares must be present virtually or represented by proxy at the Annual General Meeting to have a quorum. Your Ordinary Shares will be counted towards the quorum only if you submit a valid proxy or if you attend electronically at the Annual General Meeting.</w:t>
      </w:r>
    </w:p>
    <w:p>
      <w:pPr>
        <w:spacing w:after="0" w:line="119" w:lineRule="exact"/>
        <w:rPr>
          <w:sz w:val="20"/>
          <w:szCs w:val="20"/>
          <w:color w:val="auto"/>
        </w:rPr>
      </w:pPr>
    </w:p>
    <w:p>
      <w:pPr>
        <w:jc w:val="both"/>
        <w:ind w:left="10" w:firstLine="399"/>
        <w:spacing w:after="0" w:line="256" w:lineRule="auto"/>
        <w:rPr>
          <w:sz w:val="20"/>
          <w:szCs w:val="20"/>
          <w:color w:val="auto"/>
        </w:rPr>
      </w:pPr>
      <w:r>
        <w:rPr>
          <w:rFonts w:ascii="Times New Roman" w:cs="Times New Roman" w:eastAsia="Times New Roman" w:hAnsi="Times New Roman"/>
          <w:sz w:val="20"/>
          <w:szCs w:val="20"/>
          <w:color w:val="auto"/>
        </w:rPr>
        <w:t>Abstentions will be counted towards the quorum requirement. If there is no quorum, the holders of a majority of the Ordinary Shares present at the meeting or represented by proxy may adjourn the meeting to another date.</w:t>
      </w:r>
    </w:p>
    <w:p>
      <w:pPr>
        <w:spacing w:after="0" w:line="1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How can I find out the results of the voting at the Annual General Meeting?</w:t>
      </w:r>
    </w:p>
    <w:p>
      <w:pPr>
        <w:spacing w:after="0" w:line="171" w:lineRule="exact"/>
        <w:rPr>
          <w:sz w:val="20"/>
          <w:szCs w:val="20"/>
          <w:color w:val="auto"/>
        </w:rPr>
      </w:pPr>
    </w:p>
    <w:p>
      <w:pPr>
        <w:jc w:val="both"/>
        <w:ind w:left="10" w:firstLine="399"/>
        <w:spacing w:after="0" w:line="246" w:lineRule="auto"/>
        <w:rPr>
          <w:sz w:val="20"/>
          <w:szCs w:val="20"/>
          <w:color w:val="auto"/>
        </w:rPr>
      </w:pPr>
      <w:r>
        <w:rPr>
          <w:rFonts w:ascii="Times New Roman" w:cs="Times New Roman" w:eastAsia="Times New Roman" w:hAnsi="Times New Roman"/>
          <w:sz w:val="20"/>
          <w:szCs w:val="20"/>
          <w:color w:val="auto"/>
        </w:rPr>
        <w:t>Preliminary voting results will be announced at the Annual General Meeting. In addition, final voting results will be published in a current report on Form 8-K that we expect to file within four business days after the Annual General Meeting. If final voting results are not available to us in time to file a Form 8-K within four business days after the Annual General Meeting, we intend to file a Form 8-K to publish preliminary results and, within four business days after the final results are known to us, file an additional Form 8-K to publish the final results.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What proxy materials are available on the internet?</w:t>
      </w:r>
    </w:p>
    <w:p>
      <w:pPr>
        <w:spacing w:after="0" w:line="171" w:lineRule="exact"/>
        <w:rPr>
          <w:sz w:val="20"/>
          <w:szCs w:val="20"/>
          <w:color w:val="auto"/>
        </w:rPr>
      </w:pPr>
    </w:p>
    <w:p>
      <w:pPr>
        <w:jc w:val="both"/>
        <w:ind w:left="10" w:right="20" w:firstLine="399"/>
        <w:spacing w:after="0" w:line="256" w:lineRule="auto"/>
        <w:rPr>
          <w:sz w:val="20"/>
          <w:szCs w:val="20"/>
          <w:color w:val="auto"/>
        </w:rPr>
      </w:pPr>
      <w:r>
        <w:rPr>
          <w:rFonts w:ascii="Times New Roman" w:cs="Times New Roman" w:eastAsia="Times New Roman" w:hAnsi="Times New Roman"/>
          <w:sz w:val="20"/>
          <w:szCs w:val="20"/>
          <w:color w:val="auto"/>
        </w:rPr>
        <w:t>The Proxy Statement, Form 10-K and annual report to shareholders are available at www.structuretx.com.</w:t>
      </w:r>
    </w:p>
    <w:p>
      <w:pPr>
        <w:sectPr>
          <w:pgSz w:w="11880" w:h="15480" w:orient="portrait"/>
          <w:cols w:equalWidth="0" w:num="1">
            <w:col w:w="9110"/>
          </w:cols>
          <w:pgMar w:left="1390" w:top="1025" w:right="1380" w:bottom="7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110"/>
          </w:cols>
          <w:pgMar w:left="1390" w:top="1025" w:right="1380" w:bottom="70" w:gutter="0" w:footer="0" w:header="0"/>
          <w:type w:val="continuous"/>
        </w:sectPr>
      </w:pPr>
    </w:p>
    <w:bookmarkStart w:id="231" w:name="page232"/>
    <w:bookmarkEnd w:id="231"/>
    <w:p>
      <w:pPr>
        <w:jc w:val="center"/>
        <w:spacing w:after="0"/>
        <w:rPr>
          <w:sz w:val="20"/>
          <w:szCs w:val="20"/>
          <w:color w:val="auto"/>
        </w:rPr>
      </w:pPr>
      <w:r>
        <w:rPr>
          <w:rFonts w:ascii="Times New Roman" w:cs="Times New Roman" w:eastAsia="Times New Roman" w:hAnsi="Times New Roman"/>
          <w:sz w:val="20"/>
          <w:szCs w:val="20"/>
          <w:b w:val="1"/>
          <w:bCs w:val="1"/>
          <w:color w:val="auto"/>
        </w:rPr>
        <w:t>PROPOSAL 1: ELECTION OF DIRECTOR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Board of Directors</w:t>
      </w:r>
    </w:p>
    <w:p>
      <w:pPr>
        <w:spacing w:after="0" w:line="171"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20"/>
          <w:szCs w:val="20"/>
          <w:color w:val="auto"/>
        </w:rPr>
        <w:t>Our Board is divided into three classes, with only one class of directors being elected in each year and each class, Class I, Class II and Class III, serving a three-year term. Each Class I director has a term that expires at the Annual General Meeting, each Class II director has a term that expires at the Company’s 2025 annual general meeting of shareholders and each Class III director has a term that expires at the Company’s 2026 annual general meeting of shareholders, or in each case until their respective successors are duly elected and qualified, or until their earlier death, resignation, or removal.</w:t>
      </w:r>
    </w:p>
    <w:p>
      <w:pPr>
        <w:spacing w:after="0" w:line="12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20"/>
          <w:szCs w:val="20"/>
          <w:color w:val="auto"/>
        </w:rPr>
        <w:t>There are currently seven members of the Board. There are two Class I directors whose term of office expires at the Annual General Meeting — Ramy Farid, Ph.D. and Sharon Tetlow. The Annual General Meeting is our first annual general meeting after the adoption of our amended and restated memorandum and articles of association (which were adopted in connection with our initial public offering (“IPO”) in February 2023). Dr. Farid will not stand for re-election and his term will expire at the Annual General Meeting. Ms. Tetlow is currently a director of the Company, was previously appointed to the Board prior to our IPO and is recommended for nomination to the Board at the Annual General Meeting by the Nominating and Corporate Governance Committee of the Board (the “Nominating Committee”). Ms. Tetlow was approved by our Board and elected by holders of a majority of our Series A+ convertible preferred shares that were in existence prior to our IPO. In the interim between annual general meetings or extraordinary general meetings called for the appointment of directors and/or the removal of one or more directors and the filling of any vacancy in connection therewith, additional directors and any vacancies in the Board, including unfilled vacancies resulting from the removal of directors for cause, may be filled by the vote of a majority of the remaining directors then in office, although less than a quorum, or by the sole remaining director.</w:t>
      </w:r>
    </w:p>
    <w:p>
      <w:pPr>
        <w:spacing w:after="0" w:line="126"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Directors are elected by a majority of the votes of the holders of Ordinary Shares present virtually or represented by proxy and entitled to vote on the election of directors. Ordinary Shares represented by executed proxies will be voted, if authority to do so is not withheld, for the election of the nominee named below. If the nominee becomes unavailable for election as a result of an unexpected occurrence, Ordinary Shares that would have been voted for that nominee will instead be voted for the election of a substitute nominee as designated by the Board, or alternatively, the Board may leave a vacancy or the Board or reduce the size of the Board. The nominee for election has agreed to serve if elected. Our management has no reason to believe that the nominee will be unable to serve.</w:t>
      </w:r>
    </w:p>
    <w:p>
      <w:pPr>
        <w:spacing w:after="0" w:line="128"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20"/>
          <w:szCs w:val="20"/>
          <w:color w:val="auto"/>
        </w:rPr>
        <w:t>The Nominating Committee seeks to identify, evaluate and recommend and communicate with candidates qualified to become directors or director nominees consistent with criteria approved by the Board, including potential conflicts of interest, director independence and other requirements. The brief biographies below include information, as of the date of this Proxy Statement, regarding the specific and particular experience, qualifications, attributes or skills of each director or nominee that led the Nominating Committee to believe that that nominee should serve or continue to serve on the Board. However, each of the members of the Nominating Committee may have a variety of reasons why he or she believes a particular person would be an appropriate nominee for the Board, and these views may differ from the views of other members. We believe that, as a whole, our Board possesses the requisite skills and characteristics, leadership traits, work ethic, and independence to provide effective oversight. No director or executive officer is related by blood, marriage, or adoption to any other director or executive officer. No arrangements or understandings exist between any director and any other person pursuant to which such person was selected as a director or nominee.</w:t>
      </w:r>
    </w:p>
    <w:p>
      <w:pPr>
        <w:spacing w:after="0" w:line="136"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The biographies of our nominee for election to the Board as Class I director, and all other directors whose term will continue after the Annual General Meeting, are set forth below, including the offices held, other business directorships and the class and term of each director nominee and director. Each of the biographies highlights specific experience, qualifications, attributes, and skills that led us to conclude that such person should serve as a director. We believe that, as a whole, our Board possesses the requisite skills and characteristics, leadership traits, work ethic, and independence to provide effective oversight. No director or executive officer is related by blood, marriage, or adoption to any other director or executive officer. No arrangements or understandings exist between any director and any other person pursuant to which such person was selected as a director or nominee.</w:t>
      </w:r>
    </w:p>
    <w:p>
      <w:pPr>
        <w:sectPr>
          <w:pgSz w:w="11880" w:h="15480" w:orient="portrait"/>
          <w:cols w:equalWidth="0" w:num="1">
            <w:col w:w="9100"/>
          </w:cols>
          <w:pgMar w:left="1400" w:top="1023" w:right="1380" w:bottom="115" w:gutter="0" w:footer="0" w:header="0"/>
        </w:sect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9100"/>
          </w:cols>
          <w:pgMar w:left="1400" w:top="1023" w:right="1380" w:bottom="115" w:gutter="0" w:footer="0" w:header="0"/>
          <w:type w:val="continuous"/>
        </w:sectPr>
      </w:pPr>
    </w:p>
    <w:bookmarkStart w:id="232" w:name="page233"/>
    <w:bookmarkEnd w:id="232"/>
    <w:p>
      <w:pPr>
        <w:spacing w:after="0"/>
        <w:rPr>
          <w:sz w:val="20"/>
          <w:szCs w:val="20"/>
          <w:color w:val="auto"/>
        </w:rPr>
      </w:pPr>
      <w:r>
        <w:rPr>
          <w:rFonts w:ascii="Times New Roman" w:cs="Times New Roman" w:eastAsia="Times New Roman" w:hAnsi="Times New Roman"/>
          <w:sz w:val="20"/>
          <w:szCs w:val="20"/>
          <w:b w:val="1"/>
          <w:bCs w:val="1"/>
          <w:i w:val="1"/>
          <w:iCs w:val="1"/>
          <w:color w:val="auto"/>
        </w:rPr>
        <w:t>Class I Director Nominee for Election at the Annual General Meeting</w:t>
      </w:r>
    </w:p>
    <w:p>
      <w:pPr>
        <w:spacing w:after="0" w:line="168"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Sharon Tetlow</w:t>
      </w:r>
      <w:r>
        <w:rPr>
          <w:rFonts w:ascii="Times New Roman" w:cs="Times New Roman" w:eastAsia="Times New Roman" w:hAnsi="Times New Roman"/>
          <w:sz w:val="20"/>
          <w:szCs w:val="20"/>
          <w:color w:val="auto"/>
        </w:rPr>
        <w:t>, 64, has served as a member of our Board since March 2022. Since January 2016,</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Ms. Tetlow has served as Managing Partner of Potrero Hill Advisors, an advisory firm providing strategic and operational financial support to life sciences companies. Ms. Tetlow currently serves on the board of directors and on the audit committee of Cessation Therapeutics, Inc., a private biopharmaceutical company focused on anti-opioid therapeutics. Ms. Tetlow previously served on the boards of directors of DICE Therapeutics, Inc. (NASDAQ: DICE) from 2020 until its purchase by Eli Lilly and Company in 2023, Catalyst Biosciences, Inc. (NASDAQ: CBIO) from 2020 until its reverse merger in 2022, Valneva SE (NASDAQ: VALN, EPA: VLA) from 2020 to 2023 and Altamont Pharma Acquisition Corp. (NASDAQ: ALTP) from 2021 to 2022. Ms. Tetlow received her B.S. in Psychology from the University of Delaware and her M.B.A. from Stanford University. We believe that Ms. Tetlow is qualified to serve as a member of our Board because of her expertise in corporate finance and strategy in the biotechnology and pharmaceutical industries and her public company board experience.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5"/>
          <w:szCs w:val="15"/>
          <w:b w:val="1"/>
          <w:bCs w:val="1"/>
          <w:color w:val="auto"/>
        </w:rPr>
        <w: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5"/>
          <w:szCs w:val="15"/>
          <w:b w:val="1"/>
          <w:bCs w:val="1"/>
          <w:color w:val="auto"/>
        </w:rPr>
        <w:t>OARD</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ECOMMENDS</w:t>
      </w:r>
      <w:r>
        <w:rPr>
          <w:rFonts w:ascii="Times New Roman" w:cs="Times New Roman" w:eastAsia="Times New Roman" w:hAnsi="Times New Roman"/>
          <w:sz w:val="20"/>
          <w:szCs w:val="20"/>
          <w:b w:val="1"/>
          <w:bCs w:val="1"/>
          <w:color w:val="auto"/>
        </w:rPr>
        <w:t xml:space="preserve"> 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5"/>
          <w:szCs w:val="15"/>
          <w:b w:val="1"/>
          <w:bCs w:val="1"/>
          <w:color w:val="auto"/>
        </w:rPr>
        <w:t>OTE</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5"/>
          <w:szCs w:val="15"/>
          <w:b w:val="1"/>
          <w:bCs w:val="1"/>
          <w:color w:val="auto"/>
        </w:rPr>
        <w:t>AVOR</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5"/>
          <w:szCs w:val="15"/>
          <w:b w:val="1"/>
          <w:bCs w:val="1"/>
          <w:color w:val="auto"/>
        </w:rPr>
        <w: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5"/>
          <w:szCs w:val="15"/>
          <w:b w:val="1"/>
          <w:bCs w:val="1"/>
          <w:color w:val="auto"/>
        </w:rPr>
        <w:t>OARD’S</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5"/>
          <w:szCs w:val="15"/>
          <w:b w:val="1"/>
          <w:bCs w:val="1"/>
          <w:color w:val="auto"/>
        </w:rPr>
        <w:t>OMINEE</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5"/>
          <w:szCs w:val="15"/>
          <w:b w:val="1"/>
          <w:bCs w:val="1"/>
          <w:color w:val="auto"/>
        </w:rPr>
        <w:t>OR</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5"/>
          <w:szCs w:val="15"/>
          <w:b w:val="1"/>
          <w:bCs w:val="1"/>
          <w:color w:val="auto"/>
        </w:rPr>
        <w:t>IRECTOR.</w:t>
      </w:r>
    </w:p>
    <w:p>
      <w:pPr>
        <w:sectPr>
          <w:pgSz w:w="11880" w:h="15480" w:orient="portrait"/>
          <w:cols w:equalWidth="0" w:num="1">
            <w:col w:w="9100"/>
          </w:cols>
          <w:pgMar w:left="1400" w:top="1026"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9100"/>
          </w:cols>
          <w:pgMar w:left="1400" w:top="1026" w:right="1380" w:bottom="70" w:gutter="0" w:footer="0" w:header="0"/>
          <w:type w:val="continuous"/>
        </w:sectPr>
      </w:pPr>
    </w:p>
    <w:bookmarkStart w:id="233" w:name="page234"/>
    <w:bookmarkEnd w:id="233"/>
    <w:p>
      <w:pPr>
        <w:spacing w:after="0"/>
        <w:rPr>
          <w:sz w:val="20"/>
          <w:szCs w:val="20"/>
          <w:color w:val="auto"/>
        </w:rPr>
      </w:pPr>
      <w:r>
        <w:rPr>
          <w:rFonts w:ascii="Times New Roman" w:cs="Times New Roman" w:eastAsia="Times New Roman" w:hAnsi="Times New Roman"/>
          <w:sz w:val="20"/>
          <w:szCs w:val="20"/>
          <w:b w:val="1"/>
          <w:bCs w:val="1"/>
          <w:i w:val="1"/>
          <w:iCs w:val="1"/>
          <w:color w:val="auto"/>
        </w:rPr>
        <w:t>Class II Directors Continuing in Office Until the 2025 Annual General Meeting</w:t>
      </w:r>
    </w:p>
    <w:p>
      <w:pPr>
        <w:spacing w:after="0" w:line="168"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Eric Dobmeier</w:t>
      </w:r>
      <w:r>
        <w:rPr>
          <w:rFonts w:ascii="Times New Roman" w:cs="Times New Roman" w:eastAsia="Times New Roman" w:hAnsi="Times New Roman"/>
          <w:sz w:val="20"/>
          <w:szCs w:val="20"/>
          <w:color w:val="auto"/>
        </w:rPr>
        <w:t>, 55, has served as a member of our Board since December 2022. From April 2019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August 2023, Mr. Dobmeier served as President, Chief Executive Officer and a member of the Board of Directors of Chinook Therapeutics, Inc. (NASDAQ: KDNY), a publicly traded biotechnology company focused on kidney diseases, prior to its acquisition by Novartis in August 2023. Prior to joining Chinook, Mr. Dobmeier served as President and Chief Executive Officer of Silverback Therapeutics, Inc. from January 2018 to June 2018. Prior to that, Mr. Dobmeier held positions of increasing responsibility at Seattle Genetics, Inc. (NASDAQ: SGEN), a publicly traded biotechnology company, from 2002 to December 2017, including as Chief Operating Officer from June 2011 to December 2017. Previously, Mr. Dobmeier was an attorney with the law firms of Venture Law Group and Heller Ehrman LLP, where he represented technology companies in connection with public and private financings, mergers and acquisitions and corporate partnering transactions. Mr. Dobmeier currently serves on the board of directors of Atara Biotherapeutics, Inc. (NASDAQ: ATRA), a publicly traded biotechnology company, where he has served since 2015. Mr. Dobmeier previously served on the boards of directors of Adaptive Biotechnologies Corp (NASDAQ: ADPT) from 2016 to 2021, Stemline Therapeutics, Inc. (NASDAQ: STML) from 2012 to 2018 and Versartis (NASDAQ: VSAR) from 2017 to 2018, each a publicly traded biopharmaceutical company. He received his A.B. in History from Princeton University and his J.D. from the University of California, Berkeley School of Law. We believe Mr. Dobmeier is qualified to serve as a member of our Board because of his legal, business development and operating experience, senior management experience at public biotechnology companies and his service as a director of other biopharmaceutical companies.</w:t>
      </w:r>
    </w:p>
    <w:p>
      <w:pPr>
        <w:spacing w:after="0" w:line="143"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Joanne Waldstreicher, M.D.</w:t>
      </w:r>
      <w:r>
        <w:rPr>
          <w:rFonts w:ascii="Times New Roman" w:cs="Times New Roman" w:eastAsia="Times New Roman" w:hAnsi="Times New Roman"/>
          <w:sz w:val="20"/>
          <w:szCs w:val="20"/>
          <w:color w:val="auto"/>
        </w:rPr>
        <w:t>, 64, has served as a member of our Board since December 2022.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2012 to April 2023, Dr. Waldstreicher served as Chief Medical Officer at Johnson &amp; Johnson (NYSE: JNJ), where she held various roles since 2002, including Chief Medical Officer &amp; Head, Asia Pacific Medical Science at Janssen Pharmaceutical Companies of Johnson &amp; Johnson from 2011 to 2012 and Senior Vice President, Head, Global Drug Development from 2007 to 2009. Prior to joining Johnson &amp; Johnson, Dr. Waldstreicher oversaw endocrinology and metabolism clinical research at Merck Research Laboratories. Dr. Waldstreicher currently serves on the Board of Directors of Beckton Dickson &amp; Co. (NYSE: BDX), a global medical technology company. Dr. Waldstreicher also currently serves as a faculty affiliate of the Division of Medical Ethics, Department of Population Health at New York University School of Medicine. Dr. Waldstreicher received her B.A. in Chemistry at City University of New York, Brooklyn College, and her M.D. at Harvard Medical School. We believe Dr. Waldstreicher is qualified to serve on our Board based on her extensive experience as a pharmaceutical executive with significant expertise in clinical development, drug development strategy and regulatory affairs.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 III Directors Continuing in Office Until the 2026 Annual General Meeting</w:t>
      </w:r>
    </w:p>
    <w:p>
      <w:pPr>
        <w:spacing w:after="0" w:line="168"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Ted Love, M.D.</w:t>
      </w:r>
      <w:r>
        <w:rPr>
          <w:rFonts w:ascii="Times New Roman" w:cs="Times New Roman" w:eastAsia="Times New Roman" w:hAnsi="Times New Roman"/>
          <w:sz w:val="20"/>
          <w:szCs w:val="20"/>
          <w:color w:val="auto"/>
        </w:rPr>
        <w:t>, 65, has served as a member of our Board since August 2023. Dr. Love previously served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President and Chief Executive Officer of Global Blood Therapeutics, Inc., a former publicly-traded biopharmaceutical company focused on hematology, from June 2014 to October 2022, prior to its acquisition by Pfizer Inc. Prior to serving at Global Blood Therapeutics, Dr. Love served as Executive Vice President, Research and Development and Technical Operations at Onyx Pharmaceuticals, Inc., from February 2010 to August 2012. Prior to Onyx, from 2001 to January 2009, Dr. Love served as President, Chief Executive Officer and Chairman of Nuvelo, Inc. Prior to that, he served as Senior Vice President, Development, at Theravance, Inc. from 1998 to 2001. Previously, he spent six years at Genentech, Inc., where he held a number of senior management positions in medical affairs and product development and served as chairman of Genentech’s Product Development Committee. Dr. Love served as a consultant in medicine in the Department of Cardiology at the Massachusetts General Hospital. Dr. Love currently serves on the board of directors of Gilead Sciences (NASDAQ: GILD) and Royalty Pharma Plc (NASDAQ: RPRX), each a biopharma company. Within the past five years Dr. Love previously served on the board of directors of Seagen, Inc. from 2020 to 2023, Amicus Therapeutics, Inc. from 2012 to 2020, Global Blood Therapeutics, Inc. from 2013 to 2022 and Portola Pharmaceuticals, Inc. from 2019 to 2020 (prior to its acquisition by Alexion Pharmaceuticals, Inc.). Dr. Love holds a B.A. in molecular biology from Haverford College and an M.D. from Yale Medical School. He completed a residency in internal medicine and a fellowship in cardiology at the Massachusetts General Hospital. We believe that Dr. Love is qualified to serve on our Board because of his extensive</w:t>
      </w:r>
    </w:p>
    <w:p>
      <w:pPr>
        <w:sectPr>
          <w:pgSz w:w="11880" w:h="15480" w:orient="portrait"/>
          <w:cols w:equalWidth="0" w:num="1">
            <w:col w:w="9100"/>
          </w:cols>
          <w:pgMar w:left="1400" w:top="1026" w:right="1380" w:bottom="69" w:gutter="0" w:footer="0" w:header="0"/>
        </w:sect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100"/>
          </w:cols>
          <w:pgMar w:left="1400" w:top="1026" w:right="1380" w:bottom="69" w:gutter="0" w:footer="0" w:header="0"/>
          <w:type w:val="continuous"/>
        </w:sectPr>
      </w:pPr>
    </w:p>
    <w:bookmarkStart w:id="234" w:name="page235"/>
    <w:bookmarkEnd w:id="234"/>
    <w:p>
      <w:pPr>
        <w:jc w:val="both"/>
        <w:spacing w:after="0" w:line="281" w:lineRule="auto"/>
        <w:rPr>
          <w:sz w:val="20"/>
          <w:szCs w:val="20"/>
          <w:color w:val="auto"/>
        </w:rPr>
      </w:pPr>
      <w:r>
        <w:rPr>
          <w:rFonts w:ascii="Times New Roman" w:cs="Times New Roman" w:eastAsia="Times New Roman" w:hAnsi="Times New Roman"/>
          <w:sz w:val="20"/>
          <w:szCs w:val="20"/>
          <w:color w:val="auto"/>
        </w:rPr>
        <w:t>leadership and management experience in the biopharmaceutical industry, in addition to his prior experience as a practicing physician.</w:t>
      </w:r>
    </w:p>
    <w:p>
      <w:pPr>
        <w:spacing w:after="0" w:line="9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Raymond Stevens, Ph.D.</w:t>
      </w:r>
      <w:r>
        <w:rPr>
          <w:rFonts w:ascii="Times New Roman" w:cs="Times New Roman" w:eastAsia="Times New Roman" w:hAnsi="Times New Roman"/>
          <w:sz w:val="20"/>
          <w:szCs w:val="20"/>
          <w:color w:val="auto"/>
        </w:rPr>
        <w:t>, 60, has served as our co-founder and Chief Executive Officer since May 2019</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as a member of our Board since February 2019. Previously, Dr. Stevens founded the Bridge Institute at the University of Southern California, where he served as Founding Director and Professor from July 2014 to May 2019, and since then as Professor Emeritus. Prior to founding the Bridge Institute, Dr. Stevens founded the iHuman Institute at ShanghaiTech University (“iHuman Institute”), in January 2012, where he has since served as Founding Director and Adjunct Professor. Prior to founding the iHuman Institute, Dr. Stevens served as Professor, Department of Integrative Structural and Computational Biology and Chemistry at The Scripps Research Institute from June 1999 to July 2014. Dr. Stevens also currently serves as a member of the board of directors and as a member of the audit and science and technology committees of Danaher Corporation (NYSE: DHR). Dr. Stevens completed a post-doctoral fellowship in Chemistry at Harvard University. Dr. Stevens received his B.A. in Chemistry from the University of Southern Maine, and his Ph.D. in Organic Chemistry from the University of Southern California. We believe that Dr. Stevens is qualified to serve on our Board based on his extensive experience in the field of structure-based drug discovery and as a director of public and private companies. As our Chief Executive Officer, Dr. Stevens also provides invaluable insight to our management’s perspective in the board’s discussions regarding our company’s business and strategic plans.</w:t>
      </w:r>
    </w:p>
    <w:p>
      <w:pPr>
        <w:spacing w:after="0" w:line="36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Daniel G. Welch</w:t>
      </w:r>
      <w:r>
        <w:rPr>
          <w:rFonts w:ascii="Times New Roman" w:cs="Times New Roman" w:eastAsia="Times New Roman" w:hAnsi="Times New Roman"/>
          <w:sz w:val="20"/>
          <w:szCs w:val="20"/>
          <w:color w:val="auto"/>
        </w:rPr>
        <w:t>, 66, has served as Chairman of our Board since January 2022. Mr. Welch served as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Executive Partner of Sofinnova Ventures, a venture capital firm from January 2015 to February 2018. Prior to serving at Sofinnova, Mr. Welch served as Chief Executive Officer and President of InterMune, Inc., a biotechnology company, from September 2003 until its acquisition by Roche Holdings AG (OTCMKTS: RHHBY) in September 2014. Mr. Welch also served as Chairman of InterMune from May 2008 to September 2014. Prior to serving at InterMune, Mr. Welch served as Chairman and Chief Executive Officer of Triangle Pharmaceuticals, Inc., a pharmaceutical company that was acquired by Gilead Sciences, Inc. (Nasdaq: GILD), from 2002 to 2003. Prior to serving at Triangle Pharmaceuticals, Mr. Welch served as President of Biopharmaceuticals at Elan Corporation (TYO: 6099) from 2000 to 2002. Prior to serving at Elan, Mr. Welch served in various senior management roles at Sanofi-Synthelabo, now Sanofi S.A. (Nasdaq: SNY), from 1987 to 2000, including as Vice President of Worldwide Marketing and Chief Operating Officer of the U.S. business. Mr. Welch currently serves on the boards of directors of Nuvation Bio Inc. (NYSE: NUVB), Ultragenyx Pharmaceutical Inc. (Nasdaq: RARE), Prothena Corporation plc (Nasdaq: PRTA) and Nuvation Bio, Inc. (Nasdaq: NUVB). Mr. Welch received his B.B.A. in Marketing from the University of Miami and his M.B.A. from the University of North Carolina. We believe that Mr. Welch is qualified to serve on our Board based on his operational and strategic expertise in the global pharmaceutical market, his experience serving on the board of directors of publicly traded pharmaceutical companies and his extensive experience in leading companies from clinical-stage drug development to large-scale global commercialization.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Regarding the Board of Directors and Corporate Governance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Nomination Process and Qualifications</w:t>
      </w:r>
    </w:p>
    <w:p>
      <w:pPr>
        <w:spacing w:after="0" w:line="168"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20"/>
          <w:szCs w:val="20"/>
          <w:color w:val="auto"/>
        </w:rPr>
        <w:t>In accordance with Company’s memorandum and articles of association, the Board is responsible for appointing directors to the Board, either to fill a vacancy or as an addition to the existing Board. The Nominating Committee is responsible for identifying, reviewing, evaluating, recommending and communicating with candidates qualified to become Board members or nominees for directors to the Board, in accordance with the Nominating Committee’s charter and consistent with the criteria listed below.</w:t>
      </w:r>
    </w:p>
    <w:p>
      <w:pPr>
        <w:spacing w:after="0" w:line="121"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The Board will determine the appropriate characteristics, skills and experience for the Board as a whole and for its individual members, as well as the committees of the Board on which they may serve. The Board considers recommendations for nominees from the Nominating Committee. The Board will consider the minimum general criteria below and may add any specific additional criteria with respect to specific searches, in selecting candidates and existing directors for serving on the Board. An acceptable candidate may not fully satisfy all of the criteria but is expected to satisfy nearly all of them. The Board believes that candidates for director should have certain minimum qualifications, including having the highest personal integrity and ethics and being able to read and understand basic financial statements.</w:t>
      </w:r>
    </w:p>
    <w:p>
      <w:pPr>
        <w:sectPr>
          <w:pgSz w:w="11880" w:h="15480" w:orient="portrait"/>
          <w:cols w:equalWidth="0" w:num="1">
            <w:col w:w="9100"/>
          </w:cols>
          <w:pgMar w:left="1400" w:top="1025" w:right="1380" w:bottom="7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9100"/>
          </w:cols>
          <w:pgMar w:left="1400" w:top="1025" w:right="1380" w:bottom="70" w:gutter="0" w:footer="0" w:header="0"/>
          <w:type w:val="continuous"/>
        </w:sectPr>
      </w:pPr>
    </w:p>
    <w:bookmarkStart w:id="235" w:name="page236"/>
    <w:bookmarkEnd w:id="235"/>
    <w:p>
      <w:pPr>
        <w:jc w:val="both"/>
        <w:ind w:firstLine="399"/>
        <w:spacing w:after="0" w:line="265" w:lineRule="auto"/>
        <w:rPr>
          <w:sz w:val="20"/>
          <w:szCs w:val="20"/>
          <w:color w:val="auto"/>
        </w:rPr>
      </w:pPr>
      <w:r>
        <w:rPr>
          <w:rFonts w:ascii="Times New Roman" w:cs="Times New Roman" w:eastAsia="Times New Roman" w:hAnsi="Times New Roman"/>
          <w:sz w:val="20"/>
          <w:szCs w:val="20"/>
          <w:color w:val="auto"/>
        </w:rPr>
        <w:t>In considering candidates recommended by the Nominating Committee, the Board intends to consider other factors, such as: (i) possessing relevant expertise upon which to be able to offer advice and guidance to management; (ii) having sufficient time to devote to the affairs of the Company; (iii) demonstrating excellence in his or her field; (iv) having the ability to exercise sound business judgment; (v) experience as a board member or executive officer of another publicly held company; (vi) having a diverse personal background, perspective and experience; and (vii) having the commitment to rigorously represent the long-term interests of the Company’s shareholders.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Nominations by Securityholders</w:t>
      </w:r>
    </w:p>
    <w:p>
      <w:pPr>
        <w:spacing w:after="0" w:line="168"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20"/>
          <w:szCs w:val="20"/>
          <w:color w:val="auto"/>
        </w:rPr>
        <w:t>The Nominating Committee will consider director candidates recommended by the Company’s security holders. The Nominating Committee does not intend to alter the manner in which it evaluates a candidate for nomination to the Board based on whether or not the candidate was recommended by a Company securityholder.</w:t>
      </w:r>
    </w:p>
    <w:p>
      <w:pPr>
        <w:spacing w:after="0" w:line="381"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20"/>
          <w:szCs w:val="20"/>
          <w:color w:val="auto"/>
        </w:rPr>
        <w:t>For nominations of potential candidates made other than by the Board, the securityholder or other person making such nomination must comply with the Company’s Memorandum and Articles of Association and Policy Regarding Securityholder Recommendations of Director Nominees, including, without limitation, submission of the information or other materials required with respect to proposed nominees under such documents and rules of the SEC to be included in a proxy statement soliciting proxies for the election of such candidate.</w:t>
      </w:r>
    </w:p>
    <w:p>
      <w:pPr>
        <w:spacing w:after="0" w:line="386"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20"/>
          <w:szCs w:val="20"/>
          <w:color w:val="auto"/>
        </w:rPr>
        <w:t>Securityholders wishing to propose a candidate for consideration may do so by submitting the above information to the attention of the Nominating Committee c/o Structure Therapeutics Inc., 601 Gateway Boulevard, Suite 900, South San Francisco, CA 94080. Such director nominations will be presented to the Board for its consideration. Securityholders must also satisfy the notification, timeliness, consent, and information requirements set forth in our bylaws. These requirements are also described under the section entitled “</w:t>
      </w:r>
      <w:r>
        <w:rPr>
          <w:rFonts w:ascii="Times New Roman" w:cs="Times New Roman" w:eastAsia="Times New Roman" w:hAnsi="Times New Roman"/>
          <w:sz w:val="20"/>
          <w:szCs w:val="20"/>
          <w:i w:val="1"/>
          <w:iCs w:val="1"/>
          <w:color w:val="auto"/>
        </w:rPr>
        <w:t>Shareholder Proposals for the 2025 Annual General Meeting of Shareholders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Board Diversity</w:t>
      </w:r>
    </w:p>
    <w:p>
      <w:pPr>
        <w:spacing w:after="0" w:line="168"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20"/>
          <w:szCs w:val="20"/>
          <w:color w:val="auto"/>
        </w:rPr>
        <w:t>While we do not have a formal diversity policy in place, we endeavor to have a Board representing diverse backgrounds and a wide range of professional experience in areas that are relevant to the Company’s business and its status as a public company. Accordingly, the Board is committed to seeking out highly qualified candidates of diverse gender and race, as well as taking into account other factors that promote principles of diversity, including diversity of a candidate’s perspective, background, nationality, age and other demographics.</w:t>
      </w:r>
    </w:p>
    <w:p>
      <w:pPr>
        <w:spacing w:after="0" w:line="386" w:lineRule="exact"/>
        <w:rPr>
          <w:sz w:val="20"/>
          <w:szCs w:val="20"/>
          <w:color w:val="auto"/>
        </w:rPr>
      </w:pPr>
    </w:p>
    <w:p>
      <w:pPr>
        <w:jc w:val="both"/>
        <w:ind w:firstLine="399"/>
        <w:spacing w:after="0" w:line="294" w:lineRule="auto"/>
        <w:rPr>
          <w:sz w:val="20"/>
          <w:szCs w:val="20"/>
          <w:color w:val="auto"/>
        </w:rPr>
      </w:pPr>
      <w:r>
        <w:rPr>
          <w:rFonts w:ascii="Times New Roman" w:cs="Times New Roman" w:eastAsia="Times New Roman" w:hAnsi="Times New Roman"/>
          <w:sz w:val="20"/>
          <w:szCs w:val="20"/>
          <w:color w:val="auto"/>
        </w:rPr>
        <w:t>Below is our Nasdaq Board Diversity Matrix for fiscal year 2023, which sets forth certain self-identified personal demographic characteristics of our directors.</w:t>
      </w:r>
    </w:p>
    <w:p>
      <w:pPr>
        <w:sectPr>
          <w:pgSz w:w="11880" w:h="15480" w:orient="portrait"/>
          <w:cols w:equalWidth="0" w:num="1">
            <w:col w:w="9100"/>
          </w:cols>
          <w:pgMar w:left="1400" w:top="1025" w:right="1380" w:bottom="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100"/>
          </w:cols>
          <w:pgMar w:left="1400" w:top="1025" w:right="1380" w:bottom="69" w:gutter="0" w:footer="0" w:header="0"/>
          <w:type w:val="continuous"/>
        </w:sectPr>
      </w:pPr>
    </w:p>
    <w:bookmarkStart w:id="236" w:name="page237"/>
    <w:bookmarkEnd w:id="236"/>
    <w:p>
      <w:pPr>
        <w:spacing w:after="0"/>
        <w:rPr>
          <w:sz w:val="20"/>
          <w:szCs w:val="20"/>
          <w:color w:val="auto"/>
        </w:rPr>
      </w:pPr>
      <w:r>
        <w:rPr>
          <w:rFonts w:ascii="Times New Roman" w:cs="Times New Roman" w:eastAsia="Times New Roman" w:hAnsi="Times New Roman"/>
          <w:sz w:val="20"/>
          <w:szCs w:val="20"/>
          <w:b w:val="1"/>
          <w:bCs w:val="1"/>
          <w:i w:val="1"/>
          <w:iCs w:val="1"/>
          <w:color w:val="auto"/>
        </w:rPr>
        <w:t>Board Diversity Matrix</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of April 19, 2024)</w:t>
      </w:r>
    </w:p>
    <w:p>
      <w:pPr>
        <w:spacing w:after="0" w:line="16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Board Diversity Matrix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33020</wp:posOffset>
                </wp:positionV>
                <wp:extent cx="562546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254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2.6pt" to="442.5pt,2.6pt" o:allowincell="f" strokecolor="#000000" strokeweight="0.499pt"/>
            </w:pict>
          </mc:Fallback>
        </mc:AlternateConten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Number of Directors</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7</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Did Not</w:t>
            </w:r>
          </w:p>
        </w:tc>
        <w:tc>
          <w:tcPr>
            <w:tcW w:w="0" w:type="dxa"/>
            <w:vAlign w:val="bottom"/>
          </w:tcPr>
          <w:p>
            <w:pPr>
              <w:spacing w:after="0"/>
              <w:rPr>
                <w:sz w:val="1"/>
                <w:szCs w:val="1"/>
                <w:color w:val="auto"/>
              </w:rPr>
            </w:pPr>
          </w:p>
        </w:tc>
      </w:tr>
      <w:tr>
        <w:trPr>
          <w:trHeight w:val="180"/>
        </w:trPr>
        <w:tc>
          <w:tcPr>
            <w:tcW w:w="5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Disclose</w:t>
            </w:r>
          </w:p>
        </w:tc>
        <w:tc>
          <w:tcPr>
            <w:tcW w:w="0" w:type="dxa"/>
            <w:vAlign w:val="bottom"/>
          </w:tcPr>
          <w:p>
            <w:pPr>
              <w:spacing w:after="0"/>
              <w:rPr>
                <w:sz w:val="1"/>
                <w:szCs w:val="1"/>
                <w:color w:val="auto"/>
              </w:rPr>
            </w:pPr>
          </w:p>
        </w:tc>
      </w:tr>
      <w:tr>
        <w:trPr>
          <w:trHeight w:val="202"/>
        </w:trPr>
        <w:tc>
          <w:tcPr>
            <w:tcW w:w="5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Female</w:t>
            </w:r>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Male</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Non-Binary</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Gender</w:t>
            </w:r>
          </w:p>
        </w:tc>
        <w:tc>
          <w:tcPr>
            <w:tcW w:w="0" w:type="dxa"/>
            <w:vAlign w:val="bottom"/>
          </w:tcPr>
          <w:p>
            <w:pPr>
              <w:spacing w:after="0"/>
              <w:rPr>
                <w:sz w:val="1"/>
                <w:szCs w:val="1"/>
                <w:color w:val="auto"/>
              </w:rPr>
            </w:pPr>
          </w:p>
        </w:tc>
      </w:tr>
      <w:tr>
        <w:trPr>
          <w:trHeight w:val="30"/>
        </w:trPr>
        <w:tc>
          <w:tcPr>
            <w:tcW w:w="5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 I: Gender Identity</w:t>
            </w:r>
          </w:p>
        </w:tc>
        <w:tc>
          <w:tcPr>
            <w:tcW w:w="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572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Directors . . . . . . . . . . . . . . . . . . . . . . . . . . . . . . . . . . . . . . . . .</w:t>
            </w:r>
          </w:p>
        </w:tc>
        <w:tc>
          <w:tcPr>
            <w:tcW w:w="72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w w:val="99"/>
              </w:rPr>
              <w:t>2</w:t>
            </w:r>
          </w:p>
        </w:tc>
        <w:tc>
          <w:tcPr>
            <w:tcW w:w="2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120" w:type="dxa"/>
            <w:vAlign w:val="bottom"/>
          </w:tcPr>
          <w:p>
            <w:pPr>
              <w:spacing w:after="0"/>
              <w:rPr>
                <w:sz w:val="24"/>
                <w:szCs w:val="24"/>
                <w:color w:val="auto"/>
              </w:rPr>
            </w:pP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89"/>
        </w:trPr>
        <w:tc>
          <w:tcPr>
            <w:tcW w:w="5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 Demographic Background</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African American or Black  . . . . . . . . . . . . . . . . . . . . . . . . . . . .</w:t>
            </w:r>
          </w:p>
        </w:tc>
        <w:tc>
          <w:tcPr>
            <w:tcW w:w="72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20" w:type="dxa"/>
            <w:vAlign w:val="bottom"/>
          </w:tcPr>
          <w:p>
            <w:pPr>
              <w:spacing w:after="0"/>
              <w:rPr>
                <w:sz w:val="24"/>
                <w:szCs w:val="24"/>
                <w:color w:val="auto"/>
              </w:rPr>
            </w:pP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99"/>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Alaskan Native or Native American . . . . . . . . . . . . . . . . . . . . . .</w:t>
            </w:r>
          </w:p>
        </w:tc>
        <w:tc>
          <w:tcPr>
            <w:tcW w:w="72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20" w:type="dxa"/>
            <w:vAlign w:val="bottom"/>
          </w:tcPr>
          <w:p>
            <w:pPr>
              <w:spacing w:after="0"/>
              <w:rPr>
                <w:sz w:val="24"/>
                <w:szCs w:val="24"/>
                <w:color w:val="auto"/>
              </w:rPr>
            </w:pP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99"/>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Asian  . . . . . . . . . . . . . . . . . . . . . . . . . . . . . . . . . . . . . . . . . . .</w:t>
            </w:r>
          </w:p>
        </w:tc>
        <w:tc>
          <w:tcPr>
            <w:tcW w:w="72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20" w:type="dxa"/>
            <w:vAlign w:val="bottom"/>
          </w:tcPr>
          <w:p>
            <w:pPr>
              <w:spacing w:after="0"/>
              <w:rPr>
                <w:sz w:val="24"/>
                <w:szCs w:val="24"/>
                <w:color w:val="auto"/>
              </w:rPr>
            </w:pP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99"/>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Hispanic or Latinx  . . . . . . . . . . . . . . . . . . . . . . . . . . . . . . . . . .</w:t>
            </w:r>
          </w:p>
        </w:tc>
        <w:tc>
          <w:tcPr>
            <w:tcW w:w="72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20" w:type="dxa"/>
            <w:vAlign w:val="bottom"/>
          </w:tcPr>
          <w:p>
            <w:pPr>
              <w:spacing w:after="0"/>
              <w:rPr>
                <w:sz w:val="24"/>
                <w:szCs w:val="24"/>
                <w:color w:val="auto"/>
              </w:rPr>
            </w:pP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99"/>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Native Hawaiian or Pacific Islander  . . . . . . . . . . . . . . . . . . . . . .</w:t>
            </w:r>
          </w:p>
        </w:tc>
        <w:tc>
          <w:tcPr>
            <w:tcW w:w="72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20" w:type="dxa"/>
            <w:vAlign w:val="bottom"/>
          </w:tcPr>
          <w:p>
            <w:pPr>
              <w:spacing w:after="0"/>
              <w:rPr>
                <w:sz w:val="24"/>
                <w:szCs w:val="24"/>
                <w:color w:val="auto"/>
              </w:rPr>
            </w:pP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99"/>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White  . . . . . . . . . . . . . . . . . . . . . . . . . . . . . . . . . . . . . . . . . . .</w:t>
            </w:r>
          </w:p>
        </w:tc>
        <w:tc>
          <w:tcPr>
            <w:tcW w:w="72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w w:val="99"/>
              </w:rPr>
              <w:t>2</w:t>
            </w:r>
          </w:p>
        </w:tc>
        <w:tc>
          <w:tcPr>
            <w:tcW w:w="2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120" w:type="dxa"/>
            <w:vAlign w:val="bottom"/>
          </w:tcPr>
          <w:p>
            <w:pPr>
              <w:spacing w:after="0"/>
              <w:rPr>
                <w:sz w:val="24"/>
                <w:szCs w:val="24"/>
                <w:color w:val="auto"/>
              </w:rPr>
            </w:pP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99"/>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Two or More Races or Ethnicities . . . . . . . . . . . . . . . . . . . . . . . .</w:t>
            </w:r>
          </w:p>
        </w:tc>
        <w:tc>
          <w:tcPr>
            <w:tcW w:w="720" w:type="dxa"/>
            <w:vAlign w:val="bottom"/>
            <w:gridSpan w:val="2"/>
          </w:tcPr>
          <w:p>
            <w:pPr>
              <w:jc w:val="center"/>
              <w:ind w:left="160"/>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20" w:type="dxa"/>
            <w:vAlign w:val="bottom"/>
          </w:tcPr>
          <w:p>
            <w:pPr>
              <w:spacing w:after="0"/>
              <w:rPr>
                <w:sz w:val="24"/>
                <w:szCs w:val="24"/>
                <w:color w:val="auto"/>
              </w:rPr>
            </w:pP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99"/>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LGBTQ+  . . . . . . . . . . . . . . . . . . . . . . . . . . . . . . . . . . . . . . . .</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Did Not Disclose Demographic Background . . . . . . . . . . . . . . . .</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Independence and Independence Determinations</w:t>
      </w:r>
    </w:p>
    <w:p>
      <w:pPr>
        <w:spacing w:after="0" w:line="168" w:lineRule="exact"/>
        <w:rPr>
          <w:sz w:val="20"/>
          <w:szCs w:val="20"/>
          <w:color w:val="auto"/>
        </w:rPr>
      </w:pPr>
    </w:p>
    <w:p>
      <w:pPr>
        <w:jc w:val="both"/>
        <w:ind w:firstLine="399"/>
        <w:spacing w:after="0" w:line="265" w:lineRule="auto"/>
        <w:rPr>
          <w:sz w:val="20"/>
          <w:szCs w:val="20"/>
          <w:color w:val="auto"/>
        </w:rPr>
      </w:pPr>
      <w:r>
        <w:rPr>
          <w:rFonts w:ascii="Times New Roman" w:cs="Times New Roman" w:eastAsia="Times New Roman" w:hAnsi="Times New Roman"/>
          <w:sz w:val="20"/>
          <w:szCs w:val="20"/>
          <w:color w:val="auto"/>
        </w:rPr>
        <w:t>Our Corporate Governance Guidelines provide that our Board will consist of a majority of independent directors in accordance with Nasdaq listing standards. Our Corporate Governance Guidelines define an “independent” director consistent with the Nasdaq definition of independence. Under our Corporate Governance Guidelines and Nasdaq listing standards, a director is not independent unless the Board affirmatively determines that such director does not have a direct or indirect material relationship with the Company or any of its subsidiaries. Members of the Audit Committee and Compensation Committee of the Board (the “Compensation Committee”) are subject to the additional independence requirements of applicable SEC rules and Nasdaq listing standards.</w:t>
      </w:r>
    </w:p>
    <w:p>
      <w:pPr>
        <w:spacing w:after="0" w:line="138" w:lineRule="exact"/>
        <w:rPr>
          <w:sz w:val="20"/>
          <w:szCs w:val="20"/>
          <w:color w:val="auto"/>
        </w:rPr>
      </w:pPr>
    </w:p>
    <w:p>
      <w:pPr>
        <w:jc w:val="both"/>
        <w:ind w:firstLine="399"/>
        <w:spacing w:after="0" w:line="263" w:lineRule="auto"/>
        <w:rPr>
          <w:sz w:val="20"/>
          <w:szCs w:val="20"/>
          <w:color w:val="auto"/>
        </w:rPr>
      </w:pPr>
      <w:r>
        <w:rPr>
          <w:rFonts w:ascii="Times New Roman" w:cs="Times New Roman" w:eastAsia="Times New Roman" w:hAnsi="Times New Roman"/>
          <w:sz w:val="20"/>
          <w:szCs w:val="20"/>
          <w:color w:val="auto"/>
        </w:rPr>
        <w:t>Our Nominating Committee undertook its annual review of director independence and made a recommendation to our Board regarding director independence. As a result of this review, our Board affirmatively determined that Mr. Dobmeier, Dr. Farid, Dr. Love, Ms. Tetlow, Dr. Waldstreicher and Mr. Welch are “independent” in accordance with applicable Nasdaq listing standards applicable to boards of directors in general and Jessica Lifton and Chen Yu, each of whom left the Board in February 2023, was “independent” during the period each served on the Board during 2023. In addition, our Board has affirmatively determined that Ms. Tetlow, Mr. Dobmeier and Dr. Farid are “independent” in accordance with the Nasdaq listing standards and SEC rules applicable to boards of directors in general and audit committee members in particular, and that Dr. Love, Mr. Dobmeier and Mr. Welch are “independent” in accordance with the Nasdaq listing standards and SEC rules applicable to boards of directors in general and compensation committee members in particular.</w:t>
      </w:r>
    </w:p>
    <w:p>
      <w:pPr>
        <w:spacing w:after="0" w:line="397"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20"/>
          <w:szCs w:val="20"/>
          <w:color w:val="auto"/>
        </w:rPr>
        <w:t>In assessing directors’ independence, our Board took into account certain transactions, relationships, and arrangements involving some of the directors and concluded that such transactions, relationships, and arrangements did not impair the independence of the director. For Dr. Farid, the Board considered that during 2023, Dr. Farid was employed by Schrödinger, Inc. (“Schrödinger”), an organization that did business with the Company. The amount received by the Company or such other organization in each of the last three fiscal years did not exceed the greater of $200,000 or 5% of either our or Schrödinger’s consolidated gross revenues.</w:t>
      </w:r>
    </w:p>
    <w:p>
      <w:pPr>
        <w:sectPr>
          <w:pgSz w:w="11880" w:h="15480" w:orient="portrait"/>
          <w:cols w:equalWidth="0" w:num="1">
            <w:col w:w="9100"/>
          </w:cols>
          <w:pgMar w:left="1400" w:top="1026" w:right="1380" w:bottom="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9100"/>
          </w:cols>
          <w:pgMar w:left="1400" w:top="1026" w:right="1380" w:bottom="68" w:gutter="0" w:footer="0" w:header="0"/>
          <w:type w:val="continuous"/>
        </w:sectPr>
      </w:pPr>
    </w:p>
    <w:bookmarkStart w:id="237" w:name="page238"/>
    <w:bookmarkEnd w:id="237"/>
    <w:p>
      <w:pPr>
        <w:spacing w:after="0"/>
        <w:rPr>
          <w:sz w:val="20"/>
          <w:szCs w:val="20"/>
          <w:color w:val="auto"/>
        </w:rPr>
      </w:pPr>
      <w:r>
        <w:rPr>
          <w:rFonts w:ascii="Times New Roman" w:cs="Times New Roman" w:eastAsia="Times New Roman" w:hAnsi="Times New Roman"/>
          <w:sz w:val="20"/>
          <w:szCs w:val="20"/>
          <w:b w:val="1"/>
          <w:bCs w:val="1"/>
          <w:i w:val="1"/>
          <w:iCs w:val="1"/>
          <w:color w:val="auto"/>
        </w:rPr>
        <w:t>Board Leadership Structure</w:t>
      </w:r>
    </w:p>
    <w:p>
      <w:pPr>
        <w:spacing w:after="0" w:line="168"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20"/>
          <w:szCs w:val="20"/>
          <w:color w:val="auto"/>
        </w:rPr>
        <w:t>Our Board maintains the flexibility to determine whether the roles of Chair of the Board (the “Chair”) and Chief Executive Officer should be combined or separated, based on what it believes is in the best interests of the Company at a given point in time. The Board believes that this flexibility is in the best interest of the Company and that a one-size-fits-all approach to corporate governance, with a mandated independent Chair, would not result in better governance or oversight.</w:t>
      </w:r>
    </w:p>
    <w:p>
      <w:pPr>
        <w:spacing w:after="0" w:line="137" w:lineRule="exact"/>
        <w:rPr>
          <w:sz w:val="20"/>
          <w:szCs w:val="20"/>
          <w:color w:val="auto"/>
        </w:rPr>
      </w:pPr>
    </w:p>
    <w:p>
      <w:pPr>
        <w:jc w:val="both"/>
        <w:ind w:firstLine="399"/>
        <w:spacing w:after="0" w:line="262" w:lineRule="auto"/>
        <w:rPr>
          <w:sz w:val="20"/>
          <w:szCs w:val="20"/>
          <w:color w:val="auto"/>
        </w:rPr>
      </w:pPr>
      <w:r>
        <w:rPr>
          <w:rFonts w:ascii="Times New Roman" w:cs="Times New Roman" w:eastAsia="Times New Roman" w:hAnsi="Times New Roman"/>
          <w:sz w:val="20"/>
          <w:szCs w:val="20"/>
          <w:color w:val="auto"/>
        </w:rPr>
        <w:t>At this time, our Board is led by Mr. Welch, an independent, non-executive Chair. Our Board believes that it is in the best interest of the Company and its shareholders for Mr. Welch to continue to serve as Chair. Mr. Welch possesses significant knowledge and experience in our industry and a deep understanding of our strategic objectives, all of which will continue to benefit the Company during the year ahead. The Company believes that separation of the positions of the Chair and Chief Executive Officer reinforces the independence of the Board in its oversight of the business and affairs of the Company. In addition, the Company believes that having an independent Chair creates an environment that is more conducive to the Board’s objective evaluation and oversight of management’s performance, increasing management accountability, and improving the ability of the Board to monitor whether management’s actions are in the best interests of the Company and its shareholders, including with respect to evaluating whether steps management is taking to manage risks are appropriate for the Company. Mr. Welch’s responsibility is to ensure that our Board functions properly and to work with our Chief Executive Officer to set the Board’s agenda. Accordingly, he has substantial ability to shape the work of the Board. We expect him to facilitate communications among our directors and between the Board and senior management. While Mr. Welch provides independent leadership, he also works closely with our Chief Executive Officer to ensure that our directors receive the information that they need to perform their responsibilities, including discussing and providing critical review of the matters that come before the Board and assessing management’s performance. As a result, we believe that such separation can enhance the effectiveness of our Board as a whole. We believe that the leadership structure of our Board is appropriate and enhances its ability to effectively carry out its roles and responsibilities on behalf of our shareholders.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Board’s Role in Risk Oversight</w:t>
      </w:r>
    </w:p>
    <w:p>
      <w:pPr>
        <w:spacing w:after="0" w:line="168"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20"/>
          <w:szCs w:val="20"/>
          <w:color w:val="auto"/>
        </w:rPr>
        <w:t>While senior management has primary responsibility for managing risk, the Board has responsibility for risk oversight with specific risk areas delegated to relevant Board committees who report on their deliberations to the full Board. The specific risk areas of focus for the Board and each of its committees are summarized below.</w:t>
      </w:r>
    </w:p>
    <w:p>
      <w:pPr>
        <w:spacing w:after="0" w:line="355"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0"/>
          <w:szCs w:val="20"/>
          <w:b w:val="1"/>
          <w:bCs w:val="1"/>
          <w:color w:val="auto"/>
        </w:rPr>
        <w:t>Full Board</w:t>
      </w:r>
      <w:r>
        <w:rPr>
          <w:sz w:val="20"/>
          <w:szCs w:val="20"/>
          <w:color w:val="auto"/>
        </w:rPr>
        <w:tab/>
      </w:r>
      <w:r>
        <w:rPr>
          <w:rFonts w:ascii="Times New Roman" w:cs="Times New Roman" w:eastAsia="Times New Roman" w:hAnsi="Times New Roman"/>
          <w:sz w:val="20"/>
          <w:szCs w:val="20"/>
          <w:color w:val="auto"/>
        </w:rPr>
        <w:t>• Oversee the Company’s risk governance framework, including an</w:t>
      </w:r>
    </w:p>
    <w:p>
      <w:pPr>
        <w:spacing w:after="0" w:line="3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enterprise-wide culture that supports appropriate risk awareness</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and the identification, escalation, and appropriate management of</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risk</w:t>
      </w:r>
    </w:p>
    <w:p>
      <w:pPr>
        <w:spacing w:after="0" w:line="10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 General strategic and commercial risks</w:t>
      </w:r>
    </w:p>
    <w:p>
      <w:pPr>
        <w:spacing w:after="0" w:line="1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 M&amp;A transactions, including execution and integration, and the</w:t>
      </w:r>
    </w:p>
    <w:p>
      <w:pPr>
        <w:spacing w:after="0" w:line="3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M&amp;A competitive landscape</w:t>
      </w:r>
    </w:p>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Legal risks such as those arising from litigation, environmental, and</w:t>
      </w:r>
    </w:p>
    <w:p>
      <w:pPr>
        <w:spacing w:after="0" w:line="3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intellectual property matters</w:t>
      </w:r>
    </w:p>
    <w:p>
      <w:pPr>
        <w:spacing w:after="0" w:line="44"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0"/>
          <w:szCs w:val="20"/>
          <w:b w:val="1"/>
          <w:bCs w:val="1"/>
          <w:color w:val="auto"/>
        </w:rPr>
        <w:t>Audit Committee</w:t>
      </w:r>
      <w:r>
        <w:rPr>
          <w:sz w:val="20"/>
          <w:szCs w:val="20"/>
          <w:color w:val="auto"/>
        </w:rPr>
        <w:tab/>
      </w:r>
      <w:r>
        <w:rPr>
          <w:rFonts w:ascii="Times New Roman" w:cs="Times New Roman" w:eastAsia="Times New Roman" w:hAnsi="Times New Roman"/>
          <w:sz w:val="20"/>
          <w:szCs w:val="20"/>
          <w:color w:val="auto"/>
        </w:rPr>
        <w:t>• Oversee and coordinate with the Company’s internal and external</w:t>
      </w:r>
    </w:p>
    <w:p>
      <w:pPr>
        <w:spacing w:after="0" w:line="3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auditors</w:t>
      </w:r>
    </w:p>
    <w:p>
      <w:pPr>
        <w:spacing w:after="0" w:line="10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 Accounting, controls and financial disclosure</w:t>
      </w:r>
    </w:p>
    <w:p>
      <w:pPr>
        <w:spacing w:after="0" w:line="129" w:lineRule="exact"/>
        <w:rPr>
          <w:sz w:val="20"/>
          <w:szCs w:val="20"/>
          <w:color w:val="auto"/>
        </w:rPr>
      </w:pPr>
    </w:p>
    <w:p>
      <w:pPr>
        <w:ind w:left="3540" w:hanging="199"/>
        <w:spacing w:after="0" w:line="283" w:lineRule="auto"/>
        <w:tabs>
          <w:tab w:leader="none" w:pos="3520" w:val="left"/>
        </w:tabs>
        <w:rPr>
          <w:sz w:val="20"/>
          <w:szCs w:val="20"/>
          <w:color w:val="auto"/>
        </w:rPr>
      </w:pPr>
      <w:r>
        <w:rPr>
          <w:rFonts w:ascii="Times New Roman" w:cs="Times New Roman" w:eastAsia="Times New Roman" w:hAnsi="Times New Roman"/>
          <w:sz w:val="20"/>
          <w:szCs w:val="20"/>
          <w:color w:val="auto"/>
        </w:rPr>
        <w:t>•</w:t>
        <w:tab/>
        <w:t>Cybersecurity risk, including our information security framework, threat assessment, response readiness and training efforts</w:t>
      </w:r>
    </w:p>
    <w:p>
      <w:pPr>
        <w:spacing w:after="0" w:line="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 Tax and liquidity management</w:t>
      </w:r>
    </w:p>
    <w:p>
      <w:pPr>
        <w:sectPr>
          <w:pgSz w:w="11880" w:h="15480" w:orient="portrait"/>
          <w:cols w:equalWidth="0" w:num="1">
            <w:col w:w="9100"/>
          </w:cols>
          <w:pgMar w:left="1400" w:top="1026" w:right="1380" w:bottom="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100"/>
          </w:cols>
          <w:pgMar w:left="1400" w:top="1026" w:right="1380" w:bottom="68" w:gutter="0" w:footer="0" w:header="0"/>
          <w:type w:val="continuous"/>
        </w:sectPr>
      </w:pPr>
    </w:p>
    <w:bookmarkStart w:id="238" w:name="page239"/>
    <w:bookmarkEnd w:id="238"/>
    <w:tbl>
      <w:tblPr>
        <w:tblLayout w:type="fixed"/>
        <w:tblInd w:w="10" w:type="dxa"/>
        <w:tblCellMar>
          <w:top w:w="0" w:type="dxa"/>
          <w:left w:w="0" w:type="dxa"/>
          <w:bottom w:w="0" w:type="dxa"/>
          <w:right w:w="0" w:type="dxa"/>
        </w:tblCellMar>
      </w:tblPr>
      <w:tr>
        <w:trPr>
          <w:trHeight w:val="265"/>
        </w:trPr>
        <w:tc>
          <w:tcPr>
            <w:tcW w:w="3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Compensation Committee</w:t>
            </w:r>
          </w:p>
        </w:tc>
        <w:tc>
          <w:tcPr>
            <w:tcW w:w="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Compensation structure and programs</w:t>
            </w:r>
          </w:p>
        </w:tc>
      </w:tr>
      <w:tr>
        <w:trPr>
          <w:trHeight w:val="299"/>
        </w:trPr>
        <w:tc>
          <w:tcPr>
            <w:tcW w:w="322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CEO succession planning</w:t>
            </w:r>
          </w:p>
        </w:tc>
      </w:tr>
      <w:tr>
        <w:trPr>
          <w:trHeight w:val="299"/>
        </w:trPr>
        <w:tc>
          <w:tcPr>
            <w:tcW w:w="3220" w:type="dxa"/>
            <w:vAlign w:val="bottom"/>
          </w:tcPr>
          <w:p>
            <w:pPr>
              <w:spacing w:after="0"/>
              <w:rPr>
                <w:sz w:val="24"/>
                <w:szCs w:val="24"/>
                <w:color w:val="auto"/>
              </w:rPr>
            </w:pP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Diversity Equity and Inclusion initiatives</w:t>
            </w:r>
          </w:p>
        </w:tc>
      </w:tr>
      <w:tr>
        <w:trPr>
          <w:trHeight w:val="299"/>
        </w:trPr>
        <w:tc>
          <w:tcPr>
            <w:tcW w:w="3220" w:type="dxa"/>
            <w:vAlign w:val="bottom"/>
          </w:tcPr>
          <w:p>
            <w:pPr>
              <w:spacing w:after="0"/>
              <w:rPr>
                <w:sz w:val="24"/>
                <w:szCs w:val="24"/>
                <w:color w:val="auto"/>
              </w:rPr>
            </w:pP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Recruitment and retention of talent</w:t>
            </w:r>
          </w:p>
        </w:tc>
      </w:tr>
      <w:tr>
        <w:trPr>
          <w:trHeight w:val="299"/>
        </w:trPr>
        <w:tc>
          <w:tcPr>
            <w:tcW w:w="322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Workplace culture</w:t>
            </w:r>
          </w:p>
        </w:tc>
      </w:tr>
      <w:tr>
        <w:trPr>
          <w:trHeight w:val="299"/>
        </w:trPr>
        <w:tc>
          <w:tcPr>
            <w:tcW w:w="3220" w:type="dxa"/>
            <w:vAlign w:val="bottom"/>
          </w:tcPr>
          <w:p>
            <w:pPr>
              <w:spacing w:after="0"/>
              <w:rPr>
                <w:sz w:val="24"/>
                <w:szCs w:val="24"/>
                <w:color w:val="auto"/>
              </w:rPr>
            </w:pP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Workplace health, safety and well-being</w:t>
            </w:r>
          </w:p>
        </w:tc>
      </w:tr>
      <w:tr>
        <w:trPr>
          <w:trHeight w:val="274"/>
        </w:trPr>
        <w:tc>
          <w:tcPr>
            <w:tcW w:w="3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Nominating and</w:t>
            </w:r>
          </w:p>
        </w:tc>
        <w:tc>
          <w:tcPr>
            <w:tcW w:w="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Governance structures and processes</w:t>
            </w:r>
          </w:p>
        </w:tc>
      </w:tr>
      <w:tr>
        <w:trPr>
          <w:trHeight w:val="325"/>
        </w:trPr>
        <w:tc>
          <w:tcPr>
            <w:tcW w:w="3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Corporate Governance Committee</w:t>
            </w:r>
          </w:p>
        </w:tc>
        <w:tc>
          <w:tcPr>
            <w:tcW w:w="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Board organization, independence and structure</w:t>
            </w:r>
          </w:p>
        </w:tc>
      </w:tr>
      <w:tr>
        <w:trPr>
          <w:trHeight w:val="299"/>
        </w:trPr>
        <w:tc>
          <w:tcPr>
            <w:tcW w:w="3220" w:type="dxa"/>
            <w:vAlign w:val="bottom"/>
          </w:tcPr>
          <w:p>
            <w:pPr>
              <w:spacing w:after="0"/>
              <w:rPr>
                <w:sz w:val="24"/>
                <w:szCs w:val="24"/>
                <w:color w:val="auto"/>
              </w:rPr>
            </w:pP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Board succession and effectiveness</w:t>
            </w:r>
          </w:p>
        </w:tc>
      </w:tr>
      <w:tr>
        <w:trPr>
          <w:trHeight w:val="299"/>
        </w:trPr>
        <w:tc>
          <w:tcPr>
            <w:tcW w:w="3220" w:type="dxa"/>
            <w:vAlign w:val="bottom"/>
          </w:tcPr>
          <w:p>
            <w:pPr>
              <w:spacing w:after="0"/>
              <w:rPr>
                <w:sz w:val="24"/>
                <w:szCs w:val="24"/>
                <w:color w:val="auto"/>
              </w:rPr>
            </w:pP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Oversee the Company’s ESG initiatives</w:t>
            </w:r>
          </w:p>
        </w:tc>
      </w:tr>
      <w:tr>
        <w:trPr>
          <w:trHeight w:val="274"/>
        </w:trPr>
        <w:tc>
          <w:tcPr>
            <w:tcW w:w="3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Research and Development (R&amp;D)</w:t>
            </w:r>
          </w:p>
        </w:tc>
        <w:tc>
          <w:tcPr>
            <w:tcW w:w="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R&amp;D activities</w:t>
            </w:r>
          </w:p>
        </w:tc>
      </w:tr>
      <w:tr>
        <w:trPr>
          <w:trHeight w:val="325"/>
        </w:trPr>
        <w:tc>
          <w:tcPr>
            <w:tcW w:w="3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Committee</w:t>
            </w:r>
          </w:p>
        </w:tc>
        <w:tc>
          <w:tcPr>
            <w:tcW w:w="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Risks associated with clinical development of product candidates</w:t>
            </w:r>
          </w:p>
        </w:tc>
      </w:tr>
      <w:tr>
        <w:trPr>
          <w:trHeight w:val="299"/>
        </w:trPr>
        <w:tc>
          <w:tcPr>
            <w:tcW w:w="3220" w:type="dxa"/>
            <w:vAlign w:val="bottom"/>
          </w:tcPr>
          <w:p>
            <w:pPr>
              <w:spacing w:after="0"/>
              <w:rPr>
                <w:sz w:val="24"/>
                <w:szCs w:val="24"/>
                <w:color w:val="auto"/>
              </w:rPr>
            </w:pP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Intellectual property strategy and protection</w:t>
            </w:r>
          </w:p>
        </w:tc>
      </w:tr>
    </w:tbl>
    <w:p>
      <w:pPr>
        <w:spacing w:after="0" w:line="2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Board and Committee Meetings and Attendance</w:t>
      </w:r>
    </w:p>
    <w:p>
      <w:pPr>
        <w:spacing w:after="0" w:line="168" w:lineRule="exact"/>
        <w:rPr>
          <w:sz w:val="20"/>
          <w:szCs w:val="20"/>
          <w:color w:val="auto"/>
        </w:rPr>
      </w:pPr>
    </w:p>
    <w:p>
      <w:pPr>
        <w:jc w:val="both"/>
        <w:ind w:left="10" w:firstLine="399"/>
        <w:spacing w:after="0" w:line="261" w:lineRule="auto"/>
        <w:rPr>
          <w:sz w:val="20"/>
          <w:szCs w:val="20"/>
          <w:color w:val="auto"/>
        </w:rPr>
      </w:pPr>
      <w:r>
        <w:rPr>
          <w:rFonts w:ascii="Times New Roman" w:cs="Times New Roman" w:eastAsia="Times New Roman" w:hAnsi="Times New Roman"/>
          <w:sz w:val="20"/>
          <w:szCs w:val="20"/>
          <w:color w:val="auto"/>
        </w:rPr>
        <w:t>Our Corporate Governance Guidelines provide that all directors are expected to prepare for, attend and participate in all meetings of the Board and committees on which they serve. In 2023, the Board held seven meetings, the Audit Committee held nine meetings, the Compensation Committee held four meetings, and the Nominating Committee held four meetings. No member of the Board attended fewer than 75% of the aggregate of the total number of meetings of the Board (held during the period for which he or she was a director) and the total number of meetings held by all committees of the Board on which such director served (held during the period that such director served).</w:t>
      </w:r>
    </w:p>
    <w:p>
      <w:pPr>
        <w:spacing w:after="0" w:line="127" w:lineRule="exact"/>
        <w:rPr>
          <w:sz w:val="20"/>
          <w:szCs w:val="20"/>
          <w:color w:val="auto"/>
        </w:rPr>
      </w:pPr>
    </w:p>
    <w:p>
      <w:pPr>
        <w:jc w:val="both"/>
        <w:ind w:left="10" w:firstLine="399"/>
        <w:spacing w:after="0" w:line="273" w:lineRule="auto"/>
        <w:rPr>
          <w:sz w:val="20"/>
          <w:szCs w:val="20"/>
          <w:color w:val="auto"/>
        </w:rPr>
      </w:pPr>
      <w:r>
        <w:rPr>
          <w:rFonts w:ascii="Times New Roman" w:cs="Times New Roman" w:eastAsia="Times New Roman" w:hAnsi="Times New Roman"/>
          <w:sz w:val="20"/>
          <w:szCs w:val="20"/>
          <w:color w:val="auto"/>
        </w:rPr>
        <w:t>Although we do not have a formal policy regarding attendance by Board members at annual general meetings of shareholders, we encourage our directors to attend such meetings. The Annual General Meeting is our first annual general meeting of shareholders.</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Information Regarding Committees of the Board of Directors</w:t>
      </w:r>
    </w:p>
    <w:p>
      <w:pPr>
        <w:spacing w:after="0" w:line="168" w:lineRule="exact"/>
        <w:rPr>
          <w:sz w:val="20"/>
          <w:szCs w:val="20"/>
          <w:color w:val="auto"/>
        </w:rPr>
      </w:pPr>
    </w:p>
    <w:p>
      <w:pPr>
        <w:jc w:val="both"/>
        <w:ind w:left="10" w:firstLine="399"/>
        <w:spacing w:after="0" w:line="264" w:lineRule="auto"/>
        <w:rPr>
          <w:sz w:val="20"/>
          <w:szCs w:val="20"/>
          <w:color w:val="auto"/>
        </w:rPr>
      </w:pPr>
      <w:r>
        <w:rPr>
          <w:rFonts w:ascii="Times New Roman" w:cs="Times New Roman" w:eastAsia="Times New Roman" w:hAnsi="Times New Roman"/>
          <w:sz w:val="20"/>
          <w:szCs w:val="20"/>
          <w:color w:val="auto"/>
        </w:rPr>
        <w:t>Our Board has established four standing committees: an Audit Committee, a Compensation Committee, a Nominating and Corporate Governance Committee and a Research &amp; Development Committee — each of which operates under a charter that has been approved by our Board. The Board approved the formation of the Research &amp; Development Committee in March 2024. Current copies of our committee’s charters are posted on the “Corporate Governance” section of our website located at www.structuretx.com.</w:t>
      </w:r>
    </w:p>
    <w:p>
      <w:pPr>
        <w:spacing w:after="0" w:line="122" w:lineRule="exact"/>
        <w:rPr>
          <w:sz w:val="20"/>
          <w:szCs w:val="20"/>
          <w:color w:val="auto"/>
        </w:rPr>
      </w:pPr>
    </w:p>
    <w:p>
      <w:pPr>
        <w:jc w:val="both"/>
        <w:ind w:left="10" w:firstLine="399"/>
        <w:spacing w:after="0" w:line="290" w:lineRule="auto"/>
        <w:rPr>
          <w:sz w:val="20"/>
          <w:szCs w:val="20"/>
          <w:color w:val="auto"/>
        </w:rPr>
      </w:pPr>
      <w:r>
        <w:rPr>
          <w:rFonts w:ascii="Times New Roman" w:cs="Times New Roman" w:eastAsia="Times New Roman" w:hAnsi="Times New Roman"/>
          <w:sz w:val="20"/>
          <w:szCs w:val="20"/>
          <w:color w:val="auto"/>
        </w:rPr>
        <w:t>The following table provides membership and meeting information for fiscal year 2023 for each of the committees of the Board then in effect:</w:t>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Nominating and</w:t>
            </w:r>
          </w:p>
        </w:tc>
      </w:tr>
      <w:tr>
        <w:trPr>
          <w:trHeight w:val="212"/>
        </w:trPr>
        <w:tc>
          <w:tcPr>
            <w:tcW w:w="5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1"/>
              </w:rPr>
              <w:t>Audit</w:t>
            </w:r>
          </w:p>
        </w:tc>
        <w:tc>
          <w:tcPr>
            <w:tcW w:w="120" w:type="dxa"/>
            <w:vAlign w:val="bottom"/>
          </w:tcPr>
          <w:p>
            <w:pPr>
              <w:spacing w:after="0"/>
              <w:rPr>
                <w:sz w:val="18"/>
                <w:szCs w:val="18"/>
                <w:color w:val="auto"/>
              </w:rPr>
            </w:pP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Corporate Governance</w:t>
            </w:r>
          </w:p>
        </w:tc>
      </w:tr>
      <w:tr>
        <w:trPr>
          <w:trHeight w:val="20"/>
        </w:trPr>
        <w:tc>
          <w:tcPr>
            <w:tcW w:w="5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282"/>
        </w:trPr>
        <w:tc>
          <w:tcPr>
            <w:tcW w:w="5800" w:type="dxa"/>
            <w:vAlign w:val="bottom"/>
            <w:gridSpan w:val="2"/>
          </w:tcPr>
          <w:p>
            <w:pPr>
              <w:spacing w:after="0" w:line="282" w:lineRule="exact"/>
              <w:rPr>
                <w:sz w:val="20"/>
                <w:szCs w:val="20"/>
                <w:color w:val="auto"/>
              </w:rPr>
            </w:pPr>
            <w:r>
              <w:rPr>
                <w:rFonts w:ascii="Times New Roman" w:cs="Times New Roman" w:eastAsia="Times New Roman" w:hAnsi="Times New Roman"/>
                <w:sz w:val="20"/>
                <w:szCs w:val="20"/>
                <w:color w:val="auto"/>
              </w:rPr>
              <w:t>Eric Dobmeier</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 . . . . . . . . . . . . . . . . . . .</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x</w:t>
            </w:r>
          </w:p>
        </w:tc>
        <w:tc>
          <w:tcPr>
            <w:tcW w:w="120" w:type="dxa"/>
            <w:vAlign w:val="bottom"/>
          </w:tcPr>
          <w:p>
            <w:pPr>
              <w:spacing w:after="0"/>
              <w:rPr>
                <w:sz w:val="24"/>
                <w:szCs w:val="24"/>
                <w:color w:val="auto"/>
              </w:rPr>
            </w:pPr>
          </w:p>
        </w:tc>
        <w:tc>
          <w:tcPr>
            <w:tcW w:w="118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x</w:t>
            </w:r>
          </w:p>
        </w:tc>
        <w:tc>
          <w:tcPr>
            <w:tcW w:w="1500" w:type="dxa"/>
            <w:vAlign w:val="bottom"/>
          </w:tcPr>
          <w:p>
            <w:pPr>
              <w:spacing w:after="0"/>
              <w:rPr>
                <w:sz w:val="24"/>
                <w:szCs w:val="24"/>
                <w:color w:val="auto"/>
              </w:rPr>
            </w:pPr>
          </w:p>
        </w:tc>
      </w:tr>
      <w:tr>
        <w:trPr>
          <w:trHeight w:val="279"/>
        </w:trPr>
        <w:tc>
          <w:tcPr>
            <w:tcW w:w="5800" w:type="dxa"/>
            <w:vAlign w:val="bottom"/>
            <w:gridSpan w:val="2"/>
          </w:tcPr>
          <w:p>
            <w:pPr>
              <w:spacing w:after="0" w:line="280" w:lineRule="exact"/>
              <w:rPr>
                <w:sz w:val="20"/>
                <w:szCs w:val="20"/>
                <w:color w:val="auto"/>
              </w:rPr>
            </w:pPr>
            <w:r>
              <w:rPr>
                <w:rFonts w:ascii="Times New Roman" w:cs="Times New Roman" w:eastAsia="Times New Roman" w:hAnsi="Times New Roman"/>
                <w:sz w:val="20"/>
                <w:szCs w:val="20"/>
                <w:color w:val="auto"/>
              </w:rPr>
              <w:t>Ramy Farid, Ph.D.</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 . . . . . . . . . . . . . . . . . . . . . . . . . . . . .</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x</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98"/>
        </w:trPr>
        <w:tc>
          <w:tcPr>
            <w:tcW w:w="6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Jessica Lifton</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 . . . . . . . . . . . . . .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62"/>
        </w:trPr>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Ted Love, M.D. . . . . . . . . . . . . . . . . . . . . . . . . . . . . . . . . . . .</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x*</w:t>
            </w:r>
          </w:p>
        </w:tc>
        <w:tc>
          <w:tcPr>
            <w:tcW w:w="1500" w:type="dxa"/>
            <w:vAlign w:val="bottom"/>
          </w:tcPr>
          <w:p>
            <w:pPr>
              <w:spacing w:after="0"/>
              <w:rPr>
                <w:sz w:val="22"/>
                <w:szCs w:val="22"/>
                <w:color w:val="auto"/>
              </w:rPr>
            </w:pPr>
          </w:p>
        </w:tc>
      </w:tr>
      <w:tr>
        <w:trPr>
          <w:trHeight w:val="279"/>
        </w:trPr>
        <w:tc>
          <w:tcPr>
            <w:tcW w:w="6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Raymond Stevens, Ph.D. . . . . . . . . .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9"/>
        </w:trPr>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Sharon Tetlow . . . . . . . . . . . . . . . . . . . . . . . . . . . . . . . . . . . .</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x*</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x</w:t>
            </w:r>
          </w:p>
        </w:tc>
      </w:tr>
      <w:tr>
        <w:trPr>
          <w:trHeight w:val="279"/>
        </w:trPr>
        <w:tc>
          <w:tcPr>
            <w:tcW w:w="6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Joanne Waldstreicher, M.D. . . . . . . .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x</w:t>
            </w:r>
          </w:p>
        </w:tc>
      </w:tr>
      <w:tr>
        <w:trPr>
          <w:trHeight w:val="279"/>
        </w:trPr>
        <w:tc>
          <w:tcPr>
            <w:tcW w:w="6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Daniel Welch . . . . . . . . . . . . . . . . . . . . . . . . . . . . . . . . . . . .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x</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x*</w:t>
            </w:r>
          </w:p>
        </w:tc>
      </w:tr>
      <w:tr>
        <w:trPr>
          <w:trHeight w:val="279"/>
        </w:trPr>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Meetings in 2023  </w:t>
            </w:r>
            <w:r>
              <w:rPr>
                <w:rFonts w:ascii="Times New Roman" w:cs="Times New Roman" w:eastAsia="Times New Roman" w:hAnsi="Times New Roman"/>
                <w:sz w:val="20"/>
                <w:szCs w:val="20"/>
                <w:color w:val="auto"/>
              </w:rPr>
              <w:t>. . . . . . . . . . . . . . . . . . . . . . . . . . . . . .</w:t>
            </w:r>
          </w:p>
        </w:tc>
        <w:tc>
          <w:tcPr>
            <w:tcW w:w="3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9</w:t>
            </w:r>
          </w:p>
        </w:tc>
        <w:tc>
          <w:tcPr>
            <w:tcW w:w="120" w:type="dxa"/>
            <w:vAlign w:val="bottom"/>
          </w:tcPr>
          <w:p>
            <w:pPr>
              <w:spacing w:after="0"/>
              <w:rPr>
                <w:sz w:val="24"/>
                <w:szCs w:val="24"/>
                <w:color w:val="auto"/>
              </w:rPr>
            </w:pPr>
          </w:p>
        </w:tc>
        <w:tc>
          <w:tcPr>
            <w:tcW w:w="10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4</w:t>
            </w:r>
          </w:p>
        </w:tc>
        <w:tc>
          <w:tcPr>
            <w:tcW w:w="2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123190</wp:posOffset>
                </wp:positionV>
                <wp:extent cx="136842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7pt" to="107.75pt,9.7pt" o:allowincell="f" strokecolor="#000000" strokeweight="0.499pt"/>
            </w:pict>
          </mc:Fallback>
        </mc:AlternateContent>
      </w:r>
    </w:p>
    <w:p>
      <w:pPr>
        <w:spacing w:after="0" w:line="302" w:lineRule="exact"/>
        <w:rPr>
          <w:sz w:val="20"/>
          <w:szCs w:val="20"/>
          <w:color w:val="auto"/>
        </w:rPr>
      </w:pPr>
    </w:p>
    <w:p>
      <w:pPr>
        <w:ind w:left="390" w:hanging="390"/>
        <w:spacing w:after="0"/>
        <w:tabs>
          <w:tab w:leader="none" w:pos="39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Committee Chairperson</w:t>
      </w:r>
    </w:p>
    <w:p>
      <w:pPr>
        <w:sectPr>
          <w:pgSz w:w="11880" w:h="15480" w:orient="portrait"/>
          <w:cols w:equalWidth="0" w:num="1">
            <w:col w:w="9110"/>
          </w:cols>
          <w:pgMar w:left="1390" w:top="1023" w:right="1380" w:bottom="70" w:gutter="0" w:footer="0" w:header="0"/>
        </w:sectPr>
      </w:pPr>
    </w:p>
    <w:p>
      <w:pPr>
        <w:spacing w:after="0" w:line="33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110"/>
          </w:cols>
          <w:pgMar w:left="1390" w:top="1023" w:right="1380" w:bottom="70" w:gutter="0" w:footer="0" w:header="0"/>
          <w:type w:val="continuous"/>
        </w:sectPr>
      </w:pPr>
    </w:p>
    <w:bookmarkStart w:id="239" w:name="page240"/>
    <w:bookmarkEnd w:id="239"/>
    <w:p>
      <w:pPr>
        <w:ind w:left="390" w:hanging="390"/>
        <w:spacing w:after="0" w:line="290" w:lineRule="auto"/>
        <w:tabs>
          <w:tab w:leader="none" w:pos="39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Dobmeier was appointed to our Board and Audit Committee in January 2023. He replaced Ms. Lifton as a member of the Compensation Committee in February 2023 upon her resignation effective upon the closing of our IPO.</w:t>
      </w:r>
    </w:p>
    <w:p>
      <w:pPr>
        <w:spacing w:after="0" w:line="26" w:lineRule="exact"/>
        <w:rPr>
          <w:rFonts w:ascii="Times New Roman" w:cs="Times New Roman" w:eastAsia="Times New Roman" w:hAnsi="Times New Roman"/>
          <w:sz w:val="16"/>
          <w:szCs w:val="16"/>
          <w:color w:val="auto"/>
        </w:rPr>
      </w:pPr>
    </w:p>
    <w:p>
      <w:pPr>
        <w:jc w:val="both"/>
        <w:ind w:left="390" w:hanging="390"/>
        <w:spacing w:after="0" w:line="266" w:lineRule="auto"/>
        <w:tabs>
          <w:tab w:leader="none" w:pos="39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Farid will not stand for re-election and his term will expire at the Annual General Meeting. As of the date of this Proxy Statement, a replacement member for the Audit Committee has not been determined by the Board. The Board intends to make such replacement no later than the meeting of the Board occurring immediately following the Annual General Meeting. When such appointment is made, it will be posted on our website.</w:t>
      </w:r>
    </w:p>
    <w:p>
      <w:pPr>
        <w:spacing w:after="0" w:line="46" w:lineRule="exact"/>
        <w:rPr>
          <w:rFonts w:ascii="Times New Roman" w:cs="Times New Roman" w:eastAsia="Times New Roman" w:hAnsi="Times New Roman"/>
          <w:sz w:val="16"/>
          <w:szCs w:val="16"/>
          <w:color w:val="auto"/>
        </w:rPr>
      </w:pPr>
    </w:p>
    <w:p>
      <w:pPr>
        <w:ind w:left="390" w:hanging="390"/>
        <w:spacing w:after="0"/>
        <w:tabs>
          <w:tab w:leader="none" w:pos="39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Lifton served as a member of the Compensation Committee until the closing of our IPO in February 2023.</w:t>
      </w:r>
    </w:p>
    <w:p>
      <w:pPr>
        <w:spacing w:after="0" w:line="172" w:lineRule="exact"/>
        <w:rPr>
          <w:sz w:val="20"/>
          <w:szCs w:val="20"/>
          <w:color w:val="auto"/>
        </w:rPr>
      </w:pPr>
    </w:p>
    <w:p>
      <w:pPr>
        <w:jc w:val="both"/>
        <w:ind w:left="10" w:firstLine="399"/>
        <w:spacing w:after="0" w:line="254" w:lineRule="auto"/>
        <w:rPr>
          <w:sz w:val="20"/>
          <w:szCs w:val="20"/>
          <w:color w:val="auto"/>
        </w:rPr>
      </w:pPr>
      <w:r>
        <w:rPr>
          <w:rFonts w:ascii="Times New Roman" w:cs="Times New Roman" w:eastAsia="Times New Roman" w:hAnsi="Times New Roman"/>
          <w:sz w:val="20"/>
          <w:szCs w:val="20"/>
          <w:color w:val="auto"/>
        </w:rPr>
        <w:t>Each of the committees has authority to engage legal counsel or other experts or consultants, as it deems appropriate to carry out its responsibilities. The Board has determined that, with the exception of Dr. Stevens’ membership on the Research &amp; Development Committee, each member of each committee meets the applicable Nasdaq rules and regulations regarding “independence” and that each member is free of any relationship that would impair his or her individual exercise of independent judgment with regard to us.</w:t>
      </w:r>
    </w:p>
    <w:p>
      <w:pPr>
        <w:spacing w:after="0" w:line="12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Below is a description of each committee of the Board.</w:t>
      </w:r>
    </w:p>
    <w:p>
      <w:pPr>
        <w:spacing w:after="0" w:line="2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Audit Committee</w:t>
      </w:r>
    </w:p>
    <w:p>
      <w:pPr>
        <w:spacing w:after="0" w:line="168" w:lineRule="exact"/>
        <w:rPr>
          <w:sz w:val="20"/>
          <w:szCs w:val="20"/>
          <w:color w:val="auto"/>
        </w:rPr>
      </w:pPr>
    </w:p>
    <w:p>
      <w:pPr>
        <w:jc w:val="both"/>
        <w:ind w:left="10" w:firstLine="399"/>
        <w:spacing w:after="0" w:line="257" w:lineRule="auto"/>
        <w:rPr>
          <w:sz w:val="20"/>
          <w:szCs w:val="20"/>
          <w:color w:val="auto"/>
        </w:rPr>
      </w:pPr>
      <w:r>
        <w:rPr>
          <w:rFonts w:ascii="Times New Roman" w:cs="Times New Roman" w:eastAsia="Times New Roman" w:hAnsi="Times New Roman"/>
          <w:sz w:val="20"/>
          <w:szCs w:val="20"/>
          <w:color w:val="auto"/>
        </w:rPr>
        <w:t>The Audit Committee was established by the Board in accordance with Section 3(a)(58)(A) of the Securities Exchange Act of 1934, as amended (the “Exchange Act”), to oversee our corporate accounting and financial reporting processes and audits of our financial statements. For this purpose, the Audit Committee performs several functions which include, among other things:</w:t>
      </w:r>
    </w:p>
    <w:p>
      <w:pPr>
        <w:spacing w:after="0" w:line="77" w:lineRule="exact"/>
        <w:rPr>
          <w:sz w:val="20"/>
          <w:szCs w:val="20"/>
          <w:color w:val="auto"/>
        </w:rPr>
      </w:pPr>
    </w:p>
    <w:p>
      <w:pPr>
        <w:jc w:val="both"/>
        <w:ind w:left="590" w:hanging="191"/>
        <w:spacing w:after="0" w:line="279" w:lineRule="auto"/>
        <w:tabs>
          <w:tab w:leader="none" w:pos="59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performance, independence and qualifications of our independent auditors and determining whether to retain our existing independent auditors or engage new independent auditors;</w:t>
      </w:r>
    </w:p>
    <w:p>
      <w:pPr>
        <w:spacing w:after="0" w:line="55" w:lineRule="exact"/>
        <w:rPr>
          <w:rFonts w:ascii="Times New Roman" w:cs="Times New Roman" w:eastAsia="Times New Roman" w:hAnsi="Times New Roman"/>
          <w:sz w:val="20"/>
          <w:szCs w:val="20"/>
          <w:color w:val="auto"/>
        </w:rPr>
      </w:pPr>
    </w:p>
    <w:p>
      <w:pPr>
        <w:ind w:left="590" w:hanging="191"/>
        <w:spacing w:after="0" w:line="279" w:lineRule="auto"/>
        <w:tabs>
          <w:tab w:leader="none" w:pos="59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the engagement of our independent auditors to perform audit services and any permissible non-audit services;</w:t>
      </w:r>
    </w:p>
    <w:p>
      <w:pPr>
        <w:spacing w:after="0" w:line="55" w:lineRule="exact"/>
        <w:rPr>
          <w:rFonts w:ascii="Times New Roman" w:cs="Times New Roman" w:eastAsia="Times New Roman" w:hAnsi="Times New Roman"/>
          <w:sz w:val="20"/>
          <w:szCs w:val="20"/>
          <w:color w:val="auto"/>
        </w:rPr>
      </w:pPr>
    </w:p>
    <w:p>
      <w:pPr>
        <w:ind w:left="590" w:hanging="191"/>
        <w:spacing w:after="0" w:line="279" w:lineRule="auto"/>
        <w:tabs>
          <w:tab w:leader="none" w:pos="59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monitoring the rotation of partners of our independent auditors on our engagement team as required by law;</w:t>
      </w:r>
    </w:p>
    <w:p>
      <w:pPr>
        <w:spacing w:after="0" w:line="55" w:lineRule="exact"/>
        <w:rPr>
          <w:rFonts w:ascii="Times New Roman" w:cs="Times New Roman" w:eastAsia="Times New Roman" w:hAnsi="Times New Roman"/>
          <w:sz w:val="20"/>
          <w:szCs w:val="20"/>
          <w:color w:val="auto"/>
        </w:rPr>
      </w:pPr>
    </w:p>
    <w:p>
      <w:pPr>
        <w:jc w:val="both"/>
        <w:ind w:left="590" w:right="20" w:hanging="191"/>
        <w:spacing w:after="0" w:line="262" w:lineRule="auto"/>
        <w:tabs>
          <w:tab w:leader="none" w:pos="59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spacing w:after="0" w:line="73" w:lineRule="exact"/>
        <w:rPr>
          <w:rFonts w:ascii="Times New Roman" w:cs="Times New Roman" w:eastAsia="Times New Roman" w:hAnsi="Times New Roman"/>
          <w:sz w:val="20"/>
          <w:szCs w:val="20"/>
          <w:color w:val="auto"/>
        </w:rPr>
      </w:pPr>
    </w:p>
    <w:p>
      <w:pPr>
        <w:jc w:val="both"/>
        <w:ind w:left="590" w:hanging="191"/>
        <w:spacing w:after="0" w:line="259" w:lineRule="auto"/>
        <w:tabs>
          <w:tab w:leader="none" w:pos="59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our annual and quarterly financial statements and reports, including the disclosures contained under the section titled “Management’s Discussion and Analysis of Financial Condition and Results of Operations,” and discussing the statements and reports with our independent auditors and management;</w:t>
      </w:r>
    </w:p>
    <w:p>
      <w:pPr>
        <w:spacing w:after="0" w:line="317" w:lineRule="exact"/>
        <w:rPr>
          <w:rFonts w:ascii="Times New Roman" w:cs="Times New Roman" w:eastAsia="Times New Roman" w:hAnsi="Times New Roman"/>
          <w:sz w:val="20"/>
          <w:szCs w:val="20"/>
          <w:color w:val="auto"/>
        </w:rPr>
      </w:pPr>
    </w:p>
    <w:p>
      <w:pPr>
        <w:jc w:val="both"/>
        <w:ind w:left="590" w:hanging="191"/>
        <w:spacing w:after="0" w:line="262" w:lineRule="auto"/>
        <w:tabs>
          <w:tab w:leader="none" w:pos="59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with our independent auditors and management, significant issues that arise regarding accounting principles and financial statement presentation and matters concerning the scope, adequacy and effectiveness of our financial controls;</w:t>
      </w:r>
    </w:p>
    <w:p>
      <w:pPr>
        <w:spacing w:after="0" w:line="73" w:lineRule="exact"/>
        <w:rPr>
          <w:rFonts w:ascii="Times New Roman" w:cs="Times New Roman" w:eastAsia="Times New Roman" w:hAnsi="Times New Roman"/>
          <w:sz w:val="20"/>
          <w:szCs w:val="20"/>
          <w:color w:val="auto"/>
        </w:rPr>
      </w:pPr>
    </w:p>
    <w:p>
      <w:pPr>
        <w:ind w:left="590" w:hanging="191"/>
        <w:spacing w:after="0"/>
        <w:tabs>
          <w:tab w:leader="none" w:pos="59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with management and our independent auditors any earnings announcements;</w:t>
      </w:r>
    </w:p>
    <w:p>
      <w:pPr>
        <w:spacing w:after="0" w:line="125" w:lineRule="exact"/>
        <w:rPr>
          <w:rFonts w:ascii="Times New Roman" w:cs="Times New Roman" w:eastAsia="Times New Roman" w:hAnsi="Times New Roman"/>
          <w:sz w:val="20"/>
          <w:szCs w:val="20"/>
          <w:color w:val="auto"/>
        </w:rPr>
      </w:pPr>
    </w:p>
    <w:p>
      <w:pPr>
        <w:ind w:left="590" w:hanging="191"/>
        <w:spacing w:after="0" w:line="279" w:lineRule="auto"/>
        <w:tabs>
          <w:tab w:leader="none" w:pos="59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procedures for the receipt, retention and treatment of complaints received by us regarding financial controls, accounting or auditing matters and other matters;</w:t>
      </w:r>
    </w:p>
    <w:p>
      <w:pPr>
        <w:spacing w:after="0" w:line="55" w:lineRule="exact"/>
        <w:rPr>
          <w:rFonts w:ascii="Times New Roman" w:cs="Times New Roman" w:eastAsia="Times New Roman" w:hAnsi="Times New Roman"/>
          <w:sz w:val="20"/>
          <w:szCs w:val="20"/>
          <w:color w:val="auto"/>
        </w:rPr>
      </w:pPr>
    </w:p>
    <w:p>
      <w:pPr>
        <w:jc w:val="both"/>
        <w:ind w:left="590" w:hanging="191"/>
        <w:spacing w:after="0" w:line="262" w:lineRule="auto"/>
        <w:tabs>
          <w:tab w:leader="none" w:pos="59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providing oversight of any related-person transactions in accordance with our related person transaction policy and reviewing and monitoring compliance with legal and regulatory responsibilities, including our code of business conduct and ethics; and</w:t>
      </w:r>
    </w:p>
    <w:p>
      <w:pPr>
        <w:spacing w:after="0" w:line="73" w:lineRule="exact"/>
        <w:rPr>
          <w:rFonts w:ascii="Times New Roman" w:cs="Times New Roman" w:eastAsia="Times New Roman" w:hAnsi="Times New Roman"/>
          <w:sz w:val="20"/>
          <w:szCs w:val="20"/>
          <w:color w:val="auto"/>
        </w:rPr>
      </w:pPr>
    </w:p>
    <w:p>
      <w:pPr>
        <w:ind w:left="590" w:hanging="191"/>
        <w:spacing w:after="0" w:line="279" w:lineRule="auto"/>
        <w:tabs>
          <w:tab w:leader="none" w:pos="59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our major financial risk exposures, including the guidelines and policies to govern the process by which risk assessment and risk management are implemented.</w:t>
      </w:r>
    </w:p>
    <w:p>
      <w:pPr>
        <w:spacing w:after="0" w:line="96" w:lineRule="exact"/>
        <w:rPr>
          <w:sz w:val="20"/>
          <w:szCs w:val="20"/>
          <w:color w:val="auto"/>
        </w:rPr>
      </w:pPr>
    </w:p>
    <w:p>
      <w:pPr>
        <w:jc w:val="both"/>
        <w:ind w:left="10" w:firstLine="399"/>
        <w:spacing w:after="0" w:line="253" w:lineRule="auto"/>
        <w:rPr>
          <w:sz w:val="20"/>
          <w:szCs w:val="20"/>
          <w:color w:val="auto"/>
        </w:rPr>
      </w:pPr>
      <w:r>
        <w:rPr>
          <w:rFonts w:ascii="Times New Roman" w:cs="Times New Roman" w:eastAsia="Times New Roman" w:hAnsi="Times New Roman"/>
          <w:sz w:val="20"/>
          <w:szCs w:val="20"/>
          <w:color w:val="auto"/>
        </w:rPr>
        <w:t>The current members of the Audit Committee are Ms. Tetlow, Mr. Dobmeier and Dr. Farid, with Ms. Tetlow serving as the chair. Our Board has determined that each member of the Audit Committee is an independent director under Rule 5605(c)(2)(A)(i) and (ii) of the Nasdaq listing standards and under Rule 10A-3 under the Exchange Act. Each member of our Audit Committee can read and understand fundamental financial statements in accordance with Nasdaq audit committee requirements. In arriving at this determination, the Board has examined each Audit Committee member’s scope of experience and the</w:t>
      </w:r>
    </w:p>
    <w:p>
      <w:pPr>
        <w:sectPr>
          <w:pgSz w:w="11880" w:h="15480" w:orient="portrait"/>
          <w:cols w:equalWidth="0" w:num="1">
            <w:col w:w="9110"/>
          </w:cols>
          <w:pgMar w:left="1390" w:top="1023" w:right="1380" w:bottom="71" w:gutter="0" w:footer="0" w:header="0"/>
        </w:sectPr>
      </w:pPr>
    </w:p>
    <w:p>
      <w:pPr>
        <w:spacing w:after="0" w:line="28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110"/>
          </w:cols>
          <w:pgMar w:left="1390" w:top="1023" w:right="1380" w:bottom="71" w:gutter="0" w:footer="0" w:header="0"/>
          <w:type w:val="continuous"/>
        </w:sectPr>
      </w:pPr>
    </w:p>
    <w:bookmarkStart w:id="240" w:name="page241"/>
    <w:bookmarkEnd w:id="240"/>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nature of their employment in the corporate finance sector. Our Board has determined that Ms. Tetlow qualifies as an Audit Committee financial expert within the meaning of SEC regulations and meets the financial sophistication requirements of the Nasdaq listing standards. Both our independent registered public accounting firm and management periodically meet privately with our Audit Committee.</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Report of the Audit Committee of the Board*</w:t>
      </w:r>
    </w:p>
    <w:p>
      <w:pPr>
        <w:spacing w:after="0" w:line="168" w:lineRule="exact"/>
        <w:rPr>
          <w:sz w:val="20"/>
          <w:szCs w:val="20"/>
          <w:color w:val="auto"/>
        </w:rPr>
      </w:pPr>
    </w:p>
    <w:p>
      <w:pPr>
        <w:jc w:val="both"/>
        <w:ind w:left="10" w:firstLine="399"/>
        <w:spacing w:after="0" w:line="247" w:lineRule="auto"/>
        <w:rPr>
          <w:sz w:val="20"/>
          <w:szCs w:val="20"/>
          <w:color w:val="auto"/>
        </w:rPr>
      </w:pPr>
      <w:r>
        <w:rPr>
          <w:rFonts w:ascii="Times New Roman" w:cs="Times New Roman" w:eastAsia="Times New Roman" w:hAnsi="Times New Roman"/>
          <w:sz w:val="20"/>
          <w:szCs w:val="20"/>
          <w:color w:val="auto"/>
        </w:rPr>
        <w:t>The Audit Committee has reviewed and discussed the Company’s audited financial statements as of and for the fiscal year ended December 31, 2023 with management of the Company and the independent registered public accounting firm.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accounting firm’s independence. Based on the foregoing, the Audit Committee has recommended to the Board of Directors that the Company’s audited financial statements be included in the Company’s Annual Report on Form 10-K for the fiscal year ended December 31, 2023.</w:t>
      </w:r>
    </w:p>
    <w:p>
      <w:pPr>
        <w:spacing w:after="0" w:line="304"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 xml:space="preserve">Sharon Tetlow, </w:t>
      </w:r>
      <w:r>
        <w:rPr>
          <w:rFonts w:ascii="Times New Roman" w:cs="Times New Roman" w:eastAsia="Times New Roman" w:hAnsi="Times New Roman"/>
          <w:sz w:val="20"/>
          <w:szCs w:val="20"/>
          <w:i w:val="1"/>
          <w:iCs w:val="1"/>
          <w:color w:val="auto"/>
        </w:rPr>
        <w:t>Chair</w:t>
      </w:r>
    </w:p>
    <w:p>
      <w:pPr>
        <w:spacing w:after="0" w:line="33"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Eric Dobmeier</w:t>
      </w:r>
    </w:p>
    <w:p>
      <w:pPr>
        <w:spacing w:after="0" w:line="4"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Ramy Farid,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81280</wp:posOffset>
                </wp:positionV>
                <wp:extent cx="136842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4pt" to="107.75pt,6.4pt" o:allowincell="f" strokecolor="#000000" strokeweight="0.499pt"/>
            </w:pict>
          </mc:Fallback>
        </mc:AlternateContent>
      </w:r>
    </w:p>
    <w:p>
      <w:pPr>
        <w:spacing w:after="0" w:line="230" w:lineRule="exact"/>
        <w:rPr>
          <w:sz w:val="20"/>
          <w:szCs w:val="20"/>
          <w:color w:val="auto"/>
        </w:rPr>
      </w:pPr>
    </w:p>
    <w:p>
      <w:pPr>
        <w:jc w:val="both"/>
        <w:ind w:left="390" w:hanging="390"/>
        <w:spacing w:after="0" w:line="264" w:lineRule="auto"/>
        <w:tabs>
          <w:tab w:leader="none" w:pos="390" w:val="left"/>
        </w:tabs>
        <w:numPr>
          <w:ilvl w:val="0"/>
          <w:numId w:val="8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material in this report is not “soliciting material,” is not deemed “filed” with the SEC,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p>
    <w:p>
      <w:pPr>
        <w:spacing w:after="0" w:line="2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Compensation Committee</w:t>
      </w:r>
    </w:p>
    <w:p>
      <w:pPr>
        <w:spacing w:after="0" w:line="168" w:lineRule="exact"/>
        <w:rPr>
          <w:sz w:val="20"/>
          <w:szCs w:val="20"/>
          <w:color w:val="auto"/>
        </w:rPr>
      </w:pPr>
    </w:p>
    <w:p>
      <w:pPr>
        <w:jc w:val="both"/>
        <w:ind w:left="10" w:firstLine="399"/>
        <w:spacing w:after="0" w:line="249" w:lineRule="auto"/>
        <w:rPr>
          <w:sz w:val="20"/>
          <w:szCs w:val="20"/>
          <w:color w:val="auto"/>
        </w:rPr>
      </w:pPr>
      <w:r>
        <w:rPr>
          <w:rFonts w:ascii="Times New Roman" w:cs="Times New Roman" w:eastAsia="Times New Roman" w:hAnsi="Times New Roman"/>
          <w:sz w:val="20"/>
          <w:szCs w:val="20"/>
          <w:color w:val="auto"/>
        </w:rPr>
        <w:t>Our Compensation Committee currently consists of Dr. Love, Mr. Dobmeier and Mr. Welch, with Dr. Love serving as the chair. Mr. Dobmeier was appointed to the Compensation Committee in February 2023 to replace Ms. Lifton, who resigned effective on the consummation of our IPO. Our Board has determined that each of the members of our Compensation Committee is a non-employee director, as defined in Rule 16b-3 promulgated under the Exchange Act and satisfies the Nasdaq independence requirements. The Compensation Committee has a charter that is reviewed and updated annually, or as may be warranted from time to time. The functions of the Compensation Committee include, among other things:</w:t>
      </w:r>
    </w:p>
    <w:p>
      <w:pPr>
        <w:spacing w:after="0" w:line="84" w:lineRule="exact"/>
        <w:rPr>
          <w:sz w:val="20"/>
          <w:szCs w:val="20"/>
          <w:color w:val="auto"/>
        </w:rPr>
      </w:pPr>
    </w:p>
    <w:p>
      <w:pPr>
        <w:ind w:left="590" w:hanging="191"/>
        <w:spacing w:after="0" w:line="277" w:lineRule="auto"/>
        <w:tabs>
          <w:tab w:leader="none" w:pos="5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modifying and approving (or if it deems appropriate, making recommendations to the full Board regarding) our overall compensation strategy and policies;</w:t>
      </w:r>
    </w:p>
    <w:p>
      <w:pPr>
        <w:spacing w:after="0" w:line="57" w:lineRule="exact"/>
        <w:rPr>
          <w:rFonts w:ascii="Times New Roman" w:cs="Times New Roman" w:eastAsia="Times New Roman" w:hAnsi="Times New Roman"/>
          <w:sz w:val="20"/>
          <w:szCs w:val="20"/>
          <w:color w:val="auto"/>
        </w:rPr>
      </w:pPr>
    </w:p>
    <w:p>
      <w:pPr>
        <w:ind w:left="590" w:right="20" w:hanging="191"/>
        <w:spacing w:after="0" w:line="279" w:lineRule="auto"/>
        <w:tabs>
          <w:tab w:leader="none" w:pos="5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(or if it deems appropriate, making recommendations to the full Board regarding) the compensation and other terms of employment of our executive officers;</w:t>
      </w:r>
    </w:p>
    <w:p>
      <w:pPr>
        <w:spacing w:after="0" w:line="55" w:lineRule="exact"/>
        <w:rPr>
          <w:rFonts w:ascii="Times New Roman" w:cs="Times New Roman" w:eastAsia="Times New Roman" w:hAnsi="Times New Roman"/>
          <w:sz w:val="20"/>
          <w:szCs w:val="20"/>
          <w:color w:val="auto"/>
        </w:rPr>
      </w:pPr>
    </w:p>
    <w:p>
      <w:pPr>
        <w:jc w:val="both"/>
        <w:ind w:left="590" w:hanging="191"/>
        <w:spacing w:after="0" w:line="262" w:lineRule="auto"/>
        <w:tabs>
          <w:tab w:leader="none" w:pos="5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(or if it deems it appropriate, making recommendations to the full Board regarding) performance goals and objectives relevant to the compensation of our executive officers and assessing their performance against these goals and objectives;</w:t>
      </w:r>
    </w:p>
    <w:p>
      <w:pPr>
        <w:spacing w:after="0" w:line="73" w:lineRule="exact"/>
        <w:rPr>
          <w:rFonts w:ascii="Times New Roman" w:cs="Times New Roman" w:eastAsia="Times New Roman" w:hAnsi="Times New Roman"/>
          <w:sz w:val="20"/>
          <w:szCs w:val="20"/>
          <w:color w:val="auto"/>
        </w:rPr>
      </w:pPr>
    </w:p>
    <w:p>
      <w:pPr>
        <w:jc w:val="both"/>
        <w:ind w:left="590" w:hanging="191"/>
        <w:spacing w:after="0" w:line="262" w:lineRule="auto"/>
        <w:tabs>
          <w:tab w:leader="none" w:pos="5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(or if it deems it appropriate, making recommendations to the full Board regarding) the equity incentive plans, compensation plans and similar programs advisable for us, as well as modifying, amending or terminating existing plans and programs;</w:t>
      </w:r>
    </w:p>
    <w:p>
      <w:pPr>
        <w:spacing w:after="0" w:line="73" w:lineRule="exact"/>
        <w:rPr>
          <w:rFonts w:ascii="Times New Roman" w:cs="Times New Roman" w:eastAsia="Times New Roman" w:hAnsi="Times New Roman"/>
          <w:sz w:val="20"/>
          <w:szCs w:val="20"/>
          <w:color w:val="auto"/>
        </w:rPr>
      </w:pPr>
    </w:p>
    <w:p>
      <w:pPr>
        <w:jc w:val="both"/>
        <w:ind w:left="590" w:hanging="191"/>
        <w:spacing w:after="0" w:line="262" w:lineRule="auto"/>
        <w:tabs>
          <w:tab w:leader="none" w:pos="5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73" w:lineRule="exact"/>
        <w:rPr>
          <w:rFonts w:ascii="Times New Roman" w:cs="Times New Roman" w:eastAsia="Times New Roman" w:hAnsi="Times New Roman"/>
          <w:sz w:val="20"/>
          <w:szCs w:val="20"/>
          <w:color w:val="auto"/>
        </w:rPr>
      </w:pPr>
    </w:p>
    <w:p>
      <w:pPr>
        <w:ind w:left="590" w:right="20" w:hanging="191"/>
        <w:spacing w:after="0" w:line="279" w:lineRule="auto"/>
        <w:tabs>
          <w:tab w:leader="none" w:pos="5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making recommendations to the full Board regarding the type and amount of compensation to be paid or awarded to our non-employee directors;</w:t>
      </w:r>
    </w:p>
    <w:p>
      <w:pPr>
        <w:spacing w:after="0" w:line="55" w:lineRule="exact"/>
        <w:rPr>
          <w:rFonts w:ascii="Times New Roman" w:cs="Times New Roman" w:eastAsia="Times New Roman" w:hAnsi="Times New Roman"/>
          <w:sz w:val="20"/>
          <w:szCs w:val="20"/>
          <w:color w:val="auto"/>
        </w:rPr>
      </w:pPr>
    </w:p>
    <w:p>
      <w:pPr>
        <w:ind w:left="590" w:hanging="191"/>
        <w:spacing w:after="0"/>
        <w:tabs>
          <w:tab w:leader="none" w:pos="5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administering our equity incentive plans;</w:t>
      </w:r>
    </w:p>
    <w:p>
      <w:pPr>
        <w:spacing w:after="0" w:line="125" w:lineRule="exact"/>
        <w:rPr>
          <w:rFonts w:ascii="Times New Roman" w:cs="Times New Roman" w:eastAsia="Times New Roman" w:hAnsi="Times New Roman"/>
          <w:sz w:val="20"/>
          <w:szCs w:val="20"/>
          <w:color w:val="auto"/>
        </w:rPr>
      </w:pPr>
    </w:p>
    <w:p>
      <w:pPr>
        <w:ind w:left="590" w:hanging="191"/>
        <w:spacing w:after="0"/>
        <w:tabs>
          <w:tab w:leader="none" w:pos="5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policies with respect to equity compensation arrangements;</w:t>
      </w:r>
    </w:p>
    <w:p>
      <w:pPr>
        <w:sectPr>
          <w:pgSz w:w="11880" w:h="15480" w:orient="portrait"/>
          <w:cols w:equalWidth="0" w:num="1">
            <w:col w:w="9110"/>
          </w:cols>
          <w:pgMar w:left="1390" w:top="1025" w:right="1380" w:bottom="70" w:gutter="0" w:footer="0" w:header="0"/>
        </w:sectPr>
      </w:pPr>
    </w:p>
    <w:p>
      <w:pPr>
        <w:spacing w:after="0" w:line="32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110"/>
          </w:cols>
          <w:pgMar w:left="1390" w:top="1025" w:right="1380" w:bottom="70" w:gutter="0" w:footer="0" w:header="0"/>
          <w:type w:val="continuous"/>
        </w:sectPr>
      </w:pPr>
    </w:p>
    <w:bookmarkStart w:id="241" w:name="page242"/>
    <w:bookmarkEnd w:id="241"/>
    <w:p>
      <w:pPr>
        <w:ind w:left="580" w:hanging="191"/>
        <w:spacing w:after="0" w:line="281" w:lineRule="auto"/>
        <w:tabs>
          <w:tab w:leader="none" w:pos="5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competitiveness of our executive compensation programs and evaluating the effectiveness of our compensation policy and strategy in achieving expected benefits to us; and</w:t>
      </w:r>
    </w:p>
    <w:p>
      <w:pPr>
        <w:spacing w:after="0" w:line="56" w:lineRule="exact"/>
        <w:rPr>
          <w:rFonts w:ascii="Times New Roman" w:cs="Times New Roman" w:eastAsia="Times New Roman" w:hAnsi="Times New Roman"/>
          <w:sz w:val="20"/>
          <w:szCs w:val="20"/>
          <w:color w:val="auto"/>
        </w:rPr>
      </w:pPr>
    </w:p>
    <w:p>
      <w:pPr>
        <w:jc w:val="both"/>
        <w:ind w:left="580" w:hanging="191"/>
        <w:spacing w:after="0" w:line="264" w:lineRule="auto"/>
        <w:tabs>
          <w:tab w:leader="none" w:pos="5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making recommendations to the full Board regarding the terms of any employment agreements, severance arrangements, change in control protections and any other compensatory arrangements for our executive officers.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Committee Responsibilities</w:t>
      </w:r>
    </w:p>
    <w:p>
      <w:pPr>
        <w:spacing w:after="0" w:line="168"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20"/>
          <w:szCs w:val="20"/>
          <w:color w:val="auto"/>
        </w:rPr>
        <w:t>The Compensation Committee or the Board upon recommendation from the Compensation Committee, makes the significant adjustments to annual compensation, determines bonus and equity awards, and establishes new performance objectives at one or more meetings held during the first quarter of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Compensation Committee by the Chief Executive Officer. In the case of the Chief Executive Officer, the evaluation of his performance is conducted by the Board upon recommendation from the Compensation Committee, which determines any adjustments to his compensation as well as awards to be granted. For all executives,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any executive and director share ownership information, company share performance data, analyses of historical executive compensation levels and current Company-wide compensation levels and recommendations of Radford/Aon (“Radford”), including analyses of executive compensation paid at other companies identified by the consultant. The Compensation Committee or the Board, upon recommendation from the Compensation Committee, also reviews and approves any peer group of companies used to inform the Company’s evaluation of compensation for its employees and directors; reviews and makes recommendations with respect to non-employee director compensation.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Committee Processes and Procedures</w:t>
      </w:r>
    </w:p>
    <w:p>
      <w:pPr>
        <w:spacing w:after="0" w:line="168"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20"/>
          <w:szCs w:val="20"/>
          <w:color w:val="auto"/>
        </w:rPr>
        <w:t>Typically, the Compensation Committee meets whenever its members deem a meeting necessary or appropriate, and typically at least quarterly. The agenda for each meeting is usually developed by the Chair of the Compensation Committee, in consultation with the Chief Executive Officer and Radford, the Company’s compensation consultant.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be present during the voting or deliberations regarding his compensation. The charter of the Compensation Committee grants the Compensation Committee full access to all books, records, facilities and personnel of our company. In addition, under the charter, the Compensation Committee has the authority to obtain, at the expense of our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378"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During the past fiscal year, after taking into consideration the six factors prescribed by the SEC and Nasdaq described above, the Compensation Committee engaged Radford to conduct a review and analysis of our executive and director compensation compared with current market practices and a peer group of companies, to be used for setting 2023 executive and director compensation levels. The 2023 peer group was</w:t>
      </w:r>
    </w:p>
    <w:p>
      <w:pPr>
        <w:sectPr>
          <w:pgSz w:w="11880" w:h="15480" w:orient="portrait"/>
          <w:cols w:equalWidth="0" w:num="1">
            <w:col w:w="9100"/>
          </w:cols>
          <w:pgMar w:left="1400" w:top="1025" w:right="1380" w:bottom="70" w:gutter="0" w:footer="0" w:header="0"/>
        </w:sect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100"/>
          </w:cols>
          <w:pgMar w:left="1400" w:top="1025" w:right="1380" w:bottom="70" w:gutter="0" w:footer="0" w:header="0"/>
          <w:type w:val="continuous"/>
        </w:sectPr>
      </w:pPr>
    </w:p>
    <w:bookmarkStart w:id="242" w:name="page243"/>
    <w:bookmarkEnd w:id="242"/>
    <w:p>
      <w:pPr>
        <w:jc w:val="both"/>
        <w:spacing w:after="0" w:line="256" w:lineRule="auto"/>
        <w:rPr>
          <w:sz w:val="20"/>
          <w:szCs w:val="20"/>
          <w:color w:val="auto"/>
        </w:rPr>
      </w:pPr>
      <w:r>
        <w:rPr>
          <w:rFonts w:ascii="Times New Roman" w:cs="Times New Roman" w:eastAsia="Times New Roman" w:hAnsi="Times New Roman"/>
          <w:sz w:val="20"/>
          <w:szCs w:val="20"/>
          <w:color w:val="auto"/>
        </w:rPr>
        <w:t>chosen based on several characteristics including: comparable stage in key product and corporate development, similar growth and performance potential and market capitalization. Radford reports to the Compensation Committee. The Compensation Committee has assessed the independence of Radford according to the six factors mandated by SEC and Nasdaq listing standards. After conducting this assessment and considering any potential conflicts of interest, the Compensation Committee concluded that the continued engagement of Radford did not raise any conflict of interest and did not adversely affect Radford’s independence.</w:t>
      </w:r>
    </w:p>
    <w:p>
      <w:pPr>
        <w:spacing w:after="0" w:line="125" w:lineRule="exact"/>
        <w:rPr>
          <w:sz w:val="20"/>
          <w:szCs w:val="20"/>
          <w:color w:val="auto"/>
        </w:rPr>
      </w:pPr>
    </w:p>
    <w:p>
      <w:pPr>
        <w:jc w:val="both"/>
        <w:ind w:firstLine="399"/>
        <w:spacing w:after="0" w:line="244" w:lineRule="auto"/>
        <w:rPr>
          <w:sz w:val="20"/>
          <w:szCs w:val="20"/>
          <w:color w:val="auto"/>
        </w:rPr>
      </w:pPr>
      <w:r>
        <w:rPr>
          <w:rFonts w:ascii="Times New Roman" w:cs="Times New Roman" w:eastAsia="Times New Roman" w:hAnsi="Times New Roman"/>
          <w:sz w:val="20"/>
          <w:szCs w:val="20"/>
          <w:color w:val="auto"/>
        </w:rPr>
        <w:t>Radford’s review, which consisted of an analysis of our compensation practices against prevailing market practices of identified peer group companies and broader industry trends, analyzed total direct compensation (inclusive of salary, cash bonuses and equity awards) of our executive officers and was based on an assessment of market trends through analysis of available public information in addition to proprietary data provided by Radford. As guidelines for our executives and directors, we set target cash compensation, when considering salary and bonus potential (or retainers, in the instance of directors), and equity compensation, delivered through equity-based awards, after generally referencing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and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percentiles of compensation paid to executives and directors within our compensation peer group. We believe that generally referencing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and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percentiles within our peer group in setting salary, bonus, and equity compensation in setting equity compensation for our executives, appropriately reflects our position and performance within our peer group. We may deviate from setting actual compensation levels at these target percentiles of the peer group with respect to our executives to reflect experience, performance levels, existing equity holdings, and market factors as deemed appropriate by the Compensation Committee or the Board. In any given year, the Compensation Committee may consider the experience and performance levels of our executives and other factors deemed appropriate and make a subjective determination that it would be appropriate for any Named Executive Officer’s (as defined below) compensation elements or targeted total compensation and equity levels to deviate from the targeted percentile of the compensation paid to similarly situated officers employed by our peer companies.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Delegation Authority</w:t>
      </w:r>
    </w:p>
    <w:p>
      <w:pPr>
        <w:spacing w:after="0" w:line="168"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20"/>
          <w:szCs w:val="20"/>
          <w:color w:val="auto"/>
        </w:rPr>
        <w:t>Under its charter, the Compensation Committee may delegate to one or more officers of the Company the authority to make grants and awards of cash or options or other equity securities to non-executive employees within certain parameters. In June 2023, the Compensation Committee approved the formation of an equity grant committee, currently composed of Raymond Stevens Ph.D., our Chief Executive Officer, and Jun Yoon, our Chief Financial Officer, acting together or separately, to which authority has been delegated to grant share option awards to non-executive employees under the Company’s 2023 Equity Incentive Plan (the “2023 Plan”), subject to certain specified limitations and oversight by our Compensation Committee. The purpose of this delegation of authority is to enhance the flexibility of equity award administration and to facilitate the timely grant of share option awards to non-executive employees, particularly new employees, within specified guidelines and limits approved by our Compensation Committee. As part of its oversight function, our Compensation Committee periodically reviews the list of grants made by the equity grant committee. During the year ended December 31, 2023, the equity grant committee exercised its delegated authority to grant share option awards covering a total of 415,908 ordinary shares to non-executive employees.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Committee Interlocks and Insider Participation</w:t>
      </w:r>
    </w:p>
    <w:p>
      <w:pPr>
        <w:spacing w:after="0" w:line="168"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No member of the Compensation Committee is a current or former officer or employee of the Company. None of our executive officers currently serves, or has served during 2023, on the board of directors or compensation committee of any other company that has one or more executive officers serving on our Board or on our Compensation Committee.</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100"/>
          </w:cols>
          <w:pgMar w:left="1400" w:top="1025" w:right="1380" w:bottom="70" w:gutter="0" w:footer="0" w:header="0"/>
          <w:type w:val="continuous"/>
        </w:sectPr>
      </w:pPr>
    </w:p>
    <w:bookmarkStart w:id="243" w:name="page244"/>
    <w:bookmarkEnd w:id="243"/>
    <w:p>
      <w:pPr>
        <w:spacing w:after="0"/>
        <w:rPr>
          <w:sz w:val="20"/>
          <w:szCs w:val="20"/>
          <w:color w:val="auto"/>
        </w:rPr>
      </w:pPr>
      <w:r>
        <w:rPr>
          <w:rFonts w:ascii="Times New Roman" w:cs="Times New Roman" w:eastAsia="Times New Roman" w:hAnsi="Times New Roman"/>
          <w:sz w:val="20"/>
          <w:szCs w:val="20"/>
          <w:b w:val="1"/>
          <w:bCs w:val="1"/>
          <w:i w:val="1"/>
          <w:iCs w:val="1"/>
          <w:color w:val="auto"/>
        </w:rPr>
        <w:t>Nominating and Corporate Governance Committee</w:t>
      </w:r>
    </w:p>
    <w:p>
      <w:pPr>
        <w:spacing w:after="0" w:line="168"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Our Nominating and Corporate Governance Committee currently consists of Mr. Welch, Ms. Tetlow and Dr. Waldstreicher, with Mr. Welch serving as the chair. Our Board has determined that each of the members of this committee satisfies the Nasdaq independence requirements. The Nominating and Corporate Governance Committee has a charter that is reviewed and updated annually, or as may be warranted from time to time. The functions of this committee include, among other things:</w:t>
      </w:r>
    </w:p>
    <w:p>
      <w:pPr>
        <w:spacing w:after="0" w:line="80" w:lineRule="exact"/>
        <w:rPr>
          <w:sz w:val="20"/>
          <w:szCs w:val="20"/>
          <w:color w:val="auto"/>
        </w:rPr>
      </w:pPr>
    </w:p>
    <w:p>
      <w:pPr>
        <w:ind w:left="580" w:hanging="191"/>
        <w:spacing w:after="0" w:line="279" w:lineRule="auto"/>
        <w:tabs>
          <w:tab w:leader="none" w:pos="5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reviewing and evaluating candidates to serve on our Board consistent with criteria approved by our Board;</w:t>
      </w:r>
    </w:p>
    <w:p>
      <w:pPr>
        <w:spacing w:after="0" w:line="4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the minimum qualifications for service on our Board;</w:t>
      </w:r>
    </w:p>
    <w:p>
      <w:pPr>
        <w:spacing w:after="0" w:line="113" w:lineRule="exact"/>
        <w:rPr>
          <w:rFonts w:ascii="Times New Roman" w:cs="Times New Roman" w:eastAsia="Times New Roman" w:hAnsi="Times New Roman"/>
          <w:sz w:val="20"/>
          <w:szCs w:val="20"/>
          <w:color w:val="auto"/>
        </w:rPr>
      </w:pPr>
    </w:p>
    <w:p>
      <w:pPr>
        <w:ind w:left="580" w:hanging="191"/>
        <w:spacing w:after="0" w:line="279" w:lineRule="auto"/>
        <w:tabs>
          <w:tab w:leader="none" w:pos="5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director performance on the Board and applicable committees of the board and determining whether continued service on our Board is appropriate;</w:t>
      </w:r>
    </w:p>
    <w:p>
      <w:pPr>
        <w:spacing w:after="0" w:line="44"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nominating and recommending individuals for membership on our Board;</w:t>
      </w:r>
    </w:p>
    <w:p>
      <w:pPr>
        <w:spacing w:after="0" w:line="113"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nominations by shareholders of candidates for election to our Board;</w:t>
      </w:r>
    </w:p>
    <w:p>
      <w:pPr>
        <w:spacing w:after="0" w:line="113"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considering and assessing the independence of members of our Board;</w:t>
      </w:r>
    </w:p>
    <w:p>
      <w:pPr>
        <w:spacing w:after="0" w:line="113" w:lineRule="exact"/>
        <w:rPr>
          <w:rFonts w:ascii="Times New Roman" w:cs="Times New Roman" w:eastAsia="Times New Roman" w:hAnsi="Times New Roman"/>
          <w:sz w:val="20"/>
          <w:szCs w:val="20"/>
          <w:color w:val="auto"/>
        </w:rPr>
      </w:pPr>
    </w:p>
    <w:p>
      <w:pPr>
        <w:jc w:val="both"/>
        <w:ind w:left="580" w:right="20" w:hanging="191"/>
        <w:spacing w:after="0" w:line="262" w:lineRule="auto"/>
        <w:tabs>
          <w:tab w:leader="none" w:pos="5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a set of corporate governance policies and principles, and periodically reviewing and assessing these policies and principles and their application and recommending to our Board any changes to such policies and principles;</w:t>
      </w:r>
    </w:p>
    <w:p>
      <w:pPr>
        <w:spacing w:after="0" w:line="61"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considering questions of possible conflicts of interest of directors as such questions arise; and</w:t>
      </w:r>
    </w:p>
    <w:p>
      <w:pPr>
        <w:spacing w:after="0" w:line="113" w:lineRule="exact"/>
        <w:rPr>
          <w:rFonts w:ascii="Times New Roman" w:cs="Times New Roman" w:eastAsia="Times New Roman" w:hAnsi="Times New Roman"/>
          <w:sz w:val="20"/>
          <w:szCs w:val="20"/>
          <w:color w:val="auto"/>
        </w:rPr>
      </w:pPr>
    </w:p>
    <w:p>
      <w:pPr>
        <w:ind w:left="580" w:right="20" w:hanging="191"/>
        <w:spacing w:after="0" w:line="279" w:lineRule="auto"/>
        <w:tabs>
          <w:tab w:leader="none" w:pos="5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assessing on an annual basis the performance of the Nominating and Corporate Governance Committee and its charter.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&amp; Development Committee</w:t>
      </w:r>
    </w:p>
    <w:p>
      <w:pPr>
        <w:spacing w:after="0" w:line="168"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20"/>
          <w:szCs w:val="20"/>
          <w:color w:val="auto"/>
        </w:rPr>
        <w:t>Our Research &amp; Development Committee was formed in March 2024, and currently consists of Dr. Waldstreicher, Dr. Love and Dr. Stevens, with Dr. Waldstreicher serving as the chair. The Research &amp; Development Committee has a charter that is reviewed and updated annually, or as may be warranted from time to time. The functions of this committee include, among other things:</w:t>
      </w:r>
    </w:p>
    <w:p>
      <w:pPr>
        <w:spacing w:after="0" w:line="77" w:lineRule="exact"/>
        <w:rPr>
          <w:sz w:val="20"/>
          <w:szCs w:val="20"/>
          <w:color w:val="auto"/>
        </w:rPr>
      </w:pPr>
    </w:p>
    <w:p>
      <w:pPr>
        <w:ind w:left="580" w:hanging="191"/>
        <w:spacing w:after="0" w:line="279" w:lineRule="auto"/>
        <w:tabs>
          <w:tab w:leader="none" w:pos="5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providing advice for the Company’s research and development (“R&amp;D”) programs on behalf of the Board;</w:t>
      </w:r>
    </w:p>
    <w:p>
      <w:pPr>
        <w:spacing w:after="0" w:line="42" w:lineRule="exact"/>
        <w:rPr>
          <w:rFonts w:ascii="Times New Roman" w:cs="Times New Roman" w:eastAsia="Times New Roman" w:hAnsi="Times New Roman"/>
          <w:sz w:val="20"/>
          <w:szCs w:val="20"/>
          <w:color w:val="auto"/>
        </w:rPr>
      </w:pPr>
    </w:p>
    <w:p>
      <w:pPr>
        <w:ind w:left="580" w:hanging="191"/>
        <w:spacing w:after="0"/>
        <w:tabs>
          <w:tab w:leader="none" w:pos="5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advice to the Board regarding the strategic direction of the Company’s R&amp;D activities;</w:t>
      </w:r>
    </w:p>
    <w:p>
      <w:pPr>
        <w:spacing w:after="0" w:line="111" w:lineRule="exact"/>
        <w:rPr>
          <w:rFonts w:ascii="Times New Roman" w:cs="Times New Roman" w:eastAsia="Times New Roman" w:hAnsi="Times New Roman"/>
          <w:sz w:val="20"/>
          <w:szCs w:val="20"/>
          <w:color w:val="auto"/>
        </w:rPr>
      </w:pPr>
    </w:p>
    <w:p>
      <w:pPr>
        <w:ind w:left="580" w:right="20" w:hanging="191"/>
        <w:spacing w:after="0" w:line="279" w:lineRule="auto"/>
        <w:tabs>
          <w:tab w:leader="none" w:pos="5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and discussing significant emerging trends and issues in science and technology and considering the potential impact of such on the Company’s R&amp;D; and</w:t>
      </w:r>
    </w:p>
    <w:p>
      <w:pPr>
        <w:spacing w:after="0" w:line="42" w:lineRule="exact"/>
        <w:rPr>
          <w:rFonts w:ascii="Times New Roman" w:cs="Times New Roman" w:eastAsia="Times New Roman" w:hAnsi="Times New Roman"/>
          <w:sz w:val="20"/>
          <w:szCs w:val="20"/>
          <w:color w:val="auto"/>
        </w:rPr>
      </w:pPr>
    </w:p>
    <w:p>
      <w:pPr>
        <w:ind w:left="580" w:hanging="191"/>
        <w:spacing w:after="0" w:line="279" w:lineRule="auto"/>
        <w:tabs>
          <w:tab w:leader="none" w:pos="5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advice to the Company’s management and to the Board in connection with the allocation, deployment, utilization of, and allocation of resources in the Company’s R&amp;D.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Committee Charters and Corporate Governance Guidelines</w:t>
      </w:r>
    </w:p>
    <w:p>
      <w:pPr>
        <w:spacing w:after="0" w:line="168" w:lineRule="exact"/>
        <w:rPr>
          <w:sz w:val="20"/>
          <w:szCs w:val="20"/>
          <w:color w:val="auto"/>
        </w:rPr>
      </w:pPr>
    </w:p>
    <w:p>
      <w:pPr>
        <w:jc w:val="both"/>
        <w:ind w:firstLine="399"/>
        <w:spacing w:after="0" w:line="279" w:lineRule="auto"/>
        <w:rPr>
          <w:sz w:val="20"/>
          <w:szCs w:val="20"/>
          <w:color w:val="auto"/>
        </w:rPr>
      </w:pPr>
      <w:r>
        <w:rPr>
          <w:rFonts w:ascii="Times New Roman" w:cs="Times New Roman" w:eastAsia="Times New Roman" w:hAnsi="Times New Roman"/>
          <w:sz w:val="20"/>
          <w:szCs w:val="20"/>
          <w:color w:val="auto"/>
        </w:rPr>
        <w:t>Complete copies of our Corporate Governance Guidelines and committee charters are posted in the “Corporate Governance” section of our website located at www.structuretx.com.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Sessions</w:t>
      </w:r>
    </w:p>
    <w:p>
      <w:pPr>
        <w:spacing w:after="0" w:line="168"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20"/>
          <w:szCs w:val="20"/>
          <w:color w:val="auto"/>
        </w:rPr>
        <w:t>Executive sessions, which are meetings at which only independent directors are present, are regularly scheduled throughout the year, typically at the time of each regular Board meeting and as frequently as such independent directors deem appropriate. A director designated at each executive session by the independent directors presides at the executive sessions.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Board’s Oversight of Strategy</w:t>
      </w:r>
    </w:p>
    <w:p>
      <w:pPr>
        <w:spacing w:after="0" w:line="168" w:lineRule="exact"/>
        <w:rPr>
          <w:sz w:val="20"/>
          <w:szCs w:val="20"/>
          <w:color w:val="auto"/>
        </w:rPr>
      </w:pPr>
    </w:p>
    <w:p>
      <w:pPr>
        <w:jc w:val="both"/>
        <w:ind w:firstLine="399"/>
        <w:spacing w:after="0" w:line="279" w:lineRule="auto"/>
        <w:rPr>
          <w:sz w:val="20"/>
          <w:szCs w:val="20"/>
          <w:color w:val="auto"/>
        </w:rPr>
      </w:pPr>
      <w:r>
        <w:rPr>
          <w:rFonts w:ascii="Times New Roman" w:cs="Times New Roman" w:eastAsia="Times New Roman" w:hAnsi="Times New Roman"/>
          <w:sz w:val="20"/>
          <w:szCs w:val="20"/>
          <w:color w:val="auto"/>
        </w:rPr>
        <w:t>Our Board is deeply engaged and involved in overseeing our long-range strategy, including evaluating our key market opportunities, product development, clinical trials, partnering opportunities and competitive</w:t>
      </w:r>
    </w:p>
    <w:p>
      <w:pPr>
        <w:sectPr>
          <w:pgSz w:w="11880" w:h="15480" w:orient="portrait"/>
          <w:cols w:equalWidth="0" w:num="1">
            <w:col w:w="9100"/>
          </w:cols>
          <w:pgMar w:left="1400" w:top="1026" w:right="1380" w:bottom="71" w:gutter="0" w:footer="0" w:header="0"/>
        </w:sect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100"/>
          </w:cols>
          <w:pgMar w:left="1400" w:top="1026" w:right="1380" w:bottom="71" w:gutter="0" w:footer="0" w:header="0"/>
          <w:type w:val="continuous"/>
        </w:sectPr>
      </w:pPr>
    </w:p>
    <w:bookmarkStart w:id="244" w:name="page245"/>
    <w:bookmarkEnd w:id="244"/>
    <w:p>
      <w:pPr>
        <w:jc w:val="both"/>
        <w:spacing w:after="0" w:line="250" w:lineRule="auto"/>
        <w:rPr>
          <w:sz w:val="20"/>
          <w:szCs w:val="20"/>
          <w:color w:val="auto"/>
        </w:rPr>
      </w:pPr>
      <w:r>
        <w:rPr>
          <w:rFonts w:ascii="Times New Roman" w:cs="Times New Roman" w:eastAsia="Times New Roman" w:hAnsi="Times New Roman"/>
          <w:sz w:val="20"/>
          <w:szCs w:val="20"/>
          <w:color w:val="auto"/>
        </w:rPr>
        <w:t>developments. Our Board’s oversight of risk is another integral component of the Board’s oversight and engagement on strategic matters. Strategy-related matters are regularly discussed at board meetings and, when relevant, at Committee meetings. We also dedicate at least one board meeting every year to an even more intensive review and discussion of our strategic plan. Matters of strategy also inform committee-level discussions of many issues, including enterprise risk. Engagement of the Board on these issues and other matters of strategic importance continues in between meetings, including through updates to the Board on significant items and discussions between the CEO and our Chair on a periodic basis. Each director is expected to and does bring to bear their own talents, insights, and experiences to these strategy discussions.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and Data Privacy Oversight</w:t>
      </w:r>
    </w:p>
    <w:p>
      <w:pPr>
        <w:spacing w:after="0" w:line="168"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20"/>
          <w:szCs w:val="20"/>
          <w:color w:val="auto"/>
        </w:rPr>
        <w:t>Our Board addresses our cybersecurity risk management as part of its general oversight function. Our Audit Committee is responsible for overseeing our cybersecurity risk management processes, including oversight of mitigation of risks from cybersecurity threats. Our cybersecurity risk assessment and management processes are implemented and maintained by certain Company management, including our Senior Director of Internal Controls and SOX Compliance and our Director of IT Security and Compliance. Our cybersecurity incident response policy includes reporting to the Audit Committee for certain cybersecurity incidents. The Audit Committee receives periodic reports from our cybersecurity function concerning our significant cybersecurity threats and risk and the processes we have implemented to address them. The Audit Committee also has access to various reports, summaries or presentations related to cybersecurity threats, risk and mitigation and our cybersecurity incident response policy includes reporting to the Audit Committee for certain cybersecurity incidents.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and Board ESG Oversight</w:t>
      </w:r>
    </w:p>
    <w:p>
      <w:pPr>
        <w:spacing w:after="0" w:line="168"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Our executive leadership team, comprised of our CEO, CFO, and executives from across the company, oversee our efforts to integrate sustainability and corporate responsibility into our strategic planning, risk management, and reporting. Day-to-day responsibility for our ESG program resides with a cross-functional representation of leaders headed by our Nominating Committee who meet regularly to review progress and provide recommendations to the executive team.</w:t>
      </w:r>
    </w:p>
    <w:p>
      <w:pPr>
        <w:spacing w:after="0" w:line="120" w:lineRule="exact"/>
        <w:rPr>
          <w:sz w:val="20"/>
          <w:szCs w:val="20"/>
          <w:color w:val="auto"/>
        </w:rPr>
      </w:pPr>
    </w:p>
    <w:p>
      <w:pPr>
        <w:jc w:val="both"/>
        <w:ind w:firstLine="399"/>
        <w:spacing w:after="0" w:line="279" w:lineRule="auto"/>
        <w:rPr>
          <w:sz w:val="20"/>
          <w:szCs w:val="20"/>
          <w:color w:val="auto"/>
        </w:rPr>
      </w:pPr>
      <w:r>
        <w:rPr>
          <w:rFonts w:ascii="Times New Roman" w:cs="Times New Roman" w:eastAsia="Times New Roman" w:hAnsi="Times New Roman"/>
          <w:sz w:val="20"/>
          <w:szCs w:val="20"/>
          <w:color w:val="auto"/>
        </w:rPr>
        <w:t>At the Board level, the Board as a whole and through the Nominating Committee, oversees sustainability and corporate responsibility.</w:t>
      </w:r>
    </w:p>
    <w:p>
      <w:pPr>
        <w:spacing w:after="0" w:line="96" w:lineRule="exact"/>
        <w:rPr>
          <w:sz w:val="20"/>
          <w:szCs w:val="20"/>
          <w:color w:val="auto"/>
        </w:rPr>
      </w:pPr>
    </w:p>
    <w:p>
      <w:pPr>
        <w:jc w:val="both"/>
        <w:ind w:firstLine="399"/>
        <w:spacing w:after="0" w:line="263" w:lineRule="auto"/>
        <w:rPr>
          <w:sz w:val="20"/>
          <w:szCs w:val="20"/>
          <w:color w:val="auto"/>
        </w:rPr>
      </w:pPr>
      <w:r>
        <w:rPr>
          <w:rFonts w:ascii="Times New Roman" w:cs="Times New Roman" w:eastAsia="Times New Roman" w:hAnsi="Times New Roman"/>
          <w:sz w:val="20"/>
          <w:szCs w:val="20"/>
          <w:color w:val="auto"/>
        </w:rPr>
        <w:t>Other Board committees also conduct detailed reviews on key ESG topics; for example, our Compensation Committee oversees the Company’s talent, culture, compensation structure and compensation programs and our Audit Committee assists the Board in monitoring cybersecurity risk.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Securityholder Communications with the Board</w:t>
      </w:r>
    </w:p>
    <w:p>
      <w:pPr>
        <w:spacing w:after="0" w:line="168"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20"/>
          <w:szCs w:val="20"/>
          <w:color w:val="auto"/>
        </w:rPr>
        <w:t>Our Board has adopted a formal process by which securityholders may communicate with the Board or any of its directors. Securityholders who wish to communicate with the Board may do so by sending written communications addressed to the Board or such director c/o Structure Therapeutics Inc. 601 Gateway Blvd., Suite 900, South San Francisco, CA, 94080, Attn: Secretary. Our Secretary will review each communication, and will forward such communication to the Board or to any individual director to whom the communication is addressed unless the communication contains advertisements or solicitations or is unduly hostile, threatening or similarly inappropriate, in which case the Secretary shall discard the communication or inform the proper authorities, as may be appropriate.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Code of Business Conduct and Ethics</w:t>
      </w:r>
    </w:p>
    <w:p>
      <w:pPr>
        <w:spacing w:after="0" w:line="168"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20"/>
          <w:szCs w:val="20"/>
          <w:color w:val="auto"/>
        </w:rPr>
        <w:t>We have adopted a Code of Business Conduct and Ethics, which is applicable to all of our directors, officers and employees, including our principal executive officer, principal financial officer, principal accounting officer or controller, or person performing similar functions. The Code of Business Conduct and Ethics is posted in the “Corporate Governance” section of our website located at www.structuretx.com. If we ever were to amend or waive any provision of our Code of Business Conduct and Ethics that applies to our principal executive officer, principal financial officer, principal accounting officer or any person performing similar functions, we intend to satisfy its disclosure obligations, if any, with respect to any such waiver or</w:t>
      </w:r>
    </w:p>
    <w:p>
      <w:pPr>
        <w:sectPr>
          <w:pgSz w:w="11880" w:h="15480" w:orient="portrait"/>
          <w:cols w:equalWidth="0" w:num="1">
            <w:col w:w="9100"/>
          </w:cols>
          <w:pgMar w:left="1400" w:top="1025" w:right="1380" w:bottom="70" w:gutter="0" w:footer="0" w:header="0"/>
        </w:sect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100"/>
          </w:cols>
          <w:pgMar w:left="1400" w:top="1025" w:right="1380" w:bottom="70" w:gutter="0" w:footer="0" w:header="0"/>
          <w:type w:val="continuous"/>
        </w:sectPr>
      </w:pPr>
    </w:p>
    <w:bookmarkStart w:id="245" w:name="page246"/>
    <w:bookmarkEnd w:id="245"/>
    <w:p>
      <w:pPr>
        <w:jc w:val="both"/>
        <w:spacing w:after="0" w:line="266" w:lineRule="auto"/>
        <w:rPr>
          <w:sz w:val="20"/>
          <w:szCs w:val="20"/>
          <w:color w:val="auto"/>
        </w:rPr>
      </w:pPr>
      <w:r>
        <w:rPr>
          <w:rFonts w:ascii="Times New Roman" w:cs="Times New Roman" w:eastAsia="Times New Roman" w:hAnsi="Times New Roman"/>
          <w:sz w:val="20"/>
          <w:szCs w:val="20"/>
          <w:color w:val="auto"/>
        </w:rPr>
        <w:t>amendment by posting such information on our website set forth above rather than by filing a Current Report on Form 8-K. In the case of a waiver for an executive officer or a director, the disclosure required under applicable Nasdaq listing standards also will be made available on our website.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Hedging and Pledging Policy</w:t>
      </w:r>
    </w:p>
    <w:p>
      <w:pPr>
        <w:spacing w:after="0" w:line="168"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Our Insider Trading Policy prohibits directors, officers and other employees from engaging in derivatives securities or hedging transactions, including prepaid variable forward contracts, equity swaps, collars and exchange funds, or otherwise engage in transactions that hedge or offset, or are designed to hedge or offset any decrease in the market value of our securities and the risks associated with holding our ADSs. Our Insider Trading Policy also prohibits trading in publicly-traded options, such as puts and calls, and other derivative securities with respect to our securities (other than share options and other compensatory equity awards issued by us), as well holding our ADSs in margin accounts. Additionally, our Insider Trading Policy prohibits pledging securities as collateral for a loan without prior approval from our Board and pre-clearance from the Compliance Officer.</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100"/>
          </w:cols>
          <w:pgMar w:left="1400" w:top="1025" w:right="1380" w:bottom="70" w:gutter="0" w:footer="0" w:header="0"/>
          <w:type w:val="continuous"/>
        </w:sectPr>
      </w:pPr>
    </w:p>
    <w:bookmarkStart w:id="246" w:name="page247"/>
    <w:bookmarkEnd w:id="246"/>
    <w:p>
      <w:pPr>
        <w:jc w:val="center"/>
        <w:ind w:right="20"/>
        <w:spacing w:after="0" w:line="275" w:lineRule="auto"/>
        <w:rPr>
          <w:sz w:val="20"/>
          <w:szCs w:val="20"/>
          <w:color w:val="auto"/>
        </w:rPr>
      </w:pPr>
      <w:r>
        <w:rPr>
          <w:rFonts w:ascii="Times New Roman" w:cs="Times New Roman" w:eastAsia="Times New Roman" w:hAnsi="Times New Roman"/>
          <w:sz w:val="20"/>
          <w:szCs w:val="20"/>
          <w:b w:val="1"/>
          <w:bCs w:val="1"/>
          <w:color w:val="auto"/>
        </w:rPr>
        <w:t>PROPOSAL 2: RATIFICATION OF APPOINTMENT OF INDEPENDENT REGISTERED PUBLIC ACCOUNTING FIRM</w:t>
      </w:r>
    </w:p>
    <w:p>
      <w:pPr>
        <w:spacing w:after="0" w:line="114" w:lineRule="exact"/>
        <w:rPr>
          <w:sz w:val="20"/>
          <w:szCs w:val="20"/>
          <w:color w:val="auto"/>
        </w:rPr>
      </w:pPr>
    </w:p>
    <w:p>
      <w:pPr>
        <w:jc w:val="both"/>
        <w:ind w:firstLine="399"/>
        <w:spacing w:after="0" w:line="259" w:lineRule="auto"/>
        <w:rPr>
          <w:sz w:val="20"/>
          <w:szCs w:val="20"/>
          <w:color w:val="auto"/>
        </w:rPr>
      </w:pPr>
      <w:r>
        <w:rPr>
          <w:rFonts w:ascii="Times New Roman" w:cs="Times New Roman" w:eastAsia="Times New Roman" w:hAnsi="Times New Roman"/>
          <w:sz w:val="20"/>
          <w:szCs w:val="20"/>
          <w:color w:val="auto"/>
        </w:rPr>
        <w:t>On May 30, 2023, the Audit Committee approved the appointment of Ernst &amp; Young LLP (“EY”) as our independent registered public accounting firm to audit our financial statements for the fiscal year ending December 31, 2023, in place of PricewaterhouseCoopers LLP (“PwC”). On May 31, 2023, PwC was information that they were dismissed. The decision to change our accounting firm was authorized by the Audit Committee.</w:t>
      </w:r>
    </w:p>
    <w:p>
      <w:pPr>
        <w:spacing w:after="0" w:line="364"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20"/>
          <w:szCs w:val="20"/>
          <w:color w:val="auto"/>
        </w:rPr>
        <w:t>PwC’s audit reports on our financial statements for the years ended December 31, 2022 and 2021 did not contain an adverse opinion or a disclaimer of opinion and were not qualified or modified as to uncertainty, audit scope or accounting principles.</w:t>
      </w:r>
    </w:p>
    <w:p>
      <w:pPr>
        <w:spacing w:after="0" w:line="113"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20"/>
          <w:szCs w:val="20"/>
          <w:color w:val="auto"/>
        </w:rPr>
        <w:t>During our fiscal years ended December 31, 2022 and 2021, and the subsequent interim period through May 31, 2023: (1) there were no “disagreements” (as defined in Item 304(a)(1)(iv) of Regulation S-K and the related instructions to Item 304) with PwC on any matter of accounting principles or practices, financial statement disclosure, or auditing scope or procedure, which disagreements, if not resolved to the satisfaction of PwC, would have caused PwC to make reference to the subject matter of such disagreements in connection with its reports on the financial statements for such periods and (2) there were no “reportable events” (as defined in Item 304(a)(1)(v) of Regulation S-K), except for the disclosure of the following material weaknesses in our internal control over financial reporting which existed during our fiscal years ended December 31, 2022 and 2021 and the subsequent interim period through May 31, 2023, as disclosed in Part II, Item 9A of our Annual Report on Form 10-K for the year ended December 31, 2022 and Part I, Item 4 of our Quarterly Report on Form 10-Q for the quarter ended March 31, 2023: (a) we did not design and maintain an effective control environment commensurate with our financial reporting requirements; (b) we did not design and maintain effective controls to ensure adequate segregation of duties within its financial reporting function; and (c) we did not design and maintain effective controls over certain information technology general controls for information systems that are relevant to the preparation of our financial statements.</w:t>
      </w:r>
    </w:p>
    <w:p>
      <w:pPr>
        <w:spacing w:after="0" w:line="13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20"/>
          <w:szCs w:val="20"/>
          <w:color w:val="auto"/>
        </w:rPr>
        <w:t>On May 30, 2023, the Audit Committee approved the engagement of EY as our independent registered public accounting firm for the fiscal year ending December 31, 2023. On May 31, 2023, EY was appointed as our independent registered public accounting firm, effective subsequent to the communication of PwC’s dismissal. During our fiscal years ended December 31, 2022 and 2021, and the subsequent interim period through May 31, 2023, neither we nor anyone acting on our behalf consulted with EY regarding: (i) the applicable of accounting principles to a specified transaction, either completed or proposed, or the type of audit opinion that might be rendered on our financial statements, and neither a written report nor oral advice was provided to us that ET concluded was an important factor considered by us in reaching a decision as to the accounting, auditing or financial reporting issue; or (ii) any matter that was either the subject of a “disagreement” within the meaning of Item 304(a)(1)(iv) of Regulation S-K and the related instruction to Item 304 or a “reportable event” within the meaning of Item 304(a)(1)(v) of Regulation S-K.</w:t>
      </w:r>
    </w:p>
    <w:p>
      <w:pPr>
        <w:spacing w:after="0" w:line="127"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20"/>
          <w:szCs w:val="20"/>
          <w:color w:val="auto"/>
        </w:rPr>
        <w:t>PwC’s letter to the SEC stating its agreement with the statements in the three foregoing paragraphs was filed as an exhibit to our Current Report on Form 8-K dated June 5, 2023.</w:t>
      </w:r>
    </w:p>
    <w:p>
      <w:pPr>
        <w:spacing w:after="0" w:line="9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20"/>
          <w:szCs w:val="20"/>
          <w:color w:val="auto"/>
        </w:rPr>
        <w:t>Neither our memorandum and articles of association nor other governing documents or law require shareholder ratification of the appointment of EY as our independent registered public accounting firm. However, the Audit Committee of the Board is submitting the selection of EY to the shareholders for ratification as a matter of good corporate practice. If the shareholders fail to ratify the appointment,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us and our shareholders. Representatives of EY are expected to be present at the Annual General Meeting, will have an opportunity to make a statement if they desire to do so, and will be available to respond to questions.</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100"/>
          </w:cols>
          <w:pgMar w:left="1400" w:top="1023" w:right="1380" w:bottom="70" w:gutter="0" w:footer="0" w:header="0"/>
          <w:type w:val="continuous"/>
        </w:sectPr>
      </w:pPr>
    </w:p>
    <w:bookmarkStart w:id="247" w:name="page248"/>
    <w:bookmarkEnd w:id="247"/>
    <w:p>
      <w:pPr>
        <w:ind w:left="10"/>
        <w:spacing w:after="0"/>
        <w:rPr>
          <w:sz w:val="20"/>
          <w:szCs w:val="20"/>
          <w:color w:val="auto"/>
        </w:rPr>
      </w:pPr>
      <w:r>
        <w:rPr>
          <w:rFonts w:ascii="Times New Roman" w:cs="Times New Roman" w:eastAsia="Times New Roman" w:hAnsi="Times New Roman"/>
          <w:sz w:val="20"/>
          <w:szCs w:val="20"/>
          <w:b w:val="1"/>
          <w:bCs w:val="1"/>
          <w:color w:val="auto"/>
        </w:rPr>
        <w:t>Principal Accountant Fees and Services</w:t>
      </w:r>
    </w:p>
    <w:p>
      <w:pPr>
        <w:spacing w:after="0" w:line="171" w:lineRule="exact"/>
        <w:rPr>
          <w:sz w:val="20"/>
          <w:szCs w:val="20"/>
          <w:color w:val="auto"/>
        </w:rPr>
      </w:pPr>
    </w:p>
    <w:p>
      <w:pPr>
        <w:jc w:val="both"/>
        <w:ind w:left="10" w:firstLine="399"/>
        <w:spacing w:after="0" w:line="261" w:lineRule="auto"/>
        <w:rPr>
          <w:sz w:val="20"/>
          <w:szCs w:val="20"/>
          <w:color w:val="auto"/>
        </w:rPr>
      </w:pPr>
      <w:r>
        <w:rPr>
          <w:rFonts w:ascii="Times New Roman" w:cs="Times New Roman" w:eastAsia="Times New Roman" w:hAnsi="Times New Roman"/>
          <w:sz w:val="20"/>
          <w:szCs w:val="20"/>
          <w:color w:val="auto"/>
        </w:rPr>
        <w:t>The following table shows the aggregate fees for services provided by EY for the fiscal year ended December 31, 2023, and by PwC for the fiscal year ended December 31, 2022. PwC was dismissed as our independent registered public accounting firm effective May 31, 2023, and EY has served as our independent registered public accounting firm since May 31, 2023.</w:t>
      </w:r>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1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060" w:type="dxa"/>
            <w:vAlign w:val="bottom"/>
            <w:gridSpan w:val="4"/>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0" w:type="dxa"/>
            <w:vAlign w:val="bottom"/>
          </w:tcPr>
          <w:p>
            <w:pPr>
              <w:spacing w:after="0"/>
              <w:rPr>
                <w:sz w:val="1"/>
                <w:szCs w:val="1"/>
                <w:color w:val="auto"/>
              </w:rPr>
            </w:pPr>
          </w:p>
        </w:tc>
      </w:tr>
      <w:tr>
        <w:trPr>
          <w:trHeight w:val="30"/>
        </w:trPr>
        <w:tc>
          <w:tcPr>
            <w:tcW w:w="21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140" w:type="dxa"/>
            <w:vAlign w:val="bottom"/>
          </w:tcPr>
          <w:p>
            <w:pPr>
              <w:spacing w:after="0"/>
              <w:rPr>
                <w:sz w:val="19"/>
                <w:szCs w:val="19"/>
                <w:color w:val="auto"/>
              </w:rPr>
            </w:pPr>
          </w:p>
        </w:tc>
        <w:tc>
          <w:tcPr>
            <w:tcW w:w="5400" w:type="dxa"/>
            <w:vAlign w:val="bottom"/>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0"/>
        </w:trPr>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Audit Fees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w:t>
            </w:r>
          </w:p>
        </w:tc>
        <w:tc>
          <w:tcPr>
            <w:tcW w:w="45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2140" w:type="dxa"/>
            <w:vAlign w:val="bottom"/>
            <w:vMerge w:val="continue"/>
          </w:tcPr>
          <w:p>
            <w:pPr>
              <w:spacing w:after="0"/>
              <w:rPr>
                <w:sz w:val="24"/>
                <w:szCs w:val="24"/>
                <w:color w:val="auto"/>
              </w:rPr>
            </w:pPr>
          </w:p>
        </w:tc>
        <w:tc>
          <w:tcPr>
            <w:tcW w:w="5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   $1,513,321</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1,766,000</w:t>
            </w:r>
          </w:p>
        </w:tc>
        <w:tc>
          <w:tcPr>
            <w:tcW w:w="0" w:type="dxa"/>
            <w:vAlign w:val="bottom"/>
          </w:tcPr>
          <w:p>
            <w:pPr>
              <w:spacing w:after="0"/>
              <w:rPr>
                <w:sz w:val="1"/>
                <w:szCs w:val="1"/>
                <w:color w:val="auto"/>
              </w:rPr>
            </w:pPr>
          </w:p>
        </w:tc>
      </w:tr>
      <w:tr>
        <w:trPr>
          <w:trHeight w:val="287"/>
        </w:trPr>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All Other Fees</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w:t>
            </w:r>
          </w:p>
        </w:tc>
        <w:tc>
          <w:tcPr>
            <w:tcW w:w="450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 . . . . . . . . . . . . . . . . . . . . . . . . . . . . . . . . . . .</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Fees . . . . .</w:t>
            </w:r>
          </w:p>
        </w:tc>
        <w:tc>
          <w:tcPr>
            <w:tcW w:w="5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   $1,513,321</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1,766,900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40" w:type="dxa"/>
            <w:vAlign w:val="bottom"/>
            <w:tcBorders>
              <w:bottom w:val="single" w:sz="8" w:color="auto"/>
            </w:tcBorders>
          </w:tcPr>
          <w:p>
            <w:pPr>
              <w:spacing w:after="0"/>
              <w:rPr>
                <w:sz w:val="14"/>
                <w:szCs w:val="14"/>
                <w:color w:val="auto"/>
              </w:rPr>
            </w:pPr>
          </w:p>
        </w:tc>
        <w:tc>
          <w:tcPr>
            <w:tcW w:w="4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ind w:left="390" w:hanging="390"/>
        <w:spacing w:after="0" w:line="269" w:lineRule="auto"/>
        <w:tabs>
          <w:tab w:leader="none" w:pos="39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billed in connection with the audit of our financial statements, review of interim financial statements, assistance with registration statements filed with the SEC and services that are normally provided by the independent registered public accounting firm in connection with statutory and regulatory filings or engagements. Audit Fees for the year ended December 31, 2022 included $930,000 incurred in connection with the filing of our Registration Statement on Form S-1 in connection with our IPO in February 2023.</w:t>
      </w:r>
    </w:p>
    <w:p>
      <w:pPr>
        <w:spacing w:after="0" w:line="46" w:lineRule="exact"/>
        <w:rPr>
          <w:rFonts w:ascii="Times New Roman" w:cs="Times New Roman" w:eastAsia="Times New Roman" w:hAnsi="Times New Roman"/>
          <w:sz w:val="16"/>
          <w:szCs w:val="16"/>
          <w:color w:val="auto"/>
        </w:rPr>
      </w:pPr>
    </w:p>
    <w:p>
      <w:pPr>
        <w:ind w:left="390" w:hanging="390"/>
        <w:spacing w:after="0"/>
        <w:tabs>
          <w:tab w:leader="none" w:pos="39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for 2022 consist of an accounting research tool subscription paid to PwC.</w:t>
      </w:r>
    </w:p>
    <w:p>
      <w:pPr>
        <w:spacing w:after="0" w:line="177"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All fees incurred subsequent to our IPO in February 2023 were pre-approved by our Audit Committee.</w:t>
      </w:r>
    </w:p>
    <w:p>
      <w:pPr>
        <w:spacing w:after="0" w:line="2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Pre-Approval Policies and Procedures</w:t>
      </w:r>
    </w:p>
    <w:p>
      <w:pPr>
        <w:spacing w:after="0" w:line="171" w:lineRule="exact"/>
        <w:rPr>
          <w:sz w:val="20"/>
          <w:szCs w:val="20"/>
          <w:color w:val="auto"/>
        </w:rPr>
      </w:pPr>
    </w:p>
    <w:p>
      <w:pPr>
        <w:jc w:val="both"/>
        <w:ind w:left="10" w:firstLine="399"/>
        <w:spacing w:after="0" w:line="254" w:lineRule="auto"/>
        <w:rPr>
          <w:sz w:val="20"/>
          <w:szCs w:val="20"/>
          <w:color w:val="auto"/>
        </w:rPr>
      </w:pPr>
      <w:r>
        <w:rPr>
          <w:rFonts w:ascii="Times New Roman" w:cs="Times New Roman" w:eastAsia="Times New Roman" w:hAnsi="Times New Roman"/>
          <w:sz w:val="20"/>
          <w:szCs w:val="20"/>
          <w:color w:val="auto"/>
        </w:rPr>
        <w:t>The Audit Committee has adopted a policy and procedures for the pre-approval of audit and non-audit services rendered by our independent registered public accounting firm.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28" w:lineRule="exact"/>
        <w:rPr>
          <w:sz w:val="20"/>
          <w:szCs w:val="20"/>
          <w:color w:val="auto"/>
        </w:rPr>
      </w:pPr>
    </w:p>
    <w:p>
      <w:pPr>
        <w:jc w:val="both"/>
        <w:ind w:left="10" w:firstLine="399"/>
        <w:spacing w:after="0" w:line="283" w:lineRule="auto"/>
        <w:rPr>
          <w:sz w:val="20"/>
          <w:szCs w:val="20"/>
          <w:color w:val="auto"/>
        </w:rPr>
      </w:pPr>
      <w:r>
        <w:rPr>
          <w:rFonts w:ascii="Times New Roman" w:cs="Times New Roman" w:eastAsia="Times New Roman" w:hAnsi="Times New Roman"/>
          <w:sz w:val="20"/>
          <w:szCs w:val="20"/>
          <w:color w:val="auto"/>
        </w:rPr>
        <w:t>The Audit Committee has determined that the rendering of services other than audit services by EY is compatible with maintaining the principal accountant’s independence.</w:t>
      </w:r>
    </w:p>
    <w:p>
      <w:pPr>
        <w:spacing w:after="0" w:line="17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OARD</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ECOMMENDS</w:t>
      </w:r>
    </w:p>
    <w:p>
      <w:pPr>
        <w:spacing w:after="0" w:line="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A V</w:t>
      </w:r>
      <w:r>
        <w:rPr>
          <w:rFonts w:ascii="Times New Roman" w:cs="Times New Roman" w:eastAsia="Times New Roman" w:hAnsi="Times New Roman"/>
          <w:sz w:val="13"/>
          <w:szCs w:val="13"/>
          <w:b w:val="1"/>
          <w:bCs w:val="1"/>
          <w:color w:val="auto"/>
        </w:rPr>
        <w:t>OTE IN</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AVOR OF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ROPOSAL</w:t>
      </w:r>
      <w:r>
        <w:rPr>
          <w:rFonts w:ascii="Times New Roman" w:cs="Times New Roman" w:eastAsia="Times New Roman" w:hAnsi="Times New Roman"/>
          <w:sz w:val="20"/>
          <w:szCs w:val="20"/>
          <w:b w:val="1"/>
          <w:bCs w:val="1"/>
          <w:color w:val="auto"/>
        </w:rPr>
        <w:t xml:space="preserve"> 2.</w:t>
      </w:r>
    </w:p>
    <w:p>
      <w:pPr>
        <w:sectPr>
          <w:pgSz w:w="11880" w:h="15480" w:orient="portrait"/>
          <w:cols w:equalWidth="0" w:num="1">
            <w:col w:w="9110"/>
          </w:cols>
          <w:pgMar w:left="139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110"/>
          </w:cols>
          <w:pgMar w:left="1390" w:top="1023" w:right="1380" w:bottom="70" w:gutter="0" w:footer="0" w:header="0"/>
          <w:type w:val="continuous"/>
        </w:sectPr>
      </w:pPr>
    </w:p>
    <w:bookmarkStart w:id="248" w:name="page249"/>
    <w:bookmarkEnd w:id="248"/>
    <w:p>
      <w:pPr>
        <w:ind w:left="37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71" w:lineRule="exact"/>
        <w:rPr>
          <w:sz w:val="20"/>
          <w:szCs w:val="20"/>
          <w:color w:val="auto"/>
        </w:rPr>
      </w:pPr>
    </w:p>
    <w:p>
      <w:pPr>
        <w:ind w:left="10" w:right="20" w:firstLine="399"/>
        <w:spacing w:after="0" w:line="288" w:lineRule="auto"/>
        <w:rPr>
          <w:sz w:val="20"/>
          <w:szCs w:val="20"/>
          <w:color w:val="auto"/>
        </w:rPr>
      </w:pPr>
      <w:r>
        <w:rPr>
          <w:rFonts w:ascii="Times New Roman" w:cs="Times New Roman" w:eastAsia="Times New Roman" w:hAnsi="Times New Roman"/>
          <w:sz w:val="20"/>
          <w:szCs w:val="20"/>
          <w:color w:val="auto"/>
        </w:rPr>
        <w:t>The following table provides certain information with respect to all of the Company’s equity compensation plans in effect as of December 31, 2023.</w:t>
      </w:r>
    </w:p>
    <w:p>
      <w:pPr>
        <w:spacing w:after="0" w:line="1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Number of securities</w:t>
            </w:r>
          </w:p>
        </w:tc>
      </w:tr>
      <w:tr>
        <w:trPr>
          <w:trHeight w:val="180"/>
        </w:trPr>
        <w:tc>
          <w:tcPr>
            <w:tcW w:w="2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4"/>
          </w:tcPr>
          <w:p>
            <w:pPr>
              <w:jc w:val="center"/>
              <w:ind w:right="20"/>
              <w:spacing w:after="0" w:line="180" w:lineRule="exact"/>
              <w:rPr>
                <w:sz w:val="20"/>
                <w:szCs w:val="20"/>
                <w:color w:val="auto"/>
              </w:rPr>
            </w:pPr>
            <w:r>
              <w:rPr>
                <w:rFonts w:ascii="Times New Roman" w:cs="Times New Roman" w:eastAsia="Times New Roman" w:hAnsi="Times New Roman"/>
                <w:sz w:val="16"/>
                <w:szCs w:val="16"/>
                <w:b w:val="1"/>
                <w:bCs w:val="1"/>
                <w:color w:val="auto"/>
                <w:w w:val="94"/>
              </w:rPr>
              <w:t>remaining available for</w:t>
            </w:r>
          </w:p>
        </w:tc>
      </w:tr>
      <w:tr>
        <w:trPr>
          <w:trHeight w:val="180"/>
        </w:trPr>
        <w:tc>
          <w:tcPr>
            <w:tcW w:w="2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4"/>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Number of securities to be</w:t>
            </w:r>
          </w:p>
        </w:tc>
        <w:tc>
          <w:tcPr>
            <w:tcW w:w="120" w:type="dxa"/>
            <w:vAlign w:val="bottom"/>
          </w:tcPr>
          <w:p>
            <w:pPr>
              <w:spacing w:after="0"/>
              <w:rPr>
                <w:sz w:val="15"/>
                <w:szCs w:val="15"/>
                <w:color w:val="auto"/>
              </w:rPr>
            </w:pPr>
          </w:p>
        </w:tc>
        <w:tc>
          <w:tcPr>
            <w:tcW w:w="1580" w:type="dxa"/>
            <w:vAlign w:val="bottom"/>
            <w:gridSpan w:val="4"/>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4"/>
              </w:rPr>
              <w:t>Weighted-average</w:t>
            </w:r>
          </w:p>
        </w:tc>
        <w:tc>
          <w:tcPr>
            <w:tcW w:w="1940" w:type="dxa"/>
            <w:vAlign w:val="bottom"/>
            <w:gridSpan w:val="4"/>
          </w:tcPr>
          <w:p>
            <w:pPr>
              <w:jc w:val="center"/>
              <w:ind w:right="20"/>
              <w:spacing w:after="0" w:line="180" w:lineRule="exact"/>
              <w:rPr>
                <w:sz w:val="20"/>
                <w:szCs w:val="20"/>
                <w:color w:val="auto"/>
              </w:rPr>
            </w:pPr>
            <w:r>
              <w:rPr>
                <w:rFonts w:ascii="Times New Roman" w:cs="Times New Roman" w:eastAsia="Times New Roman" w:hAnsi="Times New Roman"/>
                <w:sz w:val="16"/>
                <w:szCs w:val="16"/>
                <w:b w:val="1"/>
                <w:bCs w:val="1"/>
                <w:color w:val="auto"/>
                <w:w w:val="94"/>
              </w:rPr>
              <w:t>issuance under equity</w:t>
            </w:r>
          </w:p>
        </w:tc>
      </w:tr>
      <w:tr>
        <w:trPr>
          <w:trHeight w:val="180"/>
        </w:trPr>
        <w:tc>
          <w:tcPr>
            <w:tcW w:w="2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4"/>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4"/>
              </w:rPr>
              <w:t>issued upon exercise of</w:t>
            </w:r>
          </w:p>
        </w:tc>
        <w:tc>
          <w:tcPr>
            <w:tcW w:w="120" w:type="dxa"/>
            <w:vAlign w:val="bottom"/>
          </w:tcPr>
          <w:p>
            <w:pPr>
              <w:spacing w:after="0"/>
              <w:rPr>
                <w:sz w:val="15"/>
                <w:szCs w:val="15"/>
                <w:color w:val="auto"/>
              </w:rPr>
            </w:pPr>
          </w:p>
        </w:tc>
        <w:tc>
          <w:tcPr>
            <w:tcW w:w="1580" w:type="dxa"/>
            <w:vAlign w:val="bottom"/>
            <w:gridSpan w:val="4"/>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6"/>
              </w:rPr>
              <w:t>exercise price of</w:t>
            </w:r>
          </w:p>
        </w:tc>
        <w:tc>
          <w:tcPr>
            <w:tcW w:w="1940" w:type="dxa"/>
            <w:vAlign w:val="bottom"/>
            <w:gridSpan w:val="4"/>
          </w:tcPr>
          <w:p>
            <w:pPr>
              <w:jc w:val="center"/>
              <w:ind w:right="20"/>
              <w:spacing w:after="0" w:line="180" w:lineRule="exact"/>
              <w:rPr>
                <w:sz w:val="20"/>
                <w:szCs w:val="20"/>
                <w:color w:val="auto"/>
              </w:rPr>
            </w:pPr>
            <w:r>
              <w:rPr>
                <w:rFonts w:ascii="Times New Roman" w:cs="Times New Roman" w:eastAsia="Times New Roman" w:hAnsi="Times New Roman"/>
                <w:sz w:val="16"/>
                <w:szCs w:val="16"/>
                <w:b w:val="1"/>
                <w:bCs w:val="1"/>
                <w:color w:val="auto"/>
                <w:w w:val="94"/>
              </w:rPr>
              <w:t>compensation plans</w:t>
            </w:r>
          </w:p>
        </w:tc>
      </w:tr>
      <w:tr>
        <w:trPr>
          <w:trHeight w:val="180"/>
        </w:trPr>
        <w:tc>
          <w:tcPr>
            <w:tcW w:w="2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4"/>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outstanding options,</w:t>
            </w:r>
          </w:p>
        </w:tc>
        <w:tc>
          <w:tcPr>
            <w:tcW w:w="1700" w:type="dxa"/>
            <w:vAlign w:val="bottom"/>
            <w:gridSpan w:val="5"/>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outstanding options,</w:t>
            </w:r>
          </w:p>
        </w:tc>
        <w:tc>
          <w:tcPr>
            <w:tcW w:w="1940" w:type="dxa"/>
            <w:vAlign w:val="bottom"/>
            <w:gridSpan w:val="4"/>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(excluding securities reflected</w:t>
            </w:r>
          </w:p>
        </w:tc>
      </w:tr>
      <w:tr>
        <w:trPr>
          <w:trHeight w:val="202"/>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40" w:type="dxa"/>
            <w:vAlign w:val="bottom"/>
          </w:tcPr>
          <w:p>
            <w:pPr>
              <w:spacing w:after="0"/>
              <w:rPr>
                <w:sz w:val="17"/>
                <w:szCs w:val="17"/>
                <w:color w:val="auto"/>
              </w:rPr>
            </w:pPr>
          </w:p>
        </w:tc>
        <w:tc>
          <w:tcPr>
            <w:tcW w:w="18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warrants and rights</w:t>
            </w:r>
          </w:p>
        </w:tc>
        <w:tc>
          <w:tcPr>
            <w:tcW w:w="120" w:type="dxa"/>
            <w:vAlign w:val="bottom"/>
          </w:tcPr>
          <w:p>
            <w:pPr>
              <w:spacing w:after="0"/>
              <w:rPr>
                <w:sz w:val="17"/>
                <w:szCs w:val="17"/>
                <w:color w:val="auto"/>
              </w:rPr>
            </w:pPr>
          </w:p>
        </w:tc>
        <w:tc>
          <w:tcPr>
            <w:tcW w:w="15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warrants and rights</w:t>
            </w:r>
          </w:p>
        </w:tc>
        <w:tc>
          <w:tcPr>
            <w:tcW w:w="194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in column (a))</w:t>
            </w:r>
          </w:p>
        </w:tc>
      </w:tr>
      <w:tr>
        <w:trPr>
          <w:trHeight w:val="30"/>
        </w:trPr>
        <w:tc>
          <w:tcPr>
            <w:tcW w:w="2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2"/>
        </w:trPr>
        <w:tc>
          <w:tcPr>
            <w:tcW w:w="3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plans approved</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05"/>
        </w:trPr>
        <w:tc>
          <w:tcPr>
            <w:tcW w:w="3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by security holders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w:t>
            </w:r>
          </w:p>
        </w:tc>
        <w:tc>
          <w:tcPr>
            <w:tcW w:w="1560" w:type="dxa"/>
            <w:vAlign w:val="bottom"/>
            <w:gridSpan w:val="3"/>
          </w:tcPr>
          <w:p>
            <w:pPr>
              <w:jc w:val="center"/>
              <w:ind w:left="560"/>
              <w:spacing w:after="0"/>
              <w:rPr>
                <w:sz w:val="20"/>
                <w:szCs w:val="20"/>
                <w:color w:val="auto"/>
              </w:rPr>
            </w:pPr>
            <w:r>
              <w:rPr>
                <w:rFonts w:ascii="Times New Roman" w:cs="Times New Roman" w:eastAsia="Times New Roman" w:hAnsi="Times New Roman"/>
                <w:sz w:val="20"/>
                <w:szCs w:val="20"/>
                <w:color w:val="auto"/>
                <w:w w:val="99"/>
              </w:rPr>
              <w:t>11,899,271</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tcPr>
          <w:p>
            <w:pPr>
              <w:jc w:val="right"/>
              <w:ind w:right="500"/>
              <w:spacing w:after="0"/>
              <w:rPr>
                <w:sz w:val="20"/>
                <w:szCs w:val="20"/>
                <w:color w:val="auto"/>
              </w:rPr>
            </w:pPr>
            <w:r>
              <w:rPr>
                <w:rFonts w:ascii="Times New Roman" w:cs="Times New Roman" w:eastAsia="Times New Roman" w:hAnsi="Times New Roman"/>
                <w:sz w:val="20"/>
                <w:szCs w:val="20"/>
                <w:color w:val="auto"/>
              </w:rPr>
              <w:t>3.94</w:t>
            </w:r>
          </w:p>
        </w:tc>
        <w:tc>
          <w:tcPr>
            <w:tcW w:w="240" w:type="dxa"/>
            <w:vAlign w:val="bottom"/>
          </w:tcPr>
          <w:p>
            <w:pPr>
              <w:spacing w:after="0"/>
              <w:rPr>
                <w:sz w:val="24"/>
                <w:szCs w:val="24"/>
                <w:color w:val="auto"/>
              </w:rPr>
            </w:pPr>
          </w:p>
        </w:tc>
        <w:tc>
          <w:tcPr>
            <w:tcW w:w="192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9,192,356</w:t>
            </w:r>
            <w:r>
              <w:rPr>
                <w:rFonts w:ascii="Times New Roman" w:cs="Times New Roman" w:eastAsia="Times New Roman" w:hAnsi="Times New Roman"/>
                <w:sz w:val="25"/>
                <w:szCs w:val="25"/>
                <w:color w:val="auto"/>
                <w:vertAlign w:val="superscript"/>
              </w:rPr>
              <w:t>(2)</w:t>
            </w:r>
          </w:p>
        </w:tc>
        <w:tc>
          <w:tcPr>
            <w:tcW w:w="20" w:type="dxa"/>
            <w:vAlign w:val="bottom"/>
          </w:tcPr>
          <w:p>
            <w:pPr>
              <w:spacing w:after="0"/>
              <w:rPr>
                <w:sz w:val="24"/>
                <w:szCs w:val="24"/>
                <w:color w:val="auto"/>
              </w:rPr>
            </w:pPr>
          </w:p>
        </w:tc>
      </w:tr>
      <w:tr>
        <w:trPr>
          <w:trHeight w:val="252"/>
        </w:trPr>
        <w:tc>
          <w:tcPr>
            <w:tcW w:w="3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plans not</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5"/>
        </w:trPr>
        <w:tc>
          <w:tcPr>
            <w:tcW w:w="36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approved by security holders . . . . . .</w:t>
            </w:r>
          </w:p>
        </w:tc>
        <w:tc>
          <w:tcPr>
            <w:tcW w:w="420" w:type="dxa"/>
            <w:vAlign w:val="bottom"/>
          </w:tcPr>
          <w:p>
            <w:pPr>
              <w:spacing w:after="0"/>
              <w:rPr>
                <w:sz w:val="23"/>
                <w:szCs w:val="23"/>
                <w:color w:val="auto"/>
              </w:rPr>
            </w:pPr>
          </w:p>
        </w:tc>
        <w:tc>
          <w:tcPr>
            <w:tcW w:w="1440" w:type="dxa"/>
            <w:vAlign w:val="bottom"/>
            <w:gridSpan w:val="3"/>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spacing w:after="0"/>
              <w:rPr>
                <w:sz w:val="23"/>
                <w:szCs w:val="23"/>
                <w:color w:val="auto"/>
              </w:rPr>
            </w:pPr>
          </w:p>
        </w:tc>
        <w:tc>
          <w:tcPr>
            <w:tcW w:w="1380" w:type="dxa"/>
            <w:vAlign w:val="bottom"/>
            <w:gridSpan w:val="3"/>
          </w:tcPr>
          <w:p>
            <w:pPr>
              <w:jc w:val="right"/>
              <w:ind w:right="58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2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3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 . . . . . . . . . . . . . . . . . . . . . . .</w:t>
            </w:r>
          </w:p>
        </w:tc>
        <w:tc>
          <w:tcPr>
            <w:tcW w:w="66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11,899,271</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tcPr>
          <w:p>
            <w:pPr>
              <w:jc w:val="right"/>
              <w:ind w:right="500"/>
              <w:spacing w:after="0"/>
              <w:rPr>
                <w:sz w:val="20"/>
                <w:szCs w:val="20"/>
                <w:color w:val="auto"/>
              </w:rPr>
            </w:pPr>
            <w:r>
              <w:rPr>
                <w:rFonts w:ascii="Times New Roman" w:cs="Times New Roman" w:eastAsia="Times New Roman" w:hAnsi="Times New Roman"/>
                <w:sz w:val="20"/>
                <w:szCs w:val="20"/>
                <w:color w:val="auto"/>
              </w:rPr>
              <w:t>3.94</w:t>
            </w:r>
          </w:p>
        </w:tc>
        <w:tc>
          <w:tcPr>
            <w:tcW w:w="240" w:type="dxa"/>
            <w:vAlign w:val="bottom"/>
          </w:tcPr>
          <w:p>
            <w:pPr>
              <w:spacing w:after="0"/>
              <w:rPr>
                <w:sz w:val="24"/>
                <w:szCs w:val="24"/>
                <w:color w:val="auto"/>
              </w:rPr>
            </w:pPr>
          </w:p>
        </w:tc>
        <w:tc>
          <w:tcPr>
            <w:tcW w:w="1920" w:type="dxa"/>
            <w:vAlign w:val="bottom"/>
            <w:gridSpan w:val="3"/>
          </w:tcPr>
          <w:p>
            <w:pPr>
              <w:jc w:val="right"/>
              <w:ind w:right="560"/>
              <w:spacing w:after="0"/>
              <w:rPr>
                <w:sz w:val="20"/>
                <w:szCs w:val="20"/>
                <w:color w:val="auto"/>
              </w:rPr>
            </w:pPr>
            <w:r>
              <w:rPr>
                <w:rFonts w:ascii="Times New Roman" w:cs="Times New Roman" w:eastAsia="Times New Roman" w:hAnsi="Times New Roman"/>
                <w:sz w:val="20"/>
                <w:szCs w:val="20"/>
                <w:color w:val="auto"/>
              </w:rPr>
              <w:t>9,192,356</w:t>
            </w:r>
          </w:p>
        </w:tc>
        <w:tc>
          <w:tcPr>
            <w:tcW w:w="20" w:type="dxa"/>
            <w:vAlign w:val="bottom"/>
          </w:tcPr>
          <w:p>
            <w:pPr>
              <w:spacing w:after="0"/>
              <w:rPr>
                <w:sz w:val="24"/>
                <w:szCs w:val="24"/>
                <w:color w:val="auto"/>
              </w:rPr>
            </w:pPr>
          </w:p>
        </w:tc>
      </w:tr>
      <w:tr>
        <w:trPr>
          <w:trHeight w:val="20"/>
        </w:trPr>
        <w:tc>
          <w:tcPr>
            <w:tcW w:w="2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214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38" w:lineRule="exact"/>
        <w:rPr>
          <w:sz w:val="20"/>
          <w:szCs w:val="20"/>
          <w:color w:val="auto"/>
        </w:rPr>
      </w:pPr>
    </w:p>
    <w:p>
      <w:pPr>
        <w:ind w:left="390" w:hanging="390"/>
        <w:spacing w:after="0" w:line="300" w:lineRule="auto"/>
        <w:tabs>
          <w:tab w:leader="none" w:pos="39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following equity compensation plans: 2019 Equity Incentive Plan (the “2019 Plan”), 2023 Plan and 2023 Employee Share Purchase Plan (the “ESPP”). The 2023 Plan supersedes the 2019 Plan.</w:t>
      </w:r>
    </w:p>
    <w:p>
      <w:pPr>
        <w:spacing w:after="0" w:line="42" w:lineRule="exact"/>
        <w:rPr>
          <w:rFonts w:ascii="Times New Roman" w:cs="Times New Roman" w:eastAsia="Times New Roman" w:hAnsi="Times New Roman"/>
          <w:sz w:val="16"/>
          <w:szCs w:val="16"/>
          <w:color w:val="auto"/>
        </w:rPr>
      </w:pPr>
    </w:p>
    <w:p>
      <w:pPr>
        <w:jc w:val="both"/>
        <w:ind w:left="390" w:hanging="390"/>
        <w:spacing w:after="0" w:line="269" w:lineRule="auto"/>
        <w:tabs>
          <w:tab w:leader="none" w:pos="39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8,192,356 Ordinary Shares (an equivalent of 2,730,785 ADSs) reserved for future issuance under our 2023 Plan and 1,000,000 Ordinary Shares (an equivalent of 333,333 ADSs) reserved for future purchase under our ESPP. The number of Ordinary Shares reserved for issuance under our 2023 Plan automatically increases on January 1 of each year, continuing through and including January 1, 2033, by 4% of the total number of Ordinary Shares outstanding on December 31 of the preceding calendar year, or a lesser number of Ordinary Shares determined by our Board. Pursuant to this provision, we added 5,568,383 Ordinary Shares (an equivalent of 1,856,279 ADSs) that are available for issuance under the 2023 Plan on January 1, 2024, which is not reflected in the table above. The number of Ordinary Shares reserved for issuance under our ESPP automatically increases on January 1 of each year, continuing through and including January 1, 2033, by 1% of the total number of shares of our common stock outstanding on December 31 of the preceding calendar year, 3,000,000 Ordinary Shares, or a lesser number of Ordinary Shares determined by our Board. Pursuant to this provision, we added 1,392,210 Ordinary Shares (an equivalent of 464,070 ADSs) that are available for issuance under the ESPP on January 1, 2024, which is not reflected in the table above.</w:t>
      </w:r>
    </w:p>
    <w:p>
      <w:pPr>
        <w:spacing w:after="0" w:line="22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171" w:lineRule="exact"/>
        <w:rPr>
          <w:sz w:val="20"/>
          <w:szCs w:val="20"/>
          <w:color w:val="auto"/>
        </w:rPr>
      </w:pPr>
    </w:p>
    <w:p>
      <w:pPr>
        <w:jc w:val="both"/>
        <w:ind w:left="10" w:firstLine="399"/>
        <w:spacing w:after="0" w:line="264" w:lineRule="auto"/>
        <w:rPr>
          <w:sz w:val="20"/>
          <w:szCs w:val="20"/>
          <w:color w:val="auto"/>
        </w:rPr>
      </w:pPr>
      <w:r>
        <w:rPr>
          <w:rFonts w:ascii="Times New Roman" w:cs="Times New Roman" w:eastAsia="Times New Roman" w:hAnsi="Times New Roman"/>
          <w:sz w:val="20"/>
          <w:szCs w:val="20"/>
          <w:color w:val="auto"/>
        </w:rPr>
        <w:t>The following table sets forth certain information with respect to our executive officers as of April 19, 2024.</w:t>
      </w: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4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240" w:type="dxa"/>
            <w:vAlign w:val="bottom"/>
          </w:tcPr>
          <w:p>
            <w:pPr>
              <w:spacing w:after="0"/>
              <w:rPr>
                <w:sz w:val="17"/>
                <w:szCs w:val="17"/>
                <w:color w:val="auto"/>
              </w:rPr>
            </w:pPr>
          </w:p>
        </w:tc>
        <w:tc>
          <w:tcPr>
            <w:tcW w:w="5520" w:type="dxa"/>
            <w:vAlign w:val="bottom"/>
          </w:tcPr>
          <w:p>
            <w:pPr>
              <w:ind w:left="2400"/>
              <w:spacing w:after="0"/>
              <w:rPr>
                <w:sz w:val="20"/>
                <w:szCs w:val="20"/>
                <w:color w:val="auto"/>
              </w:rPr>
            </w:pPr>
            <w:r>
              <w:rPr>
                <w:rFonts w:ascii="Times New Roman" w:cs="Times New Roman" w:eastAsia="Times New Roman" w:hAnsi="Times New Roman"/>
                <w:sz w:val="16"/>
                <w:szCs w:val="16"/>
                <w:b w:val="1"/>
                <w:bCs w:val="1"/>
                <w:color w:val="auto"/>
              </w:rPr>
              <w:t>Position(s)</w:t>
            </w:r>
          </w:p>
        </w:tc>
      </w:tr>
      <w:tr>
        <w:trPr>
          <w:trHeight w:val="30"/>
        </w:trPr>
        <w:tc>
          <w:tcPr>
            <w:tcW w:w="2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Raymond Stevens, Ph.D.</w:t>
            </w:r>
          </w:p>
        </w:tc>
        <w:tc>
          <w:tcPr>
            <w:tcW w:w="56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60</w:t>
            </w:r>
          </w:p>
        </w:tc>
        <w:tc>
          <w:tcPr>
            <w:tcW w:w="2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99"/>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Jun Yoon</w:t>
            </w:r>
          </w:p>
        </w:tc>
        <w:tc>
          <w:tcPr>
            <w:tcW w:w="56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46</w:t>
            </w:r>
          </w:p>
        </w:tc>
        <w:tc>
          <w:tcPr>
            <w:tcW w:w="2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99"/>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Xichen Lin, Ph.D.</w:t>
            </w:r>
          </w:p>
        </w:tc>
        <w:tc>
          <w:tcPr>
            <w:tcW w:w="56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50</w:t>
            </w:r>
          </w:p>
        </w:tc>
        <w:tc>
          <w:tcPr>
            <w:tcW w:w="2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Chief Scientific Officer</w:t>
            </w:r>
          </w:p>
        </w:tc>
      </w:tr>
      <w:tr>
        <w:trPr>
          <w:trHeight w:val="299"/>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Mark Bach, M.D., Ph.D.</w:t>
            </w:r>
          </w:p>
        </w:tc>
        <w:tc>
          <w:tcPr>
            <w:tcW w:w="56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67</w:t>
            </w:r>
          </w:p>
        </w:tc>
        <w:tc>
          <w:tcPr>
            <w:tcW w:w="2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Chief Medical Officer</w:t>
            </w:r>
          </w:p>
        </w:tc>
      </w:tr>
      <w:tr>
        <w:trPr>
          <w:trHeight w:val="299"/>
        </w:trPr>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Yingli Ma, Ph.D.</w:t>
            </w:r>
          </w:p>
        </w:tc>
        <w:tc>
          <w:tcPr>
            <w:tcW w:w="56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9"/>
              </w:rPr>
              <w:t>50</w:t>
            </w:r>
          </w:p>
        </w:tc>
        <w:tc>
          <w:tcPr>
            <w:tcW w:w="24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Chief Technology Officer</w:t>
            </w:r>
          </w:p>
        </w:tc>
      </w:tr>
    </w:tbl>
    <w:p>
      <w:pPr>
        <w:spacing w:after="0" w:line="212"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Raymond Stevens, Ph.D.’s </w:t>
      </w:r>
      <w:r>
        <w:rPr>
          <w:rFonts w:ascii="Times New Roman" w:cs="Times New Roman" w:eastAsia="Times New Roman" w:hAnsi="Times New Roman"/>
          <w:sz w:val="20"/>
          <w:szCs w:val="20"/>
          <w:color w:val="auto"/>
        </w:rPr>
        <w:t>biographical information is set forth under “Proposal 1: Election of Director”.</w:t>
      </w:r>
    </w:p>
    <w:p>
      <w:pPr>
        <w:spacing w:after="0" w:line="185" w:lineRule="exact"/>
        <w:rPr>
          <w:sz w:val="20"/>
          <w:szCs w:val="20"/>
          <w:color w:val="auto"/>
        </w:rPr>
      </w:pPr>
    </w:p>
    <w:p>
      <w:pPr>
        <w:jc w:val="both"/>
        <w:ind w:left="10" w:firstLine="399"/>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Jun Yoon </w:t>
      </w:r>
      <w:r>
        <w:rPr>
          <w:rFonts w:ascii="Times New Roman" w:cs="Times New Roman" w:eastAsia="Times New Roman" w:hAnsi="Times New Roman"/>
          <w:sz w:val="20"/>
          <w:szCs w:val="20"/>
          <w:color w:val="auto"/>
        </w:rPr>
        <w:t>has served as our Chief Financial Officer since May 2022, as our co-founder and Chief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Operating Officer from February 2019 to May 2022 and as a member of our Board from February 2019 until the closing of our IPO in February 2023. Prior to joining our company, Mr. Yoon served as Vice President, Corporate Development at Cellerant Therapeutics, Inc., a biotechnology company developing immunotherapies for hematologic malignancies and other blood-related disorders, from May 2010 to January 2016. Prior to joining Cellerant Therapeutics, Mr. Yoon served as Senior Director, Licensing &amp; Business Development at VIA Pharmaceuticals, Inc., a biotechnology company focused on the treatment of cardiovascular disease, from August 2004 to March 2010. Previously, Mr. Yoon worked in Business Development for Sagres Discovery until its acquisition by Chiron Corporation in 2004 and for Syrrx, Inc., prior to its acquisition by Takeda Pharmaceutical Company Limited, from July 2000 to October 2002.</w:t>
      </w:r>
    </w:p>
    <w:p>
      <w:pPr>
        <w:sectPr>
          <w:pgSz w:w="11880" w:h="15480" w:orient="portrait"/>
          <w:cols w:equalWidth="0" w:num="1">
            <w:col w:w="9110"/>
          </w:cols>
          <w:pgMar w:left="1390" w:top="1023" w:right="1380" w:bottom="69" w:gutter="0" w:footer="0" w:header="0"/>
        </w:sectPr>
      </w:pPr>
    </w:p>
    <w:p>
      <w:pPr>
        <w:spacing w:after="0" w:line="28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110"/>
          </w:cols>
          <w:pgMar w:left="1390" w:top="1023" w:right="1380" w:bottom="69" w:gutter="0" w:footer="0" w:header="0"/>
          <w:type w:val="continuous"/>
        </w:sectPr>
      </w:pPr>
    </w:p>
    <w:bookmarkStart w:id="249" w:name="page250"/>
    <w:bookmarkEnd w:id="249"/>
    <w:p>
      <w:pPr>
        <w:jc w:val="both"/>
        <w:spacing w:after="0" w:line="266" w:lineRule="auto"/>
        <w:rPr>
          <w:sz w:val="20"/>
          <w:szCs w:val="20"/>
          <w:color w:val="auto"/>
        </w:rPr>
      </w:pPr>
      <w:r>
        <w:rPr>
          <w:rFonts w:ascii="Times New Roman" w:cs="Times New Roman" w:eastAsia="Times New Roman" w:hAnsi="Times New Roman"/>
          <w:sz w:val="20"/>
          <w:szCs w:val="20"/>
          <w:color w:val="auto"/>
        </w:rPr>
        <w:t>Mr. Yoon currently serves as director of the GPCR Consortium, a public-private global collaboration advancing GPCR research. Mr. Yoon received his B.A. in Molecular Cell Biology from the University of California, Berkeley.</w:t>
      </w:r>
    </w:p>
    <w:p>
      <w:pPr>
        <w:spacing w:after="0" w:line="113" w:lineRule="exact"/>
        <w:rPr>
          <w:sz w:val="20"/>
          <w:szCs w:val="20"/>
          <w:color w:val="auto"/>
        </w:rPr>
      </w:pPr>
    </w:p>
    <w:p>
      <w:pPr>
        <w:jc w:val="both"/>
        <w:ind w:firstLine="399"/>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Xichen Lin, Ph.D. </w:t>
      </w:r>
      <w:r>
        <w:rPr>
          <w:rFonts w:ascii="Times New Roman" w:cs="Times New Roman" w:eastAsia="Times New Roman" w:hAnsi="Times New Roman"/>
          <w:sz w:val="20"/>
          <w:szCs w:val="20"/>
          <w:color w:val="auto"/>
        </w:rPr>
        <w:t>has served as our Chief Scientific Officer since July 2019. Prior to joining our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Dr. Lin served as Head of External Innovation, Asia Pacific at Novo Nordisk from May 2016 to July 2019. Prior to joining Novo Nordisk A/S, Dr. Lin served as Operation Partner at C-Bridge Capital, a biotechnology investment firm, from December 2015 to May 2016. Prior to serving at C-Bridge Capital, Dr. Lin held various scientific and strategy roles at GlaxoSmithKline (“GSK”), from July 2002 to December 2015, including Head of GSK’s Global Neuroinflammation Discovery Performance Unit. Dr. Lin received his B.S. in Chemistry from Peking University, and his Ph.D. in Organic Chemistry from The Pennsylvania State University.</w:t>
      </w:r>
    </w:p>
    <w:p>
      <w:pPr>
        <w:spacing w:after="0" w:line="125"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Mark Bach, M.D., Ph.D. </w:t>
      </w:r>
      <w:r>
        <w:rPr>
          <w:rFonts w:ascii="Times New Roman" w:cs="Times New Roman" w:eastAsia="Times New Roman" w:hAnsi="Times New Roman"/>
          <w:sz w:val="20"/>
          <w:szCs w:val="20"/>
          <w:color w:val="auto"/>
        </w:rPr>
        <w:t>has served as our Chief Medical Officer since June 2021. Prior to joining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Dr. Bach served as Senior Vice President, Endocrine Medical Sciences at Ascendis Pharma, Inc. (Nasdaq: ASND), a Danish biopharmaceutical company, from November 2020 to June 2021. Prior to serving at Ascendis Pharma, Dr. Bach served as Interim Chief Executive Officer of Accumulus Synergy, Inc., a non-profit biopharmaceutical information exchange platform, from July 2020 to October 2020. Prior to serving at Accumulus Synergy, Dr. Bach held various roles at Janssen Pharmaceuticals, Inc. from January 2010 to October 2020, including Vice President, Office of the Chief Medical Officer and Vice President Head, Asia Pacific Medical Sciences and China Innovation. Prior to serving at Janssen, Dr. Bach held various roles at Merck &amp; Co., Inc. (NYSE: MRK) from June 1993 to January 2010, including Vice President and Executive Director, Global Medical Organization. Dr. Bach received his B.A. in Chemistry from Carleton College, his Ph.D. in Pathology from The University of Chicago Graduate School of Biological Sciences, and his M.D. from Baylor College of Medicine.</w:t>
      </w:r>
    </w:p>
    <w:p>
      <w:pPr>
        <w:spacing w:after="0" w:line="13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Yingli Ma, Ph.D. </w:t>
      </w:r>
      <w:r>
        <w:rPr>
          <w:rFonts w:ascii="Times New Roman" w:cs="Times New Roman" w:eastAsia="Times New Roman" w:hAnsi="Times New Roman"/>
          <w:sz w:val="20"/>
          <w:szCs w:val="20"/>
          <w:color w:val="auto"/>
        </w:rPr>
        <w:t>has served as our Chief Technology Officer since August 2022. Previously, Dr. Ma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served as General Manager and President of Basecamp Bio Inc., our wholly-owned subsidiary, from May 2021 to August 2022. Prior to joining Basecamp Bio, Dr. Ma served as General Manager of Amgen Biopharmaceutical R&amp;D (Shanghai), the R&amp;D site of Amgen, Inc. (Nasdaq: AMGN) in Shanghai from June 2020 to May 2021. Previously, Dr. Ma served in various roles at Amgen, including Executive Director, Structural Biology and China Research Shanghai Platforms from July 2018 to December 2019, and Principal Scientist, Structural Biology and Protein Expression from June 2014 to July 2018. Prior to serving at Amgen, Dr. Ma was Senior Scientist and Principal Scientist, Structural Chemistry Lead at GSK from April 2009 to May 2014. Dr. Ma completed her post-doctoral fellowship in Molecular Biology at Rockefeller University. Dr. Ma received her B.S. in Clinical Medicine from China Medical University, and her Ph.D. in Biochemistry and Molecular Biophysics from the University of Pennsylvania.</w:t>
      </w:r>
    </w:p>
    <w:p>
      <w:pPr>
        <w:spacing w:after="0" w:line="127"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20"/>
          <w:szCs w:val="20"/>
          <w:color w:val="auto"/>
        </w:rPr>
        <w:t>Each executive officer serves at the discretion of our Board and holds office until the executive officer’s successor is duly elected and qualified or until the executive officer’s earlier resignation or removal.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171"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20"/>
          <w:szCs w:val="20"/>
          <w:color w:val="auto"/>
        </w:rPr>
        <w:t>This section discusses the material components of the executive compensation program for the Company’s CEO and its two other most highly compensated executive officers at December 31, 2023 (the “Named Executive Officers”).</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100"/>
          </w:cols>
          <w:pgMar w:left="1400" w:top="1025" w:right="1380" w:bottom="70" w:gutter="0" w:footer="0" w:header="0"/>
          <w:type w:val="continuous"/>
        </w:sectPr>
      </w:pPr>
    </w:p>
    <w:bookmarkStart w:id="250" w:name="page251"/>
    <w:bookmarkEnd w:id="250"/>
    <w:p>
      <w:pPr>
        <w:ind w:left="10"/>
        <w:spacing w:after="0"/>
        <w:rPr>
          <w:sz w:val="20"/>
          <w:szCs w:val="20"/>
          <w:color w:val="auto"/>
        </w:rPr>
      </w:pPr>
      <w:r>
        <w:rPr>
          <w:rFonts w:ascii="Times New Roman" w:cs="Times New Roman" w:eastAsia="Times New Roman" w:hAnsi="Times New Roman"/>
          <w:sz w:val="20"/>
          <w:szCs w:val="20"/>
          <w:b w:val="1"/>
          <w:bCs w:val="1"/>
          <w:color w:val="auto"/>
        </w:rPr>
        <w:t>Fiscal Year 2023 Summary Compensation Table</w:t>
      </w:r>
    </w:p>
    <w:p>
      <w:pPr>
        <w:spacing w:after="0" w:line="171" w:lineRule="exact"/>
        <w:rPr>
          <w:sz w:val="20"/>
          <w:szCs w:val="20"/>
          <w:color w:val="auto"/>
        </w:rPr>
      </w:pPr>
    </w:p>
    <w:p>
      <w:pPr>
        <w:ind w:left="10" w:firstLine="399"/>
        <w:spacing w:after="0" w:line="279" w:lineRule="auto"/>
        <w:rPr>
          <w:sz w:val="20"/>
          <w:szCs w:val="20"/>
          <w:color w:val="auto"/>
        </w:rPr>
      </w:pPr>
      <w:r>
        <w:rPr>
          <w:rFonts w:ascii="Times New Roman" w:cs="Times New Roman" w:eastAsia="Times New Roman" w:hAnsi="Times New Roman"/>
          <w:sz w:val="20"/>
          <w:szCs w:val="20"/>
          <w:color w:val="auto"/>
        </w:rPr>
        <w:t>The following table shows for the fiscal years ended December 31, 2023 and 2022 compensation awarded to or paid to, or earned by, the Named Executive Officers.</w:t>
      </w: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Non-Equity</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5"/>
              </w:rPr>
              <w:t>Incentive Plan</w:t>
            </w:r>
          </w:p>
        </w:tc>
        <w:tc>
          <w:tcPr>
            <w:tcW w:w="118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All Other</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ind w:left="100"/>
              <w:spacing w:after="0" w:line="173" w:lineRule="exact"/>
              <w:rPr>
                <w:sz w:val="20"/>
                <w:szCs w:val="20"/>
                <w:color w:val="auto"/>
              </w:rPr>
            </w:pPr>
            <w:r>
              <w:rPr>
                <w:rFonts w:ascii="Times New Roman" w:cs="Times New Roman" w:eastAsia="Times New Roman" w:hAnsi="Times New Roman"/>
                <w:sz w:val="16"/>
                <w:szCs w:val="16"/>
                <w:b w:val="1"/>
                <w:bCs w:val="1"/>
                <w:color w:val="auto"/>
              </w:rPr>
              <w:t>Salary</w:t>
            </w:r>
          </w:p>
        </w:tc>
        <w:tc>
          <w:tcPr>
            <w:tcW w:w="880" w:type="dxa"/>
            <w:vAlign w:val="bottom"/>
            <w:gridSpan w:val="3"/>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Bonus</w:t>
            </w:r>
          </w:p>
        </w:tc>
        <w:tc>
          <w:tcPr>
            <w:tcW w:w="106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3"/>
              </w:rPr>
              <w:t>Awards</w:t>
            </w:r>
          </w:p>
        </w:tc>
        <w:tc>
          <w:tcPr>
            <w:tcW w:w="118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5"/>
              </w:rPr>
              <w:t>Compensation</w:t>
            </w:r>
          </w:p>
        </w:tc>
        <w:tc>
          <w:tcPr>
            <w:tcW w:w="118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5"/>
              </w:rPr>
              <w:t>Compensation</w:t>
            </w:r>
          </w:p>
        </w:tc>
        <w:tc>
          <w:tcPr>
            <w:tcW w:w="820" w:type="dxa"/>
            <w:vAlign w:val="bottom"/>
          </w:tcPr>
          <w:p>
            <w:pPr>
              <w:jc w:val="right"/>
              <w:ind w:right="146"/>
              <w:spacing w:after="0" w:line="173"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2"/>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240" w:type="dxa"/>
            <w:vAlign w:val="bottom"/>
          </w:tcPr>
          <w:p>
            <w:pPr>
              <w:spacing w:after="0"/>
              <w:rPr>
                <w:sz w:val="20"/>
                <w:szCs w:val="20"/>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88"/>
              </w:rPr>
              <w:t>Year</w:t>
            </w:r>
          </w:p>
        </w:tc>
        <w:tc>
          <w:tcPr>
            <w:tcW w:w="24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0"/>
                <w:szCs w:val="20"/>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vertAlign w:val="superscript"/>
              </w:rPr>
              <w:t>(2)</w:t>
            </w:r>
          </w:p>
        </w:tc>
        <w:tc>
          <w:tcPr>
            <w:tcW w:w="24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9"/>
                <w:szCs w:val="19"/>
                <w:b w:val="1"/>
                <w:bCs w:val="1"/>
                <w:color w:val="auto"/>
                <w:vertAlign w:val="superscript"/>
              </w:rPr>
              <w:t>(3)</w:t>
            </w:r>
          </w:p>
        </w:tc>
        <w:tc>
          <w:tcPr>
            <w:tcW w:w="240" w:type="dxa"/>
            <w:vAlign w:val="bottom"/>
          </w:tcPr>
          <w:p>
            <w:pPr>
              <w:spacing w:after="0"/>
              <w:rPr>
                <w:sz w:val="20"/>
                <w:szCs w:val="20"/>
                <w:color w:val="auto"/>
              </w:rPr>
            </w:pPr>
          </w:p>
        </w:tc>
        <w:tc>
          <w:tcPr>
            <w:tcW w:w="82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67"/>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Raymond Stevens, Ph.D. </w:t>
            </w:r>
            <w:r>
              <w:rPr>
                <w:rFonts w:ascii="Times New Roman" w:cs="Times New Roman" w:eastAsia="Times New Roman" w:hAnsi="Times New Roman"/>
                <w:sz w:val="20"/>
                <w:szCs w:val="20"/>
                <w:color w:val="auto"/>
              </w:rPr>
              <w:t>. . . .</w:t>
            </w: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2023</w:t>
            </w:r>
          </w:p>
        </w:tc>
        <w:tc>
          <w:tcPr>
            <w:tcW w:w="88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595,852</w:t>
            </w:r>
          </w:p>
        </w:tc>
        <w:tc>
          <w:tcPr>
            <w:tcW w:w="240" w:type="dxa"/>
            <w:vAlign w:val="bottom"/>
          </w:tcPr>
          <w:p>
            <w:pPr>
              <w:spacing w:after="0"/>
              <w:rPr>
                <w:sz w:val="23"/>
                <w:szCs w:val="23"/>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6,500,534</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281,325</w:t>
            </w:r>
          </w:p>
        </w:tc>
        <w:tc>
          <w:tcPr>
            <w:tcW w:w="2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13,200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7,390,911</w:t>
            </w:r>
          </w:p>
        </w:tc>
        <w:tc>
          <w:tcPr>
            <w:tcW w:w="0" w:type="dxa"/>
            <w:vAlign w:val="bottom"/>
          </w:tcPr>
          <w:p>
            <w:pPr>
              <w:spacing w:after="0"/>
              <w:rPr>
                <w:sz w:val="1"/>
                <w:szCs w:val="1"/>
                <w:color w:val="auto"/>
              </w:rPr>
            </w:pPr>
          </w:p>
        </w:tc>
      </w:tr>
      <w:tr>
        <w:trPr>
          <w:trHeight w:val="248"/>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Chief Executive Officer</w:t>
            </w: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2022</w:t>
            </w:r>
          </w:p>
        </w:tc>
        <w:tc>
          <w:tcPr>
            <w:tcW w:w="88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487,333</w:t>
            </w:r>
          </w:p>
        </w:tc>
        <w:tc>
          <w:tcPr>
            <w:tcW w:w="240" w:type="dxa"/>
            <w:vAlign w:val="bottom"/>
          </w:tcPr>
          <w:p>
            <w:pPr>
              <w:spacing w:after="0"/>
              <w:rPr>
                <w:sz w:val="21"/>
                <w:szCs w:val="21"/>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247,500</w:t>
            </w:r>
          </w:p>
        </w:tc>
        <w:tc>
          <w:tcPr>
            <w:tcW w:w="24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12,500</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747,333</w:t>
            </w:r>
          </w:p>
        </w:tc>
        <w:tc>
          <w:tcPr>
            <w:tcW w:w="0" w:type="dxa"/>
            <w:vAlign w:val="bottom"/>
          </w:tcPr>
          <w:p>
            <w:pPr>
              <w:spacing w:after="0"/>
              <w:rPr>
                <w:sz w:val="1"/>
                <w:szCs w:val="1"/>
                <w:color w:val="auto"/>
              </w:rPr>
            </w:pPr>
          </w:p>
        </w:tc>
      </w:tr>
      <w:tr>
        <w:trPr>
          <w:trHeight w:val="288"/>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and Director</w:t>
            </w:r>
            <w:r>
              <w:rPr>
                <w:rFonts w:ascii="Times New Roman" w:cs="Times New Roman" w:eastAsia="Times New Roman" w:hAnsi="Times New Roman"/>
                <w:sz w:val="25"/>
                <w:szCs w:val="25"/>
                <w:color w:val="auto"/>
                <w:vertAlign w:val="superscript"/>
              </w:rPr>
              <w:t>(4)</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0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 xml:space="preserve">Jun Yoon </w:t>
            </w:r>
            <w:r>
              <w:rPr>
                <w:rFonts w:ascii="Times New Roman" w:cs="Times New Roman" w:eastAsia="Times New Roman" w:hAnsi="Times New Roman"/>
                <w:sz w:val="20"/>
                <w:szCs w:val="20"/>
                <w:color w:val="auto"/>
              </w:rPr>
              <w:t>. . . . . . . . . . . . . . . . .</w:t>
            </w:r>
          </w:p>
        </w:tc>
        <w:tc>
          <w:tcPr>
            <w:tcW w:w="40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auto"/>
                <w:w w:val="99"/>
              </w:rPr>
              <w:t>2023</w:t>
            </w:r>
          </w:p>
        </w:tc>
        <w:tc>
          <w:tcPr>
            <w:tcW w:w="880" w:type="dxa"/>
            <w:vAlign w:val="bottom"/>
            <w:gridSpan w:val="2"/>
          </w:tcPr>
          <w:p>
            <w:pPr>
              <w:jc w:val="center"/>
              <w:ind w:left="140"/>
              <w:spacing w:after="0" w:line="224" w:lineRule="exact"/>
              <w:rPr>
                <w:sz w:val="20"/>
                <w:szCs w:val="20"/>
                <w:color w:val="auto"/>
              </w:rPr>
            </w:pPr>
            <w:r>
              <w:rPr>
                <w:rFonts w:ascii="Times New Roman" w:cs="Times New Roman" w:eastAsia="Times New Roman" w:hAnsi="Times New Roman"/>
                <w:sz w:val="20"/>
                <w:szCs w:val="20"/>
                <w:color w:val="auto"/>
                <w:w w:val="98"/>
              </w:rPr>
              <w:t>441,262</w:t>
            </w:r>
          </w:p>
        </w:tc>
        <w:tc>
          <w:tcPr>
            <w:tcW w:w="240" w:type="dxa"/>
            <w:vAlign w:val="bottom"/>
          </w:tcPr>
          <w:p>
            <w:pPr>
              <w:spacing w:after="0"/>
              <w:rPr>
                <w:sz w:val="19"/>
                <w:szCs w:val="19"/>
                <w:color w:val="auto"/>
              </w:rPr>
            </w:pPr>
          </w:p>
        </w:tc>
        <w:tc>
          <w:tcPr>
            <w:tcW w:w="640" w:type="dxa"/>
            <w:vAlign w:val="bottom"/>
            <w:gridSpan w:val="2"/>
          </w:tcPr>
          <w:p>
            <w:pPr>
              <w:jc w:val="center"/>
              <w:ind w:right="240"/>
              <w:spacing w:after="0" w:line="224" w:lineRule="exact"/>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gridSpan w:val="2"/>
          </w:tcPr>
          <w:p>
            <w:pPr>
              <w:jc w:val="right"/>
              <w:ind w:right="240"/>
              <w:spacing w:after="0" w:line="224" w:lineRule="exact"/>
              <w:rPr>
                <w:sz w:val="20"/>
                <w:szCs w:val="20"/>
                <w:color w:val="auto"/>
              </w:rPr>
            </w:pPr>
            <w:r>
              <w:rPr>
                <w:rFonts w:ascii="Times New Roman" w:cs="Times New Roman" w:eastAsia="Times New Roman" w:hAnsi="Times New Roman"/>
                <w:sz w:val="20"/>
                <w:szCs w:val="20"/>
                <w:color w:val="auto"/>
                <w:w w:val="99"/>
              </w:rPr>
              <w:t>3,047,125</w:t>
            </w:r>
          </w:p>
        </w:tc>
        <w:tc>
          <w:tcPr>
            <w:tcW w:w="94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auto"/>
              </w:rPr>
              <w:t>173,183</w:t>
            </w:r>
          </w:p>
        </w:tc>
        <w:tc>
          <w:tcPr>
            <w:tcW w:w="240" w:type="dxa"/>
            <w:vAlign w:val="bottom"/>
          </w:tcPr>
          <w:p>
            <w:pPr>
              <w:spacing w:after="0"/>
              <w:rPr>
                <w:sz w:val="19"/>
                <w:szCs w:val="19"/>
                <w:color w:val="auto"/>
              </w:rPr>
            </w:pPr>
          </w:p>
        </w:tc>
        <w:tc>
          <w:tcPr>
            <w:tcW w:w="940" w:type="dxa"/>
            <w:vAlign w:val="bottom"/>
          </w:tcPr>
          <w:p>
            <w:pPr>
              <w:jc w:val="center"/>
              <w:spacing w:after="0" w:line="224" w:lineRule="exact"/>
              <w:rPr>
                <w:sz w:val="20"/>
                <w:szCs w:val="20"/>
                <w:color w:val="auto"/>
              </w:rPr>
            </w:pPr>
            <w:r>
              <w:rPr>
                <w:rFonts w:ascii="Times New Roman" w:cs="Times New Roman" w:eastAsia="Times New Roman" w:hAnsi="Times New Roman"/>
                <w:sz w:val="20"/>
                <w:szCs w:val="20"/>
                <w:color w:val="auto"/>
                <w:w w:val="98"/>
              </w:rPr>
              <w:t>13,200</w:t>
            </w:r>
          </w:p>
        </w:tc>
        <w:tc>
          <w:tcPr>
            <w:tcW w:w="240" w:type="dxa"/>
            <w:vAlign w:val="bottom"/>
          </w:tcPr>
          <w:p>
            <w:pPr>
              <w:spacing w:after="0"/>
              <w:rPr>
                <w:sz w:val="19"/>
                <w:szCs w:val="19"/>
                <w:color w:val="auto"/>
              </w:rPr>
            </w:pPr>
          </w:p>
        </w:tc>
        <w:tc>
          <w:tcPr>
            <w:tcW w:w="8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w w:val="99"/>
              </w:rPr>
              <w:t>3,674,770</w:t>
            </w:r>
          </w:p>
        </w:tc>
        <w:tc>
          <w:tcPr>
            <w:tcW w:w="0" w:type="dxa"/>
            <w:vAlign w:val="bottom"/>
          </w:tcPr>
          <w:p>
            <w:pPr>
              <w:spacing w:after="0"/>
              <w:rPr>
                <w:sz w:val="1"/>
                <w:szCs w:val="1"/>
                <w:color w:val="auto"/>
              </w:rPr>
            </w:pPr>
          </w:p>
        </w:tc>
      </w:tr>
      <w:tr>
        <w:trPr>
          <w:trHeight w:val="305"/>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Chief Financial Officer</w:t>
            </w:r>
            <w:r>
              <w:rPr>
                <w:rFonts w:ascii="Times New Roman" w:cs="Times New Roman" w:eastAsia="Times New Roman" w:hAnsi="Times New Roman"/>
                <w:sz w:val="25"/>
                <w:szCs w:val="25"/>
                <w:color w:val="auto"/>
                <w:vertAlign w:val="superscript"/>
              </w:rPr>
              <w:t>(5)</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Mark Bach, M.D., Ph.D.</w:t>
            </w:r>
            <w:r>
              <w:rPr>
                <w:rFonts w:ascii="Times New Roman" w:cs="Times New Roman" w:eastAsia="Times New Roman" w:hAnsi="Times New Roman"/>
                <w:sz w:val="20"/>
                <w:szCs w:val="20"/>
                <w:color w:val="auto"/>
              </w:rPr>
              <w:t>. . . .</w:t>
            </w: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2023</w:t>
            </w:r>
          </w:p>
        </w:tc>
        <w:tc>
          <w:tcPr>
            <w:tcW w:w="88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485,812</w:t>
            </w:r>
          </w:p>
        </w:tc>
        <w:tc>
          <w:tcPr>
            <w:tcW w:w="240" w:type="dxa"/>
            <w:vAlign w:val="bottom"/>
          </w:tcPr>
          <w:p>
            <w:pPr>
              <w:spacing w:after="0"/>
              <w:rPr>
                <w:sz w:val="21"/>
                <w:szCs w:val="21"/>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173,045</w:t>
            </w:r>
          </w:p>
        </w:tc>
        <w:tc>
          <w:tcPr>
            <w:tcW w:w="24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13,200</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672,057</w:t>
            </w:r>
          </w:p>
        </w:tc>
        <w:tc>
          <w:tcPr>
            <w:tcW w:w="0" w:type="dxa"/>
            <w:vAlign w:val="bottom"/>
          </w:tcPr>
          <w:p>
            <w:pPr>
              <w:spacing w:after="0"/>
              <w:rPr>
                <w:sz w:val="1"/>
                <w:szCs w:val="1"/>
                <w:color w:val="auto"/>
              </w:rPr>
            </w:pPr>
          </w:p>
        </w:tc>
      </w:tr>
      <w:tr>
        <w:trPr>
          <w:trHeight w:val="322"/>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Chief Medical Officer</w:t>
            </w: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2022</w:t>
            </w:r>
          </w:p>
        </w:tc>
        <w:tc>
          <w:tcPr>
            <w:tcW w:w="88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466,375</w:t>
            </w:r>
          </w:p>
        </w:tc>
        <w:tc>
          <w:tcPr>
            <w:tcW w:w="240" w:type="dxa"/>
            <w:vAlign w:val="bottom"/>
          </w:tcPr>
          <w:p>
            <w:pPr>
              <w:spacing w:after="0"/>
              <w:rPr>
                <w:sz w:val="24"/>
                <w:szCs w:val="24"/>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149,499</w:t>
            </w:r>
          </w:p>
        </w:tc>
        <w:tc>
          <w:tcPr>
            <w:tcW w:w="2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12,500</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628,374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118110</wp:posOffset>
                </wp:positionV>
                <wp:extent cx="136842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pt" to="107.75pt,9.3pt" o:allowincell="f" strokecolor="#000000" strokeweight="0.499pt"/>
            </w:pict>
          </mc:Fallback>
        </mc:AlternateContent>
      </w:r>
    </w:p>
    <w:p>
      <w:pPr>
        <w:spacing w:after="0" w:line="270" w:lineRule="exact"/>
        <w:rPr>
          <w:sz w:val="20"/>
          <w:szCs w:val="20"/>
          <w:color w:val="auto"/>
        </w:rPr>
      </w:pPr>
    </w:p>
    <w:p>
      <w:pPr>
        <w:jc w:val="both"/>
        <w:ind w:left="390" w:hanging="390"/>
        <w:spacing w:after="0" w:line="258" w:lineRule="auto"/>
        <w:tabs>
          <w:tab w:leader="none" w:pos="39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SEC rules, this column represents the grant date fair value of shares underlying share options granted during the indicated year, calculated in accordance with Financial Accounting Standards Board Accounting Standards Codification Topic 718 (“FASB ASC 718”). Pursuant to FASB ASC Topic 718, the amounts shown exclude the impact of estimated forfeitures. The grant date fair value of the share option granted during 2023 to Dr. Bach that was to vest based on certain clinical milestones is reported as $0, because the achievement of the performance conditions was not deemed probable as of the grant date. Assuming highest level of achievement of the performance conditions, the maximum potential value of such award at the grant date was $2,939,296, calculated in accordance with FASB ASC 718. Assumptions used in the calculation of the grant date fair value of the share options are set forth in Note 9, “Shareholders’ Equity” to our audited consolidated financial statements included in our Annual Report on Form 10-K for the fiscal year ended December 31, 2023. The amounts reported here do not reflect the actual economic value realized by our Named Executive Officers. Our Named Executive Officers will only realize compensation from grants of share options to the extent the trading price of our Ordinary Shares is greater than the exercise price of such options.</w:t>
      </w:r>
    </w:p>
    <w:p>
      <w:pPr>
        <w:spacing w:after="0" w:line="39" w:lineRule="exact"/>
        <w:rPr>
          <w:rFonts w:ascii="Times New Roman" w:cs="Times New Roman" w:eastAsia="Times New Roman" w:hAnsi="Times New Roman"/>
          <w:sz w:val="16"/>
          <w:szCs w:val="16"/>
          <w:color w:val="auto"/>
        </w:rPr>
      </w:pPr>
    </w:p>
    <w:p>
      <w:pPr>
        <w:ind w:left="390" w:hanging="390"/>
        <w:spacing w:after="0" w:line="290" w:lineRule="auto"/>
        <w:tabs>
          <w:tab w:leader="none" w:pos="39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reflects the amount of performance-based incentive compensation earned by our Named Executive Officers for the periods presented, described below under the subsection titled “— Non-Equity Incentive Plan Compensation.”</w:t>
      </w:r>
    </w:p>
    <w:p>
      <w:pPr>
        <w:spacing w:after="0" w:line="10" w:lineRule="exact"/>
        <w:rPr>
          <w:rFonts w:ascii="Times New Roman" w:cs="Times New Roman" w:eastAsia="Times New Roman" w:hAnsi="Times New Roman"/>
          <w:sz w:val="16"/>
          <w:szCs w:val="16"/>
          <w:color w:val="auto"/>
        </w:rPr>
      </w:pPr>
    </w:p>
    <w:p>
      <w:pPr>
        <w:ind w:left="390" w:hanging="390"/>
        <w:spacing w:after="0"/>
        <w:tabs>
          <w:tab w:leader="none" w:pos="39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Company’s matching contributions under our 401(k) Plan.</w:t>
      </w:r>
    </w:p>
    <w:p>
      <w:pPr>
        <w:spacing w:after="0" w:line="75" w:lineRule="exact"/>
        <w:rPr>
          <w:rFonts w:ascii="Times New Roman" w:cs="Times New Roman" w:eastAsia="Times New Roman" w:hAnsi="Times New Roman"/>
          <w:sz w:val="16"/>
          <w:szCs w:val="16"/>
          <w:color w:val="auto"/>
        </w:rPr>
      </w:pPr>
    </w:p>
    <w:p>
      <w:pPr>
        <w:ind w:left="390" w:hanging="390"/>
        <w:spacing w:after="0"/>
        <w:tabs>
          <w:tab w:leader="none" w:pos="39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Stevens was a member of the Board in 2023 but did not receive additional compensation in his capacity of a director.</w:t>
      </w:r>
    </w:p>
    <w:p>
      <w:pPr>
        <w:spacing w:after="0" w:line="75" w:lineRule="exact"/>
        <w:rPr>
          <w:rFonts w:ascii="Times New Roman" w:cs="Times New Roman" w:eastAsia="Times New Roman" w:hAnsi="Times New Roman"/>
          <w:sz w:val="16"/>
          <w:szCs w:val="16"/>
          <w:color w:val="auto"/>
        </w:rPr>
      </w:pPr>
    </w:p>
    <w:p>
      <w:pPr>
        <w:ind w:left="390" w:hanging="390"/>
        <w:spacing w:after="0" w:line="290" w:lineRule="auto"/>
        <w:tabs>
          <w:tab w:leader="none" w:pos="39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Yoon became a Named Executive Officer in 2023, and thus his compensation for the fiscal year ended December 31, 2022 is not reported here.</w:t>
      </w:r>
    </w:p>
    <w:p>
      <w:pPr>
        <w:spacing w:after="0" w:line="1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Annual Base Salary</w:t>
      </w:r>
    </w:p>
    <w:p>
      <w:pPr>
        <w:spacing w:after="0" w:line="171" w:lineRule="exact"/>
        <w:rPr>
          <w:sz w:val="20"/>
          <w:szCs w:val="20"/>
          <w:color w:val="auto"/>
        </w:rPr>
      </w:pPr>
    </w:p>
    <w:p>
      <w:pPr>
        <w:jc w:val="both"/>
        <w:ind w:left="10" w:firstLine="399"/>
        <w:spacing w:after="0" w:line="254" w:lineRule="auto"/>
        <w:rPr>
          <w:sz w:val="20"/>
          <w:szCs w:val="20"/>
          <w:color w:val="auto"/>
        </w:rPr>
      </w:pPr>
      <w:r>
        <w:rPr>
          <w:rFonts w:ascii="Times New Roman" w:cs="Times New Roman" w:eastAsia="Times New Roman" w:hAnsi="Times New Roman"/>
          <w:sz w:val="20"/>
          <w:szCs w:val="20"/>
          <w:color w:val="auto"/>
        </w:rPr>
        <w:t>Our Named Executive Officers receive an annual base salary to compensate them for services rendered to us. The base salary payable to each Named Executive Officer is intended to provide a fixed component of compensation. In establishing salary levels, we consider each Named Executive Officer’s skill set, role, experience, responsibilities, performance and the pay levels of similarly situated executives at comparable companies.</w:t>
      </w:r>
    </w:p>
    <w:p>
      <w:pPr>
        <w:spacing w:after="0" w:line="12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20"/>
          <w:szCs w:val="20"/>
          <w:color w:val="auto"/>
        </w:rPr>
        <w:t>The 2023 annual base salary rates for our Named Executive Officers are set forth in the table below.</w:t>
      </w:r>
    </w:p>
    <w:p>
      <w:pPr>
        <w:spacing w:after="0" w:line="161" w:lineRule="exact"/>
        <w:rPr>
          <w:sz w:val="20"/>
          <w:szCs w:val="20"/>
          <w:color w:val="auto"/>
        </w:rPr>
      </w:pPr>
    </w:p>
    <w:tbl>
      <w:tblPr>
        <w:tblLayout w:type="fixed"/>
        <w:tblInd w:w="39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 Base</w:t>
            </w:r>
          </w:p>
        </w:tc>
      </w:tr>
      <w:tr>
        <w:trPr>
          <w:trHeight w:val="202"/>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20" w:type="dxa"/>
            <w:vAlign w:val="bottom"/>
            <w:gridSpan w:val="2"/>
          </w:tcPr>
          <w:p>
            <w:pPr>
              <w:jc w:val="center"/>
              <w:ind w:left="25"/>
              <w:spacing w:after="0"/>
              <w:rPr>
                <w:sz w:val="20"/>
                <w:szCs w:val="20"/>
                <w:color w:val="auto"/>
              </w:rPr>
            </w:pPr>
            <w:r>
              <w:rPr>
                <w:rFonts w:ascii="Times New Roman" w:cs="Times New Roman" w:eastAsia="Times New Roman" w:hAnsi="Times New Roman"/>
                <w:sz w:val="16"/>
                <w:szCs w:val="16"/>
                <w:b w:val="1"/>
                <w:bCs w:val="1"/>
                <w:color w:val="auto"/>
                <w:w w:val="99"/>
              </w:rPr>
              <w:t>Salary Rate</w:t>
            </w:r>
          </w:p>
        </w:tc>
      </w:tr>
      <w:tr>
        <w:trPr>
          <w:trHeight w:val="30"/>
        </w:trPr>
        <w:tc>
          <w:tcPr>
            <w:tcW w:w="7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02"/>
        </w:trPr>
        <w:tc>
          <w:tcPr>
            <w:tcW w:w="7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Raymond Stevens, Ph.D.</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 . . . . . . . . . . . . . . . . . . . . . . . . . .</w:t>
            </w:r>
          </w:p>
        </w:tc>
        <w:tc>
          <w:tcPr>
            <w:tcW w:w="920" w:type="dxa"/>
            <w:vAlign w:val="bottom"/>
            <w:gridSpan w:val="2"/>
          </w:tcPr>
          <w:p>
            <w:pPr>
              <w:jc w:val="center"/>
              <w:ind w:left="5"/>
              <w:spacing w:after="0"/>
              <w:rPr>
                <w:sz w:val="20"/>
                <w:szCs w:val="20"/>
                <w:color w:val="auto"/>
              </w:rPr>
            </w:pPr>
            <w:r>
              <w:rPr>
                <w:rFonts w:ascii="Times New Roman" w:cs="Times New Roman" w:eastAsia="Times New Roman" w:hAnsi="Times New Roman"/>
                <w:sz w:val="20"/>
                <w:szCs w:val="20"/>
                <w:color w:val="auto"/>
                <w:w w:val="98"/>
              </w:rPr>
              <w:t>$605,000</w:t>
            </w:r>
          </w:p>
        </w:tc>
      </w:tr>
      <w:tr>
        <w:trPr>
          <w:trHeight w:val="299"/>
        </w:trPr>
        <w:tc>
          <w:tcPr>
            <w:tcW w:w="7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Jun Yoon</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 . . . . . . . . . . . . . . . . . . . . . . . . . . . . . . . . . . . . . . . . . . . . . . . . . .</w:t>
            </w:r>
          </w:p>
        </w:tc>
        <w:tc>
          <w:tcPr>
            <w:tcW w:w="920" w:type="dxa"/>
            <w:vAlign w:val="bottom"/>
            <w:gridSpan w:val="2"/>
          </w:tcPr>
          <w:p>
            <w:pPr>
              <w:jc w:val="center"/>
              <w:ind w:left="5"/>
              <w:spacing w:after="0"/>
              <w:rPr>
                <w:sz w:val="20"/>
                <w:szCs w:val="20"/>
                <w:color w:val="auto"/>
              </w:rPr>
            </w:pPr>
            <w:r>
              <w:rPr>
                <w:rFonts w:ascii="Times New Roman" w:cs="Times New Roman" w:eastAsia="Times New Roman" w:hAnsi="Times New Roman"/>
                <w:sz w:val="20"/>
                <w:szCs w:val="20"/>
                <w:color w:val="auto"/>
                <w:w w:val="98"/>
              </w:rPr>
              <w:t>$445,200</w:t>
            </w:r>
          </w:p>
        </w:tc>
      </w:tr>
      <w:tr>
        <w:trPr>
          <w:trHeight w:val="305"/>
        </w:trPr>
        <w:tc>
          <w:tcPr>
            <w:tcW w:w="7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Mark Bach, M.D., Ph.D.</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 . . . . . . . . . . . . . . . . . . . . . . . . . . . . . . . . . . . . . . . .</w:t>
            </w:r>
          </w:p>
        </w:tc>
        <w:tc>
          <w:tcPr>
            <w:tcW w:w="920" w:type="dxa"/>
            <w:vAlign w:val="bottom"/>
            <w:gridSpan w:val="2"/>
          </w:tcPr>
          <w:p>
            <w:pPr>
              <w:jc w:val="center"/>
              <w:ind w:left="5"/>
              <w:spacing w:after="0"/>
              <w:rPr>
                <w:sz w:val="20"/>
                <w:szCs w:val="20"/>
                <w:color w:val="auto"/>
              </w:rPr>
            </w:pPr>
            <w:r>
              <w:rPr>
                <w:rFonts w:ascii="Times New Roman" w:cs="Times New Roman" w:eastAsia="Times New Roman" w:hAnsi="Times New Roman"/>
                <w:sz w:val="20"/>
                <w:szCs w:val="20"/>
                <w:color w:val="auto"/>
                <w:w w:val="98"/>
              </w:rPr>
              <w:t>$487,450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102870</wp:posOffset>
                </wp:positionV>
                <wp:extent cx="136842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1pt" to="107.75pt,8.1pt" o:allowincell="f" strokecolor="#000000" strokeweight="0.499pt"/>
            </w:pict>
          </mc:Fallback>
        </mc:AlternateContent>
      </w:r>
    </w:p>
    <w:p>
      <w:pPr>
        <w:spacing w:after="0" w:line="246" w:lineRule="exact"/>
        <w:rPr>
          <w:sz w:val="20"/>
          <w:szCs w:val="20"/>
          <w:color w:val="auto"/>
        </w:rPr>
      </w:pPr>
    </w:p>
    <w:p>
      <w:pPr>
        <w:ind w:left="390" w:hanging="390"/>
        <w:spacing w:after="0"/>
        <w:tabs>
          <w:tab w:leader="none" w:pos="39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Stevens’ annual base salary was increased from $500,000 to $605,000, effective February 2, 2023.</w:t>
      </w:r>
    </w:p>
    <w:p>
      <w:pPr>
        <w:spacing w:after="0" w:line="75" w:lineRule="exact"/>
        <w:rPr>
          <w:rFonts w:ascii="Times New Roman" w:cs="Times New Roman" w:eastAsia="Times New Roman" w:hAnsi="Times New Roman"/>
          <w:sz w:val="16"/>
          <w:szCs w:val="16"/>
          <w:color w:val="auto"/>
        </w:rPr>
      </w:pPr>
    </w:p>
    <w:p>
      <w:pPr>
        <w:ind w:left="390" w:hanging="390"/>
        <w:spacing w:after="0"/>
        <w:tabs>
          <w:tab w:leader="none" w:pos="39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Yoon’s annual base salary was increased from $400,000 to $445,200, effective February 2, 2023.</w:t>
      </w:r>
    </w:p>
    <w:p>
      <w:pPr>
        <w:spacing w:after="0" w:line="75" w:lineRule="exact"/>
        <w:rPr>
          <w:rFonts w:ascii="Times New Roman" w:cs="Times New Roman" w:eastAsia="Times New Roman" w:hAnsi="Times New Roman"/>
          <w:sz w:val="16"/>
          <w:szCs w:val="16"/>
          <w:color w:val="auto"/>
        </w:rPr>
      </w:pPr>
    </w:p>
    <w:p>
      <w:pPr>
        <w:ind w:left="390" w:hanging="390"/>
        <w:spacing w:after="0"/>
        <w:tabs>
          <w:tab w:leader="none" w:pos="39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Bach’s annual base salary was increased from $468,650 to $487,450, effective February 2, 2023.</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Non-Equity Incentive Plan Compensation</w:t>
      </w:r>
    </w:p>
    <w:p>
      <w:pPr>
        <w:spacing w:after="0" w:line="171" w:lineRule="exact"/>
        <w:rPr>
          <w:sz w:val="20"/>
          <w:szCs w:val="20"/>
          <w:color w:val="auto"/>
        </w:rPr>
      </w:pPr>
    </w:p>
    <w:p>
      <w:pPr>
        <w:ind w:left="10" w:firstLine="399"/>
        <w:spacing w:after="0" w:line="279" w:lineRule="auto"/>
        <w:rPr>
          <w:sz w:val="20"/>
          <w:szCs w:val="20"/>
          <w:color w:val="auto"/>
        </w:rPr>
      </w:pPr>
      <w:r>
        <w:rPr>
          <w:rFonts w:ascii="Times New Roman" w:cs="Times New Roman" w:eastAsia="Times New Roman" w:hAnsi="Times New Roman"/>
          <w:sz w:val="20"/>
          <w:szCs w:val="20"/>
          <w:color w:val="auto"/>
        </w:rPr>
        <w:t>We seek to motivate and reward our executives for achievements relative to our corporate goals and expectations for each fiscal year. In 2023, Dr. Stevens, Mr. Yoon and Dr. Bach were each eligible to receive an</w:t>
      </w:r>
    </w:p>
    <w:p>
      <w:pPr>
        <w:sectPr>
          <w:pgSz w:w="11880" w:h="15480" w:orient="portrait"/>
          <w:cols w:equalWidth="0" w:num="1">
            <w:col w:w="9110"/>
          </w:cols>
          <w:pgMar w:left="1390" w:top="1023" w:right="1380" w:bottom="70" w:gutter="0" w:footer="0" w:header="0"/>
        </w:sectPr>
      </w:pPr>
    </w:p>
    <w:p>
      <w:pPr>
        <w:spacing w:after="0" w:line="24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110"/>
          </w:cols>
          <w:pgMar w:left="1390" w:top="1023" w:right="1380" w:bottom="70" w:gutter="0" w:footer="0" w:header="0"/>
          <w:type w:val="continuous"/>
        </w:sectPr>
      </w:pPr>
    </w:p>
    <w:bookmarkStart w:id="251" w:name="page252"/>
    <w:bookmarkEnd w:id="251"/>
    <w:p>
      <w:pPr>
        <w:jc w:val="both"/>
        <w:spacing w:after="0" w:line="264" w:lineRule="auto"/>
        <w:rPr>
          <w:sz w:val="20"/>
          <w:szCs w:val="20"/>
          <w:color w:val="auto"/>
        </w:rPr>
      </w:pPr>
      <w:r>
        <w:rPr>
          <w:rFonts w:ascii="Times New Roman" w:cs="Times New Roman" w:eastAsia="Times New Roman" w:hAnsi="Times New Roman"/>
          <w:sz w:val="20"/>
          <w:szCs w:val="20"/>
          <w:color w:val="auto"/>
        </w:rPr>
        <w:t>annual performance based on the achievement of certain pre-established corporate performance goals determined by our Board (100% weighting for Dr. Stevens, and 90% weighting for Mr. Yoon and Dr. Bach) and, in the case of Mr. Yoon and Dr. Bach, individual performance goals (10% weighting). In January 2023, based upon the recommendation of our independent compensation consultant, our Board approved the following target bonus amounts for each of our named executive officers, which became effective on February 2, 2023: Dr. Stevens, 50%; Mr. Yoon 40%; and Dr. Bach, 40%. In January 2024, our Board determined that the 2023 corporate goals were achieved at 93% overall, assessed the individual performance of Mr. Yoon and Dr. Bach and approved 2023 annual performance bonuses for each of our Named Executive Officers, as reflected in the “Non-Equity Incentive Plan Compensation” column of the Summary Compensation Table above.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Equity-Based Incentive Awards</w:t>
      </w:r>
    </w:p>
    <w:p>
      <w:pPr>
        <w:spacing w:after="0" w:line="171" w:lineRule="exact"/>
        <w:rPr>
          <w:sz w:val="20"/>
          <w:szCs w:val="20"/>
          <w:color w:val="auto"/>
        </w:rPr>
      </w:pPr>
    </w:p>
    <w:p>
      <w:pPr>
        <w:jc w:val="both"/>
        <w:ind w:firstLine="399"/>
        <w:spacing w:after="0" w:line="277" w:lineRule="auto"/>
        <w:rPr>
          <w:sz w:val="20"/>
          <w:szCs w:val="20"/>
          <w:color w:val="auto"/>
        </w:rPr>
      </w:pPr>
      <w:r>
        <w:rPr>
          <w:rFonts w:ascii="Times New Roman" w:cs="Times New Roman" w:eastAsia="Times New Roman" w:hAnsi="Times New Roman"/>
          <w:sz w:val="20"/>
          <w:szCs w:val="20"/>
          <w:color w:val="auto"/>
        </w:rPr>
        <w:t>Our equity-based incentive awards are designed to align our interests and those of our shareholders with those of our employees and consultants, including our executive officers. Our Board or an authorized committee thereof is responsible for approving equity grants.</w:t>
      </w:r>
    </w:p>
    <w:p>
      <w:pPr>
        <w:spacing w:after="0" w:line="125" w:lineRule="exact"/>
        <w:rPr>
          <w:sz w:val="20"/>
          <w:szCs w:val="20"/>
          <w:color w:val="auto"/>
        </w:rPr>
      </w:pPr>
    </w:p>
    <w:p>
      <w:pPr>
        <w:jc w:val="both"/>
        <w:ind w:firstLine="399"/>
        <w:spacing w:after="0" w:line="264" w:lineRule="auto"/>
        <w:rPr>
          <w:sz w:val="20"/>
          <w:szCs w:val="20"/>
          <w:color w:val="auto"/>
        </w:rPr>
      </w:pPr>
      <w:r>
        <w:rPr>
          <w:rFonts w:ascii="Times New Roman" w:cs="Times New Roman" w:eastAsia="Times New Roman" w:hAnsi="Times New Roman"/>
          <w:sz w:val="20"/>
          <w:szCs w:val="20"/>
          <w:color w:val="auto"/>
        </w:rPr>
        <w:t>We have generally used share options and restricted share awards as an incentive for long-term compensation to our executive officers because share options allow our executive officers to realize value from this form of equity compensation only if our share price increases, and restricted share awards align the interests of our executive officers with the interests of our shareholders generally. Certain share options that we have granted to our executive officers permit “early exercise,” whereby the executive officer can purchase shares subject to the share option prior to vesting, subject to our right of repurchase which lapses in accordance with the vesting schedule of the share option. Similarly, Ordinary Shares issued pursuant to restricted share awards are subject to our right of repurchase which lapses in accordance with the vesting schedule of the restricted share award.</w:t>
      </w:r>
    </w:p>
    <w:p>
      <w:pPr>
        <w:spacing w:after="0" w:line="142" w:lineRule="exact"/>
        <w:rPr>
          <w:sz w:val="20"/>
          <w:szCs w:val="20"/>
          <w:color w:val="auto"/>
        </w:rPr>
      </w:pPr>
    </w:p>
    <w:p>
      <w:pPr>
        <w:jc w:val="both"/>
        <w:ind w:firstLine="399"/>
        <w:spacing w:after="0" w:line="271" w:lineRule="auto"/>
        <w:rPr>
          <w:sz w:val="20"/>
          <w:szCs w:val="20"/>
          <w:color w:val="auto"/>
        </w:rPr>
      </w:pPr>
      <w:r>
        <w:rPr>
          <w:rFonts w:ascii="Times New Roman" w:cs="Times New Roman" w:eastAsia="Times New Roman" w:hAnsi="Times New Roman"/>
          <w:sz w:val="20"/>
          <w:szCs w:val="20"/>
          <w:color w:val="auto"/>
        </w:rPr>
        <w:t>We may grant equity awards at such times as our Board determines appropriate. Our executives generally are awarded an initial grant in the form of a share option in connection with their commencement of employment with us. Additional grants may occur periodically in order to specifically incentivize executives with respect to achieving certain corporate goals or to reward executives for exceptional performance.</w:t>
      </w:r>
    </w:p>
    <w:p>
      <w:pPr>
        <w:spacing w:after="0" w:line="132"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20"/>
          <w:szCs w:val="20"/>
          <w:color w:val="auto"/>
        </w:rPr>
        <w:t>All share options are granted with an exercise price per share that is no less than the fair market value of one Ordinary Share on the date of grant of such award. Our share options generally vest over a four-year period. Equity awards granted to our Named Executive Officers may be subject to acceleration of vesting and exercisability under certain termination and change in control events, as described in more detail below under the subsection titled “— Potential Payments Upon Termination or Change in Control.”</w:t>
      </w:r>
    </w:p>
    <w:p>
      <w:pPr>
        <w:spacing w:after="0" w:line="137" w:lineRule="exact"/>
        <w:rPr>
          <w:sz w:val="20"/>
          <w:szCs w:val="20"/>
          <w:color w:val="auto"/>
        </w:rPr>
      </w:pPr>
    </w:p>
    <w:p>
      <w:pPr>
        <w:jc w:val="both"/>
        <w:ind w:firstLine="399"/>
        <w:spacing w:after="0" w:line="263" w:lineRule="auto"/>
        <w:rPr>
          <w:sz w:val="20"/>
          <w:szCs w:val="20"/>
          <w:color w:val="auto"/>
        </w:rPr>
      </w:pPr>
      <w:r>
        <w:rPr>
          <w:rFonts w:ascii="Times New Roman" w:cs="Times New Roman" w:eastAsia="Times New Roman" w:hAnsi="Times New Roman"/>
          <w:sz w:val="20"/>
          <w:szCs w:val="20"/>
          <w:color w:val="auto"/>
        </w:rPr>
        <w:t>In January 2023, based upon the recommendation of our independent compensation consultant, our Board approved granting the following share options to each of our Named Executive Officers, which were granted under the 2023 Plan on February 2, 2023: Dr. Stevens, 1,600,000 Ordinary Shares; Mr. Yoon, 750,000 Ordinary Shares; and Dr. Bach, 450,000 Ordinary Shares. The exercise price per share of these share options is equal to $5.00, which was the fair market value of each Ordinary Share, based on the public offering price of $15.00 for our ADSs in our IPO. Each share option vests over four years, subject to the executive’s continuous service through each vesting date and, for Dr. Bach, subject to achievement of certain clinical milestones in the first year following grant. The options are subject to acceleration of vesting and exercisability under certain circumstances. In January 2024, the Board determined that the clinical milestones underlying Dr. Bach’s option had not been fully achieved, and would not be achieved prior to the one-year anniversary of the grant date of such option and, as a result, such option terminated in accordance with its terms.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Year End</w:t>
      </w:r>
    </w:p>
    <w:p>
      <w:pPr>
        <w:spacing w:after="0" w:line="171" w:lineRule="exact"/>
        <w:rPr>
          <w:sz w:val="20"/>
          <w:szCs w:val="20"/>
          <w:color w:val="auto"/>
        </w:rPr>
      </w:pPr>
    </w:p>
    <w:p>
      <w:pPr>
        <w:jc w:val="both"/>
        <w:ind w:firstLine="399"/>
        <w:spacing w:after="0" w:line="277" w:lineRule="auto"/>
        <w:rPr>
          <w:sz w:val="20"/>
          <w:szCs w:val="20"/>
          <w:color w:val="auto"/>
        </w:rPr>
      </w:pPr>
      <w:r>
        <w:rPr>
          <w:rFonts w:ascii="Times New Roman" w:cs="Times New Roman" w:eastAsia="Times New Roman" w:hAnsi="Times New Roman"/>
          <w:sz w:val="20"/>
          <w:szCs w:val="20"/>
          <w:color w:val="auto"/>
        </w:rPr>
        <w:t>The following table presents information regarding outstanding equity awards held by our Named Executive Officers as of December 31, 2023. All awards were granted pursuant to the 2019 Equity Incentive Plan (the “2019 Plan”) or the 2023 Plan.</w:t>
      </w:r>
    </w:p>
    <w:p>
      <w:pPr>
        <w:sectPr>
          <w:pgSz w:w="11880" w:h="15480" w:orient="portrait"/>
          <w:cols w:equalWidth="0" w:num="1">
            <w:col w:w="9100"/>
          </w:cols>
          <w:pgMar w:left="1400" w:top="1025" w:right="1380" w:bottom="68" w:gutter="0" w:footer="0" w:header="0"/>
        </w:sect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100"/>
          </w:cols>
          <w:pgMar w:left="1400" w:top="1025" w:right="1380" w:bottom="68" w:gutter="0" w:footer="0" w:header="0"/>
          <w:type w:val="continuous"/>
        </w:sectPr>
      </w:pPr>
    </w:p>
    <w:bookmarkStart w:id="252" w:name="page253"/>
    <w:bookmarkEnd w:id="252"/>
    <w:tbl>
      <w:tblPr>
        <w:tblLayout w:type="fixed"/>
        <w:tblInd w:w="10" w:type="dxa"/>
        <w:tblCellMar>
          <w:top w:w="0" w:type="dxa"/>
          <w:left w:w="0" w:type="dxa"/>
          <w:bottom w:w="0" w:type="dxa"/>
          <w:right w:w="0" w:type="dxa"/>
        </w:tblCellMar>
      </w:tblPr>
      <w:tr>
        <w:trPr>
          <w:trHeight w:val="232"/>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Option Awards</w:t>
            </w:r>
            <w:r>
              <w:rPr>
                <w:rFonts w:ascii="Times New Roman" w:cs="Times New Roman" w:eastAsia="Times New Roman" w:hAnsi="Times New Roman"/>
                <w:sz w:val="19"/>
                <w:szCs w:val="19"/>
                <w:b w:val="1"/>
                <w:bCs w:val="1"/>
                <w:color w:val="auto"/>
                <w:vertAlign w:val="superscript"/>
              </w:rPr>
              <w:t>(1)</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04"/>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4"/>
              </w:rPr>
              <w:t>Equity incentive</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0"/>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1"/>
              </w:rPr>
              <w:t>plan awards: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Number of</w:t>
            </w:r>
          </w:p>
        </w:tc>
        <w:tc>
          <w:tcPr>
            <w:tcW w:w="60" w:type="dxa"/>
            <w:vAlign w:val="bottom"/>
          </w:tcPr>
          <w:p>
            <w:pPr>
              <w:spacing w:after="0"/>
              <w:rPr>
                <w:sz w:val="15"/>
                <w:szCs w:val="15"/>
                <w:color w:val="auto"/>
              </w:rPr>
            </w:pPr>
          </w:p>
        </w:tc>
        <w:tc>
          <w:tcPr>
            <w:tcW w:w="100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4"/>
              </w:rPr>
              <w:t>Number of</w:t>
            </w:r>
          </w:p>
        </w:tc>
        <w:tc>
          <w:tcPr>
            <w:tcW w:w="120" w:type="dxa"/>
            <w:vAlign w:val="bottom"/>
          </w:tcPr>
          <w:p>
            <w:pPr>
              <w:spacing w:after="0"/>
              <w:rPr>
                <w:sz w:val="15"/>
                <w:szCs w:val="15"/>
                <w:color w:val="auto"/>
              </w:rPr>
            </w:pPr>
          </w:p>
        </w:tc>
        <w:tc>
          <w:tcPr>
            <w:tcW w:w="120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4"/>
              </w:rPr>
              <w:t>Number of</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6"/>
              </w:rPr>
              <w:t>securities</w:t>
            </w:r>
          </w:p>
        </w:tc>
        <w:tc>
          <w:tcPr>
            <w:tcW w:w="60" w:type="dxa"/>
            <w:vAlign w:val="bottom"/>
          </w:tcPr>
          <w:p>
            <w:pPr>
              <w:spacing w:after="0"/>
              <w:rPr>
                <w:sz w:val="15"/>
                <w:szCs w:val="15"/>
                <w:color w:val="auto"/>
              </w:rPr>
            </w:pPr>
          </w:p>
        </w:tc>
        <w:tc>
          <w:tcPr>
            <w:tcW w:w="100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6"/>
              </w:rPr>
              <w:t>securities</w:t>
            </w:r>
          </w:p>
        </w:tc>
        <w:tc>
          <w:tcPr>
            <w:tcW w:w="120" w:type="dxa"/>
            <w:vAlign w:val="bottom"/>
          </w:tcPr>
          <w:p>
            <w:pPr>
              <w:spacing w:after="0"/>
              <w:rPr>
                <w:sz w:val="15"/>
                <w:szCs w:val="15"/>
                <w:color w:val="auto"/>
              </w:rPr>
            </w:pPr>
          </w:p>
        </w:tc>
        <w:tc>
          <w:tcPr>
            <w:tcW w:w="120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6"/>
              </w:rPr>
              <w:t>securities</w:t>
            </w:r>
          </w:p>
        </w:tc>
        <w:tc>
          <w:tcPr>
            <w:tcW w:w="100" w:type="dxa"/>
            <w:vAlign w:val="bottom"/>
          </w:tcPr>
          <w:p>
            <w:pPr>
              <w:spacing w:after="0"/>
              <w:rPr>
                <w:sz w:val="15"/>
                <w:szCs w:val="15"/>
                <w:color w:val="auto"/>
              </w:rPr>
            </w:pPr>
          </w:p>
        </w:tc>
        <w:tc>
          <w:tcPr>
            <w:tcW w:w="6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Option</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3"/>
              </w:rPr>
              <w:t>underlying</w:t>
            </w:r>
          </w:p>
        </w:tc>
        <w:tc>
          <w:tcPr>
            <w:tcW w:w="60" w:type="dxa"/>
            <w:vAlign w:val="bottom"/>
          </w:tcPr>
          <w:p>
            <w:pPr>
              <w:spacing w:after="0"/>
              <w:rPr>
                <w:sz w:val="15"/>
                <w:szCs w:val="15"/>
                <w:color w:val="auto"/>
              </w:rPr>
            </w:pPr>
          </w:p>
        </w:tc>
        <w:tc>
          <w:tcPr>
            <w:tcW w:w="100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3"/>
              </w:rPr>
              <w:t>underlying</w:t>
            </w:r>
          </w:p>
        </w:tc>
        <w:tc>
          <w:tcPr>
            <w:tcW w:w="120" w:type="dxa"/>
            <w:vAlign w:val="bottom"/>
          </w:tcPr>
          <w:p>
            <w:pPr>
              <w:spacing w:after="0"/>
              <w:rPr>
                <w:sz w:val="15"/>
                <w:szCs w:val="15"/>
                <w:color w:val="auto"/>
              </w:rPr>
            </w:pPr>
          </w:p>
        </w:tc>
        <w:tc>
          <w:tcPr>
            <w:tcW w:w="120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3"/>
              </w:rPr>
              <w:t>underlying</w:t>
            </w:r>
          </w:p>
        </w:tc>
        <w:tc>
          <w:tcPr>
            <w:tcW w:w="100" w:type="dxa"/>
            <w:vAlign w:val="bottom"/>
          </w:tcPr>
          <w:p>
            <w:pPr>
              <w:spacing w:after="0"/>
              <w:rPr>
                <w:sz w:val="15"/>
                <w:szCs w:val="15"/>
                <w:color w:val="auto"/>
              </w:rPr>
            </w:pPr>
          </w:p>
        </w:tc>
        <w:tc>
          <w:tcPr>
            <w:tcW w:w="6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exercise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3"/>
              </w:rPr>
              <w:t>unexercised</w:t>
            </w:r>
          </w:p>
        </w:tc>
        <w:tc>
          <w:tcPr>
            <w:tcW w:w="60" w:type="dxa"/>
            <w:vAlign w:val="bottom"/>
          </w:tcPr>
          <w:p>
            <w:pPr>
              <w:spacing w:after="0"/>
              <w:rPr>
                <w:sz w:val="15"/>
                <w:szCs w:val="15"/>
                <w:color w:val="auto"/>
              </w:rPr>
            </w:pPr>
          </w:p>
        </w:tc>
        <w:tc>
          <w:tcPr>
            <w:tcW w:w="100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3"/>
              </w:rPr>
              <w:t>unexercised</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3"/>
              </w:rPr>
              <w:t>unexercised</w:t>
            </w:r>
          </w:p>
        </w:tc>
        <w:tc>
          <w:tcPr>
            <w:tcW w:w="100" w:type="dxa"/>
            <w:vAlign w:val="bottom"/>
          </w:tcPr>
          <w:p>
            <w:pPr>
              <w:spacing w:after="0"/>
              <w:rPr>
                <w:sz w:val="15"/>
                <w:szCs w:val="15"/>
                <w:color w:val="auto"/>
              </w:rPr>
            </w:pPr>
          </w:p>
        </w:tc>
        <w:tc>
          <w:tcPr>
            <w:tcW w:w="6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2"/>
              </w:rPr>
              <w:t>price</w:t>
            </w:r>
          </w:p>
        </w:tc>
        <w:tc>
          <w:tcPr>
            <w:tcW w:w="240" w:type="dxa"/>
            <w:vAlign w:val="bottom"/>
          </w:tcPr>
          <w:p>
            <w:pPr>
              <w:spacing w:after="0"/>
              <w:rPr>
                <w:sz w:val="15"/>
                <w:szCs w:val="15"/>
                <w:color w:val="auto"/>
              </w:rPr>
            </w:pPr>
          </w:p>
        </w:tc>
        <w:tc>
          <w:tcPr>
            <w:tcW w:w="8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Option</w:t>
            </w:r>
          </w:p>
        </w:tc>
      </w:tr>
      <w:tr>
        <w:trPr>
          <w:trHeight w:val="173"/>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center"/>
              <w:ind w:right="160"/>
              <w:spacing w:after="0" w:line="173" w:lineRule="exact"/>
              <w:rPr>
                <w:sz w:val="20"/>
                <w:szCs w:val="20"/>
                <w:color w:val="auto"/>
              </w:rPr>
            </w:pPr>
            <w:r>
              <w:rPr>
                <w:rFonts w:ascii="Times New Roman" w:cs="Times New Roman" w:eastAsia="Times New Roman" w:hAnsi="Times New Roman"/>
                <w:sz w:val="16"/>
                <w:szCs w:val="16"/>
                <w:b w:val="1"/>
                <w:bCs w:val="1"/>
                <w:color w:val="auto"/>
              </w:rPr>
              <w:t>options (#)</w:t>
            </w:r>
          </w:p>
        </w:tc>
        <w:tc>
          <w:tcPr>
            <w:tcW w:w="60" w:type="dxa"/>
            <w:vAlign w:val="bottom"/>
          </w:tcPr>
          <w:p>
            <w:pPr>
              <w:spacing w:after="0"/>
              <w:rPr>
                <w:sz w:val="15"/>
                <w:szCs w:val="15"/>
                <w:color w:val="auto"/>
              </w:rPr>
            </w:pPr>
          </w:p>
        </w:tc>
        <w:tc>
          <w:tcPr>
            <w:tcW w:w="100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6"/>
                <w:szCs w:val="16"/>
                <w:b w:val="1"/>
                <w:bCs w:val="1"/>
                <w:color w:val="auto"/>
              </w:rPr>
              <w:t>options (#)</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line="173" w:lineRule="exact"/>
              <w:rPr>
                <w:sz w:val="20"/>
                <w:szCs w:val="20"/>
                <w:color w:val="auto"/>
              </w:rPr>
            </w:pPr>
            <w:r>
              <w:rPr>
                <w:rFonts w:ascii="Times New Roman" w:cs="Times New Roman" w:eastAsia="Times New Roman" w:hAnsi="Times New Roman"/>
                <w:sz w:val="16"/>
                <w:szCs w:val="16"/>
                <w:b w:val="1"/>
                <w:bCs w:val="1"/>
                <w:color w:val="auto"/>
                <w:w w:val="92"/>
              </w:rPr>
              <w:t>unearned</w:t>
            </w:r>
          </w:p>
        </w:tc>
        <w:tc>
          <w:tcPr>
            <w:tcW w:w="700" w:type="dxa"/>
            <w:vAlign w:val="bottom"/>
            <w:gridSpan w:val="2"/>
          </w:tcPr>
          <w:p>
            <w:pPr>
              <w:jc w:val="center"/>
              <w:ind w:left="4"/>
              <w:spacing w:after="0" w:line="173" w:lineRule="exact"/>
              <w:rPr>
                <w:sz w:val="20"/>
                <w:szCs w:val="20"/>
                <w:color w:val="auto"/>
              </w:rPr>
            </w:pPr>
            <w:r>
              <w:rPr>
                <w:rFonts w:ascii="Times New Roman" w:cs="Times New Roman" w:eastAsia="Times New Roman" w:hAnsi="Times New Roman"/>
                <w:sz w:val="16"/>
                <w:szCs w:val="16"/>
                <w:b w:val="1"/>
                <w:bCs w:val="1"/>
                <w:color w:val="auto"/>
                <w:w w:val="93"/>
              </w:rPr>
              <w:t>per share</w:t>
            </w:r>
          </w:p>
        </w:tc>
        <w:tc>
          <w:tcPr>
            <w:tcW w:w="240" w:type="dxa"/>
            <w:vAlign w:val="bottom"/>
          </w:tcPr>
          <w:p>
            <w:pPr>
              <w:spacing w:after="0"/>
              <w:rPr>
                <w:sz w:val="15"/>
                <w:szCs w:val="15"/>
                <w:color w:val="auto"/>
              </w:rPr>
            </w:pPr>
          </w:p>
        </w:tc>
        <w:tc>
          <w:tcPr>
            <w:tcW w:w="820" w:type="dxa"/>
            <w:vAlign w:val="bottom"/>
            <w:gridSpan w:val="2"/>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3"/>
              </w:rPr>
              <w:t>expiration</w:t>
            </w:r>
          </w:p>
        </w:tc>
      </w:tr>
      <w:tr>
        <w:trPr>
          <w:trHeight w:val="232"/>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Grant Date</w:t>
            </w:r>
          </w:p>
        </w:tc>
        <w:tc>
          <w:tcPr>
            <w:tcW w:w="2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exercisable</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unexercisable</w:t>
            </w:r>
          </w:p>
        </w:tc>
        <w:tc>
          <w:tcPr>
            <w:tcW w:w="120" w:type="dxa"/>
            <w:vAlign w:val="bottom"/>
          </w:tcPr>
          <w:p>
            <w:pPr>
              <w:spacing w:after="0"/>
              <w:rPr>
                <w:sz w:val="20"/>
                <w:szCs w:val="20"/>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700" w:type="dxa"/>
            <w:vAlign w:val="bottom"/>
            <w:gridSpan w:val="2"/>
          </w:tcPr>
          <w:p>
            <w:pPr>
              <w:jc w:val="center"/>
              <w:ind w:left="4"/>
              <w:spacing w:after="0"/>
              <w:rPr>
                <w:sz w:val="20"/>
                <w:szCs w:val="20"/>
                <w:color w:val="auto"/>
              </w:rPr>
            </w:pPr>
            <w:r>
              <w:rPr>
                <w:rFonts w:ascii="Times New Roman" w:cs="Times New Roman" w:eastAsia="Times New Roman" w:hAnsi="Times New Roman"/>
                <w:sz w:val="16"/>
                <w:szCs w:val="16"/>
                <w:b w:val="1"/>
                <w:bCs w:val="1"/>
                <w:color w:val="auto"/>
                <w:w w:val="95"/>
              </w:rPr>
              <w:t>($)</w:t>
            </w:r>
            <w:r>
              <w:rPr>
                <w:rFonts w:ascii="Times New Roman" w:cs="Times New Roman" w:eastAsia="Times New Roman" w:hAnsi="Times New Roman"/>
                <w:sz w:val="19"/>
                <w:szCs w:val="19"/>
                <w:b w:val="1"/>
                <w:bCs w:val="1"/>
                <w:color w:val="auto"/>
                <w:w w:val="95"/>
                <w:vertAlign w:val="superscript"/>
              </w:rPr>
              <w:t>(2)</w:t>
            </w:r>
          </w:p>
        </w:tc>
        <w:tc>
          <w:tcPr>
            <w:tcW w:w="240" w:type="dxa"/>
            <w:vAlign w:val="bottom"/>
          </w:tcPr>
          <w:p>
            <w:pPr>
              <w:spacing w:after="0"/>
              <w:rPr>
                <w:sz w:val="20"/>
                <w:szCs w:val="20"/>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date</w:t>
            </w:r>
          </w:p>
        </w:tc>
      </w:tr>
      <w:tr>
        <w:trPr>
          <w:trHeight w:val="20"/>
        </w:trPr>
        <w:tc>
          <w:tcPr>
            <w:tcW w:w="2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1"/>
        </w:trPr>
        <w:tc>
          <w:tcPr>
            <w:tcW w:w="2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6"/>
              </w:rPr>
              <w:t xml:space="preserve">Raymond Stevens, Ph.D. </w:t>
            </w:r>
            <w:r>
              <w:rPr>
                <w:rFonts w:ascii="Times New Roman" w:cs="Times New Roman" w:eastAsia="Times New Roman" w:hAnsi="Times New Roman"/>
                <w:sz w:val="20"/>
                <w:szCs w:val="20"/>
                <w:color w:val="auto"/>
                <w:w w:val="96"/>
              </w:rPr>
              <w:t>. . . . . . .</w:t>
            </w:r>
          </w:p>
        </w:tc>
        <w:tc>
          <w:tcPr>
            <w:tcW w:w="120" w:type="dxa"/>
            <w:vAlign w:val="bottom"/>
          </w:tcPr>
          <w:p>
            <w:pPr>
              <w:spacing w:after="0"/>
              <w:rPr>
                <w:sz w:val="23"/>
                <w:szCs w:val="23"/>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w w:val="98"/>
              </w:rPr>
              <w:t>1/22/2020</w:t>
            </w:r>
          </w:p>
        </w:tc>
        <w:tc>
          <w:tcPr>
            <w:tcW w:w="940" w:type="dxa"/>
            <w:vAlign w:val="bottom"/>
            <w:gridSpan w:val="2"/>
          </w:tcPr>
          <w:p>
            <w:pPr>
              <w:jc w:val="right"/>
              <w:ind w:right="60"/>
              <w:spacing w:after="0" w:line="271" w:lineRule="exact"/>
              <w:rPr>
                <w:sz w:val="20"/>
                <w:szCs w:val="20"/>
                <w:color w:val="auto"/>
              </w:rPr>
            </w:pPr>
            <w:r>
              <w:rPr>
                <w:rFonts w:ascii="Times New Roman" w:cs="Times New Roman" w:eastAsia="Times New Roman" w:hAnsi="Times New Roman"/>
                <w:sz w:val="20"/>
                <w:szCs w:val="20"/>
                <w:color w:val="auto"/>
              </w:rPr>
              <w:t>100,000</w:t>
            </w:r>
            <w:r>
              <w:rPr>
                <w:rFonts w:ascii="Times New Roman" w:cs="Times New Roman" w:eastAsia="Times New Roman" w:hAnsi="Times New Roman"/>
                <w:sz w:val="25"/>
                <w:szCs w:val="25"/>
                <w:color w:val="auto"/>
                <w:vertAlign w:val="superscript"/>
              </w:rPr>
              <w:t>(3)</w:t>
            </w:r>
          </w:p>
        </w:tc>
        <w:tc>
          <w:tcPr>
            <w:tcW w:w="6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center"/>
              <w:ind w:left="4"/>
              <w:spacing w:after="0"/>
              <w:rPr>
                <w:sz w:val="20"/>
                <w:szCs w:val="20"/>
                <w:color w:val="auto"/>
              </w:rPr>
            </w:pPr>
            <w:r>
              <w:rPr>
                <w:rFonts w:ascii="Times New Roman" w:cs="Times New Roman" w:eastAsia="Times New Roman" w:hAnsi="Times New Roman"/>
                <w:sz w:val="20"/>
                <w:szCs w:val="20"/>
                <w:color w:val="auto"/>
              </w:rPr>
              <w:t>0.39</w:t>
            </w:r>
          </w:p>
        </w:tc>
        <w:tc>
          <w:tcPr>
            <w:tcW w:w="106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rPr>
              <w:t>1/21/2030</w:t>
            </w:r>
          </w:p>
        </w:tc>
      </w:tr>
      <w:tr>
        <w:trPr>
          <w:trHeight w:val="244"/>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20"/>
                <w:szCs w:val="20"/>
                <w:i w:val="1"/>
                <w:iCs w:val="1"/>
                <w:color w:val="auto"/>
              </w:rPr>
              <w:t>Chief Executive Officer and</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1/22/2021</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line="244" w:lineRule="exact"/>
              <w:rPr>
                <w:sz w:val="20"/>
                <w:szCs w:val="20"/>
                <w:color w:val="auto"/>
              </w:rPr>
            </w:pPr>
            <w:r>
              <w:rPr>
                <w:rFonts w:ascii="Times New Roman" w:cs="Times New Roman" w:eastAsia="Times New Roman" w:hAnsi="Times New Roman"/>
                <w:sz w:val="20"/>
                <w:szCs w:val="20"/>
                <w:color w:val="auto"/>
              </w:rPr>
              <w:t>392,838</w:t>
            </w:r>
            <w:r>
              <w:rPr>
                <w:rFonts w:ascii="Times New Roman" w:cs="Times New Roman" w:eastAsia="Times New Roman" w:hAnsi="Times New Roman"/>
                <w:sz w:val="25"/>
                <w:szCs w:val="25"/>
                <w:color w:val="auto"/>
                <w:vertAlign w:val="superscript"/>
              </w:rPr>
              <w:t>(4)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145,929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center"/>
              <w:ind w:left="4"/>
              <w:spacing w:after="0"/>
              <w:rPr>
                <w:sz w:val="20"/>
                <w:szCs w:val="20"/>
                <w:color w:val="auto"/>
              </w:rPr>
            </w:pPr>
            <w:r>
              <w:rPr>
                <w:rFonts w:ascii="Times New Roman" w:cs="Times New Roman" w:eastAsia="Times New Roman" w:hAnsi="Times New Roman"/>
                <w:sz w:val="20"/>
                <w:szCs w:val="20"/>
                <w:color w:val="auto"/>
              </w:rPr>
              <w:t>0.48</w:t>
            </w:r>
          </w:p>
        </w:tc>
        <w:tc>
          <w:tcPr>
            <w:tcW w:w="106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rPr>
              <w:t>1/21/2031</w:t>
            </w:r>
          </w:p>
        </w:tc>
      </w:tr>
      <w:tr>
        <w:trPr>
          <w:trHeight w:val="392"/>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20"/>
                <w:szCs w:val="20"/>
                <w:i w:val="1"/>
                <w:iCs w:val="1"/>
                <w:color w:val="auto"/>
              </w:rPr>
              <w:t>Director</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2/2/2023</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line="391" w:lineRule="exact"/>
              <w:rPr>
                <w:sz w:val="20"/>
                <w:szCs w:val="20"/>
                <w:color w:val="auto"/>
              </w:rPr>
            </w:pPr>
            <w:r>
              <w:rPr>
                <w:rFonts w:ascii="Times New Roman" w:cs="Times New Roman" w:eastAsia="Times New Roman" w:hAnsi="Times New Roman"/>
                <w:sz w:val="39"/>
                <w:szCs w:val="39"/>
                <w:color w:val="auto"/>
                <w:vertAlign w:val="subscript"/>
              </w:rPr>
              <w:t>—</w:t>
            </w:r>
            <w:r>
              <w:rPr>
                <w:rFonts w:ascii="Times New Roman" w:cs="Times New Roman" w:eastAsia="Times New Roman" w:hAnsi="Times New Roman"/>
                <w:sz w:val="13"/>
                <w:szCs w:val="13"/>
                <w:color w:val="auto"/>
              </w:rPr>
              <w:t>(5)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1,600,000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center"/>
              <w:ind w:left="4"/>
              <w:spacing w:after="0"/>
              <w:rPr>
                <w:sz w:val="20"/>
                <w:szCs w:val="20"/>
                <w:color w:val="auto"/>
              </w:rPr>
            </w:pPr>
            <w:r>
              <w:rPr>
                <w:rFonts w:ascii="Times New Roman" w:cs="Times New Roman" w:eastAsia="Times New Roman" w:hAnsi="Times New Roman"/>
                <w:sz w:val="20"/>
                <w:szCs w:val="20"/>
                <w:color w:val="auto"/>
              </w:rPr>
              <w:t>5.00</w:t>
            </w:r>
          </w:p>
        </w:tc>
        <w:tc>
          <w:tcPr>
            <w:tcW w:w="104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2/1/2033</w:t>
            </w:r>
          </w:p>
        </w:tc>
        <w:tc>
          <w:tcPr>
            <w:tcW w:w="20" w:type="dxa"/>
            <w:vAlign w:val="bottom"/>
          </w:tcPr>
          <w:p>
            <w:pPr>
              <w:spacing w:after="0"/>
              <w:rPr>
                <w:sz w:val="24"/>
                <w:szCs w:val="24"/>
                <w:color w:val="auto"/>
              </w:rPr>
            </w:pPr>
          </w:p>
        </w:tc>
      </w:tr>
      <w:tr>
        <w:trPr>
          <w:trHeight w:val="262"/>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Jun Yoon</w:t>
            </w:r>
            <w:r>
              <w:rPr>
                <w:rFonts w:ascii="Times New Roman" w:cs="Times New Roman" w:eastAsia="Times New Roman" w:hAnsi="Times New Roman"/>
                <w:sz w:val="20"/>
                <w:szCs w:val="20"/>
                <w:color w:val="auto"/>
              </w:rPr>
              <w:t>. . . . . . . . . . . . . . . . . . . .</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w w:val="98"/>
              </w:rPr>
              <w:t>1/22/2020</w:t>
            </w:r>
          </w:p>
        </w:tc>
        <w:tc>
          <w:tcPr>
            <w:tcW w:w="940" w:type="dxa"/>
            <w:vAlign w:val="bottom"/>
            <w:gridSpan w:val="2"/>
          </w:tcPr>
          <w:p>
            <w:pPr>
              <w:jc w:val="right"/>
              <w:ind w:right="60"/>
              <w:spacing w:after="0" w:line="262" w:lineRule="exact"/>
              <w:rPr>
                <w:sz w:val="20"/>
                <w:szCs w:val="20"/>
                <w:color w:val="auto"/>
              </w:rPr>
            </w:pPr>
            <w:r>
              <w:rPr>
                <w:rFonts w:ascii="Times New Roman" w:cs="Times New Roman" w:eastAsia="Times New Roman" w:hAnsi="Times New Roman"/>
                <w:sz w:val="20"/>
                <w:szCs w:val="20"/>
                <w:color w:val="auto"/>
              </w:rPr>
              <w:t>100,000</w:t>
            </w:r>
            <w:r>
              <w:rPr>
                <w:rFonts w:ascii="Times New Roman" w:cs="Times New Roman" w:eastAsia="Times New Roman" w:hAnsi="Times New Roman"/>
                <w:sz w:val="25"/>
                <w:szCs w:val="25"/>
                <w:color w:val="auto"/>
                <w:vertAlign w:val="superscript"/>
              </w:rPr>
              <w:t>(6)</w:t>
            </w:r>
          </w:p>
        </w:tc>
        <w:tc>
          <w:tcPr>
            <w:tcW w:w="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center"/>
              <w:ind w:left="4"/>
              <w:spacing w:after="0"/>
              <w:rPr>
                <w:sz w:val="20"/>
                <w:szCs w:val="20"/>
                <w:color w:val="auto"/>
              </w:rPr>
            </w:pPr>
            <w:r>
              <w:rPr>
                <w:rFonts w:ascii="Times New Roman" w:cs="Times New Roman" w:eastAsia="Times New Roman" w:hAnsi="Times New Roman"/>
                <w:sz w:val="20"/>
                <w:szCs w:val="20"/>
                <w:color w:val="auto"/>
              </w:rPr>
              <w:t>0.39</w:t>
            </w:r>
          </w:p>
        </w:tc>
        <w:tc>
          <w:tcPr>
            <w:tcW w:w="106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rPr>
              <w:t>1/21/2030</w:t>
            </w:r>
          </w:p>
        </w:tc>
      </w:tr>
      <w:tr>
        <w:trPr>
          <w:trHeight w:val="337"/>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20"/>
                <w:szCs w:val="20"/>
                <w:i w:val="1"/>
                <w:iCs w:val="1"/>
                <w:color w:val="auto"/>
              </w:rPr>
              <w:t>Chief Financial Officer</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9/23/2021</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56,238</w:t>
            </w:r>
            <w:r>
              <w:rPr>
                <w:rFonts w:ascii="Times New Roman" w:cs="Times New Roman" w:eastAsia="Times New Roman" w:hAnsi="Times New Roman"/>
                <w:sz w:val="25"/>
                <w:szCs w:val="25"/>
                <w:color w:val="auto"/>
                <w:vertAlign w:val="superscript"/>
              </w:rPr>
              <w:t>(7)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43,762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center"/>
              <w:ind w:left="4"/>
              <w:spacing w:after="0"/>
              <w:rPr>
                <w:sz w:val="20"/>
                <w:szCs w:val="20"/>
                <w:color w:val="auto"/>
              </w:rPr>
            </w:pPr>
            <w:r>
              <w:rPr>
                <w:rFonts w:ascii="Times New Roman" w:cs="Times New Roman" w:eastAsia="Times New Roman" w:hAnsi="Times New Roman"/>
                <w:sz w:val="20"/>
                <w:szCs w:val="20"/>
                <w:color w:val="auto"/>
              </w:rPr>
              <w:t>1.21</w:t>
            </w:r>
          </w:p>
        </w:tc>
        <w:tc>
          <w:tcPr>
            <w:tcW w:w="106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rPr>
              <w:t>9/22/2031</w:t>
            </w:r>
          </w:p>
        </w:tc>
      </w:tr>
      <w:tr>
        <w:trPr>
          <w:trHeight w:val="299"/>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2/2/2023</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line="299"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2"/>
                <w:szCs w:val="12"/>
                <w:color w:val="auto"/>
              </w:rPr>
              <w:t>(8)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750,000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center"/>
              <w:ind w:left="4"/>
              <w:spacing w:after="0"/>
              <w:rPr>
                <w:sz w:val="20"/>
                <w:szCs w:val="20"/>
                <w:color w:val="auto"/>
              </w:rPr>
            </w:pPr>
            <w:r>
              <w:rPr>
                <w:rFonts w:ascii="Times New Roman" w:cs="Times New Roman" w:eastAsia="Times New Roman" w:hAnsi="Times New Roman"/>
                <w:sz w:val="20"/>
                <w:szCs w:val="20"/>
                <w:color w:val="auto"/>
              </w:rPr>
              <w:t>5.00</w:t>
            </w:r>
          </w:p>
        </w:tc>
        <w:tc>
          <w:tcPr>
            <w:tcW w:w="104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2/1/2033</w:t>
            </w:r>
          </w:p>
        </w:tc>
        <w:tc>
          <w:tcPr>
            <w:tcW w:w="20" w:type="dxa"/>
            <w:vAlign w:val="bottom"/>
          </w:tcPr>
          <w:p>
            <w:pPr>
              <w:spacing w:after="0"/>
              <w:rPr>
                <w:sz w:val="24"/>
                <w:szCs w:val="24"/>
                <w:color w:val="auto"/>
              </w:rPr>
            </w:pPr>
          </w:p>
        </w:tc>
      </w:tr>
      <w:tr>
        <w:trPr>
          <w:trHeight w:val="262"/>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Mark Bach, M.D., Ph.D.</w:t>
            </w:r>
            <w:r>
              <w:rPr>
                <w:rFonts w:ascii="Times New Roman" w:cs="Times New Roman" w:eastAsia="Times New Roman" w:hAnsi="Times New Roman"/>
                <w:sz w:val="20"/>
                <w:szCs w:val="20"/>
                <w:color w:val="auto"/>
              </w:rPr>
              <w:t>. . . . . . .</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w w:val="98"/>
              </w:rPr>
              <w:t>9/23/2021</w:t>
            </w:r>
          </w:p>
        </w:tc>
        <w:tc>
          <w:tcPr>
            <w:tcW w:w="940" w:type="dxa"/>
            <w:vAlign w:val="bottom"/>
            <w:gridSpan w:val="2"/>
          </w:tcPr>
          <w:p>
            <w:pPr>
              <w:jc w:val="right"/>
              <w:ind w:right="60"/>
              <w:spacing w:after="0" w:line="262" w:lineRule="exact"/>
              <w:rPr>
                <w:sz w:val="20"/>
                <w:szCs w:val="20"/>
                <w:color w:val="auto"/>
              </w:rPr>
            </w:pPr>
            <w:r>
              <w:rPr>
                <w:rFonts w:ascii="Times New Roman" w:cs="Times New Roman" w:eastAsia="Times New Roman" w:hAnsi="Times New Roman"/>
                <w:sz w:val="20"/>
                <w:szCs w:val="20"/>
                <w:color w:val="auto"/>
              </w:rPr>
              <w:t>363,486</w:t>
            </w:r>
            <w:r>
              <w:rPr>
                <w:rFonts w:ascii="Times New Roman" w:cs="Times New Roman" w:eastAsia="Times New Roman" w:hAnsi="Times New Roman"/>
                <w:sz w:val="25"/>
                <w:szCs w:val="25"/>
                <w:color w:val="auto"/>
                <w:vertAlign w:val="superscript"/>
              </w:rPr>
              <w:t>(9)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218,124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center"/>
              <w:ind w:left="4"/>
              <w:spacing w:after="0"/>
              <w:rPr>
                <w:sz w:val="20"/>
                <w:szCs w:val="20"/>
                <w:color w:val="auto"/>
              </w:rPr>
            </w:pPr>
            <w:r>
              <w:rPr>
                <w:rFonts w:ascii="Times New Roman" w:cs="Times New Roman" w:eastAsia="Times New Roman" w:hAnsi="Times New Roman"/>
                <w:sz w:val="20"/>
                <w:szCs w:val="20"/>
                <w:color w:val="auto"/>
              </w:rPr>
              <w:t>1.21</w:t>
            </w:r>
          </w:p>
        </w:tc>
        <w:tc>
          <w:tcPr>
            <w:tcW w:w="106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rPr>
              <w:t>9/22/2031</w:t>
            </w:r>
          </w:p>
        </w:tc>
      </w:tr>
      <w:tr>
        <w:trPr>
          <w:trHeight w:val="343"/>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20"/>
                <w:szCs w:val="20"/>
                <w:i w:val="1"/>
                <w:iCs w:val="1"/>
                <w:color w:val="auto"/>
              </w:rPr>
              <w:t>Chief Medical Officer</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2/2/2023</w:t>
            </w:r>
          </w:p>
        </w:tc>
        <w:tc>
          <w:tcPr>
            <w:tcW w:w="24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450,000</w:t>
            </w:r>
            <w:r>
              <w:rPr>
                <w:rFonts w:ascii="Times New Roman" w:cs="Times New Roman" w:eastAsia="Times New Roman" w:hAnsi="Times New Roman"/>
                <w:sz w:val="25"/>
                <w:szCs w:val="25"/>
                <w:color w:val="auto"/>
                <w:vertAlign w:val="superscript"/>
              </w:rPr>
              <w:t>(10)</w:t>
            </w:r>
          </w:p>
        </w:tc>
        <w:tc>
          <w:tcPr>
            <w:tcW w:w="700" w:type="dxa"/>
            <w:vAlign w:val="bottom"/>
            <w:gridSpan w:val="2"/>
          </w:tcPr>
          <w:p>
            <w:pPr>
              <w:jc w:val="center"/>
              <w:ind w:left="4"/>
              <w:spacing w:after="0"/>
              <w:rPr>
                <w:sz w:val="20"/>
                <w:szCs w:val="20"/>
                <w:color w:val="auto"/>
              </w:rPr>
            </w:pPr>
            <w:r>
              <w:rPr>
                <w:rFonts w:ascii="Times New Roman" w:cs="Times New Roman" w:eastAsia="Times New Roman" w:hAnsi="Times New Roman"/>
                <w:sz w:val="20"/>
                <w:szCs w:val="20"/>
                <w:color w:val="auto"/>
              </w:rPr>
              <w:t>5.00</w:t>
            </w:r>
          </w:p>
        </w:tc>
        <w:tc>
          <w:tcPr>
            <w:tcW w:w="104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2/1/2033</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102870</wp:posOffset>
                </wp:positionV>
                <wp:extent cx="136842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1pt" to="107.75pt,8.1pt" o:allowincell="f" strokecolor="#000000" strokeweight="0.499pt"/>
            </w:pict>
          </mc:Fallback>
        </mc:AlternateContent>
      </w:r>
    </w:p>
    <w:p>
      <w:pPr>
        <w:spacing w:after="0" w:line="262" w:lineRule="exact"/>
        <w:rPr>
          <w:sz w:val="20"/>
          <w:szCs w:val="20"/>
          <w:color w:val="auto"/>
        </w:rPr>
      </w:pPr>
    </w:p>
    <w:p>
      <w:pPr>
        <w:ind w:left="390" w:hanging="390"/>
        <w:spacing w:after="0" w:line="290" w:lineRule="auto"/>
        <w:tabs>
          <w:tab w:leader="none" w:pos="39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 awards listed with grant dates prior to February 2, 2023 were granted under our 2019 Plan. Option awards listed with grant dates on or after February 2, 2023 were granted under our 2023 Plan.</w:t>
      </w:r>
    </w:p>
    <w:p>
      <w:pPr>
        <w:spacing w:after="0" w:line="26" w:lineRule="exact"/>
        <w:rPr>
          <w:rFonts w:ascii="Times New Roman" w:cs="Times New Roman" w:eastAsia="Times New Roman" w:hAnsi="Times New Roman"/>
          <w:sz w:val="16"/>
          <w:szCs w:val="16"/>
          <w:color w:val="auto"/>
        </w:rPr>
      </w:pPr>
    </w:p>
    <w:p>
      <w:pPr>
        <w:ind w:left="390" w:hanging="390"/>
        <w:spacing w:after="0" w:line="290" w:lineRule="auto"/>
        <w:tabs>
          <w:tab w:leader="none" w:pos="39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granted under our 2019 Plan and 2023 Plan were granted with a per share exercise price equal to the fair market value of our Ordinary Shares on the date of grant, as determined in good faith by our Board or compensation committee.</w:t>
      </w:r>
    </w:p>
    <w:p>
      <w:pPr>
        <w:spacing w:after="0" w:line="26" w:lineRule="exact"/>
        <w:rPr>
          <w:rFonts w:ascii="Times New Roman" w:cs="Times New Roman" w:eastAsia="Times New Roman" w:hAnsi="Times New Roman"/>
          <w:sz w:val="16"/>
          <w:szCs w:val="16"/>
          <w:color w:val="auto"/>
        </w:rPr>
      </w:pPr>
    </w:p>
    <w:p>
      <w:pPr>
        <w:jc w:val="both"/>
        <w:ind w:left="390" w:hanging="390"/>
        <w:spacing w:after="0" w:line="272" w:lineRule="auto"/>
        <w:tabs>
          <w:tab w:leader="none" w:pos="39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shares subject to the share option vested on May 16, 2020 and the remaining shares vest in 36 equal monthly installments thereafter, subject to continued service through each such vesting date. The option is also subject to early exercise and is immediately exercisable as of the grant date.</w:t>
      </w:r>
    </w:p>
    <w:p>
      <w:pPr>
        <w:spacing w:after="0" w:line="40" w:lineRule="exact"/>
        <w:rPr>
          <w:rFonts w:ascii="Times New Roman" w:cs="Times New Roman" w:eastAsia="Times New Roman" w:hAnsi="Times New Roman"/>
          <w:sz w:val="16"/>
          <w:szCs w:val="16"/>
          <w:color w:val="auto"/>
        </w:rPr>
      </w:pPr>
    </w:p>
    <w:p>
      <w:pPr>
        <w:ind w:left="390" w:hanging="390"/>
        <w:spacing w:after="0" w:line="290" w:lineRule="auto"/>
        <w:tabs>
          <w:tab w:leader="none" w:pos="39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subject to the share option vest in 48 equal monthly installments, subject to continued service through each such vesting date.</w:t>
      </w:r>
    </w:p>
    <w:p>
      <w:pPr>
        <w:spacing w:after="0" w:line="26" w:lineRule="exact"/>
        <w:rPr>
          <w:rFonts w:ascii="Times New Roman" w:cs="Times New Roman" w:eastAsia="Times New Roman" w:hAnsi="Times New Roman"/>
          <w:sz w:val="16"/>
          <w:szCs w:val="16"/>
          <w:color w:val="auto"/>
        </w:rPr>
      </w:pPr>
    </w:p>
    <w:p>
      <w:pPr>
        <w:ind w:left="390" w:hanging="390"/>
        <w:spacing w:after="0" w:line="290" w:lineRule="auto"/>
        <w:tabs>
          <w:tab w:leader="none" w:pos="39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shares subject to the share option vested on February 2, 2024, and the remaining shares vest in 36 equal monthly installments thereafter, subject to continued service through each such vesting date.</w:t>
      </w:r>
    </w:p>
    <w:p>
      <w:pPr>
        <w:spacing w:after="0" w:line="26" w:lineRule="exact"/>
        <w:rPr>
          <w:rFonts w:ascii="Times New Roman" w:cs="Times New Roman" w:eastAsia="Times New Roman" w:hAnsi="Times New Roman"/>
          <w:sz w:val="16"/>
          <w:szCs w:val="16"/>
          <w:color w:val="auto"/>
        </w:rPr>
      </w:pPr>
    </w:p>
    <w:p>
      <w:pPr>
        <w:ind w:left="390" w:hanging="390"/>
        <w:spacing w:after="0" w:line="290" w:lineRule="auto"/>
        <w:tabs>
          <w:tab w:leader="none" w:pos="39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shares subject to the share option vested on May 1, 2020, and the remaining shares vest in 36 equal monthly installments thereafter, subject to continued service through each such vesting date.</w:t>
      </w:r>
    </w:p>
    <w:p>
      <w:pPr>
        <w:spacing w:after="0" w:line="26" w:lineRule="exact"/>
        <w:rPr>
          <w:rFonts w:ascii="Times New Roman" w:cs="Times New Roman" w:eastAsia="Times New Roman" w:hAnsi="Times New Roman"/>
          <w:sz w:val="16"/>
          <w:szCs w:val="16"/>
          <w:color w:val="auto"/>
        </w:rPr>
      </w:pPr>
    </w:p>
    <w:p>
      <w:pPr>
        <w:ind w:left="390" w:hanging="390"/>
        <w:spacing w:after="0" w:line="292" w:lineRule="auto"/>
        <w:tabs>
          <w:tab w:leader="none" w:pos="39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subject to the share option vest in 48 equal monthly installments beginning September 16, 2021, subject to continued service through each such vesting date.</w:t>
      </w:r>
    </w:p>
    <w:p>
      <w:pPr>
        <w:spacing w:after="0" w:line="27" w:lineRule="exact"/>
        <w:rPr>
          <w:rFonts w:ascii="Times New Roman" w:cs="Times New Roman" w:eastAsia="Times New Roman" w:hAnsi="Times New Roman"/>
          <w:sz w:val="16"/>
          <w:szCs w:val="16"/>
          <w:color w:val="auto"/>
        </w:rPr>
      </w:pPr>
    </w:p>
    <w:p>
      <w:pPr>
        <w:ind w:left="390" w:hanging="390"/>
        <w:spacing w:after="0" w:line="292" w:lineRule="auto"/>
        <w:tabs>
          <w:tab w:leader="none" w:pos="39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shares subject to the share option vested on February 2, 2024, and the remaining shares vest in 36 equal monthly installments thereafter, subject to continued service through each such vesting date.</w:t>
      </w:r>
    </w:p>
    <w:p>
      <w:pPr>
        <w:spacing w:after="0" w:line="27" w:lineRule="exact"/>
        <w:rPr>
          <w:rFonts w:ascii="Times New Roman" w:cs="Times New Roman" w:eastAsia="Times New Roman" w:hAnsi="Times New Roman"/>
          <w:sz w:val="16"/>
          <w:szCs w:val="16"/>
          <w:color w:val="auto"/>
        </w:rPr>
      </w:pPr>
    </w:p>
    <w:p>
      <w:pPr>
        <w:ind w:left="390" w:hanging="390"/>
        <w:spacing w:after="0" w:line="292" w:lineRule="auto"/>
        <w:tabs>
          <w:tab w:leader="none" w:pos="39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shares subject to the share option vested on June 21, 2022, and the remaining shares vest in 36 equal monthly installments thereafter, subject to continued service through each such vesting date.</w:t>
      </w:r>
    </w:p>
    <w:p>
      <w:pPr>
        <w:spacing w:after="0" w:line="27" w:lineRule="exact"/>
        <w:rPr>
          <w:rFonts w:ascii="Times New Roman" w:cs="Times New Roman" w:eastAsia="Times New Roman" w:hAnsi="Times New Roman"/>
          <w:sz w:val="16"/>
          <w:szCs w:val="16"/>
          <w:color w:val="auto"/>
        </w:rPr>
      </w:pPr>
    </w:p>
    <w:p>
      <w:pPr>
        <w:jc w:val="both"/>
        <w:ind w:left="390" w:hanging="390"/>
        <w:spacing w:after="0" w:line="269" w:lineRule="auto"/>
        <w:tabs>
          <w:tab w:leader="none" w:pos="39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One-fourth of the shares subject to the share option were to vest on February 2, 2024, subject to the achievement of certain clinical milestones in the first year, and the remaining shares were to vest in 36 equal monthly installments thereafter, subject to continued service through each such vesting date. In January 2024, the Board determined that such clinical milestones would not be achieved; as a result, such option terminated in accordance with its terms.</w:t>
      </w:r>
    </w:p>
    <w:p>
      <w:pPr>
        <w:spacing w:after="0" w:line="127" w:lineRule="exact"/>
        <w:rPr>
          <w:sz w:val="20"/>
          <w:szCs w:val="20"/>
          <w:color w:val="auto"/>
        </w:rPr>
      </w:pPr>
    </w:p>
    <w:p>
      <w:pPr>
        <w:jc w:val="both"/>
        <w:ind w:left="10" w:firstLine="399"/>
        <w:spacing w:after="0" w:line="264" w:lineRule="auto"/>
        <w:rPr>
          <w:sz w:val="20"/>
          <w:szCs w:val="20"/>
          <w:color w:val="auto"/>
        </w:rPr>
      </w:pPr>
      <w:r>
        <w:rPr>
          <w:rFonts w:ascii="Times New Roman" w:cs="Times New Roman" w:eastAsia="Times New Roman" w:hAnsi="Times New Roman"/>
          <w:sz w:val="20"/>
          <w:szCs w:val="20"/>
          <w:color w:val="auto"/>
        </w:rPr>
        <w:t>Share options held by certain of our Named Executive Officers are eligible for accelerated vesting under specified circumstances. See the subsection titled “— Potential Payments Upon Termination or Change in Control” below for a description of such potential acceleration.</w:t>
      </w:r>
    </w:p>
    <w:p>
      <w:pPr>
        <w:spacing w:after="0" w:line="113" w:lineRule="exact"/>
        <w:rPr>
          <w:sz w:val="20"/>
          <w:szCs w:val="20"/>
          <w:color w:val="auto"/>
        </w:rPr>
      </w:pPr>
    </w:p>
    <w:p>
      <w:pPr>
        <w:jc w:val="both"/>
        <w:ind w:left="10" w:firstLine="399"/>
        <w:spacing w:after="0" w:line="281" w:lineRule="auto"/>
        <w:rPr>
          <w:sz w:val="20"/>
          <w:szCs w:val="20"/>
          <w:color w:val="auto"/>
        </w:rPr>
      </w:pPr>
      <w:r>
        <w:rPr>
          <w:rFonts w:ascii="Times New Roman" w:cs="Times New Roman" w:eastAsia="Times New Roman" w:hAnsi="Times New Roman"/>
          <w:sz w:val="20"/>
          <w:szCs w:val="20"/>
          <w:color w:val="auto"/>
        </w:rPr>
        <w:t>We did not materially modify any outstanding equity awards held by our Named Executive Officers in 2023.</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Emerging Growth Company Status</w:t>
      </w:r>
    </w:p>
    <w:p>
      <w:pPr>
        <w:spacing w:after="0" w:line="171" w:lineRule="exact"/>
        <w:rPr>
          <w:sz w:val="20"/>
          <w:szCs w:val="20"/>
          <w:color w:val="auto"/>
        </w:rPr>
      </w:pPr>
    </w:p>
    <w:p>
      <w:pPr>
        <w:jc w:val="both"/>
        <w:ind w:left="10" w:firstLine="399"/>
        <w:spacing w:after="0" w:line="254"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As an emerging growth company, we will be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Act.</w:t>
      </w:r>
    </w:p>
    <w:p>
      <w:pPr>
        <w:sectPr>
          <w:pgSz w:w="11880" w:h="15480" w:orient="portrait"/>
          <w:cols w:equalWidth="0" w:num="1">
            <w:col w:w="9110"/>
          </w:cols>
          <w:pgMar w:left="1390" w:top="1015" w:right="1380" w:bottom="70" w:gutter="0" w:footer="0" w:header="0"/>
        </w:sectPr>
      </w:pPr>
    </w:p>
    <w:p>
      <w:pPr>
        <w:spacing w:after="0" w:line="28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9110"/>
          </w:cols>
          <w:pgMar w:left="1390" w:top="1015" w:right="1380" w:bottom="70" w:gutter="0" w:footer="0" w:header="0"/>
          <w:type w:val="continuous"/>
        </w:sectPr>
      </w:pPr>
    </w:p>
    <w:bookmarkStart w:id="253" w:name="page254"/>
    <w:bookmarkEnd w:id="253"/>
    <w:p>
      <w:pPr>
        <w:spacing w:after="0"/>
        <w:rPr>
          <w:sz w:val="20"/>
          <w:szCs w:val="20"/>
          <w:color w:val="auto"/>
        </w:rPr>
      </w:pPr>
      <w:r>
        <w:rPr>
          <w:rFonts w:ascii="Times New Roman" w:cs="Times New Roman" w:eastAsia="Times New Roman" w:hAnsi="Times New Roman"/>
          <w:sz w:val="20"/>
          <w:szCs w:val="20"/>
          <w:b w:val="1"/>
          <w:bCs w:val="1"/>
          <w:color w:val="auto"/>
        </w:rPr>
        <w:t>Nonqualified Deferred Compensation</w:t>
      </w:r>
    </w:p>
    <w:p>
      <w:pPr>
        <w:spacing w:after="0" w:line="17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We do not maintain nonqualified defined contribution plans or other nonqualified deferred compensation plans. Our Board may elect to provide our officers and other employees with nonqualified defined contribution or other nonqualified deferred compensation benefits in the future if it determines that doing so is in our best interests.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Employment Arrangements with our Named Executive Officers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Below are descriptions of our employment arrangements with our Named Executive Officers.</w:t>
      </w:r>
    </w:p>
    <w:p>
      <w:pPr>
        <w:spacing w:after="0" w:line="169"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Raymond Stevens, Ph.D. </w:t>
      </w:r>
      <w:r>
        <w:rPr>
          <w:rFonts w:ascii="Times New Roman" w:cs="Times New Roman" w:eastAsia="Times New Roman" w:hAnsi="Times New Roman"/>
          <w:sz w:val="20"/>
          <w:szCs w:val="20"/>
          <w:color w:val="auto"/>
        </w:rPr>
        <w:t>We entered into an executive employment agreement with Dr. Stevens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May 2019, which governs the current terms of his employment with us. The agreement has no specific term and provides for at-will employment. Pursuant to the agreement, Dr. Stevens is entitled to an annual base salary and is eligible to receive an annual performance bonus with a target equal to a pre-determined percentage of his annual base salary, based on the achievement of certain corporate and individual objectives as determined by our Board. Dr. Stevens’ agreement also provides for certain severance benefits which were superseded by the Severance Plan, as described below under “— Potential Payments Upon Termination or Change in Control — Severance Plan.”</w:t>
      </w:r>
    </w:p>
    <w:p>
      <w:pPr>
        <w:spacing w:after="0" w:line="128"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Jun Yoon. </w:t>
      </w:r>
      <w:r>
        <w:rPr>
          <w:rFonts w:ascii="Times New Roman" w:cs="Times New Roman" w:eastAsia="Times New Roman" w:hAnsi="Times New Roman"/>
          <w:sz w:val="20"/>
          <w:szCs w:val="20"/>
          <w:color w:val="auto"/>
        </w:rPr>
        <w:t>We entered into an executive employment agreement with Mr. Yoon in May 2019, which was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amended in May 2022, which governs the current terms of his employment with us. The agreement has no specific term and provides for at-will employment. Pursuant to the agreement, Mr. Yoon is entitled to an annual base salary and is eligible to receive an annual performance bonus with a target equal to a pre-determined percentage of his annual base salary, based on the achievement of certain corporate and individual objectives as determined by our Board. Mr. Yoon’s agreement also provides for certain severance benefits which were superseded by the Severance Plan, as described below under “— Potential Payments Upon Termination or Change in Control — Severance Plan.”</w:t>
      </w:r>
    </w:p>
    <w:p>
      <w:pPr>
        <w:spacing w:after="0" w:line="128" w:lineRule="exact"/>
        <w:rPr>
          <w:sz w:val="20"/>
          <w:szCs w:val="20"/>
          <w:color w:val="auto"/>
        </w:rPr>
      </w:pPr>
    </w:p>
    <w:p>
      <w:pPr>
        <w:jc w:val="both"/>
        <w:ind w:firstLine="399"/>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Mark Bach, M.D., Ph.D. </w:t>
      </w:r>
      <w:r>
        <w:rPr>
          <w:rFonts w:ascii="Times New Roman" w:cs="Times New Roman" w:eastAsia="Times New Roman" w:hAnsi="Times New Roman"/>
          <w:sz w:val="20"/>
          <w:szCs w:val="20"/>
          <w:color w:val="auto"/>
        </w:rPr>
        <w:t>We entered into an offer letter with Dr. Bach in April 2021, which governs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current terms of his employment with us. The agreement has no specific term and provides for at-will employment. Pursuant to the offer letter, Dr. Bach is entitled to an annual base salary and is eligible to receive an annual performance bonus with a target equal to a pre-determined percentage of his annual base salary, based on the achievement of certain corporate and individual objectives as determined by our Board. Dr. Bach’s offer letter also provides for certain severance benefits which were superseded by the Severance Plan, as described below under “— Potential Payments Upon Termination or Change in Control — Severance Plan.”</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100"/>
          </w:cols>
          <w:pgMar w:left="1400" w:top="1023" w:right="1380" w:bottom="70" w:gutter="0" w:footer="0" w:header="0"/>
          <w:type w:val="continuous"/>
        </w:sectPr>
      </w:pPr>
    </w:p>
    <w:bookmarkStart w:id="254" w:name="page255"/>
    <w:bookmarkEnd w:id="254"/>
    <w:p>
      <w:pPr>
        <w:spacing w:after="0"/>
        <w:rPr>
          <w:sz w:val="20"/>
          <w:szCs w:val="20"/>
          <w:color w:val="auto"/>
        </w:rPr>
      </w:pPr>
      <w:r>
        <w:rPr>
          <w:rFonts w:ascii="Times New Roman" w:cs="Times New Roman" w:eastAsia="Times New Roman" w:hAnsi="Times New Roman"/>
          <w:sz w:val="20"/>
          <w:szCs w:val="20"/>
          <w:b w:val="1"/>
          <w:bCs w:val="1"/>
          <w:color w:val="auto"/>
        </w:rPr>
        <w:t>Potential Payments Upon Termination or Change in Control</w:t>
      </w:r>
    </w:p>
    <w:p>
      <w:pPr>
        <w:spacing w:after="0" w:line="171" w:lineRule="exact"/>
        <w:rPr>
          <w:sz w:val="20"/>
          <w:szCs w:val="20"/>
          <w:color w:val="auto"/>
        </w:rPr>
      </w:pPr>
    </w:p>
    <w:p>
      <w:pPr>
        <w:jc w:val="both"/>
        <w:ind w:firstLine="399"/>
        <w:spacing w:after="0" w:line="281" w:lineRule="auto"/>
        <w:rPr>
          <w:sz w:val="20"/>
          <w:szCs w:val="20"/>
          <w:color w:val="auto"/>
        </w:rPr>
      </w:pPr>
      <w:r>
        <w:rPr>
          <w:rFonts w:ascii="Times New Roman" w:cs="Times New Roman" w:eastAsia="Times New Roman" w:hAnsi="Times New Roman"/>
          <w:sz w:val="20"/>
          <w:szCs w:val="20"/>
          <w:color w:val="auto"/>
        </w:rPr>
        <w:t>Regardless of the manner in which a Named Executive Officer’s service terminates, each Named Executive Officer is entitled to receive amounts earned during his term of service, such as unpaid salary, as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Severance Plan</w:t>
      </w:r>
    </w:p>
    <w:p>
      <w:pPr>
        <w:spacing w:after="0" w:line="165"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20"/>
          <w:szCs w:val="20"/>
          <w:color w:val="auto"/>
        </w:rPr>
        <w:t>In January 2023, the Board approved a Severance and Change in Control Plan (the Severance Plan) pursuant to which each of our Named Executive Officers will become eligible to receive benefits under the terms of such plan. The Severance Plan provides for severance and/or change in control benefits to our Named Executive Officers upon (i) a “change in control termination” or (ii) a “regular termination” (each as described below). Upon a change in control termination, each of our Named Executive Officers is entitled to a lump sum payment equal to a portion of their base salary (18 months for Dr. Stevens and 12 months for Mr. Yoon and Dr. Bach), a lump sum payment equal to 150% (for Dr. Stevens) or 100% (for Mr. Yoon and Dr. Bach) of their annual target cash bonus, payment of COBRA premiums for a period of time (up to 18 months for Dr. Stevens and 12 months for Mr. Yoon and Dr. Bach) and full accelerated vesting of outstanding time-vesting equity awards. To the extent an equity award is not assumed, continued or substituted for in the event of certain change in control transactions and the executive’s employment is not terminated as of immediately prior to such change in control, the vesting of such equity award will also accelerate in full (and for equity awards subject to performance vesting, performance will be deemed to be achieved at target, unless otherwise provided in individual award documents). Upon a regular termination, Dr. Stevens is entitled to a lump sum payment equal to 100% of his annual target cash bonus, and each of Dr. Stevens, Mr. Yoon and Dr. Bach is entitled to a lump sum payment equal to a portion of their base salary (12 months for Dr. Stevens and Mr. Yoon and nine months for Dr. Bach), payment of COBRA premiums for a period of time (up to 12 months for Dr. Stevens and Mr. Yoon and nine months for Dr. Bach) and partial accelerated vesting of outstanding time-vesting equity awards (12 months for Dr. Stevens and Mr. Yoon and six months for Dr. Bach). All severance benefits under the Severance Plan are subject to the executive’s execution of an effective release of claims against the company.</w:t>
      </w:r>
    </w:p>
    <w:p>
      <w:pPr>
        <w:spacing w:after="0" w:line="37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20"/>
          <w:szCs w:val="20"/>
          <w:color w:val="auto"/>
        </w:rPr>
        <w:t>For purposes of the Severance Plan, a “regular termination” is an involuntary termination without “cause” (and not as a result of death or disability) or a resignation for “good reason,” each as defined in the Severance Plan, in any case that does not occur during the period of time beginning three months prior to, and ending 12 months following, a “change in control”, as defined in the 2023 Plan, or the “change in control period.” For purposes of the Severance Plan, a “change in control termination” is an involuntary termination without cause (and not as a result of death or disability) or a resignation for good reason, in any case that occurs during the change in control period.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Award Terms</w:t>
      </w:r>
    </w:p>
    <w:p>
      <w:pPr>
        <w:spacing w:after="0" w:line="165"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20"/>
          <w:szCs w:val="20"/>
          <w:color w:val="auto"/>
        </w:rPr>
        <w:t>In addition to the treatment described above, our Named Executive Officers’ share awards are subject to the terms of our 2023 Plan and 2019 Plan, as applicable. Under the 2023 Plan, unless otherwise provided in an individual share award agreement or other written agreement with us or one of our affiliates or unless otherwise expressly provided by the Board at the time of grant, in the event of a “corporate transaction” (as defined in the 2023 Plan), if the surviving or acquiring corporation (or its parent company) does not assume, continue or substitute for such share awards, then with respect to any such share awards that are held by participants whose continuous service has not terminated prior to the effective time of the transaction, or current participants, the vesting (and exercisability, if applicable) of such share awards will be accelerated in full to a date prior to the effective time of the transaction (contingent upon the effectiveness of the transaction), and such share awards will terminate if not exercised (if applicable) at or prior to the effective time of the transaction, and any reacquisition or repurchase rights held by us with respect to such share awards will lapse (contingent upon the effectiveness of the transaction). With respect to performance awards with multiple vesting levels depending on performance level, unless otherwise provided by an award agreement or by the Board, the award will accelerate at 100% of target. If the surviving or acquiring corporation (or its parent company) does not assume, continue or substitute for such share awards, then with respect to any such share awards that are held by persons other than current participants, such awards will terminate if not exercised (if applicable) prior to the effective time of the transaction, except that any reacquisition or repurchase rights held by us with respect to such share awards will not terminate and may continue to be exercised</w:t>
      </w:r>
    </w:p>
    <w:p>
      <w:pPr>
        <w:sectPr>
          <w:pgSz w:w="11880" w:h="15480" w:orient="portrait"/>
          <w:cols w:equalWidth="0" w:num="1">
            <w:col w:w="9100"/>
          </w:cols>
          <w:pgMar w:left="1400" w:top="1023" w:right="1380" w:bottom="70" w:gutter="0" w:footer="0" w:header="0"/>
        </w:sect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100"/>
          </w:cols>
          <w:pgMar w:left="1400" w:top="1023" w:right="1380" w:bottom="70" w:gutter="0" w:footer="0" w:header="0"/>
          <w:type w:val="continuous"/>
        </w:sectPr>
      </w:pPr>
    </w:p>
    <w:bookmarkStart w:id="255" w:name="page256"/>
    <w:bookmarkEnd w:id="255"/>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the transaction. In the event a share award will terminate if not exercised prior to the effective time of a transaction, the Board may provide, in its sole discretion, that the holder may not exercise such share award but instead will receive a payment equal in value to the excess (if any) of (i) the value of the property the participant would have received upon the exercise of the share award over (ii) any exercise price payable by such holder in connection with such exercise. In the event of a “change in control” (as defined in the 2023 Plan), awards granted under our 2023 Plan will not receive automatic acceleration of vesting and exercisability, although this treatment may be provided for in an award agreement.</w:t>
      </w:r>
    </w:p>
    <w:p>
      <w:pPr>
        <w:spacing w:after="0" w:line="125"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20"/>
          <w:szCs w:val="20"/>
          <w:color w:val="auto"/>
        </w:rPr>
        <w:t>Under the 2019 Plan, in the event of a “corporate transaction” (as defined in the 2019 Plan), unless otherwise provided in a share award agreement or other written agreement between us and the award holder, the Board may take one or more of the following actions with respect to such share awards: (i) arrange for the assumption, continuation, or substitution of a share award by a surviving or acquiring corporation, or a parent or subsidiary thereof; (ii) arrange for the assignment of any reacquisition or repurchase rights held by us to the surviving or acquiring corporation, or a parent or subsidiary thereof; (iii) accelerate the vesting, in whole or in part, of the share award and provide for its termination if not exercised (if applicable) at or before the effective time of the transaction; (iv) arrange for the lapse, in whole or in part, of any reacquisition or repurchase rights held by us; (v) cancel or arrange for the cancellation of the share award, to the extent not vested or not exercised before the effective time of the transaction, in exchange for such cash consideration (including no consideration) as our Board, in its sole discretion, may consider appropriate; and (vi) make a payment equal to the excess, if any, of (a) the value of the property the participant would have received on exercise of the share award immediately before the effective time of the transaction, over (b) any exercise price payable by the participant in connection with the exercise. A share award may be subject to additional acceleration of vesting and exercisability upon or after a “change in control” (as defined in the 2019 Plan) as may be provided in an applicable share award agreement or other written agreement, but in the absence of such provision, no such acceleration will occur.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Compensation and Benefits</w:t>
      </w:r>
    </w:p>
    <w:p>
      <w:pPr>
        <w:spacing w:after="0" w:line="171"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20"/>
          <w:szCs w:val="20"/>
          <w:color w:val="auto"/>
        </w:rPr>
        <w:t>All of our Named Executive Officers are eligible to participate in our employee benefit plans, including our medical, dental, vision and life insurance plans, in each case on the same basis as all of our other employees. We pay the premiums for the life, disability, accidental death and dismemberment insurance for all of our employees, including our Named Executive Officers. We generally do not provide perquisites or personal benefits to our Named Executive Officers. In addition, we provide the opportunity to participate in a 401(k) plan to our U.S employees, including each of our U.S.-based Named Executive Officers, as discussed in the subsection titled “— 401(k) Plan” below.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401(k) Plan</w:t>
      </w:r>
    </w:p>
    <w:p>
      <w:pPr>
        <w:spacing w:after="0" w:line="165"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We maintain a 401(k) plan that provides eligible U.S. employees with an opportunity to save for retirement on a tax advantaged basis. Eligible employees are able to defer eligible compensation up to certain Code limits, which are updated annually. For 2023, we made safe-harbor matching contributions of 100% of each dollar contributed by eligible employees, up to 4% of an employee’s eligible compensation. We may also make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17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20"/>
          <w:szCs w:val="20"/>
          <w:color w:val="auto"/>
        </w:rPr>
        <w:t>In November 2023, we implemented our Incentive Compensation Recoupment Policy, a Dodd-Frank Act-compliant clawback policy, as required by SEC rules. 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our Company for any bonus or other incentive-based or equity-based compensation they receive in accordance with the provisions of section 304 of the Sarbanes-Oxley Act of 2002, as amended.</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100"/>
          </w:cols>
          <w:pgMar w:left="1400" w:top="1025" w:right="1380" w:bottom="70" w:gutter="0" w:footer="0" w:header="0"/>
          <w:type w:val="continuous"/>
        </w:sectPr>
      </w:pPr>
    </w:p>
    <w:bookmarkStart w:id="256" w:name="page257"/>
    <w:bookmarkEnd w:id="256"/>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NON-EMPLOYEE DIRECTOR COMPENSATION</w:t>
      </w:r>
    </w:p>
    <w:p>
      <w:pPr>
        <w:spacing w:after="0" w:line="171" w:lineRule="exact"/>
        <w:rPr>
          <w:sz w:val="20"/>
          <w:szCs w:val="20"/>
          <w:color w:val="auto"/>
        </w:rPr>
      </w:pPr>
    </w:p>
    <w:p>
      <w:pPr>
        <w:ind w:left="10" w:firstLine="399"/>
        <w:spacing w:after="0" w:line="279" w:lineRule="auto"/>
        <w:rPr>
          <w:sz w:val="20"/>
          <w:szCs w:val="20"/>
          <w:color w:val="auto"/>
        </w:rPr>
      </w:pPr>
      <w:r>
        <w:rPr>
          <w:rFonts w:ascii="Times New Roman" w:cs="Times New Roman" w:eastAsia="Times New Roman" w:hAnsi="Times New Roman"/>
          <w:sz w:val="20"/>
          <w:szCs w:val="20"/>
          <w:color w:val="auto"/>
        </w:rPr>
        <w:t>The following table shows for the fiscal year ended December 31, 2023 certain information with respect to the compensation of our non-employee directors:</w:t>
      </w:r>
    </w:p>
    <w:p>
      <w:pPr>
        <w:spacing w:after="0" w:line="92" w:lineRule="exact"/>
        <w:rPr>
          <w:sz w:val="20"/>
          <w:szCs w:val="20"/>
          <w:color w:val="auto"/>
        </w:rPr>
      </w:pPr>
    </w:p>
    <w:tbl>
      <w:tblPr>
        <w:tblLayout w:type="fixed"/>
        <w:tblInd w:w="39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660" w:type="dxa"/>
            <w:vAlign w:val="bottom"/>
          </w:tcPr>
          <w:p>
            <w:pPr>
              <w:spacing w:after="0"/>
              <w:rPr>
                <w:sz w:val="16"/>
                <w:szCs w:val="16"/>
                <w:color w:val="auto"/>
              </w:rPr>
            </w:pPr>
          </w:p>
        </w:tc>
      </w:tr>
      <w:tr>
        <w:trPr>
          <w:trHeight w:val="173"/>
        </w:trPr>
        <w:tc>
          <w:tcPr>
            <w:tcW w:w="4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5"/>
              </w:rPr>
              <w:t>Earned or Paid in Cash</w:t>
            </w:r>
          </w:p>
        </w:tc>
        <w:tc>
          <w:tcPr>
            <w:tcW w:w="900" w:type="dxa"/>
            <w:vAlign w:val="bottom"/>
            <w:gridSpan w:val="2"/>
          </w:tcPr>
          <w:p>
            <w:pPr>
              <w:ind w:left="80"/>
              <w:spacing w:after="0" w:line="173" w:lineRule="exact"/>
              <w:rPr>
                <w:sz w:val="20"/>
                <w:szCs w:val="20"/>
                <w:color w:val="auto"/>
              </w:rPr>
            </w:pPr>
            <w:r>
              <w:rPr>
                <w:rFonts w:ascii="Times New Roman" w:cs="Times New Roman" w:eastAsia="Times New Roman" w:hAnsi="Times New Roman"/>
                <w:sz w:val="16"/>
                <w:szCs w:val="16"/>
                <w:b w:val="1"/>
                <w:bCs w:val="1"/>
                <w:color w:val="auto"/>
              </w:rPr>
              <w:t>Awards</w:t>
            </w:r>
          </w:p>
        </w:tc>
        <w:tc>
          <w:tcPr>
            <w:tcW w:w="660" w:type="dxa"/>
            <w:vAlign w:val="bottom"/>
          </w:tcPr>
          <w:p>
            <w:pPr>
              <w:jc w:val="right"/>
              <w:ind w:right="64"/>
              <w:spacing w:after="0" w:line="173"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39"/>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4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40" w:type="dxa"/>
            <w:vAlign w:val="bottom"/>
          </w:tcPr>
          <w:p>
            <w:pPr>
              <w:spacing w:after="0"/>
              <w:rPr>
                <w:sz w:val="20"/>
                <w:szCs w:val="20"/>
                <w:color w:val="auto"/>
              </w:rPr>
            </w:pPr>
          </w:p>
        </w:tc>
        <w:tc>
          <w:tcPr>
            <w:tcW w:w="660" w:type="dxa"/>
            <w:vAlign w:val="bottom"/>
            <w:tcBorders>
              <w:bottom w:val="single" w:sz="8" w:color="auto"/>
            </w:tcBorders>
          </w:tcPr>
          <w:p>
            <w:pPr>
              <w:ind w:left="100"/>
              <w:spacing w:after="0" w:line="239"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9"/>
                <w:szCs w:val="9"/>
                <w:b w:val="1"/>
                <w:bCs w:val="1"/>
                <w:color w:val="auto"/>
              </w:rPr>
              <w:t>(1)(2)</w:t>
            </w:r>
          </w:p>
        </w:tc>
        <w:tc>
          <w:tcPr>
            <w:tcW w:w="240" w:type="dxa"/>
            <w:vAlign w:val="bottom"/>
          </w:tcPr>
          <w:p>
            <w:pPr>
              <w:spacing w:after="0"/>
              <w:rPr>
                <w:sz w:val="20"/>
                <w:szCs w:val="20"/>
                <w:color w:val="auto"/>
              </w:rPr>
            </w:pPr>
          </w:p>
        </w:tc>
        <w:tc>
          <w:tcPr>
            <w:tcW w:w="6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83"/>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Daniel G. Welch . . . . . . . . . . . . . . . . . . . . . . . . . . . .</w:t>
            </w:r>
          </w:p>
        </w:tc>
        <w:tc>
          <w:tcPr>
            <w:tcW w:w="1540" w:type="dxa"/>
            <w:vAlign w:val="bottom"/>
          </w:tcPr>
          <w:p>
            <w:pPr>
              <w:jc w:val="right"/>
              <w:ind w:right="346"/>
              <w:spacing w:after="0"/>
              <w:rPr>
                <w:sz w:val="20"/>
                <w:szCs w:val="20"/>
                <w:color w:val="auto"/>
              </w:rPr>
            </w:pPr>
            <w:r>
              <w:rPr>
                <w:rFonts w:ascii="Times New Roman" w:cs="Times New Roman" w:eastAsia="Times New Roman" w:hAnsi="Times New Roman"/>
                <w:sz w:val="20"/>
                <w:szCs w:val="20"/>
                <w:color w:val="auto"/>
              </w:rPr>
              <w:t>242,625</w:t>
            </w:r>
          </w:p>
        </w:tc>
        <w:tc>
          <w:tcPr>
            <w:tcW w:w="2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242,625</w:t>
            </w:r>
          </w:p>
        </w:tc>
      </w:tr>
      <w:tr>
        <w:trPr>
          <w:trHeight w:val="299"/>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Ramy Farid, Ph.D. . . . . . . . . . . . . . . . . . . . . . . . . . .</w:t>
            </w: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Sharon Tetlow . . . . . . . . . . . . . . . . . . . . . . . . . . . . .</w:t>
            </w:r>
          </w:p>
        </w:tc>
        <w:tc>
          <w:tcPr>
            <w:tcW w:w="1540" w:type="dxa"/>
            <w:vAlign w:val="bottom"/>
          </w:tcPr>
          <w:p>
            <w:pPr>
              <w:jc w:val="right"/>
              <w:ind w:right="346"/>
              <w:spacing w:after="0"/>
              <w:rPr>
                <w:sz w:val="20"/>
                <w:szCs w:val="20"/>
                <w:color w:val="auto"/>
              </w:rPr>
            </w:pPr>
            <w:r>
              <w:rPr>
                <w:rFonts w:ascii="Times New Roman" w:cs="Times New Roman" w:eastAsia="Times New Roman" w:hAnsi="Times New Roman"/>
                <w:sz w:val="20"/>
                <w:szCs w:val="20"/>
                <w:color w:val="auto"/>
              </w:rPr>
              <w:t>64,000</w:t>
            </w:r>
          </w:p>
        </w:tc>
        <w:tc>
          <w:tcPr>
            <w:tcW w:w="2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64,000</w:t>
            </w:r>
          </w:p>
        </w:tc>
      </w:tr>
      <w:tr>
        <w:trPr>
          <w:trHeight w:val="299"/>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Eric Dobmeier . . . . . . . . . . . . . . . . . . . . . . . . . . . . .</w:t>
            </w:r>
          </w:p>
        </w:tc>
        <w:tc>
          <w:tcPr>
            <w:tcW w:w="1540" w:type="dxa"/>
            <w:vAlign w:val="bottom"/>
          </w:tcPr>
          <w:p>
            <w:pPr>
              <w:jc w:val="right"/>
              <w:ind w:right="346"/>
              <w:spacing w:after="0"/>
              <w:rPr>
                <w:sz w:val="20"/>
                <w:szCs w:val="20"/>
                <w:color w:val="auto"/>
              </w:rPr>
            </w:pPr>
            <w:r>
              <w:rPr>
                <w:rFonts w:ascii="Times New Roman" w:cs="Times New Roman" w:eastAsia="Times New Roman" w:hAnsi="Times New Roman"/>
                <w:sz w:val="20"/>
                <w:szCs w:val="20"/>
                <w:color w:val="auto"/>
              </w:rPr>
              <w:t>57,500</w:t>
            </w:r>
          </w:p>
        </w:tc>
        <w:tc>
          <w:tcPr>
            <w:tcW w:w="2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57,500</w:t>
            </w:r>
          </w:p>
        </w:tc>
      </w:tr>
      <w:tr>
        <w:trPr>
          <w:trHeight w:val="299"/>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Joanne Waldstreicher, M.D. . . . . . . . . . . . . . . . . . . . .</w:t>
            </w:r>
          </w:p>
        </w:tc>
        <w:tc>
          <w:tcPr>
            <w:tcW w:w="1540" w:type="dxa"/>
            <w:vAlign w:val="bottom"/>
          </w:tcPr>
          <w:p>
            <w:pPr>
              <w:jc w:val="right"/>
              <w:ind w:right="346"/>
              <w:spacing w:after="0"/>
              <w:rPr>
                <w:sz w:val="20"/>
                <w:szCs w:val="20"/>
                <w:color w:val="auto"/>
              </w:rPr>
            </w:pPr>
            <w:r>
              <w:rPr>
                <w:rFonts w:ascii="Times New Roman" w:cs="Times New Roman" w:eastAsia="Times New Roman" w:hAnsi="Times New Roman"/>
                <w:sz w:val="20"/>
                <w:szCs w:val="20"/>
                <w:color w:val="auto"/>
              </w:rPr>
              <w:t>49,000</w:t>
            </w:r>
          </w:p>
        </w:tc>
        <w:tc>
          <w:tcPr>
            <w:tcW w:w="2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49,000</w:t>
            </w:r>
          </w:p>
        </w:tc>
      </w:tr>
      <w:tr>
        <w:trPr>
          <w:trHeight w:val="299"/>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Ted W. Love, M.D. . . . . . . . . . . . . . . . . . . . . . . . . . .</w:t>
            </w:r>
          </w:p>
        </w:tc>
        <w:tc>
          <w:tcPr>
            <w:tcW w:w="1540" w:type="dxa"/>
            <w:vAlign w:val="bottom"/>
          </w:tcPr>
          <w:p>
            <w:pPr>
              <w:jc w:val="right"/>
              <w:ind w:right="346"/>
              <w:spacing w:after="0"/>
              <w:rPr>
                <w:sz w:val="20"/>
                <w:szCs w:val="20"/>
                <w:color w:val="auto"/>
              </w:rPr>
            </w:pPr>
            <w:r>
              <w:rPr>
                <w:rFonts w:ascii="Times New Roman" w:cs="Times New Roman" w:eastAsia="Times New Roman" w:hAnsi="Times New Roman"/>
                <w:sz w:val="20"/>
                <w:szCs w:val="20"/>
                <w:color w:val="auto"/>
              </w:rPr>
              <w:t>22,917</w:t>
            </w:r>
          </w:p>
        </w:tc>
        <w:tc>
          <w:tcPr>
            <w:tcW w:w="2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632,132</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655,049</w:t>
            </w:r>
          </w:p>
        </w:tc>
      </w:tr>
      <w:tr>
        <w:trPr>
          <w:trHeight w:val="318"/>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Jessica Lifton</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 . . . . . . . . . . . . . . . . . . . . . . . . . . .</w:t>
            </w: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5"/>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Chen Yu, M.D.</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 . . . . . . . . . . . . . . . . . . . . . . . . . .</w:t>
            </w: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102870</wp:posOffset>
                </wp:positionV>
                <wp:extent cx="136842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1pt" to="107.75pt,8.1pt" o:allowincell="f" strokecolor="#000000" strokeweight="0.499pt"/>
            </w:pict>
          </mc:Fallback>
        </mc:AlternateContent>
      </w:r>
    </w:p>
    <w:p>
      <w:pPr>
        <w:spacing w:after="0" w:line="262" w:lineRule="exact"/>
        <w:rPr>
          <w:sz w:val="20"/>
          <w:szCs w:val="20"/>
          <w:color w:val="auto"/>
        </w:rPr>
      </w:pPr>
    </w:p>
    <w:p>
      <w:pPr>
        <w:jc w:val="both"/>
        <w:ind w:left="390" w:hanging="390"/>
        <w:spacing w:after="0" w:line="263" w:lineRule="auto"/>
        <w:tabs>
          <w:tab w:leader="none" w:pos="39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here do not reflect the actual economic value realized by our directors. In accordance with SEC rules, this column represents the grant date fair value of shares underlying share options, calculated in accordance with FASB ASC 718. Assumptions used in the calculation of the grant date fair value of the share options are set forth in Note 9, “Shareholders’ Equity” to our audited consolidated financial statements included in our Annual Report on Form 10-K for the fiscal year ended December 31, 2023.</w:t>
      </w:r>
    </w:p>
    <w:p>
      <w:pPr>
        <w:spacing w:after="0" w:line="49" w:lineRule="exact"/>
        <w:rPr>
          <w:rFonts w:ascii="Times New Roman" w:cs="Times New Roman" w:eastAsia="Times New Roman" w:hAnsi="Times New Roman"/>
          <w:sz w:val="16"/>
          <w:szCs w:val="16"/>
          <w:color w:val="auto"/>
        </w:rPr>
      </w:pPr>
    </w:p>
    <w:p>
      <w:pPr>
        <w:jc w:val="both"/>
        <w:ind w:left="390" w:hanging="390"/>
        <w:spacing w:after="0" w:line="263" w:lineRule="auto"/>
        <w:tabs>
          <w:tab w:leader="none" w:pos="39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(i) Mr. Welch held an option to purchase 1,179,122 Ordinary Shares, which is subject to early exercise; (ii) Ms. Tetlow held an option to purchase 80,000 Ordinary Shares, which is subject to early exercise; (iii) Mr. Dobmeier held an option to purchase 80,000 Ordinary Shares, 26,666 of which were vested as of such date; (iv) Dr. Waldstreicher held an option to purchase 80,000 Ordinary Shares, 26,666 of which were vested as of such date; and (v) Dr. Love held an option to purchase 75,000 Ordinary Shares, 8,333 of which were vested as of such date.</w:t>
      </w:r>
    </w:p>
    <w:p>
      <w:pPr>
        <w:spacing w:after="0" w:line="49" w:lineRule="exact"/>
        <w:rPr>
          <w:rFonts w:ascii="Times New Roman" w:cs="Times New Roman" w:eastAsia="Times New Roman" w:hAnsi="Times New Roman"/>
          <w:sz w:val="16"/>
          <w:szCs w:val="16"/>
          <w:color w:val="auto"/>
        </w:rPr>
      </w:pPr>
    </w:p>
    <w:p>
      <w:pPr>
        <w:ind w:left="390" w:hanging="390"/>
        <w:spacing w:after="0"/>
        <w:tabs>
          <w:tab w:leader="none" w:pos="39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Lifton and Dr. Yu each resigned from the Board effective February 2, 2023.</w:t>
      </w:r>
    </w:p>
    <w:p>
      <w:pPr>
        <w:spacing w:after="0" w:line="174" w:lineRule="exact"/>
        <w:rPr>
          <w:sz w:val="20"/>
          <w:szCs w:val="20"/>
          <w:color w:val="auto"/>
        </w:rPr>
      </w:pPr>
    </w:p>
    <w:p>
      <w:pPr>
        <w:jc w:val="both"/>
        <w:ind w:left="10" w:firstLine="399"/>
        <w:spacing w:after="0" w:line="262" w:lineRule="auto"/>
        <w:rPr>
          <w:sz w:val="20"/>
          <w:szCs w:val="20"/>
          <w:color w:val="auto"/>
        </w:rPr>
      </w:pPr>
      <w:r>
        <w:rPr>
          <w:rFonts w:ascii="Times New Roman" w:cs="Times New Roman" w:eastAsia="Times New Roman" w:hAnsi="Times New Roman"/>
          <w:sz w:val="20"/>
          <w:szCs w:val="20"/>
          <w:color w:val="auto"/>
        </w:rPr>
        <w:t>Dr. Stevens, our Chief Executive Officer, and Dr. Farid, did not receive any additional compensation for their service on the Board. Dr. Stevens’s compensation as a Named Executive Officer is set forth above under “</w:t>
      </w:r>
      <w:r>
        <w:rPr>
          <w:rFonts w:ascii="Times New Roman" w:cs="Times New Roman" w:eastAsia="Times New Roman" w:hAnsi="Times New Roman"/>
          <w:sz w:val="20"/>
          <w:szCs w:val="20"/>
          <w:i w:val="1"/>
          <w:iCs w:val="1"/>
          <w:color w:val="auto"/>
        </w:rPr>
        <w:t>Executive Compensation — Summary Compensation Table</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171" w:lineRule="exact"/>
        <w:rPr>
          <w:sz w:val="20"/>
          <w:szCs w:val="20"/>
          <w:color w:val="auto"/>
        </w:rPr>
      </w:pPr>
    </w:p>
    <w:p>
      <w:pPr>
        <w:jc w:val="both"/>
        <w:ind w:left="10" w:firstLine="399"/>
        <w:spacing w:after="0" w:line="257" w:lineRule="auto"/>
        <w:rPr>
          <w:sz w:val="20"/>
          <w:szCs w:val="20"/>
          <w:color w:val="auto"/>
        </w:rPr>
      </w:pPr>
      <w:r>
        <w:rPr>
          <w:rFonts w:ascii="Times New Roman" w:cs="Times New Roman" w:eastAsia="Times New Roman" w:hAnsi="Times New Roman"/>
          <w:sz w:val="20"/>
          <w:szCs w:val="20"/>
          <w:color w:val="auto"/>
        </w:rPr>
        <w:t>Our Board adopted a non-employee director compensation policy in January 2023 that is applicable to all of our non-employee directors. The compensation policy was amended effective August 2023 following a review of the program with our independent compensation consultant (the “August Amendment”). The compensation policy was further amended in March 2024, as described below.</w:t>
      </w:r>
    </w:p>
    <w:p>
      <w:pPr>
        <w:spacing w:after="0" w:line="116" w:lineRule="exact"/>
        <w:rPr>
          <w:sz w:val="20"/>
          <w:szCs w:val="20"/>
          <w:color w:val="auto"/>
        </w:rPr>
      </w:pPr>
    </w:p>
    <w:p>
      <w:pPr>
        <w:jc w:val="both"/>
        <w:ind w:left="10" w:firstLine="399"/>
        <w:spacing w:after="0" w:line="279" w:lineRule="auto"/>
        <w:rPr>
          <w:sz w:val="20"/>
          <w:szCs w:val="20"/>
          <w:color w:val="auto"/>
        </w:rPr>
      </w:pPr>
      <w:r>
        <w:rPr>
          <w:rFonts w:ascii="Times New Roman" w:cs="Times New Roman" w:eastAsia="Times New Roman" w:hAnsi="Times New Roman"/>
          <w:sz w:val="20"/>
          <w:szCs w:val="20"/>
          <w:color w:val="auto"/>
        </w:rPr>
        <w:t>As in effect for 2023, our compensation policy provided that each non-employee director will receive the following compensation for service on our Board:</w:t>
      </w:r>
    </w:p>
    <w:p>
      <w:pPr>
        <w:spacing w:after="0" w:line="56" w:lineRule="exact"/>
        <w:rPr>
          <w:sz w:val="20"/>
          <w:szCs w:val="20"/>
          <w:color w:val="auto"/>
        </w:rPr>
      </w:pPr>
    </w:p>
    <w:p>
      <w:pPr>
        <w:ind w:left="590" w:hanging="191"/>
        <w:spacing w:after="0"/>
        <w:tabs>
          <w:tab w:leader="none" w:pos="59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annual cash retainer of $45,000 for eligible directors;</w:t>
      </w:r>
    </w:p>
    <w:p>
      <w:pPr>
        <w:spacing w:after="0" w:line="125" w:lineRule="exact"/>
        <w:rPr>
          <w:rFonts w:ascii="Times New Roman" w:cs="Times New Roman" w:eastAsia="Times New Roman" w:hAnsi="Times New Roman"/>
          <w:sz w:val="20"/>
          <w:szCs w:val="20"/>
          <w:color w:val="auto"/>
        </w:rPr>
      </w:pPr>
    </w:p>
    <w:p>
      <w:pPr>
        <w:ind w:left="590" w:hanging="191"/>
        <w:spacing w:after="0"/>
        <w:tabs>
          <w:tab w:leader="none" w:pos="59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additional cash retainer of $179,000 for service as chair of the Company;</w:t>
      </w:r>
    </w:p>
    <w:p>
      <w:pPr>
        <w:spacing w:after="0" w:line="125" w:lineRule="exact"/>
        <w:rPr>
          <w:rFonts w:ascii="Times New Roman" w:cs="Times New Roman" w:eastAsia="Times New Roman" w:hAnsi="Times New Roman"/>
          <w:sz w:val="20"/>
          <w:szCs w:val="20"/>
          <w:color w:val="auto"/>
        </w:rPr>
      </w:pPr>
    </w:p>
    <w:p>
      <w:pPr>
        <w:ind w:left="590" w:hanging="191"/>
        <w:spacing w:after="0" w:line="279" w:lineRule="auto"/>
        <w:tabs>
          <w:tab w:leader="none" w:pos="59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annual cash retainer of $7,500, $5,000 and $4,000 for service as a member of the audit committee, compensation committee and the nominating and governance committee, respectively;</w:t>
      </w:r>
    </w:p>
    <w:p>
      <w:pPr>
        <w:spacing w:after="0" w:line="55" w:lineRule="exact"/>
        <w:rPr>
          <w:rFonts w:ascii="Times New Roman" w:cs="Times New Roman" w:eastAsia="Times New Roman" w:hAnsi="Times New Roman"/>
          <w:sz w:val="20"/>
          <w:szCs w:val="20"/>
          <w:color w:val="auto"/>
        </w:rPr>
      </w:pPr>
    </w:p>
    <w:p>
      <w:pPr>
        <w:ind w:left="590" w:hanging="191"/>
        <w:spacing w:after="0" w:line="279" w:lineRule="auto"/>
        <w:tabs>
          <w:tab w:leader="none" w:pos="59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additional annual cash retainer of $15,000, $10,000 and $8,000 for service as chair of the audit committee, compensation committee and the nominating and governance committee, respectively;</w:t>
      </w:r>
    </w:p>
    <w:p>
      <w:pPr>
        <w:spacing w:after="0" w:line="55" w:lineRule="exact"/>
        <w:rPr>
          <w:rFonts w:ascii="Times New Roman" w:cs="Times New Roman" w:eastAsia="Times New Roman" w:hAnsi="Times New Roman"/>
          <w:sz w:val="20"/>
          <w:szCs w:val="20"/>
          <w:color w:val="auto"/>
        </w:rPr>
      </w:pPr>
    </w:p>
    <w:p>
      <w:pPr>
        <w:jc w:val="both"/>
        <w:ind w:left="590" w:hanging="191"/>
        <w:spacing w:after="0" w:line="262" w:lineRule="auto"/>
        <w:tabs>
          <w:tab w:leader="none" w:pos="59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August Amendment, an initial share option to purchase 90,000 of our Ordinary Shares (equal to 30,000 ADSs) on the date of each such non-employee director’s appointment to our Board, vesting in 36 equal monthly installments;</w:t>
      </w:r>
    </w:p>
    <w:p>
      <w:pPr>
        <w:spacing w:after="0" w:line="74" w:lineRule="exact"/>
        <w:rPr>
          <w:rFonts w:ascii="Times New Roman" w:cs="Times New Roman" w:eastAsia="Times New Roman" w:hAnsi="Times New Roman"/>
          <w:sz w:val="20"/>
          <w:szCs w:val="20"/>
          <w:color w:val="auto"/>
        </w:rPr>
      </w:pPr>
    </w:p>
    <w:p>
      <w:pPr>
        <w:jc w:val="both"/>
        <w:ind w:left="590" w:hanging="191"/>
        <w:spacing w:after="0" w:line="264" w:lineRule="auto"/>
        <w:tabs>
          <w:tab w:leader="none" w:pos="59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August Amendment, an initial share option to purchase 75,000 of our Ordinary Shares (equal to 25,000 ADSs) on the date of each such non-employee director’s appointment to our Board, vesting in 36 equal monthly installments;</w:t>
      </w:r>
    </w:p>
    <w:p>
      <w:pPr>
        <w:sectPr>
          <w:pgSz w:w="11880" w:h="15480" w:orient="portrait"/>
          <w:cols w:equalWidth="0" w:num="1">
            <w:col w:w="9110"/>
          </w:cols>
          <w:pgMar w:left="1390" w:top="1023" w:right="1380" w:bottom="70" w:gutter="0" w:footer="0" w:header="0"/>
        </w:sectPr>
      </w:pPr>
    </w:p>
    <w:p>
      <w:pPr>
        <w:spacing w:after="0" w:line="27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110"/>
          </w:cols>
          <w:pgMar w:left="1390" w:top="1023" w:right="1380" w:bottom="70" w:gutter="0" w:footer="0" w:header="0"/>
          <w:type w:val="continuous"/>
        </w:sectPr>
      </w:pPr>
    </w:p>
    <w:bookmarkStart w:id="257" w:name="page258"/>
    <w:bookmarkEnd w:id="257"/>
    <w:p>
      <w:pPr>
        <w:jc w:val="both"/>
        <w:ind w:left="580" w:hanging="191"/>
        <w:spacing w:after="0" w:line="261" w:lineRule="auto"/>
        <w:tabs>
          <w:tab w:leader="none" w:pos="5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August Amendment, an annual share option to purchase 45,000 of our Ordinary Shares (equal to 15,000 ADSs) on the date of each of our annual general meeting of shareholders, vesting in 12 equal monthly installments (and will be fully vested on the day immediately preceding the next annual general meeting of shareholders, if sooner); and</w:t>
      </w:r>
    </w:p>
    <w:p>
      <w:pPr>
        <w:spacing w:after="0" w:line="77" w:lineRule="exact"/>
        <w:rPr>
          <w:rFonts w:ascii="Times New Roman" w:cs="Times New Roman" w:eastAsia="Times New Roman" w:hAnsi="Times New Roman"/>
          <w:sz w:val="20"/>
          <w:szCs w:val="20"/>
          <w:color w:val="auto"/>
        </w:rPr>
      </w:pPr>
    </w:p>
    <w:p>
      <w:pPr>
        <w:jc w:val="both"/>
        <w:ind w:left="580" w:hanging="191"/>
        <w:spacing w:after="0" w:line="261" w:lineRule="auto"/>
        <w:tabs>
          <w:tab w:leader="none" w:pos="5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August Amendment, an annual share option to purchase 37,500 of our Ordinary Shares (equal to 12,500 ADSs) on the date of each of our annual general meeting of shareholders, vesting in 12 equal monthly installments (and will be fully vested on the day immediately preceding the next annual general meeting of shareholders, if sooner).</w:t>
      </w:r>
    </w:p>
    <w:p>
      <w:pPr>
        <w:spacing w:after="0" w:line="11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The compensation policy was most recently amended effective March 2024 following a review of the program with our independent compensation consultant (the “March Amendment”). Following the March Amendment, each non-employee director will receive the following updated annual cash retainer amounts for 2024 for service on a committee of our Board, including our new Research &amp; Development Committee:</w:t>
      </w:r>
    </w:p>
    <w:p>
      <w:pPr>
        <w:spacing w:after="0" w:line="77" w:lineRule="exact"/>
        <w:rPr>
          <w:sz w:val="20"/>
          <w:szCs w:val="20"/>
          <w:color w:val="auto"/>
        </w:rPr>
      </w:pPr>
    </w:p>
    <w:p>
      <w:pPr>
        <w:jc w:val="both"/>
        <w:ind w:left="580" w:hanging="191"/>
        <w:spacing w:after="0" w:line="266" w:lineRule="auto"/>
        <w:tabs>
          <w:tab w:leader="none" w:pos="5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annual cash retainer of $10,000, $7,500, $7,500 and $5,000 for service as a member of the Audit Committee, Compensation Committee, Research &amp; Development Committee and the Nominating Committee, respectively; and</w:t>
      </w:r>
    </w:p>
    <w:p>
      <w:pPr>
        <w:spacing w:after="0" w:line="73" w:lineRule="exact"/>
        <w:rPr>
          <w:rFonts w:ascii="Times New Roman" w:cs="Times New Roman" w:eastAsia="Times New Roman" w:hAnsi="Times New Roman"/>
          <w:sz w:val="20"/>
          <w:szCs w:val="20"/>
          <w:color w:val="auto"/>
        </w:rPr>
      </w:pPr>
    </w:p>
    <w:p>
      <w:pPr>
        <w:jc w:val="both"/>
        <w:ind w:left="580" w:hanging="191"/>
        <w:spacing w:after="0" w:line="266" w:lineRule="auto"/>
        <w:tabs>
          <w:tab w:leader="none" w:pos="5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additional annual cash retainer of $20,000, $15,000, $15,000 and $10,000 for service as chair of the Audit Committee, Compensation Committee, Research &amp; Development Committee and the Nominating Committee, respectively.</w:t>
      </w:r>
    </w:p>
    <w:p>
      <w:pPr>
        <w:spacing w:after="0" w:line="113"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20"/>
          <w:szCs w:val="20"/>
          <w:color w:val="auto"/>
        </w:rPr>
        <w:t>Each share option described above will be granted under our 2023 Plan. The term of each share option will be ten years, subject to earlier termination as provided in the 2023 Plan, provided that upon a termination of continuous service other than for death or “cause” (as such term is defined in the 2023 Plan), the post-termination exercise period will be 12 months from the date of termination. Each share option will vest subject to the director’s continuous service with us, provided that each share option will vest in full upon a change in control of the Company.</w:t>
      </w:r>
    </w:p>
    <w:p>
      <w:pPr>
        <w:spacing w:after="0" w:line="125"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20"/>
          <w:szCs w:val="20"/>
          <w:color w:val="auto"/>
        </w:rPr>
        <w:t>We will also continue to reimburse each non-employee director for ordinary, necessary, and reasonable out-of-pocket travel expenses to cover in-person attendance at and participation in Board and committee meetings.</w:t>
      </w:r>
    </w:p>
    <w:p>
      <w:pPr>
        <w:sectPr>
          <w:pgSz w:w="11880" w:h="15480" w:orient="portrait"/>
          <w:cols w:equalWidth="0" w:num="1">
            <w:col w:w="9100"/>
          </w:cols>
          <w:pgMar w:left="1400" w:top="1025"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100"/>
          </w:cols>
          <w:pgMar w:left="1400" w:top="1025" w:right="1380" w:bottom="70" w:gutter="0" w:footer="0" w:header="0"/>
          <w:type w:val="continuous"/>
        </w:sectPr>
      </w:pPr>
    </w:p>
    <w:bookmarkStart w:id="258" w:name="page259"/>
    <w:bookmarkEnd w:id="258"/>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 AND MANAGEMENT</w:t>
      </w:r>
    </w:p>
    <w:p>
      <w:pPr>
        <w:spacing w:after="0" w:line="171" w:lineRule="exact"/>
        <w:rPr>
          <w:sz w:val="20"/>
          <w:szCs w:val="20"/>
          <w:color w:val="auto"/>
        </w:rPr>
      </w:pPr>
    </w:p>
    <w:p>
      <w:pPr>
        <w:jc w:val="both"/>
        <w:ind w:left="10" w:firstLine="399"/>
        <w:spacing w:after="0" w:line="254" w:lineRule="auto"/>
        <w:rPr>
          <w:sz w:val="20"/>
          <w:szCs w:val="20"/>
          <w:color w:val="auto"/>
        </w:rPr>
      </w:pPr>
      <w:r>
        <w:rPr>
          <w:rFonts w:ascii="Times New Roman" w:cs="Times New Roman" w:eastAsia="Times New Roman" w:hAnsi="Times New Roman"/>
          <w:sz w:val="20"/>
          <w:szCs w:val="20"/>
          <w:color w:val="auto"/>
        </w:rPr>
        <w:t>The following table sets forth certain information regarding the ownership of our Ordinary Shares as of April 19, 2024 by: (i) each director and director nominee; (ii) each of the executive officers named in the Summary Compensation Table; (iii) our executive officers and directors as a group; and (iv) all those known by us to be beneficial owners of more than five percent of our Ordinary Shares. Unless otherwise indicated in the footnotes to this table and subject to community property laws where applicable, we believe that each of the shareholders named in this table has sole voting and investment power with respect to the shares indicated as beneficially owned. Applicable percentages are based on 139,856,287 Ordinary Shares outstanding on April 19, 2024, adjusted as required by rules promulgated by the SEC.</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r>
      <w:tr>
        <w:trPr>
          <w:trHeight w:val="180"/>
        </w:trPr>
        <w:tc>
          <w:tcPr>
            <w:tcW w:w="4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6"/>
              </w:rPr>
              <w:t>Number of Ordinary</w:t>
            </w:r>
          </w:p>
        </w:tc>
        <w:tc>
          <w:tcPr>
            <w:tcW w:w="16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4"/>
              </w:rPr>
              <w:t>Equivalent Number of</w:t>
            </w: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Ordinary Shares</w:t>
            </w:r>
          </w:p>
        </w:tc>
      </w:tr>
      <w:tr>
        <w:trPr>
          <w:trHeight w:val="180"/>
        </w:trPr>
        <w:tc>
          <w:tcPr>
            <w:tcW w:w="4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6"/>
              </w:rPr>
              <w:t>Shares Beneficially</w:t>
            </w:r>
          </w:p>
        </w:tc>
        <w:tc>
          <w:tcPr>
            <w:tcW w:w="16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ADSs Beneficially</w:t>
            </w: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Beneficially Owned</w:t>
            </w:r>
          </w:p>
        </w:tc>
      </w:tr>
      <w:tr>
        <w:trPr>
          <w:trHeight w:val="20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Owned</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t>
            </w:r>
          </w:p>
        </w:tc>
      </w:tr>
      <w:tr>
        <w:trPr>
          <w:trHeight w:val="30"/>
        </w:trPr>
        <w:tc>
          <w:tcPr>
            <w:tcW w:w="4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2"/>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5% Shareholders</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6"/>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FMR LLC</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 . . . . . . . . . . .</w:t>
            </w:r>
          </w:p>
        </w:tc>
        <w:tc>
          <w:tcPr>
            <w:tcW w:w="13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17,372,856</w:t>
            </w:r>
          </w:p>
        </w:tc>
        <w:tc>
          <w:tcPr>
            <w:tcW w:w="240" w:type="dxa"/>
            <w:vAlign w:val="bottom"/>
          </w:tcPr>
          <w:p>
            <w:pPr>
              <w:spacing w:after="0"/>
              <w:rPr>
                <w:sz w:val="24"/>
                <w:szCs w:val="24"/>
                <w:color w:val="auto"/>
              </w:rPr>
            </w:pPr>
          </w:p>
        </w:tc>
        <w:tc>
          <w:tcPr>
            <w:tcW w:w="14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5,790,952</w:t>
            </w:r>
          </w:p>
        </w:tc>
        <w:tc>
          <w:tcPr>
            <w:tcW w:w="24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Times New Roman" w:cs="Times New Roman" w:eastAsia="Times New Roman" w:hAnsi="Times New Roman"/>
                <w:sz w:val="20"/>
                <w:szCs w:val="20"/>
                <w:color w:val="auto"/>
              </w:rPr>
              <w:t>12.42</w:t>
            </w: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Entities affiliated with Wellington Management</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99"/>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Group LLP</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 . . . . . . . . . . . . . . . . . . . . . .</w:t>
            </w:r>
          </w:p>
        </w:tc>
        <w:tc>
          <w:tcPr>
            <w:tcW w:w="13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13,116,978</w:t>
            </w:r>
          </w:p>
        </w:tc>
        <w:tc>
          <w:tcPr>
            <w:tcW w:w="240" w:type="dxa"/>
            <w:vAlign w:val="bottom"/>
          </w:tcPr>
          <w:p>
            <w:pPr>
              <w:spacing w:after="0"/>
              <w:rPr>
                <w:sz w:val="24"/>
                <w:szCs w:val="24"/>
                <w:color w:val="auto"/>
              </w:rPr>
            </w:pPr>
          </w:p>
        </w:tc>
        <w:tc>
          <w:tcPr>
            <w:tcW w:w="14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4,372,326</w:t>
            </w:r>
          </w:p>
        </w:tc>
        <w:tc>
          <w:tcPr>
            <w:tcW w:w="24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Times New Roman" w:cs="Times New Roman" w:eastAsia="Times New Roman" w:hAnsi="Times New Roman"/>
                <w:sz w:val="20"/>
                <w:szCs w:val="20"/>
                <w:color w:val="auto"/>
              </w:rPr>
              <w:t>9.38</w:t>
            </w:r>
          </w:p>
        </w:tc>
      </w:tr>
      <w:tr>
        <w:trPr>
          <w:trHeight w:val="305"/>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Avoro Capital Advisors LLC</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 . . . . . . . . . . . .</w:t>
            </w:r>
          </w:p>
        </w:tc>
        <w:tc>
          <w:tcPr>
            <w:tcW w:w="13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6,999,999</w:t>
            </w:r>
          </w:p>
        </w:tc>
        <w:tc>
          <w:tcPr>
            <w:tcW w:w="240" w:type="dxa"/>
            <w:vAlign w:val="bottom"/>
          </w:tcPr>
          <w:p>
            <w:pPr>
              <w:spacing w:after="0"/>
              <w:rPr>
                <w:sz w:val="24"/>
                <w:szCs w:val="24"/>
                <w:color w:val="auto"/>
              </w:rPr>
            </w:pPr>
          </w:p>
        </w:tc>
        <w:tc>
          <w:tcPr>
            <w:tcW w:w="14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2,333,333</w:t>
            </w:r>
          </w:p>
        </w:tc>
        <w:tc>
          <w:tcPr>
            <w:tcW w:w="24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Times New Roman" w:cs="Times New Roman" w:eastAsia="Times New Roman" w:hAnsi="Times New Roman"/>
                <w:sz w:val="20"/>
                <w:szCs w:val="20"/>
                <w:color w:val="auto"/>
              </w:rPr>
              <w:t>5.01</w:t>
            </w:r>
          </w:p>
        </w:tc>
      </w:tr>
      <w:tr>
        <w:trPr>
          <w:trHeight w:val="273"/>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Named Executive Officers and Directors</w:t>
            </w:r>
          </w:p>
        </w:tc>
        <w:tc>
          <w:tcPr>
            <w:tcW w:w="1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20"/>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Raymond Stevens, Ph.D.</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 xml:space="preserve">  . . . . . . . . . . . . . . . .</w:t>
            </w:r>
          </w:p>
        </w:tc>
        <w:tc>
          <w:tcPr>
            <w:tcW w:w="13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3,712,527</w:t>
            </w:r>
          </w:p>
        </w:tc>
        <w:tc>
          <w:tcPr>
            <w:tcW w:w="240" w:type="dxa"/>
            <w:vAlign w:val="bottom"/>
          </w:tcPr>
          <w:p>
            <w:pPr>
              <w:spacing w:after="0"/>
              <w:rPr>
                <w:sz w:val="24"/>
                <w:szCs w:val="24"/>
                <w:color w:val="auto"/>
              </w:rPr>
            </w:pPr>
          </w:p>
        </w:tc>
        <w:tc>
          <w:tcPr>
            <w:tcW w:w="14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1,237,509</w:t>
            </w:r>
          </w:p>
        </w:tc>
        <w:tc>
          <w:tcPr>
            <w:tcW w:w="24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Times New Roman" w:cs="Times New Roman" w:eastAsia="Times New Roman" w:hAnsi="Times New Roman"/>
                <w:sz w:val="20"/>
                <w:szCs w:val="20"/>
                <w:color w:val="auto"/>
              </w:rPr>
              <w:t>2.63</w:t>
            </w:r>
          </w:p>
        </w:tc>
      </w:tr>
      <w:tr>
        <w:trPr>
          <w:trHeight w:val="299"/>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Jun Yoon</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20"/>
                <w:szCs w:val="20"/>
                <w:color w:val="auto"/>
              </w:rPr>
              <w:t xml:space="preserve">  . . . . . . . . . . . . . . . . . . . . . . . . . . .</w:t>
            </w:r>
          </w:p>
        </w:tc>
        <w:tc>
          <w:tcPr>
            <w:tcW w:w="13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3,038,775</w:t>
            </w:r>
          </w:p>
        </w:tc>
        <w:tc>
          <w:tcPr>
            <w:tcW w:w="240" w:type="dxa"/>
            <w:vAlign w:val="bottom"/>
          </w:tcPr>
          <w:p>
            <w:pPr>
              <w:spacing w:after="0"/>
              <w:rPr>
                <w:sz w:val="24"/>
                <w:szCs w:val="24"/>
                <w:color w:val="auto"/>
              </w:rPr>
            </w:pPr>
          </w:p>
        </w:tc>
        <w:tc>
          <w:tcPr>
            <w:tcW w:w="14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1,012,925</w:t>
            </w:r>
          </w:p>
        </w:tc>
        <w:tc>
          <w:tcPr>
            <w:tcW w:w="24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Times New Roman" w:cs="Times New Roman" w:eastAsia="Times New Roman" w:hAnsi="Times New Roman"/>
                <w:sz w:val="20"/>
                <w:szCs w:val="20"/>
                <w:color w:val="auto"/>
              </w:rPr>
              <w:t>2.17</w:t>
            </w:r>
          </w:p>
        </w:tc>
      </w:tr>
      <w:tr>
        <w:trPr>
          <w:trHeight w:val="299"/>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Mark Bach, M.D., Ph.D.</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20"/>
                <w:szCs w:val="20"/>
                <w:color w:val="auto"/>
              </w:rPr>
              <w:t xml:space="preserve">  . . . . . . . . . . . . . . . .</w:t>
            </w:r>
          </w:p>
        </w:tc>
        <w:tc>
          <w:tcPr>
            <w:tcW w:w="13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428,565</w:t>
            </w:r>
          </w:p>
        </w:tc>
        <w:tc>
          <w:tcPr>
            <w:tcW w:w="240" w:type="dxa"/>
            <w:vAlign w:val="bottom"/>
          </w:tcPr>
          <w:p>
            <w:pPr>
              <w:spacing w:after="0"/>
              <w:rPr>
                <w:sz w:val="24"/>
                <w:szCs w:val="24"/>
                <w:color w:val="auto"/>
              </w:rPr>
            </w:pPr>
          </w:p>
        </w:tc>
        <w:tc>
          <w:tcPr>
            <w:tcW w:w="14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142,855</w:t>
            </w:r>
          </w:p>
        </w:tc>
        <w:tc>
          <w:tcPr>
            <w:tcW w:w="24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Daniel Welch</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20"/>
                <w:szCs w:val="20"/>
                <w:color w:val="auto"/>
              </w:rPr>
              <w:t xml:space="preserve">   . . . . . . . . . . . . . . . . . . . . . . . .</w:t>
            </w:r>
          </w:p>
        </w:tc>
        <w:tc>
          <w:tcPr>
            <w:tcW w:w="13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1,302,630</w:t>
            </w:r>
          </w:p>
        </w:tc>
        <w:tc>
          <w:tcPr>
            <w:tcW w:w="240" w:type="dxa"/>
            <w:vAlign w:val="bottom"/>
          </w:tcPr>
          <w:p>
            <w:pPr>
              <w:spacing w:after="0"/>
              <w:rPr>
                <w:sz w:val="24"/>
                <w:szCs w:val="24"/>
                <w:color w:val="auto"/>
              </w:rPr>
            </w:pPr>
          </w:p>
        </w:tc>
        <w:tc>
          <w:tcPr>
            <w:tcW w:w="14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434,210</w:t>
            </w:r>
          </w:p>
        </w:tc>
        <w:tc>
          <w:tcPr>
            <w:tcW w:w="24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Eric Dobmeier</w:t>
            </w: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20"/>
                <w:szCs w:val="20"/>
                <w:color w:val="auto"/>
              </w:rPr>
              <w:t xml:space="preserve">   . . . . . . . . . . . . . . . . . . . . . . .</w:t>
            </w:r>
          </w:p>
        </w:tc>
        <w:tc>
          <w:tcPr>
            <w:tcW w:w="13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37,764</w:t>
            </w:r>
          </w:p>
        </w:tc>
        <w:tc>
          <w:tcPr>
            <w:tcW w:w="240" w:type="dxa"/>
            <w:vAlign w:val="bottom"/>
          </w:tcPr>
          <w:p>
            <w:pPr>
              <w:spacing w:after="0"/>
              <w:rPr>
                <w:sz w:val="24"/>
                <w:szCs w:val="24"/>
                <w:color w:val="auto"/>
              </w:rPr>
            </w:pPr>
          </w:p>
        </w:tc>
        <w:tc>
          <w:tcPr>
            <w:tcW w:w="14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12,588</w:t>
            </w:r>
          </w:p>
        </w:tc>
        <w:tc>
          <w:tcPr>
            <w:tcW w:w="24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Joanne Waldstreicher</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20"/>
                <w:szCs w:val="20"/>
                <w:color w:val="auto"/>
              </w:rPr>
              <w:t xml:space="preserve">  . . . . . . . . . . . . . . . . . . .</w:t>
            </w:r>
          </w:p>
        </w:tc>
        <w:tc>
          <w:tcPr>
            <w:tcW w:w="13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37,764</w:t>
            </w:r>
          </w:p>
        </w:tc>
        <w:tc>
          <w:tcPr>
            <w:tcW w:w="240" w:type="dxa"/>
            <w:vAlign w:val="bottom"/>
          </w:tcPr>
          <w:p>
            <w:pPr>
              <w:spacing w:after="0"/>
              <w:rPr>
                <w:sz w:val="24"/>
                <w:szCs w:val="24"/>
                <w:color w:val="auto"/>
              </w:rPr>
            </w:pPr>
          </w:p>
        </w:tc>
        <w:tc>
          <w:tcPr>
            <w:tcW w:w="14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12,588</w:t>
            </w:r>
          </w:p>
        </w:tc>
        <w:tc>
          <w:tcPr>
            <w:tcW w:w="24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Ramy Farid, Ph.D.</w:t>
            </w:r>
            <w:r>
              <w:rPr>
                <w:rFonts w:ascii="Times New Roman" w:cs="Times New Roman" w:eastAsia="Times New Roman" w:hAnsi="Times New Roman"/>
                <w:sz w:val="25"/>
                <w:szCs w:val="25"/>
                <w:color w:val="auto"/>
                <w:vertAlign w:val="superscript"/>
              </w:rPr>
              <w:t>(10)</w:t>
            </w:r>
            <w:r>
              <w:rPr>
                <w:rFonts w:ascii="Times New Roman" w:cs="Times New Roman" w:eastAsia="Times New Roman" w:hAnsi="Times New Roman"/>
                <w:sz w:val="20"/>
                <w:szCs w:val="20"/>
                <w:color w:val="auto"/>
              </w:rPr>
              <w:t xml:space="preserve"> . . . . . . . . . . . . . . . . . . . .</w:t>
            </w:r>
          </w:p>
        </w:tc>
        <w:tc>
          <w:tcPr>
            <w:tcW w:w="13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4,085,495</w:t>
            </w:r>
          </w:p>
        </w:tc>
        <w:tc>
          <w:tcPr>
            <w:tcW w:w="240" w:type="dxa"/>
            <w:vAlign w:val="bottom"/>
          </w:tcPr>
          <w:p>
            <w:pPr>
              <w:spacing w:after="0"/>
              <w:rPr>
                <w:sz w:val="24"/>
                <w:szCs w:val="24"/>
                <w:color w:val="auto"/>
              </w:rPr>
            </w:pPr>
          </w:p>
        </w:tc>
        <w:tc>
          <w:tcPr>
            <w:tcW w:w="14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1,361,831</w:t>
            </w:r>
          </w:p>
        </w:tc>
        <w:tc>
          <w:tcPr>
            <w:tcW w:w="24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Times New Roman" w:cs="Times New Roman" w:eastAsia="Times New Roman" w:hAnsi="Times New Roman"/>
                <w:sz w:val="20"/>
                <w:szCs w:val="20"/>
                <w:color w:val="auto"/>
              </w:rPr>
              <w:t>2.92</w:t>
            </w:r>
          </w:p>
        </w:tc>
      </w:tr>
      <w:tr>
        <w:trPr>
          <w:trHeight w:val="299"/>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Sharon Tetlow</w:t>
            </w:r>
            <w:r>
              <w:rPr>
                <w:rFonts w:ascii="Times New Roman" w:cs="Times New Roman" w:eastAsia="Times New Roman" w:hAnsi="Times New Roman"/>
                <w:sz w:val="25"/>
                <w:szCs w:val="25"/>
                <w:color w:val="auto"/>
                <w:vertAlign w:val="superscript"/>
              </w:rPr>
              <w:t>(11)</w:t>
            </w:r>
            <w:r>
              <w:rPr>
                <w:rFonts w:ascii="Times New Roman" w:cs="Times New Roman" w:eastAsia="Times New Roman" w:hAnsi="Times New Roman"/>
                <w:sz w:val="20"/>
                <w:szCs w:val="20"/>
                <w:color w:val="auto"/>
              </w:rPr>
              <w:t xml:space="preserve">  . . . . . . . . . . . . . . . . . . . . . . .</w:t>
            </w:r>
          </w:p>
        </w:tc>
        <w:tc>
          <w:tcPr>
            <w:tcW w:w="13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80,000</w:t>
            </w:r>
          </w:p>
        </w:tc>
        <w:tc>
          <w:tcPr>
            <w:tcW w:w="240" w:type="dxa"/>
            <w:vAlign w:val="bottom"/>
          </w:tcPr>
          <w:p>
            <w:pPr>
              <w:spacing w:after="0"/>
              <w:rPr>
                <w:sz w:val="24"/>
                <w:szCs w:val="24"/>
                <w:color w:val="auto"/>
              </w:rPr>
            </w:pPr>
          </w:p>
        </w:tc>
        <w:tc>
          <w:tcPr>
            <w:tcW w:w="14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26,666</w:t>
            </w:r>
          </w:p>
        </w:tc>
        <w:tc>
          <w:tcPr>
            <w:tcW w:w="24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Times New Roman" w:cs="Times New Roman" w:eastAsia="Times New Roman" w:hAnsi="Times New Roman"/>
                <w:sz w:val="20"/>
                <w:szCs w:val="20"/>
                <w:color w:val="auto"/>
              </w:rPr>
              <w:t>*</w:t>
            </w:r>
          </w:p>
        </w:tc>
      </w:tr>
      <w:tr>
        <w:trPr>
          <w:trHeight w:val="305"/>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Ted W. Love, M.D.</w:t>
            </w:r>
            <w:r>
              <w:rPr>
                <w:rFonts w:ascii="Times New Roman" w:cs="Times New Roman" w:eastAsia="Times New Roman" w:hAnsi="Times New Roman"/>
                <w:sz w:val="25"/>
                <w:szCs w:val="25"/>
                <w:color w:val="auto"/>
                <w:vertAlign w:val="superscript"/>
              </w:rPr>
              <w:t>(12)</w:t>
            </w:r>
            <w:r>
              <w:rPr>
                <w:rFonts w:ascii="Times New Roman" w:cs="Times New Roman" w:eastAsia="Times New Roman" w:hAnsi="Times New Roman"/>
                <w:sz w:val="20"/>
                <w:szCs w:val="20"/>
                <w:color w:val="auto"/>
              </w:rPr>
              <w:t xml:space="preserve">  . . . . . . . . . . . . . . . . . . . .</w:t>
            </w:r>
          </w:p>
        </w:tc>
        <w:tc>
          <w:tcPr>
            <w:tcW w:w="13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20,832</w:t>
            </w:r>
          </w:p>
        </w:tc>
        <w:tc>
          <w:tcPr>
            <w:tcW w:w="240" w:type="dxa"/>
            <w:vAlign w:val="bottom"/>
          </w:tcPr>
          <w:p>
            <w:pPr>
              <w:spacing w:after="0"/>
              <w:rPr>
                <w:sz w:val="24"/>
                <w:szCs w:val="24"/>
                <w:color w:val="auto"/>
              </w:rPr>
            </w:pPr>
          </w:p>
        </w:tc>
        <w:tc>
          <w:tcPr>
            <w:tcW w:w="14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6,944</w:t>
            </w:r>
          </w:p>
        </w:tc>
        <w:tc>
          <w:tcPr>
            <w:tcW w:w="24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executive officers and directors as a group</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05"/>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(11 persons)</w:t>
            </w: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20"/>
                <w:szCs w:val="20"/>
                <w:color w:val="auto"/>
              </w:rPr>
              <w:t xml:space="preserve">  . . . . . . . . . . . . . . . . . . . . . . .</w:t>
            </w:r>
          </w:p>
        </w:tc>
        <w:tc>
          <w:tcPr>
            <w:tcW w:w="138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13,583,227</w:t>
            </w:r>
          </w:p>
        </w:tc>
        <w:tc>
          <w:tcPr>
            <w:tcW w:w="240" w:type="dxa"/>
            <w:vAlign w:val="bottom"/>
          </w:tcPr>
          <w:p>
            <w:pPr>
              <w:spacing w:after="0"/>
              <w:rPr>
                <w:sz w:val="24"/>
                <w:szCs w:val="24"/>
                <w:color w:val="auto"/>
              </w:rPr>
            </w:pPr>
          </w:p>
        </w:tc>
        <w:tc>
          <w:tcPr>
            <w:tcW w:w="14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4,527,742</w:t>
            </w:r>
          </w:p>
        </w:tc>
        <w:tc>
          <w:tcPr>
            <w:tcW w:w="24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Times New Roman" w:cs="Times New Roman" w:eastAsia="Times New Roman" w:hAnsi="Times New Roman"/>
                <w:sz w:val="20"/>
                <w:szCs w:val="20"/>
                <w:color w:val="auto"/>
              </w:rPr>
              <w:t>9.43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105410</wp:posOffset>
                </wp:positionV>
                <wp:extent cx="136842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3pt" to="107.75pt,8.3pt" o:allowincell="f" strokecolor="#000000" strokeweight="0.499pt"/>
            </w:pict>
          </mc:Fallback>
        </mc:AlternateContent>
      </w:r>
    </w:p>
    <w:p>
      <w:pPr>
        <w:spacing w:after="0" w:line="270" w:lineRule="exact"/>
        <w:rPr>
          <w:sz w:val="20"/>
          <w:szCs w:val="20"/>
          <w:color w:val="auto"/>
        </w:rPr>
      </w:pPr>
    </w:p>
    <w:p>
      <w:pPr>
        <w:ind w:left="390" w:hanging="390"/>
        <w:spacing w:after="0"/>
        <w:tabs>
          <w:tab w:leader="none" w:pos="39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95" w:lineRule="exact"/>
        <w:rPr>
          <w:sz w:val="20"/>
          <w:szCs w:val="20"/>
          <w:color w:val="auto"/>
        </w:rPr>
      </w:pPr>
    </w:p>
    <w:p>
      <w:pPr>
        <w:jc w:val="both"/>
        <w:ind w:left="390" w:hanging="390"/>
        <w:spacing w:after="0" w:line="264" w:lineRule="auto"/>
        <w:tabs>
          <w:tab w:leader="none" w:pos="39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17,372,856 Ordinary Shares underlying ADSs held by FMR LLC (“FMR”) and indirectly held by Abigail P. Johnson.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and Abigail P. Johnson is 245 Summer Street, Boston, Massachusetts 02210. The foregoing information was obtained from a Schedule 13G filed on February 9, 2024.</w:t>
      </w:r>
    </w:p>
    <w:p>
      <w:pPr>
        <w:spacing w:after="0" w:line="54" w:lineRule="exact"/>
        <w:rPr>
          <w:rFonts w:ascii="Times New Roman" w:cs="Times New Roman" w:eastAsia="Times New Roman" w:hAnsi="Times New Roman"/>
          <w:sz w:val="16"/>
          <w:szCs w:val="16"/>
          <w:color w:val="auto"/>
        </w:rPr>
      </w:pPr>
    </w:p>
    <w:p>
      <w:pPr>
        <w:jc w:val="both"/>
        <w:ind w:left="390" w:hanging="390"/>
        <w:spacing w:after="0" w:line="265" w:lineRule="auto"/>
        <w:tabs>
          <w:tab w:leader="none" w:pos="39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13,116,978 Ordinary Shares beneficially owned by Wellington Management Group LLP, Wellington Group Holdings LLP, Wellington Investment Advisors Holdings LLP and Wellington Management Company LLP (collectively, the “Wellington Entities”). Wellington Management Group LLP, Wellington Group Holdings LLP and Wellington Investment Advisors Holdings LLP each have shared voting power with respect to 12,268,980 Ordinary Shares, and shared dispositive power with respect to 13,116,978 Ordinary Shares. Wellington Management Company LLP has shared voting power with respect to 12,207,726 Ordinary Shares and shared dispositive power with respect to 12,871,971 Ordinary Shares. The address of the Wellington Entities is c/o Wellington Management Company LLP, 280 Congress Street, Boston, MA 02210. The foregoing information was obtained from a Schedule 13G filed on February 8, 2024.</w:t>
      </w:r>
    </w:p>
    <w:p>
      <w:pPr>
        <w:spacing w:after="0" w:line="51" w:lineRule="exact"/>
        <w:rPr>
          <w:rFonts w:ascii="Times New Roman" w:cs="Times New Roman" w:eastAsia="Times New Roman" w:hAnsi="Times New Roman"/>
          <w:sz w:val="16"/>
          <w:szCs w:val="16"/>
          <w:color w:val="auto"/>
        </w:rPr>
      </w:pPr>
    </w:p>
    <w:p>
      <w:pPr>
        <w:jc w:val="both"/>
        <w:ind w:left="390" w:hanging="390"/>
        <w:spacing w:after="0" w:line="271" w:lineRule="auto"/>
        <w:tabs>
          <w:tab w:leader="none" w:pos="39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6,999,999 Ordinary Shares underlying ADSs held with sole voting and dispositive power by Avoro Capital Advisors LLC (“Avoro”) and indirectly held by Behzad Aghazadeh. Dr. Aghazadeh is the portfolio manager and controlling person of Avoro. The address of Avoro and Dr. Aghazadeh is 110 Greene Street, Suite 800, New York, NY 10012. The foregoing information was obtained from a Schedule 13G filed on February 14, 2024.</w:t>
      </w:r>
    </w:p>
    <w:p>
      <w:pPr>
        <w:sectPr>
          <w:pgSz w:w="11880" w:h="15480" w:orient="portrait"/>
          <w:cols w:equalWidth="0" w:num="1">
            <w:col w:w="9110"/>
          </w:cols>
          <w:pgMar w:left="1390" w:top="1023" w:right="1380" w:bottom="70" w:gutter="0" w:footer="0" w:header="0"/>
        </w:sectPr>
      </w:pPr>
    </w:p>
    <w:p>
      <w:pPr>
        <w:spacing w:after="0" w:line="39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110"/>
          </w:cols>
          <w:pgMar w:left="1390" w:top="1023" w:right="1380" w:bottom="70" w:gutter="0" w:footer="0" w:header="0"/>
          <w:type w:val="continuous"/>
        </w:sectPr>
      </w:pPr>
    </w:p>
    <w:bookmarkStart w:id="259" w:name="page260"/>
    <w:bookmarkEnd w:id="259"/>
    <w:p>
      <w:pPr>
        <w:jc w:val="both"/>
        <w:ind w:left="390" w:hanging="390"/>
        <w:spacing w:after="0" w:line="277" w:lineRule="auto"/>
        <w:tabs>
          <w:tab w:leader="none" w:pos="39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1,075,664 Ordinary Shares held by Dr. Stevens, (ii) 1,554,586 Ordinary Shares registered in the name of Raymond Stevens and Vivian Urena-Stevens, as Co-Trustees of the Stevens 2001 Revocable Trust, dated March 28, 2001 (the “Stevens Trust”) and (iii) 1,082,277 Ordinary Shares underlying options that are exercisable by Dr. Stevens within 60 days of April 19, 2024. Dr. Stevens is the trustee of the Stevens Trust and shares voting and investment control with respect to such shares.</w:t>
      </w:r>
    </w:p>
    <w:p>
      <w:pPr>
        <w:spacing w:after="0" w:line="44" w:lineRule="exact"/>
        <w:rPr>
          <w:rFonts w:ascii="Times New Roman" w:cs="Times New Roman" w:eastAsia="Times New Roman" w:hAnsi="Times New Roman"/>
          <w:sz w:val="16"/>
          <w:szCs w:val="16"/>
          <w:color w:val="auto"/>
        </w:rPr>
      </w:pPr>
    </w:p>
    <w:p>
      <w:pPr>
        <w:jc w:val="both"/>
        <w:ind w:left="390" w:hanging="390"/>
        <w:spacing w:after="0" w:line="277" w:lineRule="auto"/>
        <w:tabs>
          <w:tab w:leader="none" w:pos="39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1,065,464 Ordinary Shares held by Mr. Yoon, (ii) 1,554,586 Ordinary Shares registered in the name of Jun Sik Yoon and Hayung Yang Yoon, Trustees of The Yoon Family Trust, dated December 11, 2019 (the “Yoon Trust”) and (iii) 418,725 Ordinary Shares underlying options that are exercisable by Mr. Yoon within 60 days of April 19, 2024. Mr. Yoon is the trustee of the Yoon Trust and shares voting and investment control with respect to such shares.</w:t>
      </w:r>
    </w:p>
    <w:p>
      <w:pPr>
        <w:spacing w:after="0" w:line="44" w:lineRule="exact"/>
        <w:rPr>
          <w:rFonts w:ascii="Times New Roman" w:cs="Times New Roman" w:eastAsia="Times New Roman" w:hAnsi="Times New Roman"/>
          <w:sz w:val="16"/>
          <w:szCs w:val="16"/>
          <w:color w:val="auto"/>
        </w:rPr>
      </w:pPr>
    </w:p>
    <w:p>
      <w:pPr>
        <w:ind w:left="390" w:hanging="390"/>
        <w:spacing w:after="0" w:line="300" w:lineRule="auto"/>
        <w:tabs>
          <w:tab w:leader="none" w:pos="39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4,500 Ordinary Shares held by Dr. Bach and (ii) 424,065 Ordinary Shares underlying options that are exercisable by Dr. Bach within 60 days of April 19, 2024.</w:t>
      </w:r>
    </w:p>
    <w:p>
      <w:pPr>
        <w:spacing w:after="0" w:line="26" w:lineRule="exact"/>
        <w:rPr>
          <w:rFonts w:ascii="Times New Roman" w:cs="Times New Roman" w:eastAsia="Times New Roman" w:hAnsi="Times New Roman"/>
          <w:sz w:val="16"/>
          <w:szCs w:val="16"/>
          <w:color w:val="auto"/>
        </w:rPr>
      </w:pPr>
    </w:p>
    <w:p>
      <w:pPr>
        <w:jc w:val="both"/>
        <w:ind w:left="390" w:hanging="390"/>
        <w:spacing w:after="0" w:line="271" w:lineRule="auto"/>
        <w:tabs>
          <w:tab w:leader="none" w:pos="39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123,508 Ordinary Shares held in the name of Marie D. Welch Family Trust dated June 7, 2021 (the “Welch Family Trust”), (ii) 205,500 Ordinary Shares underlying options held by the Andrew J. Welch 2020 Irrevocable GST Trust, dated July 1, 2020 (the “Andrew Welch Trust”) that are exercisable within 60 days of April 19, 2024, (iii) 205,500 Ordinary Shares underlying options held by the Michael D. Welch 2020 Irrevocable GST Trust, dated July 1, 2020 (the “Michael Welch Trust”) that are exercisable within 60 days of April 19, 2024 and (iv) 768,122 Ordinary Shares underlying options held by Mr. Welch directly that are exercisable within 60 days of April 19, 2024. Mr. Welch is the trustee of the Welch Family Trust, the Andrew Welch Trust and the Michael Welch Trust and shares voting and investment control with respect to such shares.</w:t>
      </w:r>
    </w:p>
    <w:p>
      <w:pPr>
        <w:spacing w:after="0" w:line="50" w:lineRule="exact"/>
        <w:rPr>
          <w:rFonts w:ascii="Times New Roman" w:cs="Times New Roman" w:eastAsia="Times New Roman" w:hAnsi="Times New Roman"/>
          <w:sz w:val="16"/>
          <w:szCs w:val="16"/>
          <w:color w:val="auto"/>
        </w:rPr>
      </w:pPr>
    </w:p>
    <w:p>
      <w:pPr>
        <w:ind w:left="390" w:hanging="390"/>
        <w:spacing w:after="0"/>
        <w:tabs>
          <w:tab w:leader="none" w:pos="39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37,764 Ordinary Shares underlying options that are exercisable by Mr. Dobmeier within 60 days of April 19, 2024.</w:t>
      </w:r>
    </w:p>
    <w:p>
      <w:pPr>
        <w:spacing w:after="0" w:line="99" w:lineRule="exact"/>
        <w:rPr>
          <w:rFonts w:ascii="Times New Roman" w:cs="Times New Roman" w:eastAsia="Times New Roman" w:hAnsi="Times New Roman"/>
          <w:sz w:val="16"/>
          <w:szCs w:val="16"/>
          <w:color w:val="auto"/>
        </w:rPr>
      </w:pPr>
    </w:p>
    <w:p>
      <w:pPr>
        <w:ind w:left="390" w:hanging="390"/>
        <w:spacing w:after="0"/>
        <w:tabs>
          <w:tab w:leader="none" w:pos="39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37,764 Ordinary Shares underlying options that are exercisable by Dr. Waldstreicher within 60 days of April 19, 2024.</w:t>
      </w:r>
    </w:p>
    <w:p>
      <w:pPr>
        <w:spacing w:after="0" w:line="99" w:lineRule="exact"/>
        <w:rPr>
          <w:rFonts w:ascii="Times New Roman" w:cs="Times New Roman" w:eastAsia="Times New Roman" w:hAnsi="Times New Roman"/>
          <w:sz w:val="16"/>
          <w:szCs w:val="16"/>
          <w:color w:val="auto"/>
        </w:rPr>
      </w:pPr>
    </w:p>
    <w:p>
      <w:pPr>
        <w:jc w:val="both"/>
        <w:ind w:left="390" w:hanging="390"/>
        <w:spacing w:after="0" w:line="277" w:lineRule="auto"/>
        <w:tabs>
          <w:tab w:leader="none" w:pos="39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4,085,495 ordinary shares held by Schrödinger. Dr. Farid is the President, Chief Executive Officer and a member of the board of directors of Schrödinger and may be deemed to share voting and dispositive power over the shares held by Schrödinger. Dr. Farid disclaims beneficial ownership of the shares held by Schrödinger. The address of Schrödinger is 1540 Broadway, 24th Floor, New York, New York 10036.</w:t>
      </w:r>
    </w:p>
    <w:p>
      <w:pPr>
        <w:spacing w:after="0" w:line="44" w:lineRule="exact"/>
        <w:rPr>
          <w:rFonts w:ascii="Times New Roman" w:cs="Times New Roman" w:eastAsia="Times New Roman" w:hAnsi="Times New Roman"/>
          <w:sz w:val="16"/>
          <w:szCs w:val="16"/>
          <w:color w:val="auto"/>
        </w:rPr>
      </w:pPr>
    </w:p>
    <w:p>
      <w:pPr>
        <w:ind w:left="390" w:hanging="390"/>
        <w:spacing w:after="0"/>
        <w:tabs>
          <w:tab w:leader="none" w:pos="39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80,000 Ordinary Shares underlying options that are exercisable by Ms. Tetlow within 60 days of April 19, 2024.</w:t>
      </w:r>
    </w:p>
    <w:p>
      <w:pPr>
        <w:spacing w:after="0" w:line="99" w:lineRule="exact"/>
        <w:rPr>
          <w:rFonts w:ascii="Times New Roman" w:cs="Times New Roman" w:eastAsia="Times New Roman" w:hAnsi="Times New Roman"/>
          <w:sz w:val="16"/>
          <w:szCs w:val="16"/>
          <w:color w:val="auto"/>
        </w:rPr>
      </w:pPr>
    </w:p>
    <w:p>
      <w:pPr>
        <w:ind w:left="390" w:hanging="390"/>
        <w:spacing w:after="0"/>
        <w:tabs>
          <w:tab w:leader="none" w:pos="39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20,832 Ordinary Shares underlying options that are exercisable by Dr. Love within 60 days of April 19, 2024.</w:t>
      </w:r>
    </w:p>
    <w:p>
      <w:pPr>
        <w:spacing w:after="0" w:line="99" w:lineRule="exact"/>
        <w:rPr>
          <w:rFonts w:ascii="Times New Roman" w:cs="Times New Roman" w:eastAsia="Times New Roman" w:hAnsi="Times New Roman"/>
          <w:sz w:val="16"/>
          <w:szCs w:val="16"/>
          <w:color w:val="auto"/>
        </w:rPr>
      </w:pPr>
    </w:p>
    <w:p>
      <w:pPr>
        <w:jc w:val="both"/>
        <w:ind w:left="390" w:hanging="390"/>
        <w:spacing w:after="0" w:line="283" w:lineRule="auto"/>
        <w:tabs>
          <w:tab w:leader="none" w:pos="39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the shares described in footnotes (4) through (12) above and (ii) the following Ordinary Shares beneficially owned by our other current executive officers (which includes Dr. Lin and Dr. Ma) in the aggregate: 838,875 Ordinary Shares underlying options that are exercisable within 60 days of April 19, 2024.</w:t>
      </w:r>
    </w:p>
    <w:p>
      <w:pPr>
        <w:spacing w:after="0" w:line="20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CERTAIN RELATIONSHIPS AND RELATED PERSON TRANSACTIONS</w:t>
      </w:r>
    </w:p>
    <w:p>
      <w:pPr>
        <w:spacing w:after="0" w:line="2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Policies and Procedures for Related Person Transactions</w:t>
      </w:r>
    </w:p>
    <w:p>
      <w:pPr>
        <w:spacing w:after="0" w:line="171" w:lineRule="exact"/>
        <w:rPr>
          <w:sz w:val="20"/>
          <w:szCs w:val="20"/>
          <w:color w:val="auto"/>
        </w:rPr>
      </w:pPr>
    </w:p>
    <w:p>
      <w:pPr>
        <w:jc w:val="both"/>
        <w:ind w:left="10" w:firstLine="399"/>
        <w:spacing w:after="0" w:line="257" w:lineRule="auto"/>
        <w:rPr>
          <w:sz w:val="20"/>
          <w:szCs w:val="20"/>
          <w:color w:val="auto"/>
        </w:rPr>
      </w:pPr>
      <w:r>
        <w:rPr>
          <w:rFonts w:ascii="Times New Roman" w:cs="Times New Roman" w:eastAsia="Times New Roman" w:hAnsi="Times New Roman"/>
          <w:sz w:val="20"/>
          <w:szCs w:val="20"/>
          <w:color w:val="auto"/>
        </w:rPr>
        <w:t>In February 2023, our Board adopted our related person transaction policy which sets forth the policies and procedures for the identification, review and approval or ratification of related person transactions. This policy covers any transaction, arrangement or relationship (or any series of similar transactions, arrangements or relationships) or any proposed transaction, arrangement or relationship in which our company was or is to be a participant and the amount involved exceeds the lesser of $120,000 or one percent of the average of our company’s total assets at year-end for the last two completed fiscal years and in which any related person had or will have a direct or indirect material interest. In reviewing and approving any such transactions, the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Certain Related Person Transactions</w:t>
      </w:r>
    </w:p>
    <w:p>
      <w:pPr>
        <w:spacing w:after="0" w:line="171" w:lineRule="exact"/>
        <w:rPr>
          <w:sz w:val="20"/>
          <w:szCs w:val="20"/>
          <w:color w:val="auto"/>
        </w:rPr>
      </w:pPr>
    </w:p>
    <w:p>
      <w:pPr>
        <w:jc w:val="both"/>
        <w:ind w:left="10" w:firstLine="399"/>
        <w:spacing w:after="0" w:line="256" w:lineRule="auto"/>
        <w:rPr>
          <w:sz w:val="20"/>
          <w:szCs w:val="20"/>
          <w:color w:val="auto"/>
        </w:rPr>
      </w:pPr>
      <w:r>
        <w:rPr>
          <w:rFonts w:ascii="Times New Roman" w:cs="Times New Roman" w:eastAsia="Times New Roman" w:hAnsi="Times New Roman"/>
          <w:sz w:val="20"/>
          <w:szCs w:val="20"/>
          <w:color w:val="auto"/>
        </w:rPr>
        <w:t>The following includes a summary of transactions since January 1, 2022 to which we have been a party, in which the amount involved in the transaction exceeded the lesser of $120,000 or one percent of the average of our total assets at year end for the last two completed fiscal years,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“Non-employee Director Compensation.”</w:t>
      </w:r>
    </w:p>
    <w:p>
      <w:pPr>
        <w:sectPr>
          <w:pgSz w:w="11880" w:h="15480" w:orient="portrait"/>
          <w:cols w:equalWidth="0" w:num="1">
            <w:col w:w="9110"/>
          </w:cols>
          <w:pgMar w:left="1390" w:top="1023" w:right="1380" w:bottom="69" w:gutter="0" w:footer="0" w:header="0"/>
        </w:sectPr>
      </w:pPr>
    </w:p>
    <w:p>
      <w:pPr>
        <w:spacing w:after="0" w:line="28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110"/>
          </w:cols>
          <w:pgMar w:left="1390" w:top="1023" w:right="1380" w:bottom="69" w:gutter="0" w:footer="0" w:header="0"/>
          <w:type w:val="continuous"/>
        </w:sectPr>
      </w:pPr>
    </w:p>
    <w:bookmarkStart w:id="260" w:name="page261"/>
    <w:bookmarkEnd w:id="260"/>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Series B Convertible Preferred Share Financing</w:t>
      </w:r>
    </w:p>
    <w:p>
      <w:pPr>
        <w:spacing w:after="0" w:line="168" w:lineRule="exact"/>
        <w:rPr>
          <w:sz w:val="20"/>
          <w:szCs w:val="20"/>
          <w:color w:val="auto"/>
        </w:rPr>
      </w:pPr>
    </w:p>
    <w:p>
      <w:pPr>
        <w:jc w:val="both"/>
        <w:ind w:left="10" w:firstLine="399"/>
        <w:spacing w:after="0" w:line="262" w:lineRule="auto"/>
        <w:rPr>
          <w:sz w:val="20"/>
          <w:szCs w:val="20"/>
          <w:color w:val="auto"/>
        </w:rPr>
      </w:pPr>
      <w:r>
        <w:rPr>
          <w:rFonts w:ascii="Times New Roman" w:cs="Times New Roman" w:eastAsia="Times New Roman" w:hAnsi="Times New Roman"/>
          <w:sz w:val="20"/>
          <w:szCs w:val="20"/>
          <w:color w:val="auto"/>
        </w:rPr>
        <w:t>In a series of closings in July 2021 and April 2022, we entered into a Series B preferred share purchase agreement with various investors, pursuant to which we issued and sold an aggregate of 32,857,004 shares of our Series B convertible preferred shares at a price per share of $4.0483 for gross proceeds of $133.0 million.</w:t>
      </w:r>
    </w:p>
    <w:p>
      <w:pPr>
        <w:spacing w:after="0" w:line="113" w:lineRule="exact"/>
        <w:rPr>
          <w:sz w:val="20"/>
          <w:szCs w:val="20"/>
          <w:color w:val="auto"/>
        </w:rPr>
      </w:pPr>
    </w:p>
    <w:p>
      <w:pPr>
        <w:jc w:val="both"/>
        <w:ind w:left="10" w:firstLine="399"/>
        <w:spacing w:after="0" w:line="254" w:lineRule="auto"/>
        <w:rPr>
          <w:sz w:val="20"/>
          <w:szCs w:val="20"/>
          <w:color w:val="auto"/>
        </w:rPr>
      </w:pPr>
      <w:r>
        <w:rPr>
          <w:rFonts w:ascii="Times New Roman" w:cs="Times New Roman" w:eastAsia="Times New Roman" w:hAnsi="Times New Roman"/>
          <w:sz w:val="20"/>
          <w:szCs w:val="20"/>
          <w:color w:val="auto"/>
        </w:rPr>
        <w:t>The table below sets forth the number of shares of our Series B convertible preferred shares purchased by our executive officers, directors, holders of more than 5% of our issued share capital at the time of the transaction and their affiliated entities or immediate family members. Each Series B preferred share in the table below automatically converted into and was re-designated as one Ordinary Share immediately upon the closing of our IPO.</w:t>
      </w:r>
    </w:p>
    <w:p>
      <w:pPr>
        <w:spacing w:after="0" w:line="116" w:lineRule="exact"/>
        <w:rPr>
          <w:sz w:val="20"/>
          <w:szCs w:val="20"/>
          <w:color w:val="auto"/>
        </w:rPr>
      </w:pPr>
    </w:p>
    <w:tbl>
      <w:tblPr>
        <w:tblLayout w:type="fixed"/>
        <w:tblInd w:w="39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Series B Convertible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Aggregate</w:t>
            </w:r>
          </w:p>
        </w:tc>
      </w:tr>
      <w:tr>
        <w:trPr>
          <w:trHeight w:val="202"/>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Preferred Share (#)</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Purchase Price ($)</w:t>
            </w:r>
          </w:p>
        </w:tc>
      </w:tr>
      <w:tr>
        <w:trPr>
          <w:trHeight w:val="30"/>
        </w:trPr>
        <w:tc>
          <w:tcPr>
            <w:tcW w:w="5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2"/>
        </w:trPr>
        <w:tc>
          <w:tcPr>
            <w:tcW w:w="5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Greater than 5% shareholders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26"/>
        </w:trPr>
        <w:tc>
          <w:tcPr>
            <w:tcW w:w="5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Entities affiliated with BVF Partners L.P.</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4,940,345</w:t>
            </w:r>
          </w:p>
        </w:tc>
        <w:tc>
          <w:tcPr>
            <w:tcW w:w="2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19,999,999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102870</wp:posOffset>
                </wp:positionV>
                <wp:extent cx="136842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1pt" to="107.75pt,8.1pt" o:allowincell="f" strokecolor="#000000" strokeweight="0.499pt"/>
            </w:pict>
          </mc:Fallback>
        </mc:AlternateContent>
      </w:r>
    </w:p>
    <w:p>
      <w:pPr>
        <w:spacing w:after="0" w:line="262" w:lineRule="exact"/>
        <w:rPr>
          <w:sz w:val="20"/>
          <w:szCs w:val="20"/>
          <w:color w:val="auto"/>
        </w:rPr>
      </w:pPr>
    </w:p>
    <w:p>
      <w:pPr>
        <w:ind w:left="390" w:hanging="390"/>
        <w:spacing w:after="0"/>
        <w:tabs>
          <w:tab w:leader="none" w:pos="39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Jessica Lifton, who resigned from our Board upon the closing of our IPO in February 2023, is a Principal at BVF Partners.</w:t>
      </w:r>
    </w:p>
    <w:p>
      <w:pPr>
        <w:spacing w:after="0" w:line="2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Investors’ Rights Agreement</w:t>
      </w:r>
    </w:p>
    <w:p>
      <w:pPr>
        <w:spacing w:after="0" w:line="168" w:lineRule="exact"/>
        <w:rPr>
          <w:sz w:val="20"/>
          <w:szCs w:val="20"/>
          <w:color w:val="auto"/>
        </w:rPr>
      </w:pPr>
    </w:p>
    <w:p>
      <w:pPr>
        <w:jc w:val="both"/>
        <w:ind w:left="10" w:firstLine="399"/>
        <w:spacing w:after="0" w:line="254" w:lineRule="auto"/>
        <w:rPr>
          <w:sz w:val="20"/>
          <w:szCs w:val="20"/>
          <w:color w:val="auto"/>
        </w:rPr>
      </w:pPr>
      <w:r>
        <w:rPr>
          <w:rFonts w:ascii="Times New Roman" w:cs="Times New Roman" w:eastAsia="Times New Roman" w:hAnsi="Times New Roman"/>
          <w:sz w:val="20"/>
          <w:szCs w:val="20"/>
          <w:color w:val="auto"/>
        </w:rPr>
        <w:t>In connection with our convertible preferred share financings, we entered into investors’ rights, voting and right of first refusal and co-sale agreements containing registration rights, information rights, rights of first offer, voting rights and rights of first refusal, among other things, with certain holders of our shares. Our executive officers and directors, including former directors, who are parties to these agreements or who are related to parties to these agreements are Dr. Stevens, Mr. Yoon, Dr. Farid and Ms. Lifton.</w:t>
      </w:r>
    </w:p>
    <w:p>
      <w:pPr>
        <w:spacing w:after="0" w:line="120" w:lineRule="exact"/>
        <w:rPr>
          <w:sz w:val="20"/>
          <w:szCs w:val="20"/>
          <w:color w:val="auto"/>
        </w:rPr>
      </w:pPr>
    </w:p>
    <w:p>
      <w:pPr>
        <w:jc w:val="both"/>
        <w:ind w:left="10" w:firstLine="399"/>
        <w:spacing w:after="0" w:line="252" w:lineRule="auto"/>
        <w:rPr>
          <w:sz w:val="20"/>
          <w:szCs w:val="20"/>
          <w:color w:val="auto"/>
        </w:rPr>
      </w:pPr>
      <w:r>
        <w:rPr>
          <w:rFonts w:ascii="Times New Roman" w:cs="Times New Roman" w:eastAsia="Times New Roman" w:hAnsi="Times New Roman"/>
          <w:sz w:val="20"/>
          <w:szCs w:val="20"/>
          <w:color w:val="auto"/>
        </w:rPr>
        <w:t>These shareholder agreements terminated upon the closing of our IPO, except for the registration rights granted under our investors’ rights agreement, which will terminate upon the earliest of (i) the closing of a liquidation event; (ii) the fifth year anniversary of the consummation of an initial public offering; and (iii) at such time, following an initial public offering, when all registrable securities held by each shareholder can be sold without limitation and without registration in compliance with pursuant to Rule 144 of the Securities Act, or Rule 144.</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Agreements with Schrödinger, Inc.</w:t>
      </w:r>
    </w:p>
    <w:p>
      <w:pPr>
        <w:spacing w:after="0" w:line="168" w:lineRule="exact"/>
        <w:rPr>
          <w:sz w:val="20"/>
          <w:szCs w:val="20"/>
          <w:color w:val="auto"/>
        </w:rPr>
      </w:pPr>
    </w:p>
    <w:p>
      <w:pPr>
        <w:jc w:val="both"/>
        <w:ind w:left="10" w:firstLine="399"/>
        <w:spacing w:after="0" w:line="252" w:lineRule="auto"/>
        <w:rPr>
          <w:sz w:val="20"/>
          <w:szCs w:val="20"/>
          <w:color w:val="auto"/>
        </w:rPr>
      </w:pPr>
      <w:r>
        <w:rPr>
          <w:rFonts w:ascii="Times New Roman" w:cs="Times New Roman" w:eastAsia="Times New Roman" w:hAnsi="Times New Roman"/>
          <w:sz w:val="20"/>
          <w:szCs w:val="20"/>
          <w:color w:val="auto"/>
        </w:rPr>
        <w:t>Dr. Farid, a member of our Board, is the President, Chief Executive Officer and a member of the board of directors of Schrödinger, which is one of the Company’s shareholders. During the years ended December 31, 2023 and 2022, the Company had existing collaboration agreements to use the results provided by Schrödinger’s software platform for its research purposes. During the years ended December 31, 2023 and 2022, the Company paid $0.3 million and $0.2 million to Schrödinger, respectively, and had $0.5 million and $0 payable balance to Schrödinger as of December 31, 2023 and 2022, respectively.</w:t>
      </w:r>
    </w:p>
    <w:p>
      <w:pPr>
        <w:spacing w:after="0" w:line="20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auto"/>
        </w:rPr>
        <w:t>Lhotse Collaboration Agreement with Schrödinger</w:t>
      </w:r>
    </w:p>
    <w:p>
      <w:pPr>
        <w:spacing w:after="0" w:line="165" w:lineRule="exact"/>
        <w:rPr>
          <w:sz w:val="20"/>
          <w:szCs w:val="20"/>
          <w:color w:val="auto"/>
        </w:rPr>
      </w:pPr>
    </w:p>
    <w:p>
      <w:pPr>
        <w:jc w:val="both"/>
        <w:ind w:left="10" w:firstLine="399"/>
        <w:spacing w:after="0" w:line="249" w:lineRule="auto"/>
        <w:rPr>
          <w:sz w:val="20"/>
          <w:szCs w:val="20"/>
          <w:color w:val="auto"/>
        </w:rPr>
      </w:pPr>
      <w:r>
        <w:rPr>
          <w:rFonts w:ascii="Times New Roman" w:cs="Times New Roman" w:eastAsia="Times New Roman" w:hAnsi="Times New Roman"/>
          <w:sz w:val="20"/>
          <w:szCs w:val="20"/>
          <w:color w:val="auto"/>
        </w:rPr>
        <w:t>In October 2020, Lhotse Bio, Inc., our wholly-owned subsidiary (“Lhotse”), entered into a Collaboration Agreement (the “Lhotse-Schrödinger Agreement”) with Schrödinger to discover and develop novel, orally bioavailable, small molecule inhibitors of lysophosphatidic acid 1 receptor (“LPA1R”). Under the Lhotse-Schrödinger Agreement, Schrödinger is obligated to provide computational modeling and design support, including by using its technology platform to perform virtual screens, and Lhotse is obligated to provide day-to-day chemistry and biology support. Pursuant to the Lhotse-Schrödinger Agreement, a joint steering committee comprised of representatives from both parties oversees the research performed under the agreement. During the term of the Lhotse-Schrödinger Agreement and for a specified period thereafter while Lhotse is engaged in active development of any compound having activity against LPA1R that is discovered or developed under the Lhotse-Schrödinger Agreement, Schrödinger is obligated to work exclusively with Lhotse on the design, research, development and commercialization of compounds that inhibit LPA1R. Lhotse will solely own the research results, work product, inventions and other intellectual property generated under the Lhotse-Schrödinger Agreement that are directed to LPA1R.</w:t>
      </w:r>
    </w:p>
    <w:p>
      <w:pPr>
        <w:sectPr>
          <w:pgSz w:w="11880" w:h="15480" w:orient="portrait"/>
          <w:cols w:equalWidth="0" w:num="1">
            <w:col w:w="9110"/>
          </w:cols>
          <w:pgMar w:left="1390" w:top="1026" w:right="1380" w:bottom="70" w:gutter="0" w:footer="0" w:header="0"/>
        </w:sectPr>
      </w:pPr>
    </w:p>
    <w:p>
      <w:pPr>
        <w:spacing w:after="0" w:line="28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110"/>
          </w:cols>
          <w:pgMar w:left="1390" w:top="1026" w:right="1380" w:bottom="70" w:gutter="0" w:footer="0" w:header="0"/>
          <w:type w:val="continuous"/>
        </w:sectPr>
      </w:pPr>
    </w:p>
    <w:bookmarkStart w:id="261" w:name="page262"/>
    <w:bookmarkEnd w:id="261"/>
    <w:p>
      <w:pPr>
        <w:jc w:val="both"/>
        <w:ind w:firstLine="399"/>
        <w:spacing w:after="0" w:line="246" w:lineRule="auto"/>
        <w:rPr>
          <w:sz w:val="20"/>
          <w:szCs w:val="20"/>
          <w:color w:val="auto"/>
        </w:rPr>
      </w:pPr>
      <w:r>
        <w:rPr>
          <w:rFonts w:ascii="Times New Roman" w:cs="Times New Roman" w:eastAsia="Times New Roman" w:hAnsi="Times New Roman"/>
          <w:sz w:val="20"/>
          <w:szCs w:val="20"/>
          <w:color w:val="auto"/>
        </w:rPr>
        <w:t>Under the Lhotse-Schrödinger Agreement, Lhotse is obligated to pay Schrödinger a quarterly active program payment in the low six digits for each successive three-month period during which Schrödinger continues to perform research work as agreed by the parties, and as of December 31, 2023, the Company has paid to Schrödinger an aggregate of $0.8 million. If Lhotse develops and commercializes a product containing a compound (a “Lhotse Collaboration Compound”), that is discovered or developed under the Lhotse-Schrödinger Agreement (a “Lhotse Collaboration Product”), Lhotse is obligated to pay Schrödinger development and regulatory milestone payments of up to an aggregate of $17.0 million, regardless of the number of Lhotse Collaboration Products that reach such milestones. Lhotse will also be obligated to pay Schrödinger tiered royalties on a Lhotse Collaboration Product-by-Lhotse Collaboration Product basis equal to low single digit percentages on aggregate worldwide net sales of Lhotse Collaboration Products, subject to specified reductions and offsets. Lhotse’s obligation to pay royalties to Schrödinger will expire on a Lhotse Collaboration Product-by-Lhotse Collaboration Product and country-by-country basis on the later of (i) the expiration of the last-to-expire Lhotse patent claim covering the composition of matter of the Lhotse Collaboration Compound contained in such Lhotse Collaboration Product in such country, (ii) the expiration of regulatory, pediatric, orphan drug, or data exclusivity with respect to such Lhotse Collaboration Product in such country, and (iii) ten years after the first commercial sale of such Lhotse Collaboration Product in such country (the “Lhotse Royalty Term”).</w:t>
      </w:r>
    </w:p>
    <w:p>
      <w:pPr>
        <w:spacing w:after="0" w:line="371"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20"/>
          <w:szCs w:val="20"/>
          <w:color w:val="auto"/>
        </w:rPr>
        <w:t>Unless terminated earlier, the Lhotse-Schrödinger Agreement will continue for three years, subject to extension by mutual written agreement of the parties. Either party may terminate the Lhotse-Schrödinger Agreement for the other party’s uncured material breach, subject to certain notice and cure periods, or for the other party’s bankruptcy or insolvency. Lhotse’s obligation to make milestone and royalty payments (subject to the Lhotse Royalty Term) to Schrödinger continues after the expiration or termination of the Lhotse-Schrödinger Agreement. As of December 31, 2023, no milestone or royalty payments have been paid or accrued under this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Aconcagua Collaboration Agreement with Schrödinger</w:t>
      </w:r>
    </w:p>
    <w:p>
      <w:pPr>
        <w:spacing w:after="0" w:line="165"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20"/>
          <w:szCs w:val="20"/>
          <w:color w:val="auto"/>
        </w:rPr>
        <w:t>In November 2023, Aconcagua Bio, Inc., our wholly-owned subsidiary (“Aconcagua”), entered into a collaboration agreement (the “Aconcagua-Schrödinger Agreement”) with Schrödinger to discover and develop novel, small molecule modulators of a specific target. Under the Aconcagua-Schrödinger Agreement, Schrödinger is obligated to provide computational modeling and design support, including by using its technology platform to perform virtual screens, and Aconcagua is obligated to provide day-to-day chemistry and biology support. Pursuant to the Aconcagua-Schrödinger Agreement, a joint steering committee comprised of representatives from both parties oversees the research performed under the agreement.</w:t>
      </w:r>
    </w:p>
    <w:p>
      <w:pPr>
        <w:spacing w:after="0" w:line="124"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20"/>
          <w:szCs w:val="20"/>
          <w:color w:val="auto"/>
        </w:rPr>
        <w:t>During the term of the Aconcagua-Schrödinger Agreement or if longer, for a specified number of years after the effective date of the Aconcagua-Schrödinger Agreement, Schrödinger is obligated, subject to certain exceptions, to work exclusively with Aconcagua on the design, research, development and commercialization of compounds that inhibit the target. Aconcagua will solely own the research results, work product, inventions and other intellectual property generated under the Aconcagua-Schrödinger Agreement other than improvements to Schrödinger’s background intellectual property.</w:t>
      </w:r>
    </w:p>
    <w:p>
      <w:pPr>
        <w:spacing w:after="0" w:line="124"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20"/>
          <w:szCs w:val="20"/>
          <w:color w:val="auto"/>
        </w:rPr>
        <w:t>During the term of the Aconcagua-Schrödinger Agreement, Aconcagua is obligated to pay Schrödinger a monthly active program payment in the low six digits, which payment includes fees payable for certain Schrödinger software employed in the Collaboration, and as of December 31, 2023, the Company has paid to Schrödinger an aggregate of $0.3 million.</w:t>
      </w:r>
    </w:p>
    <w:p>
      <w:pPr>
        <w:spacing w:after="0" w:line="11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20"/>
          <w:szCs w:val="20"/>
          <w:color w:val="auto"/>
        </w:rPr>
        <w:t>If Aconcagua develops and commercializes a product containing a compound (“Aconcagua Collaboration Compound”) that is discovered or developed under the Aconcagua-Schrödinger Agreement or a derivative thereof (“Aconcagua Collaboration Product”), Aconcagua is obligated to pay Schrödinger development, regulatory and commercialization milestone payments of up to an aggregate of $89.0 million for the first Aconcagua Collaboration Product to achieve a particular milestone event, regardless of the number of Aconcagua Collaboration Products that reach such milestones. Aconcagua will also be obligated to pay Schrödinger tiered royalties in the low single digit range on aggregate worldwide net sales of all Aconcagua Collaboration Products, subject to specified reductions and offsets. Aconcagua’s obligation to pay royalties to Schrödinger will expire on a Aconcagua Collaboration Product-by-Aconcagua Collaboration Product and country-by-country basis on the later of (i) the expiration of the last-to-expire Aconcagua owned</w:t>
      </w:r>
    </w:p>
    <w:p>
      <w:pPr>
        <w:sectPr>
          <w:pgSz w:w="11880" w:h="15480" w:orient="portrait"/>
          <w:cols w:equalWidth="0" w:num="1">
            <w:col w:w="9100"/>
          </w:cols>
          <w:pgMar w:left="1400" w:top="1025" w:right="1380" w:bottom="71" w:gutter="0" w:footer="0" w:header="0"/>
        </w:sect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100"/>
          </w:cols>
          <w:pgMar w:left="1400" w:top="1025" w:right="1380" w:bottom="71" w:gutter="0" w:footer="0" w:header="0"/>
          <w:type w:val="continuous"/>
        </w:sectPr>
      </w:pPr>
    </w:p>
    <w:bookmarkStart w:id="262" w:name="page263"/>
    <w:bookmarkEnd w:id="262"/>
    <w:p>
      <w:pPr>
        <w:jc w:val="both"/>
        <w:spacing w:after="0" w:line="264" w:lineRule="auto"/>
        <w:rPr>
          <w:sz w:val="20"/>
          <w:szCs w:val="20"/>
          <w:color w:val="auto"/>
        </w:rPr>
      </w:pPr>
      <w:r>
        <w:rPr>
          <w:rFonts w:ascii="Times New Roman" w:cs="Times New Roman" w:eastAsia="Times New Roman" w:hAnsi="Times New Roman"/>
          <w:sz w:val="20"/>
          <w:szCs w:val="20"/>
          <w:color w:val="auto"/>
        </w:rPr>
        <w:t>patent claim covering the composition of matter of the Aconcagua Collaboration Compound contained in such Aconcagua Collaboration Product in such country and (ii) ten years after the first commercial sale of such Aconcagua Collaboration Product in such country (“Aconcagua Royalty Term”).</w:t>
      </w:r>
    </w:p>
    <w:p>
      <w:pPr>
        <w:spacing w:after="0" w:line="113"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20"/>
          <w:szCs w:val="20"/>
          <w:color w:val="auto"/>
        </w:rPr>
        <w:t>Unless terminated earlier, the Aconcagua-Schrödinger Agreement will continue for three years, subject to extension by mutual written agreement of the parties. Either party may terminate the Aconcagua-Schrödinger Agreement for convenience after a specified period or for the other party’s uncured material breach. Aconcagua’s obligation to make milestone and royalty payments (subject to the Aconcagua Royalty Term) to Schrödinger continues after the expiration or termination of the Aconcagua-Schrödinger Agreement, unless the Aconcagua-Schrödinger Agreement is terminated under specified circumstances. As of December 31, 2023, no milestone or royalty payments have been paid or accrued under this agreement.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BVF Share Exchange</w:t>
      </w:r>
    </w:p>
    <w:p>
      <w:pPr>
        <w:spacing w:after="0" w:line="168"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20"/>
          <w:szCs w:val="20"/>
          <w:color w:val="auto"/>
        </w:rPr>
        <w:t>In May 2023, we entered into an exchange agreement with BVF, who at the time of the transaction in the aggregate held more than 5% of our issued share capital, pursuant to which BVF delivered to us a total of 7,410,518 Ordinary Shares, in exchange for 7,410,518 newly designated non-voting Ordinary Shares (the “Exchange”). The Exchange did not result in any change in the aggregate number of outstanding Ordinary Shares as the exchange was implemented on a one-for-one basis.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Private Placement Transaction</w:t>
      </w:r>
    </w:p>
    <w:p>
      <w:pPr>
        <w:spacing w:after="0" w:line="168"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In September 2023, we entered into a share purchase agreement (the “Purchase Agreement”) with certain institutional investors to sell and issue Ordinary Shares and newly designated non-voting Ordinary Shares at a purchase price of $12.49 per share (or the equivalent of $37.47 per ADS), for aggregate gross proceeds of approximately $300 million.</w:t>
      </w:r>
    </w:p>
    <w:p>
      <w:pPr>
        <w:spacing w:after="0" w:line="11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20"/>
          <w:szCs w:val="20"/>
          <w:color w:val="auto"/>
        </w:rPr>
        <w:t>The table below sets forth the number of Ordinary Shares and non-voting Ordinary Shares issued to holders of greater than 5% of our issued share capital at the time of the transaction pursuant to the Purchase Agreement.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Ordinary</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Non-Voting</w:t>
            </w:r>
          </w:p>
        </w:tc>
        <w:tc>
          <w:tcPr>
            <w:tcW w:w="1240" w:type="dxa"/>
            <w:vAlign w:val="bottom"/>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2"/>
        </w:trPr>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Shares (#)</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Ordinary Shares (#)</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Purchase Price ($)</w:t>
            </w:r>
          </w:p>
        </w:tc>
      </w:tr>
      <w:tr>
        <w:trPr>
          <w:trHeight w:val="30"/>
        </w:trPr>
        <w:tc>
          <w:tcPr>
            <w:tcW w:w="5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2"/>
        </w:trPr>
        <w:tc>
          <w:tcPr>
            <w:tcW w:w="5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Greater than 5% shareholders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1"/>
        </w:trPr>
        <w:tc>
          <w:tcPr>
            <w:tcW w:w="5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Entities affiliated with Avoro Capital Advisors LLC . . . . .</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1,601,280</w:t>
            </w: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19,999,987.20</w:t>
            </w:r>
          </w:p>
        </w:tc>
      </w:tr>
      <w:tr>
        <w:trPr>
          <w:trHeight w:val="299"/>
        </w:trPr>
        <w:tc>
          <w:tcPr>
            <w:tcW w:w="5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Entities affiliated with FMR LLC  . . . . . . . . . . . . . . . . .</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1,951,600</w:t>
            </w: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24,999,984.00</w:t>
            </w:r>
          </w:p>
        </w:tc>
      </w:tr>
      <w:tr>
        <w:trPr>
          <w:trHeight w:val="276"/>
        </w:trPr>
        <w:tc>
          <w:tcPr>
            <w:tcW w:w="5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Entities affiliated with Wellington Management Group</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2"/>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LLP . . . . . . . . . . . . . . . . . . . . . . . . . . . . . . . . . . . .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160,128</w:t>
            </w:r>
          </w:p>
        </w:tc>
        <w:tc>
          <w:tcPr>
            <w:tcW w:w="240" w:type="dxa"/>
            <w:vAlign w:val="bottom"/>
          </w:tcPr>
          <w:p>
            <w:pPr>
              <w:spacing w:after="0"/>
              <w:rPr>
                <w:sz w:val="22"/>
                <w:szCs w:val="22"/>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1,999,998.72</w:t>
            </w:r>
          </w:p>
        </w:tc>
      </w:tr>
      <w:tr>
        <w:trPr>
          <w:trHeight w:val="299"/>
        </w:trPr>
        <w:tc>
          <w:tcPr>
            <w:tcW w:w="5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Entities affiliated with BVF Partners L.P.  . . . . . . . . . . . .</w:t>
            </w: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67"/>
              <w:spacing w:after="0"/>
              <w:rPr>
                <w:sz w:val="20"/>
                <w:szCs w:val="20"/>
                <w:color w:val="auto"/>
              </w:rPr>
            </w:pPr>
            <w:r>
              <w:rPr>
                <w:rFonts w:ascii="Times New Roman" w:cs="Times New Roman" w:eastAsia="Times New Roman" w:hAnsi="Times New Roman"/>
                <w:sz w:val="20"/>
                <w:szCs w:val="20"/>
                <w:color w:val="auto"/>
              </w:rPr>
              <w:t>2,401,920</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29,999,980.80</w:t>
            </w:r>
          </w:p>
        </w:tc>
      </w:tr>
    </w:tbl>
    <w:p>
      <w:pPr>
        <w:spacing w:after="0" w:line="196"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20"/>
          <w:szCs w:val="20"/>
          <w:color w:val="auto"/>
        </w:rPr>
        <w:t>As of December 31, 2023, all outstanding non-voting Ordinary Shares were converted into 9,812,438 Ordinary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Agreements with our Executive Officers and Directors</w:t>
      </w:r>
    </w:p>
    <w:p>
      <w:pPr>
        <w:spacing w:after="0" w:line="168"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20"/>
          <w:szCs w:val="20"/>
          <w:color w:val="auto"/>
        </w:rPr>
        <w:t>We have entered into employment agreements with our executive officers and director compensation agreements with our non-executive directors. These agreements contain customary provisions and representations, including confidentiality, non-competition and non-solicitation undertakings by the executive officers. However, the enforceability of the non-competition provisions may be limited under applicable law.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w:t>
      </w:r>
    </w:p>
    <w:p>
      <w:pPr>
        <w:spacing w:after="0" w:line="168"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20"/>
          <w:szCs w:val="20"/>
          <w:color w:val="auto"/>
        </w:rPr>
        <w:t>We have entered into, and intends to continue to enter into, separate indemnification agreements with our directors and executive officers. These indemnification agreements provide our directors and executive officers with contractual rights to indemnification and, in some cases, expense advancement in any action or proceeding arising out of their services as one of our directors or executive officers or as a director or executive officer of any other company or enterprise to which the person provides services at our request.</w:t>
      </w:r>
    </w:p>
    <w:p>
      <w:pPr>
        <w:sectPr>
          <w:pgSz w:w="11880" w:h="15480" w:orient="portrait"/>
          <w:cols w:equalWidth="0" w:num="1">
            <w:col w:w="9100"/>
          </w:cols>
          <w:pgMar w:left="1400" w:top="1025" w:right="1380" w:bottom="70" w:gutter="0" w:footer="0" w:header="0"/>
        </w:sect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100"/>
          </w:cols>
          <w:pgMar w:left="1400" w:top="1025" w:right="1380" w:bottom="70" w:gutter="0" w:footer="0" w:header="0"/>
          <w:type w:val="continuous"/>
        </w:sectPr>
      </w:pPr>
    </w:p>
    <w:bookmarkStart w:id="263" w:name="page264"/>
    <w:bookmarkEnd w:id="263"/>
    <w:p>
      <w:pPr>
        <w:jc w:val="center"/>
        <w:spacing w:after="0"/>
        <w:rPr>
          <w:sz w:val="20"/>
          <w:szCs w:val="20"/>
          <w:color w:val="auto"/>
        </w:rPr>
      </w:pPr>
      <w:r>
        <w:rPr>
          <w:rFonts w:ascii="Times New Roman" w:cs="Times New Roman" w:eastAsia="Times New Roman" w:hAnsi="Times New Roman"/>
          <w:sz w:val="20"/>
          <w:szCs w:val="20"/>
          <w:b w:val="1"/>
          <w:bCs w:val="1"/>
          <w:color w:val="auto"/>
        </w:rPr>
        <w:t>OTHER INFORMATION FOR SHAREHOLDERS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 Proposals for the 2025 Annual General Meeting of Shareholders</w:t>
      </w:r>
    </w:p>
    <w:p>
      <w:pPr>
        <w:spacing w:after="0" w:line="171" w:lineRule="exact"/>
        <w:rPr>
          <w:sz w:val="20"/>
          <w:szCs w:val="20"/>
          <w:color w:val="auto"/>
        </w:rPr>
      </w:pPr>
    </w:p>
    <w:p>
      <w:pPr>
        <w:jc w:val="both"/>
        <w:ind w:firstLine="399"/>
        <w:spacing w:after="0" w:line="247" w:lineRule="auto"/>
        <w:rPr>
          <w:sz w:val="20"/>
          <w:szCs w:val="20"/>
          <w:color w:val="auto"/>
        </w:rPr>
      </w:pPr>
      <w:r>
        <w:rPr>
          <w:rFonts w:ascii="Times New Roman" w:cs="Times New Roman" w:eastAsia="Times New Roman" w:hAnsi="Times New Roman"/>
          <w:sz w:val="20"/>
          <w:szCs w:val="20"/>
          <w:color w:val="auto"/>
        </w:rPr>
        <w:t>The Cayman Islands Companies Act provides shareholders with only limited rights to requisition a general meeting and does not provide shareholders with a right to put any proposal before a general meeting. However, these rights may be provided in a company’s articles of association. Our memorandum and articles of association allow our shareholders holding in aggregate not less than one-third of all votes attaching to all of our issued and outstanding shares and entitled to vote at general meetings to requisition an extraordinary general meeting of our shareholders, in which case the Board may duly convene an extraordinary general meeting and submit the resolutions put forward to a vote at such meeting. As a Cayman Islands exempted company, we are not obligated by law to call annual general meetings, however, we are required to hold an annual shareholder meeting every year in accordance with Nasdaq listing standards.</w:t>
      </w:r>
    </w:p>
    <w:p>
      <w:pPr>
        <w:spacing w:after="0" w:line="131"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20"/>
          <w:szCs w:val="20"/>
          <w:color w:val="auto"/>
        </w:rPr>
        <w:t>Pursuant to Rule 14a-8 under the Exchange Act, shareholder proposals meeting certain requirements may be eligible for inclusion in the Company’s proxy statement for the Company’s 2025 annual general meeting of shareholders. To be eligible for inclusion in the Company’s 2025 proxy statement, any such shareholder proposals must be submitted in writing to the Secretary the Company no later than December 26, 2024, in addition to complying with certain rules and regulations promulgated by the SEC. The submission of a shareholder proposal does not guarantee that it will be included in the Company’s proxy statement.</w:t>
      </w:r>
    </w:p>
    <w:p>
      <w:pPr>
        <w:spacing w:after="0" w:line="123" w:lineRule="exact"/>
        <w:rPr>
          <w:sz w:val="20"/>
          <w:szCs w:val="20"/>
          <w:color w:val="auto"/>
        </w:rPr>
      </w:pPr>
    </w:p>
    <w:p>
      <w:pPr>
        <w:jc w:val="both"/>
        <w:ind w:firstLine="399"/>
        <w:spacing w:after="0" w:line="247" w:lineRule="auto"/>
        <w:rPr>
          <w:sz w:val="20"/>
          <w:szCs w:val="20"/>
          <w:color w:val="auto"/>
        </w:rPr>
      </w:pPr>
      <w:r>
        <w:rPr>
          <w:rFonts w:ascii="Times New Roman" w:cs="Times New Roman" w:eastAsia="Times New Roman" w:hAnsi="Times New Roman"/>
          <w:sz w:val="20"/>
          <w:szCs w:val="20"/>
          <w:color w:val="auto"/>
        </w:rPr>
        <w:t>Alternatively, in accordance with the “advance notice” provisions of our memorandum and articles of association, shareholders seeking to present a shareholder proposal or nomination at the Company’s 2025 annual general meeting of shareholders, without having it included in the Company’s proxy statement, must timely submit notice of such proposal or nomination. To be timely, a shareholder’s notice must be received by the Secretary at the principal executive offices of the Company not later than the close of business on the 90th day nor earlier than the close of business on the 120th day before the first anniversary of the Annual General Meeting, unless the date of the 2025 annual general meeting of shareholders is advanced by more than 30 days or delayed by more than 30 days from the anniversary of the Annual General Meeting. For the Company’s 2025 annual general meeting of shareholders, this means that any such proposal or nomination must be submitted no earlier than February 25, 2025 and no later than March 27, 2025. If the date of the 2025 annual general meeting of shareholders is advanced by more than 30 days or delayed by more than 30 days from the anniversary of the Annual General Meeting, the shareholder must submit any such proposal or nomination no earlier than the close of business on the 120th day prior to the 2025 annual general meeting of shareholders and not later than the close of business on the later of the 90th day prior to the 2025 annual general meeting of shareholders, or the 10th day following the day on which public announcement of the date of the 2025 annual general meeting of shareholders is first made by the Company.</w:t>
      </w:r>
    </w:p>
    <w:p>
      <w:pPr>
        <w:spacing w:after="0" w:line="138" w:lineRule="exact"/>
        <w:rPr>
          <w:sz w:val="20"/>
          <w:szCs w:val="20"/>
          <w:color w:val="auto"/>
        </w:rPr>
      </w:pPr>
    </w:p>
    <w:p>
      <w:pPr>
        <w:jc w:val="both"/>
        <w:ind w:firstLine="399"/>
        <w:spacing w:after="0" w:line="262" w:lineRule="auto"/>
        <w:rPr>
          <w:sz w:val="20"/>
          <w:szCs w:val="20"/>
          <w:color w:val="auto"/>
        </w:rPr>
      </w:pPr>
      <w:r>
        <w:rPr>
          <w:rFonts w:ascii="Times New Roman" w:cs="Times New Roman" w:eastAsia="Times New Roman" w:hAnsi="Times New Roman"/>
          <w:sz w:val="20"/>
          <w:szCs w:val="20"/>
          <w:color w:val="auto"/>
        </w:rPr>
        <w:t>Notices of any proposals or nominations for the Company’s 2025 annual general meeting of shareholders should be sent to the Secretary of the Company at Structure Therapeutics Inc., 601 Gateway Blvd., Suite 900, South San Francisco, California 94080.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Householding of Proxy Materials</w:t>
      </w:r>
    </w:p>
    <w:p>
      <w:pPr>
        <w:spacing w:after="0" w:line="171"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20"/>
          <w:szCs w:val="20"/>
          <w:color w:val="auto"/>
        </w:rPr>
        <w:t>SEC rules permit companies and intermediaries such as brokers to satisfy delivery requirements for proxy statements and notices with respect to two or more shareholders sharing the same address by delivering a single proxy statement or a single notice addressed to those shareholders. This process, which is commonly referred to as “householding”, provides cost savings for companies. Some brokers household proxy materials, delivering a single proxy statement or notice to multiple shareholders sharing an address unless contrary instructions have been received from the affected shareholders.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 are receiving duplicate copies of these materials and wish to have householding apply, please notify your broker or us. Direct your written request to Structure Therapeutics Inc., 601 Gateway Blvd., Suite 900 South San Francisco, California 94080. You may also make a request by telephone by contacting 1-866-540-7095. Shareholders who currently receive multiple copies of the Annual General Meeting materials at their addresses and would like to request “householding” of their communications should contact their brokers.</w:t>
      </w:r>
    </w:p>
    <w:p>
      <w:pPr>
        <w:sectPr>
          <w:pgSz w:w="11880" w:h="15480" w:orient="portrait"/>
          <w:cols w:equalWidth="0" w:num="1">
            <w:col w:w="9100"/>
          </w:cols>
          <w:pgMar w:left="1400" w:top="1023" w:right="1380" w:bottom="71" w:gutter="0" w:footer="0" w:header="0"/>
        </w:sect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100"/>
          </w:cols>
          <w:pgMar w:left="1400" w:top="1023" w:right="1380" w:bottom="71" w:gutter="0" w:footer="0" w:header="0"/>
          <w:type w:val="continuous"/>
        </w:sectPr>
      </w:pPr>
    </w:p>
    <w:bookmarkStart w:id="264" w:name="page265"/>
    <w:bookmarkEnd w:id="264"/>
    <w:p>
      <w:pPr>
        <w:spacing w:after="0"/>
        <w:rPr>
          <w:sz w:val="20"/>
          <w:szCs w:val="20"/>
          <w:color w:val="auto"/>
        </w:rPr>
      </w:pPr>
      <w:r>
        <w:rPr>
          <w:rFonts w:ascii="Times New Roman" w:cs="Times New Roman" w:eastAsia="Times New Roman" w:hAnsi="Times New Roman"/>
          <w:sz w:val="20"/>
          <w:szCs w:val="20"/>
          <w:b w:val="1"/>
          <w:bCs w:val="1"/>
          <w:color w:val="auto"/>
        </w:rPr>
        <w:t>Additional Filings</w:t>
      </w:r>
    </w:p>
    <w:p>
      <w:pPr>
        <w:spacing w:after="0" w:line="17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20"/>
          <w:szCs w:val="20"/>
          <w:color w:val="auto"/>
        </w:rPr>
        <w:t>We make available, free of charge on our website, all of our filings that are made electronically with the SEC, including Forms 10-K, 10-Q and 8-K. To access these filings, go to our website www.structuretx.com under the “Financials and Filings” heading. Copies of our Annual Report on Form 10-K for the year ended December 31, 2023, including financial statements and schedules thereto, filed with the SEC, are also available without charge to shareholders by contacting us by mail at Structure Therapeutics Inc., 601 Gateway Blvd., Suite 900, South San Francisco, California 94080.</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171" w:lineRule="exact"/>
        <w:rPr>
          <w:sz w:val="20"/>
          <w:szCs w:val="20"/>
          <w:color w:val="auto"/>
        </w:rPr>
      </w:pPr>
    </w:p>
    <w:p>
      <w:pPr>
        <w:jc w:val="both"/>
        <w:ind w:firstLine="399"/>
        <w:spacing w:after="0" w:line="263" w:lineRule="auto"/>
        <w:rPr>
          <w:sz w:val="20"/>
          <w:szCs w:val="20"/>
          <w:color w:val="auto"/>
        </w:rPr>
      </w:pPr>
      <w:r>
        <w:rPr>
          <w:rFonts w:ascii="Times New Roman" w:cs="Times New Roman" w:eastAsia="Times New Roman" w:hAnsi="Times New Roman"/>
          <w:sz w:val="20"/>
          <w:szCs w:val="20"/>
          <w:color w:val="auto"/>
        </w:rPr>
        <w:t>Our Board does not know of any other matters to be brought before the meeting. If other matters are presented, the proxy holders have discretionary authority to vote all proxies in accordance with their best judgement. Discretionary authority for them to do so is provided for in the proxy card and other forms of proxy.</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Raymond Stevens, Ph.D.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Raymond Stevens,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228028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028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0.9499pt" to="179.1pt,-10.9499pt" o:allowincell="f" strokecolor="#000000" strokeweight="0.499pt"/>
            </w:pict>
          </mc:Fallback>
        </mc:AlternateConten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25, 2024</w:t>
      </w:r>
    </w:p>
    <w:p>
      <w:pPr>
        <w:sectPr>
          <w:pgSz w:w="11880" w:h="15480" w:orient="portrait"/>
          <w:cols w:equalWidth="0" w:num="1">
            <w:col w:w="9100"/>
          </w:cols>
          <w:pgMar w:left="1400" w:top="1023" w:right="1380" w:bottom="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100"/>
          </w:cols>
          <w:pgMar w:left="1400" w:top="1023" w:right="1380" w:bottom="70" w:gutter="0" w:footer="0" w:header="0"/>
          <w:type w:val="continuous"/>
        </w:sectPr>
      </w:pPr>
    </w:p>
    <w:bookmarkStart w:id="265" w:name="page266"/>
    <w:bookmarkEnd w:id="2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266" w:name="page267"/>
    <w:bookmarkEnd w:id="266"/>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267" w:name="page268"/>
    <w:bookmarkEnd w:id="267"/>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
      <w:numFmt w:val="bullet"/>
      <w:start w:val="1"/>
    </w:lvl>
  </w:abstractNum>
  <w:abstractNum w:abstractNumId="4">
    <w:nsid w:val="520EEDD1"/>
    <w:multiLevelType w:val="hybridMultilevel"/>
    <w:lvl w:ilvl="0">
      <w:lvlJc w:val="left"/>
      <w:lvlText w:val=" "/>
      <w:numFmt w:val="bullet"/>
      <w:start w:val="1"/>
    </w:lvl>
  </w:abstractNum>
  <w:abstractNum w:abstractNumId="5">
    <w:nsid w:val="374A3FE6"/>
    <w:multiLevelType w:val="hybridMultilevel"/>
    <w:lvl w:ilvl="0">
      <w:lvlJc w:val="left"/>
      <w:lvlText w:val=" "/>
      <w:numFmt w:val="bullet"/>
      <w:start w:val="1"/>
    </w:lvl>
  </w:abstractNum>
  <w:abstractNum w:abstractNumId="6">
    <w:nsid w:val="4F4EF005"/>
    <w:multiLevelType w:val="hybridMultilevel"/>
    <w:lvl w:ilvl="0">
      <w:lvlJc w:val="left"/>
      <w:lvlText w:val="%1"/>
      <w:numFmt w:val="lowerLetter"/>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1"/>
      <w:numFmt w:val="decimal"/>
      <w:start w:val="20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1)"/>
      <w:numFmt w:val="lowerRoman"/>
      <w:start w:val="3"/>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1)"/>
      <w:numFmt w:val="decimal"/>
      <w:start w:val="12"/>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1)"/>
      <w:numFmt w:val="lowerRoman"/>
      <w:start w:val="1"/>
    </w:lvl>
  </w:abstractNum>
  <w:abstractNum w:abstractNumId="62">
    <w:nsid w:val="7FFFCA11"/>
    <w:multiLevelType w:val="hybridMultilevel"/>
    <w:lvl w:ilvl="0">
      <w:lvlJc w:val="left"/>
      <w:lvlText w:val=" "/>
      <w:numFmt w:val="bullet"/>
      <w:start w:val="1"/>
    </w:lvl>
  </w:abstractNum>
  <w:abstractNum w:abstractNumId="63">
    <w:nsid w:val="1A27709E"/>
    <w:multiLevelType w:val="hybridMultilevel"/>
    <w:lvl w:ilvl="0">
      <w:lvlJc w:val="left"/>
      <w:lvlText w:val=" "/>
      <w:numFmt w:val="bullet"/>
      <w:start w:val="1"/>
    </w:lvl>
  </w:abstractNum>
  <w:abstractNum w:abstractNumId="64">
    <w:nsid w:val="71EA1109"/>
    <w:multiLevelType w:val="hybridMultilevel"/>
    <w:lvl w:ilvl="0">
      <w:lvlJc w:val="left"/>
      <w:lvlText w:val=" "/>
      <w:numFmt w:val="bullet"/>
      <w:start w:val="1"/>
    </w:lvl>
  </w:abstractNum>
  <w:abstractNum w:abstractNumId="65">
    <w:nsid w:val="100F59DC"/>
    <w:multiLevelType w:val="hybridMultilevel"/>
    <w:lvl w:ilvl="0">
      <w:lvlJc w:val="left"/>
      <w:lvlText w:val=" "/>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1)"/>
      <w:numFmt w:val="lowerRoman"/>
      <w:start w:val="2"/>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1."/>
      <w:numFmt w:val="decimal"/>
      <w:start w:val="1"/>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
      <w:numFmt w:val="bullet"/>
      <w:start w:val="1"/>
    </w:lvl>
  </w:abstractNum>
  <w:abstractNum w:abstractNumId="78">
    <w:nsid w:val="2DF6D648"/>
    <w:multiLevelType w:val="hybridMultilevel"/>
    <w:lvl w:ilvl="0">
      <w:lvlJc w:val="left"/>
      <w:lvlText w:val="•"/>
      <w:numFmt w:val="bullet"/>
      <w:start w:val="1"/>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
      <w:numFmt w:val="bullet"/>
      <w:start w:val="1"/>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1)"/>
      <w:numFmt w:val="decimal"/>
      <w:start w:val="1"/>
    </w:lvl>
  </w:abstractNum>
  <w:abstractNum w:abstractNumId="83">
    <w:nsid w:val="CC1016F"/>
    <w:multiLevelType w:val="hybridMultilevel"/>
    <w:lvl w:ilvl="0">
      <w:lvlJc w:val="left"/>
      <w:lvlText w:val="•"/>
      <w:numFmt w:val="bullet"/>
      <w:start w:val="1"/>
    </w:lvl>
  </w:abstractNum>
  <w:abstractNum w:abstractNumId="84">
    <w:nsid w:val="43F18422"/>
    <w:multiLevelType w:val="hybridMultilevel"/>
    <w:lvl w:ilvl="0">
      <w:lvlJc w:val="left"/>
      <w:lvlText w:val="*"/>
      <w:numFmt w:val="bullet"/>
      <w:start w:val="1"/>
    </w:lvl>
  </w:abstractNum>
  <w:abstractNum w:abstractNumId="85">
    <w:nsid w:val="60EF0119"/>
    <w:multiLevelType w:val="hybridMultilevel"/>
    <w:lvl w:ilvl="0">
      <w:lvlJc w:val="left"/>
      <w:lvlText w:val="•"/>
      <w:numFmt w:val="bullet"/>
      <w:start w:val="1"/>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1)"/>
      <w:numFmt w:val="decimal"/>
      <w:start w:val="1"/>
    </w:lvl>
  </w:abstractNum>
  <w:abstractNum w:abstractNumId="90">
    <w:nsid w:val="5FB8370B"/>
    <w:multiLevelType w:val="hybridMultilevel"/>
    <w:lvl w:ilvl="0">
      <w:lvlJc w:val="left"/>
      <w:lvlText w:val="(%1)"/>
      <w:numFmt w:val="decimal"/>
      <w:start w:val="1"/>
    </w:lvl>
  </w:abstractNum>
  <w:abstractNum w:abstractNumId="91">
    <w:nsid w:val="50801EE1"/>
    <w:multiLevelType w:val="hybridMultilevel"/>
    <w:lvl w:ilvl="0">
      <w:lvlJc w:val="left"/>
      <w:lvlText w:val="(%1)"/>
      <w:numFmt w:val="decimal"/>
      <w:start w:val="1"/>
    </w:lvl>
  </w:abstractNum>
  <w:abstractNum w:abstractNumId="92">
    <w:nsid w:val="488AC1A"/>
    <w:multiLevelType w:val="hybridMultilevel"/>
    <w:lvl w:ilvl="0">
      <w:lvlJc w:val="left"/>
      <w:lvlText w:val="(%1)"/>
      <w:numFmt w:val="decimal"/>
      <w:start w:val="1"/>
    </w:lvl>
  </w:abstractNum>
  <w:abstractNum w:abstractNumId="93">
    <w:nsid w:val="5FB8011C"/>
    <w:multiLevelType w:val="hybridMultilevel"/>
    <w:lvl w:ilvl="0">
      <w:lvlJc w:val="left"/>
      <w:lvlText w:val="(%1)"/>
      <w:numFmt w:val="decimal"/>
      <w:start w:val="1"/>
    </w:lvl>
  </w:abstractNum>
  <w:abstractNum w:abstractNumId="94">
    <w:nsid w:val="6AA78F7F"/>
    <w:multiLevelType w:val="hybridMultilevel"/>
    <w:lvl w:ilvl="0">
      <w:lvlJc w:val="left"/>
      <w:lvlText w:val="(%1)"/>
      <w:numFmt w:val="decimal"/>
      <w:start w:val="1"/>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
      <w:numFmt w:val="bullet"/>
      <w:start w:val="1"/>
    </w:lvl>
  </w:abstractNum>
  <w:abstractNum w:abstractNumId="99">
    <w:nsid w:val="5F3534A4"/>
    <w:multiLevelType w:val="hybridMultilevel"/>
    <w:lvl w:ilvl="0">
      <w:lvlJc w:val="left"/>
      <w:lvlText w:val="(%1)"/>
      <w:numFmt w:val="decimal"/>
      <w:start w:val="1"/>
    </w:lvl>
  </w:abstractNum>
  <w:abstractNum w:abstractNumId="100">
    <w:nsid w:val="73A1821B"/>
    <w:multiLevelType w:val="hybridMultilevel"/>
    <w:lvl w:ilvl="0">
      <w:lvlJc w:val="left"/>
      <w:lvlText w:val="(%1)"/>
      <w:numFmt w:val="decimal"/>
      <w:start w:val="4"/>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2024-04-27T06:10:58Z</dcterms:created>
  <dcterms:modified xsi:type="dcterms:W3CDTF">2024-04-27T06:10:58Z</dcterms:modified>
</cp:coreProperties>
</file>