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5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5881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FIL Ltd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23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Structure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GPCR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H.M. 670</w:t>
            </w:r>
          </w:p>
        </w:tc>
        <w:tc>
          <w:tcPr>
            <w:tcW w:w="12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HAMILTON D0</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00000</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523" w:type="dxa"/>
        <w:tblCellMar>
          <w:top w:w="0" w:type="dxa"/>
          <w:left w:w="0" w:type="dxa"/>
          <w:bottom w:w="0" w:type="dxa"/>
          <w:right w:w="0" w:type="dxa"/>
        </w:tblCellMar>
      </w:tblPr>
      <w:tr>
        <w:trPr>
          <w:trHeight w:val="254"/>
        </w:trPr>
        <w:tc>
          <w:tcPr>
            <w:tcW w:w="1020" w:type="dxa"/>
            <w:vAlign w:val="bottom"/>
          </w:tcPr>
          <w:p>
            <w:pPr>
              <w:spacing w:after="0"/>
              <w:rPr>
                <w:sz w:val="20"/>
                <w:szCs w:val="20"/>
                <w:color w:val="auto"/>
              </w:rPr>
            </w:pPr>
            <w:r>
              <w:rPr>
                <w:rFonts w:ascii="Arial" w:cs="Arial" w:eastAsia="Arial" w:hAnsi="Arial"/>
                <w:sz w:val="15"/>
                <w:szCs w:val="15"/>
                <w:color w:val="auto"/>
              </w:rPr>
              <w:t>Director</w:t>
            </w:r>
          </w:p>
        </w:tc>
        <w:tc>
          <w:tcPr>
            <w:tcW w:w="4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rPr>
              <w:t>10% Owner</w:t>
            </w:r>
          </w:p>
        </w:tc>
      </w:tr>
      <w:tr>
        <w:trPr>
          <w:trHeight w:val="226"/>
        </w:trPr>
        <w:tc>
          <w:tcPr>
            <w:tcW w:w="1020" w:type="dxa"/>
            <w:vAlign w:val="bottom"/>
          </w:tcPr>
          <w:p>
            <w:pPr>
              <w:spacing w:after="0"/>
              <w:rPr>
                <w:sz w:val="20"/>
                <w:szCs w:val="20"/>
                <w:color w:val="auto"/>
              </w:rPr>
            </w:pPr>
            <w:r>
              <w:rPr>
                <w:rFonts w:ascii="Arial" w:cs="Arial" w:eastAsia="Arial" w:hAnsi="Arial"/>
                <w:sz w:val="15"/>
                <w:szCs w:val="15"/>
                <w:color w:val="auto"/>
              </w:rPr>
              <w:t>Officer (give</w:t>
            </w:r>
          </w:p>
        </w:tc>
        <w:tc>
          <w:tcPr>
            <w:tcW w:w="440" w:type="dxa"/>
            <w:vAlign w:val="bottom"/>
          </w:tcPr>
          <w:p>
            <w:pPr>
              <w:ind w:left="20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w w:val="98"/>
              </w:rPr>
              <w:t>Other (specify</w:t>
            </w:r>
          </w:p>
        </w:tc>
      </w:tr>
      <w:tr>
        <w:trPr>
          <w:trHeight w:val="198"/>
        </w:trPr>
        <w:tc>
          <w:tcPr>
            <w:tcW w:w="1020" w:type="dxa"/>
            <w:vAlign w:val="bottom"/>
          </w:tcPr>
          <w:p>
            <w:pPr>
              <w:spacing w:after="0"/>
              <w:rPr>
                <w:sz w:val="20"/>
                <w:szCs w:val="20"/>
                <w:color w:val="auto"/>
              </w:rPr>
            </w:pPr>
            <w:r>
              <w:rPr>
                <w:rFonts w:ascii="Arial" w:cs="Arial" w:eastAsia="Arial" w:hAnsi="Arial"/>
                <w:sz w:val="15"/>
                <w:szCs w:val="15"/>
                <w:color w:val="auto"/>
              </w:rPr>
              <w:t>title below)</w:t>
            </w:r>
          </w:p>
        </w:tc>
        <w:tc>
          <w:tcPr>
            <w:tcW w:w="44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below)</w:t>
            </w:r>
          </w:p>
        </w:tc>
      </w:tr>
    </w:tbl>
    <w:p>
      <w:pPr>
        <w:spacing w:after="0" w:line="12"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20"/>
          <w:szCs w:val="20"/>
          <w:color w:val="0000FF"/>
        </w:rPr>
        <w:t>See Remark 1</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4,013,678</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Eight Roads</w:t>
            </w:r>
          </w:p>
        </w:tc>
        <w:tc>
          <w:tcPr>
            <w:tcW w:w="0" w:type="dxa"/>
            <w:vAlign w:val="bottom"/>
          </w:tcPr>
          <w:p>
            <w:pPr>
              <w:spacing w:after="0"/>
              <w:rPr>
                <w:sz w:val="1"/>
                <w:szCs w:val="1"/>
                <w:color w:val="auto"/>
              </w:rPr>
            </w:pPr>
          </w:p>
        </w:tc>
      </w:tr>
      <w:tr>
        <w:trPr>
          <w:trHeight w:val="13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620,499</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Eight Roads</w:t>
            </w:r>
          </w:p>
        </w:tc>
        <w:tc>
          <w:tcPr>
            <w:tcW w:w="0" w:type="dxa"/>
            <w:vAlign w:val="bottom"/>
          </w:tcPr>
          <w:p>
            <w:pPr>
              <w:spacing w:after="0"/>
              <w:rPr>
                <w:sz w:val="1"/>
                <w:szCs w:val="1"/>
                <w:color w:val="auto"/>
              </w:rPr>
            </w:pPr>
          </w:p>
        </w:tc>
      </w:tr>
      <w:tr>
        <w:trPr>
          <w:trHeight w:val="13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452,867</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Eight Roads</w:t>
            </w:r>
          </w:p>
        </w:tc>
        <w:tc>
          <w:tcPr>
            <w:tcW w:w="0" w:type="dxa"/>
            <w:vAlign w:val="bottom"/>
          </w:tcPr>
          <w:p>
            <w:pPr>
              <w:spacing w:after="0"/>
              <w:rPr>
                <w:sz w:val="1"/>
                <w:szCs w:val="1"/>
                <w:color w:val="auto"/>
              </w:rPr>
            </w:pPr>
          </w:p>
        </w:tc>
      </w:tr>
      <w:tr>
        <w:trPr>
          <w:trHeight w:val="13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B-1 Convertible Preferred</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179,242</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Eight Roads</w:t>
            </w:r>
          </w:p>
        </w:tc>
        <w:tc>
          <w:tcPr>
            <w:tcW w:w="0" w:type="dxa"/>
            <w:vAlign w:val="bottom"/>
          </w:tcPr>
          <w:p>
            <w:pPr>
              <w:spacing w:after="0"/>
              <w:rPr>
                <w:sz w:val="1"/>
                <w:szCs w:val="1"/>
                <w:color w:val="auto"/>
              </w:rPr>
            </w:pPr>
          </w:p>
        </w:tc>
      </w:tr>
      <w:tr>
        <w:trPr>
          <w:trHeight w:val="13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ERVC</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71,636</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Healthcare</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Advisors IV, LP</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Seriers A+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ERVC</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10,154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Healthcare</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Advisors IV, LP</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ERVC</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7,411</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Healthcare</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Advisors IV, LP</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ERVC</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494,035</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Healthcare V,</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LP</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Convertible Preferred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ERVC</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624,239</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Healthcare IV,</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LP</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A+, A, B, and B-1 preferred shares are convertible on a 1-for-1 basis into the number of shares of Ordinary Shares as shown in column 3 at any time at the holder's election, and automatically upon the closing of the Issuer's initial public offering without payment or further consideration, and have no expiration date.</w:t>
      </w:r>
    </w:p>
    <w:p>
      <w:pPr>
        <w:sectPr>
          <w:pgSz w:w="11900" w:h="16838" w:orient="portrait"/>
          <w:cols w:equalWidth="0" w:num="1">
            <w:col w:w="10940"/>
          </w:cols>
          <w:pgMar w:left="480" w:top="230" w:right="47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232" w:lineRule="auto"/>
        <w:rPr>
          <w:sz w:val="20"/>
          <w:szCs w:val="20"/>
          <w:color w:val="auto"/>
        </w:rPr>
      </w:pPr>
      <w:r>
        <w:rPr>
          <w:rFonts w:ascii="Times New Roman" w:cs="Times New Roman" w:eastAsia="Times New Roman" w:hAnsi="Times New Roman"/>
          <w:sz w:val="15"/>
          <w:szCs w:val="15"/>
          <w:color w:val="008000"/>
        </w:rPr>
        <w:t>Remark 1:Eight Roads Shareholdings Limited ("ERSL") and Pandanus Partners, LP ("Pandanus") own shares of Eight Roads Holdings Limited ("ERHL") voting stock. ERHL is the immediate parent company of Eight Roads Investments ("ERI"), which owns the shares being reported on with this Form. While the percentage of total voting power represented by ERSL's and Pandanus' shares of ERHL voting stock may fluctuate due to changes in the total number of shares of ERHL voting stock outstanding from time to time, ERSL's holdings represents more than 50% and Pandanus' holding represents more than 25% and less than 50% of, the total votes which may be cast by all holders of ERHL voting stock. The shares in ERSL are owned primarily by officers and senior employees of FIL Limited and Eight Roads together with several charitable organizations. No such person or organization owns or controls more than 25% of the voting stock in ERSL. Pandanus Associates, Inc. ("PAI") acts as general partner of Pandanus. Pandanus is owned by trusts for the benefit of members of the Johnson family, including ERHL's Chairman Abigail P. Johnson, but disclaims that any such member is a beneficial owner of the securities reported on this form. The address of ERSL, ERHL and ERI is 42 Crow Lane, Hamilton HM19, Bermuda. The address of Pandanus is c/o FIL Limited, 42 Crow Lane, Hamilton HM19, Bermuda. The address of PAI is 11 Keewaydin Drive, Suite 100, Salem, NH, USA, 03079. ERVC Healthcare IV, LP and ERVC Healthcare V, LP (Collectively "ERVC HC") are limited partners. The General Partners of ERVC HC are ERVC Healthcare Advisors V, LP and ERVC Healthcare Advisors IV, LP (collectively "ERVC HCA"). The general partner of ERVC HCA is Eight Roads GP, which is controlled by ERSL. Remark 2: The filing of this statement shall not be deemed to be an admission that, for purposes of Section 16 of the Securities Exchange Act of 1934 or otherwise, the undersigned are the beneficial owners of any securities reported herein.</w:t>
      </w:r>
    </w:p>
    <w:p>
      <w:pPr>
        <w:spacing w:after="0" w:line="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Stephanie J. Brown,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authorized under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2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312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 Attorney, by and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69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69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behalf of FIL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44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4425" cy="9525"/>
                    </a:xfrm>
                    <a:prstGeom prst="rect">
                      <a:avLst/>
                    </a:prstGeom>
                    <a:noFill/>
                  </pic:spPr>
                </pic:pic>
              </a:graphicData>
            </a:graphic>
          </wp:anchor>
        </w:drawing>
      </w:r>
    </w:p>
    <w:p>
      <w:pPr>
        <w:ind w:left="6540"/>
        <w:spacing w:after="0" w:line="186" w:lineRule="auto"/>
        <w:rPr>
          <w:sz w:val="20"/>
          <w:szCs w:val="20"/>
          <w:color w:val="auto"/>
        </w:rPr>
      </w:pPr>
      <w:r>
        <w:rPr>
          <w:rFonts w:ascii="Times New Roman" w:cs="Times New Roman" w:eastAsia="Times New Roman" w:hAnsi="Times New Roman"/>
          <w:sz w:val="16"/>
          <w:szCs w:val="16"/>
          <w:color w:val="0000FF"/>
        </w:rPr>
        <w:t xml:space="preserve">Eight Roads Shareholdings </w:t>
      </w:r>
      <w:r>
        <w:rPr>
          <w:rFonts w:ascii="Times New Roman" w:cs="Times New Roman" w:eastAsia="Times New Roman" w:hAnsi="Times New Roman"/>
          <w:sz w:val="29"/>
          <w:szCs w:val="29"/>
          <w:color w:val="0000FF"/>
          <w:vertAlign w:val="subscript"/>
        </w:rPr>
        <w:t>02/02/2023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13487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Limited, and its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3036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655"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indirect subsidiaries, 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246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Roads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79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and Eight Roads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8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18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988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937"/>
        <w:spacing w:after="0" w:line="247" w:lineRule="auto"/>
        <w:rPr>
          <w:sz w:val="20"/>
          <w:szCs w:val="20"/>
          <w:color w:val="auto"/>
        </w:rPr>
      </w:pPr>
      <w:r>
        <w:rPr>
          <w:rFonts w:ascii="Courier New" w:cs="Courier New" w:eastAsia="Courier New" w:hAnsi="Courier New"/>
          <w:sz w:val="20"/>
          <w:szCs w:val="20"/>
          <w:color w:val="auto"/>
        </w:rPr>
        <w:t>Effective as of the date hereof, the undersigned does hereby appoint Stephanie J. Brown, with full power of substitution, as the true and lawful attorney of the undersigned, with full power and authority to execute such documents and to make such regulatory or other filings</w:t>
      </w:r>
    </w:p>
    <w:p>
      <w:pPr>
        <w:spacing w:after="0" w:line="4" w:lineRule="exact"/>
        <w:rPr>
          <w:sz w:val="20"/>
          <w:szCs w:val="20"/>
          <w:color w:val="auto"/>
        </w:rPr>
      </w:pPr>
    </w:p>
    <w:p>
      <w:pPr>
        <w:ind w:right="1559"/>
        <w:spacing w:after="0" w:line="264" w:lineRule="auto"/>
        <w:rPr>
          <w:sz w:val="20"/>
          <w:szCs w:val="20"/>
          <w:color w:val="auto"/>
        </w:rPr>
      </w:pPr>
      <w:r>
        <w:rPr>
          <w:rFonts w:ascii="Courier New" w:cs="Courier New" w:eastAsia="Courier New" w:hAnsi="Courier New"/>
          <w:sz w:val="18"/>
          <w:szCs w:val="18"/>
          <w:color w:val="auto"/>
        </w:rPr>
        <w:t>and amendments thereto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the undersigned, and generally to do all such things</w:t>
      </w:r>
    </w:p>
    <w:p>
      <w:pPr>
        <w:spacing w:after="0" w:line="5" w:lineRule="exact"/>
        <w:rPr>
          <w:sz w:val="20"/>
          <w:szCs w:val="20"/>
          <w:color w:val="auto"/>
        </w:rPr>
      </w:pPr>
    </w:p>
    <w:p>
      <w:pPr>
        <w:ind w:right="1899"/>
        <w:spacing w:after="0" w:line="264" w:lineRule="auto"/>
        <w:rPr>
          <w:sz w:val="20"/>
          <w:szCs w:val="20"/>
          <w:color w:val="auto"/>
        </w:rPr>
      </w:pPr>
      <w:r>
        <w:rPr>
          <w:rFonts w:ascii="Courier New" w:cs="Courier New" w:eastAsia="Courier New" w:hAnsi="Courier New"/>
          <w:sz w:val="18"/>
          <w:szCs w:val="18"/>
          <w:color w:val="auto"/>
        </w:rPr>
        <w:t>in the name and on behalf of the undersigned in connection therewith as said attorney-in-fact deems necessary or appropriate to cause such</w:t>
      </w: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20"/>
          <w:szCs w:val="20"/>
          <w:color w:val="auto"/>
        </w:rPr>
        <w:t>filings to be completed and filed.</w:t>
      </w:r>
    </w:p>
    <w:p>
      <w:pPr>
        <w:spacing w:after="0" w:line="188" w:lineRule="exact"/>
        <w:rPr>
          <w:sz w:val="20"/>
          <w:szCs w:val="20"/>
          <w:color w:val="auto"/>
        </w:rPr>
      </w:pPr>
    </w:p>
    <w:p>
      <w:pPr>
        <w:ind w:right="959" w:firstLine="937"/>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only for such time as Stephanie J. Brown shall continue to be an officer of Fidelity Management &amp; Research Company LLC, provided that, notwithstanding the foregoing, this Power of Attorney may be revoked at any time by the undersigned in writing.</w:t>
      </w:r>
    </w:p>
    <w:p>
      <w:pPr>
        <w:spacing w:after="0" w:line="100" w:lineRule="exact"/>
        <w:rPr>
          <w:sz w:val="20"/>
          <w:szCs w:val="20"/>
          <w:color w:val="auto"/>
        </w:rPr>
      </w:pPr>
    </w:p>
    <w:p>
      <w:pPr>
        <w:ind w:right="2719"/>
        <w:spacing w:after="0" w:line="348" w:lineRule="auto"/>
        <w:rPr>
          <w:sz w:val="20"/>
          <w:szCs w:val="20"/>
          <w:color w:val="auto"/>
        </w:rPr>
      </w:pPr>
      <w:r>
        <w:rPr>
          <w:rFonts w:ascii="Courier New" w:cs="Courier New" w:eastAsia="Courier New" w:hAnsi="Courier New"/>
          <w:sz w:val="20"/>
          <w:szCs w:val="20"/>
          <w:color w:val="auto"/>
        </w:rPr>
        <w:t>This Power of Attorney has been executed as of the 19th day of December, 2022.</w:t>
      </w:r>
    </w:p>
    <w:p>
      <w:pPr>
        <w:spacing w:after="0" w:line="1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Eight Roads Holding Limited</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Barclay Simmons</w:t>
      </w:r>
    </w:p>
    <w:p>
      <w:pPr>
        <w:ind w:left="4680"/>
        <w:spacing w:after="0" w:line="238" w:lineRule="auto"/>
        <w:rPr>
          <w:sz w:val="20"/>
          <w:szCs w:val="20"/>
          <w:color w:val="auto"/>
        </w:rPr>
      </w:pPr>
      <w:r>
        <w:rPr>
          <w:rFonts w:ascii="Courier New" w:cs="Courier New" w:eastAsia="Courier New" w:hAnsi="Courier New"/>
          <w:sz w:val="20"/>
          <w:szCs w:val="20"/>
          <w:color w:val="auto"/>
        </w:rPr>
        <w:t>Barclay Simmons</w:t>
      </w:r>
    </w:p>
    <w:p>
      <w:pPr>
        <w:jc w:val="center"/>
        <w:ind w:right="-320"/>
        <w:spacing w:after="0"/>
        <w:rPr>
          <w:sz w:val="20"/>
          <w:szCs w:val="20"/>
          <w:color w:val="auto"/>
        </w:rPr>
      </w:pPr>
      <w:r>
        <w:rPr>
          <w:rFonts w:ascii="Courier New" w:cs="Courier New" w:eastAsia="Courier New" w:hAnsi="Courier New"/>
          <w:sz w:val="20"/>
          <w:szCs w:val="20"/>
          <w:color w:val="auto"/>
        </w:rPr>
        <w:t>Director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937"/>
        <w:spacing w:after="0" w:line="257" w:lineRule="auto"/>
        <w:rPr>
          <w:sz w:val="20"/>
          <w:szCs w:val="20"/>
          <w:color w:val="auto"/>
        </w:rPr>
      </w:pPr>
      <w:r>
        <w:rPr>
          <w:rFonts w:ascii="Courier New" w:cs="Courier New" w:eastAsia="Courier New" w:hAnsi="Courier New"/>
          <w:sz w:val="20"/>
          <w:szCs w:val="20"/>
          <w:color w:val="auto"/>
        </w:rPr>
        <w:t>Effective as of the date hereof, the undersigned does hereby appoint Stephanie J. Brown, with full power of substitution, as the true</w:t>
      </w:r>
    </w:p>
    <w:p>
      <w:pPr>
        <w:spacing w:after="0" w:line="1" w:lineRule="exact"/>
        <w:rPr>
          <w:sz w:val="20"/>
          <w:szCs w:val="20"/>
          <w:color w:val="auto"/>
        </w:rPr>
      </w:pPr>
    </w:p>
    <w:p>
      <w:pPr>
        <w:ind w:right="1559"/>
        <w:spacing w:after="0" w:line="245" w:lineRule="auto"/>
        <w:rPr>
          <w:sz w:val="20"/>
          <w:szCs w:val="20"/>
          <w:color w:val="auto"/>
        </w:rPr>
      </w:pPr>
      <w:r>
        <w:rPr>
          <w:rFonts w:ascii="Courier New" w:cs="Courier New" w:eastAsia="Courier New" w:hAnsi="Courier New"/>
          <w:sz w:val="20"/>
          <w:szCs w:val="20"/>
          <w:color w:val="auto"/>
        </w:rPr>
        <w:t>and lawful attorney of the undersigned, with full power and authority to execute such documents and to make such regulatory or other filings and amendments thereto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the undersigned, and generally to do all such things in the name and on behalf of the undersigned in connection therewith as said attorney-in-fact deems necessary or appropriate to cause such filings to be completed and filed.</w:t>
      </w:r>
    </w:p>
    <w:p>
      <w:pPr>
        <w:spacing w:after="0" w:line="121" w:lineRule="exact"/>
        <w:rPr>
          <w:sz w:val="20"/>
          <w:szCs w:val="20"/>
          <w:color w:val="auto"/>
        </w:rPr>
      </w:pPr>
    </w:p>
    <w:p>
      <w:pPr>
        <w:ind w:right="1559" w:firstLine="937"/>
        <w:spacing w:after="0" w:line="246" w:lineRule="auto"/>
        <w:rPr>
          <w:sz w:val="20"/>
          <w:szCs w:val="20"/>
          <w:color w:val="auto"/>
        </w:rPr>
      </w:pPr>
      <w:r>
        <w:rPr>
          <w:rFonts w:ascii="Courier New" w:cs="Courier New" w:eastAsia="Courier New" w:hAnsi="Courier New"/>
          <w:sz w:val="20"/>
          <w:szCs w:val="20"/>
          <w:color w:val="auto"/>
        </w:rPr>
        <w:t>This Power of Attorney shall remain in full force and effect only for such time as Stephanie J. Brown shall continue to be an officer of Fidelity Management &amp; Research Company LLC, provided that, notwithstanding the foregoing, this Power of Attorney may be revoked at any time by</w:t>
      </w:r>
    </w:p>
    <w:p>
      <w:pPr>
        <w:spacing w:after="0"/>
        <w:rPr>
          <w:sz w:val="20"/>
          <w:szCs w:val="20"/>
          <w:color w:val="auto"/>
        </w:rPr>
      </w:pPr>
      <w:r>
        <w:rPr>
          <w:rFonts w:ascii="Courier New" w:cs="Courier New" w:eastAsia="Courier New" w:hAnsi="Courier New"/>
          <w:sz w:val="20"/>
          <w:szCs w:val="20"/>
          <w:color w:val="auto"/>
        </w:rPr>
        <w:t>the undersigned in writing.</w:t>
      </w:r>
    </w:p>
    <w:p>
      <w:pPr>
        <w:spacing w:after="0" w:line="188" w:lineRule="exact"/>
        <w:rPr>
          <w:sz w:val="20"/>
          <w:szCs w:val="20"/>
          <w:color w:val="auto"/>
        </w:rPr>
      </w:pPr>
    </w:p>
    <w:p>
      <w:pPr>
        <w:ind w:left="120" w:right="2139" w:firstLine="819"/>
        <w:spacing w:after="0" w:line="348" w:lineRule="auto"/>
        <w:rPr>
          <w:sz w:val="20"/>
          <w:szCs w:val="20"/>
          <w:color w:val="auto"/>
        </w:rPr>
      </w:pPr>
      <w:r>
        <w:rPr>
          <w:rFonts w:ascii="Courier New" w:cs="Courier New" w:eastAsia="Courier New" w:hAnsi="Courier New"/>
          <w:sz w:val="20"/>
          <w:szCs w:val="20"/>
          <w:color w:val="auto"/>
        </w:rPr>
        <w:t>This Power of Attorney has been executed as of the 19th day of December, 2022.</w:t>
      </w:r>
    </w:p>
    <w:p>
      <w:pPr>
        <w:spacing w:after="0" w:line="24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Eight Roads Investments</w:t>
      </w:r>
    </w:p>
    <w:p>
      <w:pPr>
        <w:spacing w:after="0" w:line="3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By /s/ Driaan Viljoen</w:t>
      </w:r>
    </w:p>
    <w:p>
      <w:pPr>
        <w:ind w:left="5620"/>
        <w:spacing w:after="0" w:line="238" w:lineRule="auto"/>
        <w:rPr>
          <w:sz w:val="20"/>
          <w:szCs w:val="20"/>
          <w:color w:val="auto"/>
        </w:rPr>
      </w:pPr>
      <w:r>
        <w:rPr>
          <w:rFonts w:ascii="Courier New" w:cs="Courier New" w:eastAsia="Courier New" w:hAnsi="Courier New"/>
          <w:sz w:val="20"/>
          <w:szCs w:val="20"/>
          <w:color w:val="auto"/>
        </w:rPr>
        <w:t>Driaan Viljoen</w:t>
      </w:r>
    </w:p>
    <w:p>
      <w:pPr>
        <w:ind w:left="5620"/>
        <w:spacing w:after="0"/>
        <w:rPr>
          <w:sz w:val="20"/>
          <w:szCs w:val="20"/>
          <w:color w:val="auto"/>
        </w:rPr>
      </w:pPr>
      <w:r>
        <w:rPr>
          <w:rFonts w:ascii="Courier New" w:cs="Courier New" w:eastAsia="Courier New" w:hAnsi="Courier New"/>
          <w:sz w:val="20"/>
          <w:szCs w:val="20"/>
          <w:color w:val="auto"/>
        </w:rPr>
        <w:t>Director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937"/>
        <w:spacing w:after="0" w:line="257" w:lineRule="auto"/>
        <w:rPr>
          <w:sz w:val="20"/>
          <w:szCs w:val="20"/>
          <w:color w:val="auto"/>
        </w:rPr>
      </w:pPr>
      <w:r>
        <w:rPr>
          <w:rFonts w:ascii="Courier New" w:cs="Courier New" w:eastAsia="Courier New" w:hAnsi="Courier New"/>
          <w:sz w:val="20"/>
          <w:szCs w:val="20"/>
          <w:color w:val="auto"/>
        </w:rPr>
        <w:t>Effective as of the date hereof, the undersigned does hereby appoint Stephanie J. Brown, with full power of substitution, as the true</w:t>
      </w:r>
    </w:p>
    <w:p>
      <w:pPr>
        <w:spacing w:after="0" w:line="1" w:lineRule="exact"/>
        <w:rPr>
          <w:sz w:val="20"/>
          <w:szCs w:val="20"/>
          <w:color w:val="auto"/>
        </w:rPr>
      </w:pPr>
    </w:p>
    <w:p>
      <w:pPr>
        <w:ind w:right="1559"/>
        <w:spacing w:after="0" w:line="274" w:lineRule="auto"/>
        <w:rPr>
          <w:sz w:val="20"/>
          <w:szCs w:val="20"/>
          <w:color w:val="auto"/>
        </w:rPr>
      </w:pPr>
      <w:r>
        <w:rPr>
          <w:rFonts w:ascii="Courier New" w:cs="Courier New" w:eastAsia="Courier New" w:hAnsi="Courier New"/>
          <w:sz w:val="20"/>
          <w:szCs w:val="20"/>
          <w:color w:val="auto"/>
        </w:rPr>
        <w:t>and lawful attorney of the undersigned, with full power and authority to execute such documents and to make such regulatory or other filings and amendments thereto as shall from time to time be required pursuant</w:t>
      </w:r>
    </w:p>
    <w:p>
      <w:pPr>
        <w:sectPr>
          <w:pgSz w:w="11900" w:h="16876" w:orient="portrait"/>
          <w:cols w:equalWidth="0" w:num="1">
            <w:col w:w="9979"/>
          </w:cols>
          <w:pgMar w:left="480" w:top="331" w:right="1440" w:bottom="0" w:gutter="0" w:footer="0" w:header="0"/>
        </w:sectPr>
      </w:pPr>
    </w:p>
    <w:bookmarkStart w:id="3" w:name="page4"/>
    <w:bookmarkEnd w:id="3"/>
    <w:p>
      <w:pPr>
        <w:ind w:right="1779"/>
        <w:spacing w:after="0" w:line="254" w:lineRule="auto"/>
        <w:rPr>
          <w:sz w:val="20"/>
          <w:szCs w:val="20"/>
          <w:color w:val="auto"/>
        </w:rPr>
      </w:pPr>
      <w:r>
        <w:rPr>
          <w:rFonts w:ascii="Courier New" w:cs="Courier New" w:eastAsia="Courier New" w:hAnsi="Courier New"/>
          <w:sz w:val="20"/>
          <w:szCs w:val="20"/>
          <w:color w:val="auto"/>
        </w:rPr>
        <w:t>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the undersigned, and generally to do all such things in the name and on behalf of the undersigned in connection therewith as said attorney-in-fact deems necessary or appropriate to cause such filings to be completed and filed.</w:t>
      </w:r>
    </w:p>
    <w:p>
      <w:pPr>
        <w:spacing w:after="0" w:line="108" w:lineRule="exact"/>
        <w:rPr>
          <w:sz w:val="20"/>
          <w:szCs w:val="20"/>
          <w:color w:val="auto"/>
        </w:rPr>
      </w:pPr>
    </w:p>
    <w:p>
      <w:pPr>
        <w:ind w:right="1559" w:firstLine="937"/>
        <w:spacing w:after="0" w:line="246" w:lineRule="auto"/>
        <w:rPr>
          <w:sz w:val="20"/>
          <w:szCs w:val="20"/>
          <w:color w:val="auto"/>
        </w:rPr>
      </w:pPr>
      <w:r>
        <w:rPr>
          <w:rFonts w:ascii="Courier New" w:cs="Courier New" w:eastAsia="Courier New" w:hAnsi="Courier New"/>
          <w:sz w:val="20"/>
          <w:szCs w:val="20"/>
          <w:color w:val="auto"/>
        </w:rPr>
        <w:t>This Power of Attorney shall remain in full force and effect only for such time as Stephanie J. Brown shall continue to be an officer of Fidelity Management &amp; Research Company LLC, provided that, notwithstanding the foregoing, this Power of Attorney may be revoked at any time by</w:t>
      </w:r>
    </w:p>
    <w:p>
      <w:pPr>
        <w:spacing w:after="0"/>
        <w:rPr>
          <w:sz w:val="20"/>
          <w:szCs w:val="20"/>
          <w:color w:val="auto"/>
        </w:rPr>
      </w:pPr>
      <w:r>
        <w:rPr>
          <w:rFonts w:ascii="Courier New" w:cs="Courier New" w:eastAsia="Courier New" w:hAnsi="Courier New"/>
          <w:sz w:val="20"/>
          <w:szCs w:val="20"/>
          <w:color w:val="auto"/>
        </w:rPr>
        <w:t>the undersigned in writing.</w:t>
      </w:r>
    </w:p>
    <w:p>
      <w:pPr>
        <w:spacing w:after="0" w:line="188" w:lineRule="exact"/>
        <w:rPr>
          <w:sz w:val="20"/>
          <w:szCs w:val="20"/>
          <w:color w:val="auto"/>
        </w:rPr>
      </w:pPr>
    </w:p>
    <w:p>
      <w:pPr>
        <w:ind w:left="120" w:right="2139" w:firstLine="819"/>
        <w:spacing w:after="0" w:line="348" w:lineRule="auto"/>
        <w:rPr>
          <w:sz w:val="20"/>
          <w:szCs w:val="20"/>
          <w:color w:val="auto"/>
        </w:rPr>
      </w:pPr>
      <w:r>
        <w:rPr>
          <w:rFonts w:ascii="Courier New" w:cs="Courier New" w:eastAsia="Courier New" w:hAnsi="Courier New"/>
          <w:sz w:val="20"/>
          <w:szCs w:val="20"/>
          <w:color w:val="auto"/>
        </w:rPr>
        <w:t>This Power of Attorney has been executed as of the 19th day of December, 2022.</w:t>
      </w:r>
    </w:p>
    <w:p>
      <w:pPr>
        <w:spacing w:after="0" w:line="18" w:lineRule="exact"/>
        <w:rPr>
          <w:sz w:val="20"/>
          <w:szCs w:val="20"/>
          <w:color w:val="auto"/>
        </w:rPr>
      </w:pPr>
    </w:p>
    <w:p>
      <w:pPr>
        <w:ind w:left="5620"/>
        <w:spacing w:after="0"/>
        <w:rPr>
          <w:sz w:val="20"/>
          <w:szCs w:val="20"/>
          <w:color w:val="auto"/>
        </w:rPr>
      </w:pPr>
      <w:r>
        <w:rPr>
          <w:rFonts w:ascii="Courier New" w:cs="Courier New" w:eastAsia="Courier New" w:hAnsi="Courier New"/>
          <w:sz w:val="18"/>
          <w:szCs w:val="18"/>
          <w:color w:val="auto"/>
        </w:rPr>
        <w:t>Eight Roads Shareholdings Limited</w:t>
      </w:r>
    </w:p>
    <w:p>
      <w:pPr>
        <w:spacing w:after="0" w:line="56"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By /s/ Barclay Simmons</w:t>
      </w:r>
    </w:p>
    <w:p>
      <w:pPr>
        <w:ind w:left="5620"/>
        <w:spacing w:after="0" w:line="238" w:lineRule="auto"/>
        <w:rPr>
          <w:sz w:val="20"/>
          <w:szCs w:val="20"/>
          <w:color w:val="auto"/>
        </w:rPr>
      </w:pPr>
      <w:r>
        <w:rPr>
          <w:rFonts w:ascii="Courier New" w:cs="Courier New" w:eastAsia="Courier New" w:hAnsi="Courier New"/>
          <w:sz w:val="20"/>
          <w:szCs w:val="20"/>
          <w:color w:val="auto"/>
        </w:rPr>
        <w:t>Barclay Simmons</w:t>
      </w:r>
    </w:p>
    <w:p>
      <w:pPr>
        <w:ind w:left="5620"/>
        <w:spacing w:after="0"/>
        <w:rPr>
          <w:sz w:val="20"/>
          <w:szCs w:val="20"/>
          <w:color w:val="auto"/>
        </w:rPr>
      </w:pPr>
      <w:r>
        <w:rPr>
          <w:rFonts w:ascii="Courier New" w:cs="Courier New" w:eastAsia="Courier New" w:hAnsi="Courier New"/>
          <w:sz w:val="20"/>
          <w:szCs w:val="20"/>
          <w:color w:val="auto"/>
        </w:rPr>
        <w:t>Director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0" Type="http://schemas.openxmlformats.org/officeDocument/2006/relationships/hyperlink" Target="http://www.sec.gov/cgi-bin/browse-edgar?action=getcompany&amp;CIK=0000318989" TargetMode="External"/><Relationship Id="rId11"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2023-02-02T17:32:47Z</dcterms:created>
  <dcterms:modified xsi:type="dcterms:W3CDTF">2023-02-02T17:32:47Z</dcterms:modified>
</cp:coreProperties>
</file>