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232026_040301.xml.htm"/>
      <w:bookmarkStart w:id="1" w:name="ksform403232026_040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Stevens Raymond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5"/>
        <w:gridCol w:w="901"/>
        <w:gridCol w:w="772"/>
        <w:gridCol w:w="598"/>
        <w:gridCol w:w="344"/>
        <w:gridCol w:w="1007"/>
        <w:gridCol w:w="444"/>
        <w:gridCol w:w="607"/>
        <w:gridCol w:w="126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260,217</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1,401,593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1,554,586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16.82</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322,230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322,230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322,230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three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grant of restricted stock units ("RSUs"), each of which represents a contingent right to receive one Ordinary Share of the Issuer. The RSUs vest 1/4th annually on each anniversary of March 1, 2026, subject to Reporting Person's continued service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Raymond Stevens and Vivian Urena-Stevens, as Co-Trustees of the Stevens 2001 Revocable Trust, dated March 28, 2001.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exercise price per share is equal to the fair market value per Ordinary Share on the grant date based on the trading price of the Issuer's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1/4th of the shares subject to the option shall vest March 1, 2027, and the remaining shares shall vest in 36 equal monthly installments thereafter, subject to the Reporting Person's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8149"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4045</Characters>
  <CharactersWithSpaces>4720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