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1919d1_8k.htm"/>
      <w:bookmarkStart w:id="1" w:name="kstm261919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5123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December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5"/>
      <w:bookmarkEnd w:id="4"/>
      <w:r>
        <w:rPr>
          <w:rFonts w:ascii="Times New Roman;Times;Serif" w:hAnsi="Times New Roman;Times;Serif"/>
          <w:b/>
          <w:i w:val="false"/>
          <w:caps w:val="false"/>
          <w:smallCaps w:val="false"/>
          <w:sz w:val="36"/>
        </w:rPr>
        <w:t>Structure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1_edei--EntityIncorporationStateCo"/>
            <w:bookmarkEnd w:id="5"/>
            <w:r>
              <w:rPr>
                <w:rFonts w:ascii="Times New Roman;Times;Serif" w:hAnsi="Times New Roman;Times;Serif"/>
                <w:b/>
                <w:sz w:val="20"/>
              </w:rPr>
              <w:t>Cayman Islands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51230"/>
            <w:bookmarkEnd w:id="6"/>
            <w:r>
              <w:rPr>
                <w:rFonts w:ascii="Times New Roman;Times;Serif" w:hAnsi="Times New Roman;Times;Serif"/>
                <w:b/>
                <w:sz w:val="20"/>
              </w:rPr>
              <w:t>001-41608</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F_edei--EntityTaxIdentificationNum"/>
            <w:bookmarkEnd w:id="7"/>
            <w:r>
              <w:rPr>
                <w:rFonts w:ascii="Times New Roman;Times;Serif" w:hAnsi="Times New Roman;Times;Serif"/>
                <w:b/>
                <w:sz w:val="20"/>
              </w:rPr>
              <w:t>98-1480821</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601 Gateway Blvd., </w:t>
            </w:r>
            <w:bookmarkStart w:id="9" w:name="xdx_909_edei--EntityAddressAddressLine2_"/>
            <w:bookmarkEnd w:id="9"/>
            <w:r>
              <w:rPr>
                <w:rFonts w:ascii="Times New Roman;Times;Serif" w:hAnsi="Times New Roman;Times;Serif"/>
                <w:b/>
                <w:i w:val="false"/>
                <w:caps w:val="false"/>
                <w:smallCaps w:val="false"/>
                <w:sz w:val="20"/>
              </w:rPr>
              <w:t>Suite 900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South San Francisco, </w:t>
            </w:r>
            <w:bookmarkStart w:id="11" w:name="xdx_90C_edei--EntityAddressStateOrProvin"/>
            <w:bookmarkEnd w:id="11"/>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2" w:name="xdx_90D_edei--EntityAddressPostalZipCode"/>
            <w:bookmarkEnd w:id="12"/>
            <w:r>
              <w:rPr>
                <w:rFonts w:ascii="Times New Roman;Times;Serif" w:hAnsi="Times New Roman;Times;Serif"/>
                <w:b/>
                <w:sz w:val="20"/>
              </w:rPr>
              <w:t>94080</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0_edei--CityAreaCode_c20251230__20"/>
      <w:bookmarkEnd w:id="13"/>
      <w:r>
        <w:rPr>
          <w:rFonts w:ascii="Times New Roman;Times;Serif" w:hAnsi="Times New Roman;Times;Serif"/>
          <w:b/>
          <w:i w:val="false"/>
          <w:caps w:val="false"/>
          <w:smallCaps w:val="false"/>
          <w:sz w:val="20"/>
        </w:rPr>
        <w:t xml:space="preserve">628) </w:t>
      </w:r>
      <w:bookmarkStart w:id="14" w:name="xdx_901_edei--LocalPhoneNumber_c20251230"/>
      <w:bookmarkEnd w:id="14"/>
      <w:r>
        <w:rPr>
          <w:rFonts w:ascii="Times New Roman;Times;Serif" w:hAnsi="Times New Roman;Times;Serif"/>
          <w:b/>
          <w:i w:val="false"/>
          <w:caps w:val="false"/>
          <w:smallCaps w:val="false"/>
          <w:sz w:val="20"/>
        </w:rPr>
        <w:t>229-9277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A_edei--WrittenCommunications_c202"/>
            <w:bookmarkEnd w:id="15"/>
            <w:r>
              <w:rPr/>
              <w:t>☐</w:t>
            </w:r>
          </w:p>
        </w:tc>
        <w:tc>
          <w:tcPr>
            <w:tcW w:w="7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F_edei--SolicitingMaterial_c202512"/>
            <w:bookmarkEnd w:id="16"/>
            <w:r>
              <w:rPr/>
              <w:t>☐</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7_edei--PreCommencementTenderOffer"/>
            <w:bookmarkEnd w:id="17"/>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2_edei--PreCommencementIssuerTende"/>
            <w:bookmarkEnd w:id="18"/>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570" w:type="dxa"/>
        <w:jc w:val="left"/>
        <w:tblInd w:w="0" w:type="dxa"/>
        <w:tblLayout w:type="fixed"/>
        <w:tblCellMar>
          <w:top w:w="0" w:type="dxa"/>
          <w:left w:w="0" w:type="dxa"/>
          <w:bottom w:w="28" w:type="dxa"/>
          <w:right w:w="0" w:type="dxa"/>
        </w:tblCellMar>
      </w:tblPr>
      <w:tblGrid>
        <w:gridCol w:w="4895"/>
        <w:gridCol w:w="60"/>
        <w:gridCol w:w="2585"/>
        <w:gridCol w:w="60"/>
        <w:gridCol w:w="1970"/>
      </w:tblGrid>
      <w:tr>
        <w:trPr/>
        <w:tc>
          <w:tcPr>
            <w:tcW w:w="48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2585" w:type="dxa"/>
            <w:tcBorders>
              <w:bottom w:val="single" w:sz="8" w:space="0" w:color="000000"/>
            </w:tcBorders>
            <w:vAlign w:val="center"/>
          </w:tcPr>
          <w:p>
            <w:pPr>
              <w:pStyle w:val="TableContents"/>
              <w:bidi w:val="0"/>
              <w:spacing w:before="0" w:after="283"/>
              <w:jc w:val="center"/>
              <w:rPr>
                <w:b/>
              </w:rPr>
            </w:pPr>
            <w:r>
              <w:rPr>
                <w:b/>
              </w:rPr>
              <w:t>Name Of Each Exchange</w:t>
              <w:br/>
            </w: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1970" w:type="dxa"/>
            <w:tcBorders>
              <w:bottom w:val="single" w:sz="8" w:space="0" w:color="000000"/>
            </w:tcBorders>
            <w:vAlign w:val="center"/>
          </w:tcPr>
          <w:p>
            <w:pPr>
              <w:pStyle w:val="TableContents"/>
              <w:bidi w:val="0"/>
              <w:spacing w:before="0" w:after="283"/>
              <w:jc w:val="center"/>
              <w:rPr/>
            </w:pPr>
            <w:r>
              <w:rPr/>
              <w:t> </w:t>
            </w:r>
            <w:r>
              <w:rPr>
                <w:b/>
              </w:rPr>
              <w:t>O</w:t>
            </w:r>
            <w:r>
              <w:rPr>
                <w:rFonts w:ascii="Times New Roman;Times;Serif" w:hAnsi="Times New Roman;Times;Serif"/>
                <w:b/>
                <w:sz w:val="20"/>
              </w:rPr>
              <w:t>n Which Registered</w:t>
            </w:r>
          </w:p>
        </w:tc>
      </w:tr>
      <w:tr>
        <w:trPr/>
        <w:tc>
          <w:tcPr>
            <w:tcW w:w="489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1_edei--Security12bTitle_c20251230"/>
            <w:bookmarkEnd w:id="19"/>
            <w:r>
              <w:rPr>
                <w:rFonts w:ascii="Times New Roman;Times;Serif" w:hAnsi="Times New Roman;Times;Serif"/>
                <w:sz w:val="20"/>
              </w:rPr>
              <w:t>American Depositary Shares (ADSs), each representing three</w:t>
              <w:br/>
              <w:t>ordinary shares, par value $0.0001 per ordinary share</w:t>
            </w:r>
          </w:p>
        </w:tc>
        <w:tc>
          <w:tcPr>
            <w:tcW w:w="60" w:type="dxa"/>
            <w:tcBorders/>
            <w:tcMar>
              <w:bottom w:w="0" w:type="dxa"/>
            </w:tcMar>
            <w:vAlign w:val="center"/>
          </w:tcPr>
          <w:p>
            <w:pPr>
              <w:pStyle w:val="TableContents"/>
              <w:bidi w:val="0"/>
              <w:spacing w:before="0" w:after="283"/>
              <w:jc w:val="center"/>
              <w:rPr/>
            </w:pPr>
            <w:r>
              <w:rPr/>
              <w:t> </w:t>
            </w:r>
          </w:p>
        </w:tc>
        <w:tc>
          <w:tcPr>
            <w:tcW w:w="258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3_edei--TradingSymbol_c20251230__2"/>
            <w:bookmarkEnd w:id="20"/>
            <w:r>
              <w:rPr>
                <w:rFonts w:ascii="Times New Roman;Times;Serif" w:hAnsi="Times New Roman;Times;Serif"/>
                <w:sz w:val="20"/>
              </w:rPr>
              <w:t>GPCR</w:t>
            </w:r>
          </w:p>
        </w:tc>
        <w:tc>
          <w:tcPr>
            <w:tcW w:w="60" w:type="dxa"/>
            <w:tcBorders/>
            <w:tcMar>
              <w:bottom w:w="0" w:type="dxa"/>
            </w:tcMar>
            <w:vAlign w:val="center"/>
          </w:tcPr>
          <w:p>
            <w:pPr>
              <w:pStyle w:val="TableContents"/>
              <w:bidi w:val="0"/>
              <w:spacing w:before="0" w:after="283"/>
              <w:jc w:val="center"/>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3_edei--SecurityExchangeName_c2025"/>
            <w:bookmarkEnd w:id="21"/>
            <w:r>
              <w:rPr>
                <w:rFonts w:ascii="Times New Roman;Times;Serif" w:hAnsi="Times New Roman;Times;Serif"/>
                <w:sz w:val="20"/>
              </w:rPr>
              <w:t>Nasdaq Global Market</w:t>
            </w:r>
          </w:p>
        </w:tc>
      </w:tr>
      <w:tr>
        <w:trPr/>
        <w:tc>
          <w:tcPr>
            <w:tcW w:w="4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left"/>
              <w:rPr/>
            </w:pPr>
            <w:r>
              <w:rPr/>
              <w:t> </w:t>
            </w:r>
          </w:p>
        </w:tc>
      </w:tr>
      <w:tr>
        <w:trPr/>
        <w:tc>
          <w:tcPr>
            <w:tcW w:w="489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4_edei--Security12bTitle_c20251230"/>
            <w:bookmarkEnd w:id="22"/>
            <w:r>
              <w:rPr>
                <w:rFonts w:ascii="Times New Roman;Times;Serif" w:hAnsi="Times New Roman;Times;Serif"/>
                <w:sz w:val="20"/>
              </w:rPr>
              <w:t>Ordinary shares, par value $0.0001 per share*</w:t>
            </w:r>
          </w:p>
        </w:tc>
        <w:tc>
          <w:tcPr>
            <w:tcW w:w="60" w:type="dxa"/>
            <w:tcBorders/>
            <w:tcMar>
              <w:bottom w:w="0" w:type="dxa"/>
            </w:tcMar>
            <w:vAlign w:val="center"/>
          </w:tcPr>
          <w:p>
            <w:pPr>
              <w:pStyle w:val="TableContents"/>
              <w:bidi w:val="0"/>
              <w:spacing w:before="0" w:after="283"/>
              <w:jc w:val="left"/>
              <w:rPr/>
            </w:pPr>
            <w:r>
              <w:rPr/>
              <w:t> </w:t>
            </w:r>
          </w:p>
        </w:tc>
        <w:tc>
          <w:tcPr>
            <w:tcW w:w="2585" w:type="dxa"/>
            <w:tcBorders/>
            <w:tcMar>
              <w:bottom w:w="0" w:type="dxa"/>
            </w:tcMar>
            <w:vAlign w:val="center"/>
          </w:tcPr>
          <w:p>
            <w:pPr>
              <w:pStyle w:val="TableContents"/>
              <w:bidi w:val="0"/>
              <w:spacing w:before="0" w:after="283"/>
              <w:jc w:val="center"/>
              <w:rPr/>
            </w:pPr>
            <w:bookmarkStart w:id="23" w:name="xdx_90D_edei--NoTradingSymbolFlag_dxL_c2"/>
            <w:bookmarkEnd w:id="23"/>
            <w:r>
              <w:rPr/>
              <w:t>True</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1_edei--SecurityExchangeName_c2025"/>
            <w:bookmarkEnd w:id="24"/>
            <w:r>
              <w:rPr>
                <w:rFonts w:ascii="Times New Roman;Times;Serif" w:hAnsi="Times New Roman;Times;Serif"/>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Not for trading, but only in connection with the registration of the 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E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Gasherbrum Bio, Inc. (“Gasherbrum”), a wholly-owned subsidiary of Structure Therapeutics Inc. (the “Company”), entered into an agreement (the “GNE Agreement”) with Genentech, Inc. (“Genentech”) and F. Hoffmann-La Roche Ltd (“Roche” and together with Genentech, “GNE”) that was the culmination of discussions initiated by Genentech’s inquiry regarding the availability of a license to certain patents of Gasherbrum that cover a class of oral GLP-1 receptor agonists that is different from aleniglipron. Under the GNE Agreement, Gasherbrum, on behalf of itself and its affiliates, granted to GNE and its affiliates a non-exclusive, sublicensable, royalty-bearing license, under certain patents owned or controlled by Gasherbrum or its affiliates (“Licensed Patents”), to make, use, sell, offer for sale and import products that contain CT-996, a proprietary compound owned by GNE, as an active ingredient (“GNE Products”) and a covenant not to assert certain potential future patents with respect to GNE’s and its affiliates’ manufacture, use, sale, offer for sale or importation of GNE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Genentech will pay Gasherbrum a one-time, non-refundable payment of $100 million within thirty (30) days after execution of the GNE Agreement. Genentech agreed to pay Gasherbrum royalties at a low single digit rate on net sales of GNE Products on a country-by-country basis until the expiration of the last valid claim of a Licensed Patent, or, if sooner, a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non-exclusive license granted under the GNE Agreement does not encumber any of the Company’s ongoing programs, including aleniglipron and other GLP-1 receptor agonists, dual amylin and calcitonin receptor agonists such as ACCG-2671 and ACCG-3535, and modulators of GIPR and GCGR. GNE and its affiliates do not have any patent prosecution or enforcement rights with respect to the Licensed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terminate the GNE Agreement for the other party’s uncured material breach, and Gasherbrum may terminate the GNE Agreement if GNE or any of its affiliates or sublicensees commences a patent challenge of any Licensed Patent, subject to customary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GNE Agreement does not purport to be complete and is qualified in its entirety by reference to the full text of the GNE Agreement, a copy of which will be filed as an exhibit to the Company’s Annual Report on Form 10-K for the year ending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55" w:type="dxa"/>
        <w:jc w:val="left"/>
        <w:tblInd w:w="0" w:type="dxa"/>
        <w:tblLayout w:type="fixed"/>
        <w:tblCellMar>
          <w:top w:w="0" w:type="dxa"/>
          <w:left w:w="0" w:type="dxa"/>
          <w:bottom w:w="0" w:type="dxa"/>
          <w:right w:w="0" w:type="dxa"/>
        </w:tblCellMar>
      </w:tblPr>
      <w:tblGrid>
        <w:gridCol w:w="1805"/>
        <w:gridCol w:w="320"/>
        <w:gridCol w:w="2030"/>
      </w:tblGrid>
      <w:tr>
        <w:trPr/>
        <w:tc>
          <w:tcPr>
            <w:tcW w:w="1805" w:type="dxa"/>
            <w:tcBorders/>
            <w:vAlign w:val="center"/>
          </w:tcPr>
          <w:p>
            <w:pPr>
              <w:pStyle w:val="TableContents"/>
              <w:bidi w:val="0"/>
              <w:spacing w:before="0" w:after="283"/>
              <w:jc w:val="left"/>
              <w:rPr/>
            </w:pPr>
            <w:r>
              <w:rPr/>
              <w:t> </w:t>
            </w:r>
          </w:p>
        </w:tc>
        <w:tc>
          <w:tcPr>
            <w:tcW w:w="2350" w:type="dxa"/>
            <w:gridSpan w:val="2"/>
            <w:tcBorders/>
            <w:vAlign w:val="center"/>
          </w:tcPr>
          <w:p>
            <w:pPr>
              <w:pStyle w:val="TableContents"/>
              <w:bidi w:val="0"/>
              <w:spacing w:before="0" w:after="283"/>
              <w:jc w:val="left"/>
              <w:rPr>
                <w:b/>
                <w:sz w:val="20"/>
              </w:rPr>
            </w:pPr>
            <w:r>
              <w:rPr>
                <w:b/>
                <w:sz w:val="20"/>
              </w:rPr>
              <w:t>Structure Therapeutics Inc.</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20"/>
              </w:rPr>
            </w:pPr>
            <w:r>
              <w:rPr>
                <w:sz w:val="20"/>
              </w:rPr>
              <w:t>Date: January 5, 2026</w:t>
            </w:r>
          </w:p>
        </w:tc>
        <w:tc>
          <w:tcPr>
            <w:tcW w:w="320" w:type="dxa"/>
            <w:tcBorders/>
            <w:vAlign w:val="center"/>
          </w:tcPr>
          <w:p>
            <w:pPr>
              <w:pStyle w:val="TableContents"/>
              <w:bidi w:val="0"/>
              <w:spacing w:before="0" w:after="283"/>
              <w:jc w:val="left"/>
              <w:rPr>
                <w:sz w:val="20"/>
              </w:rPr>
            </w:pPr>
            <w:r>
              <w:rPr>
                <w:sz w:val="20"/>
              </w:rPr>
              <w:t>By:</w:t>
            </w:r>
          </w:p>
        </w:tc>
        <w:tc>
          <w:tcPr>
            <w:tcW w:w="203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Raymond Stevens</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sz w:val="20"/>
              </w:rPr>
            </w:pPr>
            <w:r>
              <w:rPr>
                <w:sz w:val="20"/>
              </w:rPr>
              <w:t>Raymond Stevens, Ph.D.</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781</Words>
  <Characters>4335</Characters>
  <CharactersWithSpaces>5139</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