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7472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Stevens Raymond C</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20" w:type="dxa"/>
            <w:vAlign w:val="bottom"/>
          </w:tcPr>
          <w:p>
            <w:pPr>
              <w:ind w:left="40"/>
              <w:spacing w:after="0"/>
              <w:rPr>
                <w:sz w:val="20"/>
                <w:szCs w:val="20"/>
                <w:color w:val="auto"/>
              </w:rPr>
            </w:pPr>
            <w:r>
              <w:rPr>
                <w:rFonts w:ascii="Arial" w:cs="Arial" w:eastAsia="Arial" w:hAnsi="Arial"/>
                <w:sz w:val="13"/>
                <w:szCs w:val="13"/>
                <w:color w:val="auto"/>
              </w:rPr>
              <w:t>(Last)</w:t>
            </w:r>
          </w:p>
        </w:tc>
        <w:tc>
          <w:tcPr>
            <w:tcW w:w="1360" w:type="dxa"/>
            <w:vAlign w:val="bottom"/>
          </w:tcPr>
          <w:p>
            <w:pPr>
              <w:ind w:left="140"/>
              <w:spacing w:after="0"/>
              <w:rPr>
                <w:sz w:val="20"/>
                <w:szCs w:val="20"/>
                <w:color w:val="auto"/>
              </w:rPr>
            </w:pPr>
            <w:r>
              <w:rPr>
                <w:rFonts w:ascii="Arial" w:cs="Arial" w:eastAsia="Arial" w:hAnsi="Arial"/>
                <w:sz w:val="13"/>
                <w:szCs w:val="13"/>
                <w:color w:val="auto"/>
              </w:rPr>
              <w:t>(First)</w:t>
            </w:r>
          </w:p>
        </w:tc>
        <w:tc>
          <w:tcPr>
            <w:tcW w:w="480" w:type="dxa"/>
            <w:vAlign w:val="bottom"/>
          </w:tcPr>
          <w:p>
            <w:pPr>
              <w:spacing w:after="0"/>
              <w:rPr>
                <w:sz w:val="20"/>
                <w:szCs w:val="20"/>
                <w:color w:val="auto"/>
              </w:rPr>
            </w:pPr>
            <w:r>
              <w:rPr>
                <w:rFonts w:ascii="Arial" w:cs="Arial" w:eastAsia="Arial" w:hAnsi="Arial"/>
                <w:sz w:val="13"/>
                <w:szCs w:val="13"/>
                <w:color w:val="auto"/>
                <w:w w:val="97"/>
              </w:rPr>
              <w:t>(Middle)</w:t>
            </w:r>
          </w:p>
        </w:tc>
        <w:tc>
          <w:tcPr>
            <w:tcW w:w="0" w:type="dxa"/>
            <w:vAlign w:val="bottom"/>
          </w:tcPr>
          <w:p>
            <w:pPr>
              <w:spacing w:after="0"/>
              <w:rPr>
                <w:sz w:val="1"/>
                <w:szCs w:val="1"/>
                <w:color w:val="auto"/>
              </w:rPr>
            </w:pPr>
          </w:p>
        </w:tc>
      </w:tr>
      <w:tr>
        <w:trPr>
          <w:trHeight w:val="265"/>
        </w:trPr>
        <w:tc>
          <w:tcPr>
            <w:tcW w:w="29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w w:val="96"/>
              </w:rPr>
              <w:t>C/O STRUCTURE THERAPEUTICS INC.</w:t>
            </w:r>
          </w:p>
        </w:tc>
        <w:tc>
          <w:tcPr>
            <w:tcW w:w="0" w:type="dxa"/>
            <w:vAlign w:val="bottom"/>
          </w:tcPr>
          <w:p>
            <w:pPr>
              <w:spacing w:after="0"/>
              <w:rPr>
                <w:sz w:val="1"/>
                <w:szCs w:val="1"/>
                <w:color w:val="auto"/>
              </w:rPr>
            </w:pPr>
          </w:p>
        </w:tc>
      </w:tr>
      <w:tr>
        <w:trPr>
          <w:trHeight w:val="255"/>
        </w:trPr>
        <w:tc>
          <w:tcPr>
            <w:tcW w:w="24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4"/>
              </w:rPr>
              <w:t>601 GATEWAY BLVD., SUITE 900</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3"/>
        </w:trPr>
        <w:tc>
          <w:tcPr>
            <w:tcW w:w="1120" w:type="dxa"/>
            <w:vAlign w:val="bottom"/>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1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SOUTH SAN</w:t>
            </w:r>
          </w:p>
        </w:tc>
        <w:tc>
          <w:tcPr>
            <w:tcW w:w="1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4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2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1"/>
        </w:trPr>
        <w:tc>
          <w:tcPr>
            <w:tcW w:w="1120" w:type="dxa"/>
            <w:vAlign w:val="bottom"/>
          </w:tcPr>
          <w:p>
            <w:pPr>
              <w:ind w:left="40"/>
              <w:spacing w:after="0"/>
              <w:rPr>
                <w:sz w:val="20"/>
                <w:szCs w:val="20"/>
                <w:color w:val="auto"/>
              </w:rPr>
            </w:pPr>
            <w:r>
              <w:rPr>
                <w:rFonts w:ascii="Arial" w:cs="Arial" w:eastAsia="Arial" w:hAnsi="Arial"/>
                <w:sz w:val="13"/>
                <w:szCs w:val="13"/>
                <w:color w:val="auto"/>
              </w:rPr>
              <w:t>(City)</w:t>
            </w:r>
          </w:p>
        </w:tc>
        <w:tc>
          <w:tcPr>
            <w:tcW w:w="1360" w:type="dxa"/>
            <w:vAlign w:val="bottom"/>
          </w:tcPr>
          <w:p>
            <w:pPr>
              <w:ind w:left="140"/>
              <w:spacing w:after="0"/>
              <w:rPr>
                <w:sz w:val="20"/>
                <w:szCs w:val="20"/>
                <w:color w:val="auto"/>
              </w:rPr>
            </w:pPr>
            <w:r>
              <w:rPr>
                <w:rFonts w:ascii="Arial" w:cs="Arial" w:eastAsia="Arial" w:hAnsi="Arial"/>
                <w:sz w:val="13"/>
                <w:szCs w:val="13"/>
                <w:color w:val="auto"/>
              </w:rPr>
              <w:t>(State)</w:t>
            </w:r>
          </w:p>
        </w:tc>
        <w:tc>
          <w:tcPr>
            <w:tcW w:w="480" w:type="dxa"/>
            <w:vAlign w:val="bottom"/>
          </w:tcPr>
          <w:p>
            <w:pPr>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3"/>
          </w:tcPr>
          <w:p>
            <w:pPr>
              <w:ind w:left="8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Structure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GPCR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18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8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3840" w:type="dxa"/>
            <w:vAlign w:val="bottom"/>
            <w:gridSpan w:val="3"/>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03/15/2024</w:t>
            </w:r>
          </w:p>
        </w:tc>
        <w:tc>
          <w:tcPr>
            <w:tcW w:w="1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280" w:type="dxa"/>
            <w:vAlign w:val="bottom"/>
            <w:gridSpan w:val="2"/>
            <w:vMerge w:val="continue"/>
          </w:tcPr>
          <w:p>
            <w:pPr>
              <w:spacing w:after="0"/>
              <w:rPr>
                <w:sz w:val="10"/>
                <w:szCs w:val="10"/>
                <w:color w:val="auto"/>
              </w:rPr>
            </w:pPr>
          </w:p>
        </w:tc>
        <w:tc>
          <w:tcPr>
            <w:tcW w:w="1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8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8"/>
        </w:trPr>
        <w:tc>
          <w:tcPr>
            <w:tcW w:w="2280" w:type="dxa"/>
            <w:vAlign w:val="bottom"/>
            <w:gridSpan w:val="2"/>
          </w:tcPr>
          <w:p>
            <w:pPr>
              <w:ind w:left="80"/>
              <w:spacing w:after="0" w:line="178" w:lineRule="exact"/>
              <w:rPr>
                <w:sz w:val="20"/>
                <w:szCs w:val="20"/>
                <w:color w:val="auto"/>
              </w:rPr>
            </w:pPr>
            <w:r>
              <w:rPr>
                <w:rFonts w:ascii="Times New Roman" w:cs="Times New Roman" w:eastAsia="Times New Roman" w:hAnsi="Times New Roman"/>
                <w:sz w:val="17"/>
                <w:szCs w:val="17"/>
                <w:color w:val="0000FF"/>
              </w:rPr>
              <w:t>03/19/2024</w:t>
            </w:r>
          </w:p>
        </w:tc>
        <w:tc>
          <w:tcPr>
            <w:tcW w:w="1560" w:type="dxa"/>
            <w:vAlign w:val="bottom"/>
          </w:tcPr>
          <w:p>
            <w:pPr>
              <w:spacing w:after="0"/>
              <w:rPr>
                <w:sz w:val="15"/>
                <w:szCs w:val="15"/>
                <w:color w:val="auto"/>
              </w:rPr>
            </w:pPr>
          </w:p>
        </w:tc>
        <w:tc>
          <w:tcPr>
            <w:tcW w:w="460" w:type="dxa"/>
            <w:vAlign w:val="bottom"/>
          </w:tcPr>
          <w:p>
            <w:pPr>
              <w:ind w:left="60"/>
              <w:spacing w:after="0"/>
              <w:rPr>
                <w:sz w:val="20"/>
                <w:szCs w:val="20"/>
                <w:color w:val="auto"/>
              </w:rPr>
            </w:pPr>
            <w:r>
              <w:rPr>
                <w:rFonts w:ascii="Arial" w:cs="Arial" w:eastAsia="Arial" w:hAnsi="Arial"/>
                <w:sz w:val="13"/>
                <w:szCs w:val="13"/>
                <w:color w:val="auto"/>
              </w:rPr>
              <w:t>Line)</w:t>
            </w:r>
          </w:p>
        </w:tc>
        <w:tc>
          <w:tcPr>
            <w:tcW w:w="1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8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11.75</w:t>
            </w:r>
            <w:r>
              <w:rPr>
                <w:rFonts w:ascii="Times New Roman" w:cs="Times New Roman" w:eastAsia="Times New Roman" w:hAnsi="Times New Roman"/>
                <w:sz w:val="21"/>
                <w:szCs w:val="21"/>
                <w:color w:val="008000"/>
                <w:vertAlign w:val="superscript"/>
              </w:rPr>
              <w:t>(1)</w:t>
            </w:r>
          </w:p>
        </w:tc>
        <w:tc>
          <w:tcPr>
            <w:tcW w:w="1080" w:type="dxa"/>
            <w:vAlign w:val="bottom"/>
            <w:vMerge w:val="restart"/>
          </w:tcPr>
          <w:p>
            <w:pPr>
              <w:jc w:val="right"/>
              <w:ind w:right="181"/>
              <w:spacing w:after="0"/>
              <w:rPr>
                <w:sz w:val="20"/>
                <w:szCs w:val="20"/>
                <w:color w:val="auto"/>
              </w:rPr>
            </w:pPr>
            <w:r>
              <w:rPr>
                <w:rFonts w:ascii="Times New Roman" w:cs="Times New Roman" w:eastAsia="Times New Roman" w:hAnsi="Times New Roman"/>
                <w:sz w:val="13"/>
                <w:szCs w:val="13"/>
                <w:color w:val="0000FF"/>
              </w:rPr>
              <w:t>03/15/2024</w:t>
            </w:r>
          </w:p>
        </w:tc>
        <w:tc>
          <w:tcPr>
            <w:tcW w:w="1060" w:type="dxa"/>
            <w:vAlign w:val="bottom"/>
          </w:tcPr>
          <w:p>
            <w:pPr>
              <w:spacing w:after="0"/>
              <w:rPr>
                <w:sz w:val="11"/>
                <w:szCs w:val="1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335,481</w:t>
            </w:r>
          </w:p>
        </w:tc>
        <w:tc>
          <w:tcPr>
            <w:tcW w:w="220" w:type="dxa"/>
            <w:vAlign w:val="bottom"/>
          </w:tcPr>
          <w:p>
            <w:pPr>
              <w:spacing w:after="0"/>
              <w:rPr>
                <w:sz w:val="11"/>
                <w:szCs w:val="11"/>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03/14/2034</w:t>
            </w:r>
          </w:p>
        </w:tc>
        <w:tc>
          <w:tcPr>
            <w:tcW w:w="660" w:type="dxa"/>
            <w:vAlign w:val="bottom"/>
            <w:vMerge w:val="continue"/>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335,481</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335,481</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60" w:type="dxa"/>
            <w:vAlign w:val="bottom"/>
          </w:tcPr>
          <w:p>
            <w:pPr>
              <w:ind w:left="60"/>
              <w:spacing w:after="0" w:line="167" w:lineRule="exact"/>
              <w:rPr>
                <w:sz w:val="20"/>
                <w:szCs w:val="20"/>
                <w:color w:val="auto"/>
              </w:rPr>
            </w:pPr>
            <w:r>
              <w:rPr>
                <w:rFonts w:ascii="Times New Roman" w:cs="Times New Roman" w:eastAsia="Times New Roman" w:hAnsi="Times New Roman"/>
                <w:sz w:val="12"/>
                <w:szCs w:val="12"/>
                <w:color w:val="0000FF"/>
              </w:rPr>
              <w:t>Shares</w:t>
            </w:r>
            <w:r>
              <w:rPr>
                <w:rFonts w:ascii="Times New Roman" w:cs="Times New Roman" w:eastAsia="Times New Roman" w:hAnsi="Times New Roman"/>
                <w:sz w:val="19"/>
                <w:szCs w:val="19"/>
                <w:color w:val="008000"/>
                <w:vertAlign w:val="superscript"/>
              </w:rPr>
              <w:t>(3)</w:t>
            </w:r>
          </w:p>
        </w:tc>
        <w:tc>
          <w:tcPr>
            <w:tcW w:w="6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4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amendment is being filed to correct the exercise price as that of the Ordinary Shares rather than the American Depositary Shares ("ADSs"). The option exercise price per share is equal to the fair market value per Ordinary Share on the grant date based on the trading price of the Issuer's ADSs.</w:t>
      </w:r>
    </w:p>
    <w:p>
      <w:pPr>
        <w:spacing w:after="0" w:line="19" w:lineRule="exact"/>
        <w:rPr>
          <w:rFonts w:ascii="Times New Roman" w:cs="Times New Roman" w:eastAsia="Times New Roman" w:hAnsi="Times New Roman"/>
          <w:sz w:val="13"/>
          <w:szCs w:val="13"/>
          <w:color w:val="008000"/>
        </w:rPr>
      </w:pPr>
    </w:p>
    <w:p>
      <w:pPr>
        <w:ind w:left="40" w:right="2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1/4th of the shares subject to the option shall vest March 1, 2025, and the remaining shares shall vest in 36 equal monthly installments thereafter, subject to the Reporting Person's continued service through each such vesting date.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Ordinary Shares of the Issuer may be represented by ADSs. Each ADS represents three Ordinary Shares of the Issuer.</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Jun Yoon, Attorney-in-Fact</w:t>
            </w:r>
          </w:p>
        </w:tc>
        <w:tc>
          <w:tcPr>
            <w:tcW w:w="1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03/20/2024</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8149" TargetMode="External"/><Relationship Id="rId13" Type="http://schemas.openxmlformats.org/officeDocument/2006/relationships/hyperlink" Target="http://www.sec.gov/cgi-bin/browse-edgar?action=getcompany&amp;CIK=00018888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2024-03-20T18:36:32Z</dcterms:created>
  <dcterms:modified xsi:type="dcterms:W3CDTF">2024-03-20T18:36:32Z</dcterms:modified>
</cp:coreProperties>
</file>