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DOBMEIER ERIC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Structure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GPCR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C/O STRUCTURE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 GATEWAY BLVD., SUITE 223</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12/18/2032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80,000</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3.36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1/3rd of the shares shall vest one year after December 20, 2022 (the "Vesting Commencement Date"); the balance of the shares vest in a series of 24 successive equal monthly installments measured from the first anniversary of the Vesting Commencement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Jun Yoon, Attorney-in-</w:t>
            </w:r>
          </w:p>
        </w:tc>
        <w:tc>
          <w:tcPr>
            <w:tcW w:w="3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Raymond Stevens and Jun Yoon of Structure Therapeutics, Inc. (the "Company"), signing individually, the undersigned's true and lawful attorney-in-fact and agent to:</w:t>
      </w:r>
    </w:p>
    <w:p>
      <w:pPr>
        <w:spacing w:after="0" w:line="87" w:lineRule="exact"/>
        <w:rPr>
          <w:sz w:val="20"/>
          <w:szCs w:val="20"/>
          <w:color w:val="auto"/>
        </w:rPr>
      </w:pPr>
    </w:p>
    <w:p>
      <w:pPr>
        <w:ind w:right="61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87" w:lineRule="exact"/>
        <w:rPr>
          <w:rFonts w:ascii="Courier New" w:cs="Courier New" w:eastAsia="Courier New" w:hAnsi="Courier New"/>
          <w:sz w:val="20"/>
          <w:szCs w:val="20"/>
          <w:color w:val="auto"/>
        </w:rPr>
      </w:pPr>
    </w:p>
    <w:p>
      <w:pPr>
        <w:ind w:right="83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17" w:lineRule="exact"/>
        <w:rPr>
          <w:sz w:val="20"/>
          <w:szCs w:val="20"/>
          <w:color w:val="auto"/>
        </w:rPr>
      </w:pPr>
    </w:p>
    <w:p>
      <w:pPr>
        <w:ind w:right="73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103"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January, 2023.</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Eric Dobmeier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2785" TargetMode="External"/><Relationship Id="rId11"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2023-02-02T17:32:03Z</dcterms:created>
  <dcterms:modified xsi:type="dcterms:W3CDTF">2023-02-02T17:32:03Z</dcterms:modified>
</cp:coreProperties>
</file>