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Structure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001-41608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98-1480821</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2920" w:space="720"/>
            <w:col w:w="2500"/>
          </w:cols>
          <w:pgMar w:left="320" w:top="503" w:right="339" w:bottom="1440" w:gutter="0" w:footer="0" w:header="0"/>
          <w:type w:val="continuous"/>
        </w:sectPr>
      </w:pPr>
    </w:p>
    <w:p>
      <w:pPr>
        <w:spacing w:after="0" w:line="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611 Gateway Blvd., Suite 223</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0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(628) 229-9277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6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w:t>
            </w: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Which Registered</w:t>
            </w:r>
          </w:p>
        </w:tc>
      </w:tr>
      <w:tr>
        <w:trPr>
          <w:trHeight w:val="195"/>
        </w:trPr>
        <w:tc>
          <w:tcPr>
            <w:tcW w:w="4940" w:type="dxa"/>
            <w:vAlign w:val="bottom"/>
          </w:tcPr>
          <w:p>
            <w:pPr>
              <w:jc w:val="center"/>
              <w:spacing w:after="0" w:line="195" w:lineRule="exact"/>
              <w:rPr>
                <w:sz w:val="20"/>
                <w:szCs w:val="20"/>
                <w:color w:val="auto"/>
              </w:rPr>
            </w:pPr>
            <w:r>
              <w:rPr>
                <w:rFonts w:ascii="Arial" w:cs="Arial" w:eastAsia="Arial" w:hAnsi="Arial"/>
                <w:sz w:val="18"/>
                <w:szCs w:val="18"/>
                <w:color w:val="auto"/>
                <w:w w:val="90"/>
              </w:rPr>
              <w:t>American Depositary Shares (ADSs), each representing three</w:t>
            </w:r>
          </w:p>
        </w:tc>
        <w:tc>
          <w:tcPr>
            <w:tcW w:w="24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color w:val="auto"/>
                <w:w w:val="92"/>
              </w:rPr>
              <w:t>GPCR</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4940" w:type="dxa"/>
            <w:vAlign w:val="bottom"/>
          </w:tcPr>
          <w:p>
            <w:pPr>
              <w:jc w:val="center"/>
              <w:spacing w:after="0"/>
              <w:rPr>
                <w:sz w:val="20"/>
                <w:szCs w:val="20"/>
                <w:color w:val="auto"/>
              </w:rPr>
            </w:pPr>
            <w:r>
              <w:rPr>
                <w:rFonts w:ascii="Arial" w:cs="Arial" w:eastAsia="Arial" w:hAnsi="Arial"/>
                <w:sz w:val="18"/>
                <w:szCs w:val="18"/>
                <w:color w:val="auto"/>
                <w:w w:val="89"/>
              </w:rPr>
              <w:t>ordinary shares, par value $0.0001 per ordinary share</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940" w:type="dxa"/>
            <w:vAlign w:val="bottom"/>
          </w:tcPr>
          <w:p>
            <w:pPr>
              <w:jc w:val="center"/>
              <w:spacing w:after="0"/>
              <w:rPr>
                <w:sz w:val="20"/>
                <w:szCs w:val="20"/>
                <w:color w:val="auto"/>
              </w:rPr>
            </w:pPr>
            <w:r>
              <w:rPr>
                <w:rFonts w:ascii="Arial" w:cs="Arial" w:eastAsia="Arial" w:hAnsi="Arial"/>
                <w:sz w:val="18"/>
                <w:szCs w:val="18"/>
                <w:color w:val="auto"/>
                <w:w w:val="89"/>
              </w:rPr>
              <w:t>Ordinary shares, par value $0.0001 per share*</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Not for trading, but only in connection with the registration of the American Depositary Shares</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Dismissal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30, 2023, the Audit Committee (the “Audit Committee”) of the Board of Directors of Structure Therapeutics Inc. (the “Company”) approved the dismissal of PricewaterhouseCoopers LLP (“PwC”) as the Company’s independent registered public accounting firm. On May 31, 2023, PwC was informed that they were dismissed.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PwC’s audit reports on the Company’s financial statements for the years ended December 31, 2022 and 2021 did not contain an adverse opinion or a disclaimer of opinion and were not qualified or modified as to uncertainty, audit scope or accounting principles.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Company’s fiscal years ended December 31, 2022 and 2021, and the subsequent interim period through May 31, 2023: (1) there were no “disagreements” (as defined in Item 304(a)(1)(iv) of Regulation S-K and the related instructions to Item 304) with PwC on any matter of accounting principles or practices, financial statement disclosure, or auditing scope or procedure, which disagreements, if not resolved to the satisfaction of PwC, would have caused PwC to make reference to the subject matter of such disagreements in connection with its reports on the financial statements for such periods and (2) there were no “reportable events” (as defined in Item 304(a)(1)(v) of Regulation S-K), except for the disclosure of the following material weaknesses in the Company’s internal control over financial reporting which existed during the Company’s fiscal years ended December 31, 2022 and 2021 and the subsequent interim period through May 31, 2023, as disclosed in Part II, Item 9A of the Company’s Annual Report on Form 10-K for the year ended December 31, 2022 and Part I, Item 4 of the Company’s Quarterly Report on Form 10-Q for the quarter ended March 31, 2023: (a) the Company did not design and maintain an effective control environment commensurate with the Company’s financial reporting requirements; (b) the Company did not design and maintain effective controls to ensure adequate segregation of duties within its financial reporting function; and (c) the Company did not design and maintain effective controls over certain information technology general controls for information systems that are relevant to the preparation of its financial statements.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provided PwC with a copy of this report prior to its filing with the Securities and Exchange Commission (the “SEC”) and requested that PwC furnish the Company with a letter addressed to the SEC stating whether PwC agrees with the statements made by the Company in this report and, if not, stating the respects, if any, in which PwC does not agree with such statements. A copy of the letter from PwC is filed with this Current Report on Form 8-K as Exhibit 16.1.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Engagement of New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30, 2023, the Audit Committee approved the engagement of Ernst &amp; Young LLP (“EY”) as the Company’s independent registered public accounting firm for the fiscal year ending December 31, 2023. On May 31, 2023, EY was appointed as the Company’s independent registered public accounting firm, effective subsequent to the communication of PwC’s dismissal.</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Company’s fiscal years ended December 31, 2022 and 2021, and the subsequent interim period through May 31, 2023, neither the Company nor anyone acting on its behalf consulted with EY regarding: (i) the application of accounting principles to a specified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within the meaning of Item 304(a)(1)(iv) of Regulation S-K and the related instructions to Item 304 or a “reportable event” within the meaning of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u w:val="single" w:color="auto"/>
          <w:color w:val="0000EE"/>
        </w:rPr>
        <w:t>16.1</w:t>
      </w:r>
      <w:r>
        <w:rPr>
          <w:sz w:val="20"/>
          <w:szCs w:val="20"/>
          <w:color w:val="auto"/>
        </w:rPr>
        <w:tab/>
      </w:r>
      <w:r>
        <w:rPr>
          <w:rFonts w:ascii="Arial" w:cs="Arial" w:eastAsia="Arial" w:hAnsi="Arial"/>
          <w:sz w:val="16"/>
          <w:szCs w:val="16"/>
          <w:u w:val="single" w:color="auto"/>
          <w:color w:val="0000EE"/>
        </w:rPr>
        <w:t>Letter from PricewaterhouseCoopers LLP to the SEC, dated June 5, 2023.</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Arial" w:cs="Arial" w:eastAsia="Arial" w:hAnsi="Arial"/>
                <w:sz w:val="18"/>
                <w:szCs w:val="18"/>
                <w:b w:val="1"/>
                <w:bCs w:val="1"/>
                <w:color w:val="auto"/>
              </w:rPr>
              <w:t>Structure Therapeutics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5, 2023</w:t>
            </w:r>
          </w:p>
        </w:tc>
        <w:tc>
          <w:tcPr>
            <w:tcW w:w="7740" w:type="dxa"/>
            <w:vAlign w:val="bottom"/>
            <w:gridSpan w:val="2"/>
          </w:tcPr>
          <w:p>
            <w:pPr>
              <w:ind w:left="2120"/>
              <w:spacing w:after="0"/>
              <w:rPr>
                <w:sz w:val="20"/>
                <w:szCs w:val="20"/>
                <w:color w:val="auto"/>
              </w:rPr>
            </w:pPr>
            <w:r>
              <w:rPr>
                <w:rFonts w:ascii="Arial" w:cs="Arial" w:eastAsia="Arial" w:hAnsi="Arial"/>
                <w:sz w:val="18"/>
                <w:szCs w:val="18"/>
                <w:color w:val="auto"/>
              </w:rPr>
              <w:t>By: /s/ Raymond Stevens</w:t>
            </w: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Raymond Stevens, Ph.D.</w:t>
            </w: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16.1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June 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read the statements made by Structure Therapeutics Inc. (copy attached), which we understand will be filed with the Securities and Exchange Commission, pursuant to Item 4.01 of Form 8-K of Structure Therapeutics Inc. dated May 31, 2023. We agree with the statements concerning our Firm contained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Attachment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30, 2023, the Audit Committee (the “Audit Committee”) of the Board of Directors of Structure Therapeutics Inc. (the “Company”) approved the dismissal of PricewaterhouseCoopers LLP (“PwC”) as the Company’s independent registered public accounting firm. On May 31, 2023, PwC was informed that they were dismissed.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PwC’s audit reports on the Company’s financial statements for the years ended December 31, 2022 and 2021 did not contain an adverse opinion or a disclaimer of opinion and were not qualified or modified as to uncertainty, audit scope or accounting principles.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Company’s fiscal years ended December 31, 2022 and 2021, and the subsequent interim period through May 31, 2023: (1) there were no “disagreements” (as defined in Item 304(a)(1)(iv) of Regulation S-K and the related instructions to Item 304) with PwC on any matter of accounting principles or practices, financial statement disclosure, or auditing scope or procedure, which disagreements, if not resolved to the satisfaction of PwC, would have caused PwC to make reference to the subject matter of such disagreements in connection with its reports on the financial statements for such periods and (2) there were no “reportable events” (as defined in Item 304(a)(1)(v) of Regulation S-K), except for the disclosure of the following material weaknesses in the Company’s internal control over financial reporting which existed during the Company’s fiscal years ended December 31, 2022 and 2021 and the subsequent interim period through May 31, 2023, as disclosed in Part II, Item 9A of the Company’s Annual Report on Form 10-K for the year ended December 31, 2022 and Part I, Item 4 of the Company’s Quarterly Report on Form 10-Q for the quarter ended March 31, 2023: (a) the Company did not design and maintain an effective control environment commensurate with the Company’s financial reporting requirements; (b) the Company did not design and maintain effective controls to ensure adequate segregation of duties within its financial reporting function; and (c) the Company did not design and maintain effective controls over certain information technology general controls for information systems that are relevant to the preparation of its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2023-06-05T15:10:02Z</dcterms:created>
  <dcterms:modified xsi:type="dcterms:W3CDTF">2023-06-05T15:10:02Z</dcterms:modified>
</cp:coreProperties>
</file>