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616331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3310" cy="317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302895</wp:posOffset>
            </wp:positionV>
            <wp:extent cx="6163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10-K</w:t>
      </w:r>
    </w:p>
    <w:p>
      <w:pPr>
        <w:spacing w:after="0" w:line="58" w:lineRule="exact"/>
        <w:rPr>
          <w:sz w:val="24"/>
          <w:szCs w:val="24"/>
          <w:color w:val="auto"/>
        </w:rPr>
      </w:pPr>
    </w:p>
    <w:p>
      <w:pPr>
        <w:ind w:left="3440" w:right="2760" w:hanging="3432"/>
        <w:spacing w:after="0" w:line="338" w:lineRule="auto"/>
        <w:tabs>
          <w:tab w:leader="none" w:pos="303"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3"/>
          <w:szCs w:val="13"/>
          <w:b w:val="1"/>
          <w:bCs w:val="1"/>
          <w:color w:val="auto"/>
        </w:rPr>
        <w:t>ANNUAL REPORT PURSUANT TO SECTION 13 OR 15(d) OF THE SECURITIES EXCHANGE ACT OF 1934 For the fiscal year ended December 31, 2024</w:t>
      </w:r>
    </w:p>
    <w:p>
      <w:pPr>
        <w:jc w:val="center"/>
        <w:spacing w:after="0"/>
        <w:rPr>
          <w:sz w:val="20"/>
          <w:szCs w:val="20"/>
          <w:color w:val="auto"/>
        </w:rPr>
      </w:pPr>
      <w:r>
        <w:rPr>
          <w:rFonts w:ascii="Arial" w:cs="Arial" w:eastAsia="Arial" w:hAnsi="Arial"/>
          <w:sz w:val="12"/>
          <w:szCs w:val="12"/>
          <w:b w:val="1"/>
          <w:bCs w:val="1"/>
          <w:color w:val="auto"/>
        </w:rPr>
        <w:t>OR</w:t>
      </w:r>
    </w:p>
    <w:p>
      <w:pPr>
        <w:spacing w:after="0" w:line="59"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5" w:lineRule="exact"/>
        <w:rPr>
          <w:rFonts w:ascii="MS PGothic" w:cs="MS PGothic" w:eastAsia="MS PGothic" w:hAnsi="MS PGothic"/>
          <w:sz w:val="12"/>
          <w:szCs w:val="12"/>
          <w:color w:val="auto"/>
          <w:highlight w:val="black"/>
        </w:rPr>
      </w:pPr>
    </w:p>
    <w:p>
      <w:pPr>
        <w:ind w:left="3900"/>
        <w:spacing w:after="0"/>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For The Transition Period From To</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001-41608</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Structure Therapeutics Inc.</w:t>
      </w: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30" w:lineRule="exact"/>
        <w:rPr>
          <w:sz w:val="24"/>
          <w:szCs w:val="24"/>
          <w:color w:val="auto"/>
        </w:rPr>
      </w:pPr>
    </w:p>
    <w:tbl>
      <w:tblPr>
        <w:tblLayout w:type="fixed"/>
        <w:tblInd w:w="820" w:type="dxa"/>
        <w:tblCellMar>
          <w:top w:w="0" w:type="dxa"/>
          <w:left w:w="0" w:type="dxa"/>
          <w:bottom w:w="0" w:type="dxa"/>
          <w:right w:w="0" w:type="dxa"/>
        </w:tblCellMar>
      </w:tblPr>
      <w:tr>
        <w:trPr>
          <w:trHeight w:val="138"/>
        </w:trPr>
        <w:tc>
          <w:tcPr>
            <w:tcW w:w="4360" w:type="dxa"/>
            <w:vAlign w:val="bottom"/>
          </w:tcPr>
          <w:p>
            <w:pPr>
              <w:jc w:val="center"/>
              <w:ind w:right="1181"/>
              <w:spacing w:after="0"/>
              <w:rPr>
                <w:sz w:val="20"/>
                <w:szCs w:val="20"/>
                <w:color w:val="auto"/>
              </w:rPr>
            </w:pPr>
            <w:r>
              <w:rPr>
                <w:rFonts w:ascii="Arial" w:cs="Arial" w:eastAsia="Arial" w:hAnsi="Arial"/>
                <w:sz w:val="12"/>
                <w:szCs w:val="12"/>
                <w:b w:val="1"/>
                <w:bCs w:val="1"/>
                <w:color w:val="auto"/>
                <w:w w:val="96"/>
              </w:rPr>
              <w:t>Cayman Islands</w:t>
            </w:r>
          </w:p>
        </w:tc>
        <w:tc>
          <w:tcPr>
            <w:tcW w:w="3060" w:type="dxa"/>
            <w:vAlign w:val="bottom"/>
          </w:tcPr>
          <w:p>
            <w:pPr>
              <w:jc w:val="right"/>
              <w:ind w:right="541"/>
              <w:spacing w:after="0"/>
              <w:rPr>
                <w:sz w:val="20"/>
                <w:szCs w:val="20"/>
                <w:color w:val="auto"/>
              </w:rPr>
            </w:pPr>
            <w:r>
              <w:rPr>
                <w:rFonts w:ascii="Arial" w:cs="Arial" w:eastAsia="Arial" w:hAnsi="Arial"/>
                <w:sz w:val="12"/>
                <w:szCs w:val="12"/>
                <w:b w:val="1"/>
                <w:bCs w:val="1"/>
                <w:color w:val="auto"/>
              </w:rPr>
              <w:t>98-1480821</w:t>
            </w:r>
          </w:p>
        </w:tc>
        <w:tc>
          <w:tcPr>
            <w:tcW w:w="0" w:type="dxa"/>
            <w:vAlign w:val="bottom"/>
          </w:tcPr>
          <w:p>
            <w:pPr>
              <w:spacing w:after="0"/>
              <w:rPr>
                <w:sz w:val="1"/>
                <w:szCs w:val="1"/>
                <w:color w:val="auto"/>
              </w:rPr>
            </w:pPr>
          </w:p>
        </w:tc>
      </w:tr>
      <w:tr>
        <w:trPr>
          <w:trHeight w:val="124"/>
        </w:trPr>
        <w:tc>
          <w:tcPr>
            <w:tcW w:w="4360" w:type="dxa"/>
            <w:vAlign w:val="bottom"/>
          </w:tcPr>
          <w:p>
            <w:pPr>
              <w:jc w:val="center"/>
              <w:ind w:right="1181"/>
              <w:spacing w:after="0" w:line="125" w:lineRule="exact"/>
              <w:rPr>
                <w:sz w:val="20"/>
                <w:szCs w:val="20"/>
                <w:color w:val="auto"/>
              </w:rPr>
            </w:pPr>
            <w:r>
              <w:rPr>
                <w:rFonts w:ascii="Arial" w:cs="Arial" w:eastAsia="Arial" w:hAnsi="Arial"/>
                <w:sz w:val="12"/>
                <w:szCs w:val="12"/>
                <w:color w:val="auto"/>
                <w:w w:val="98"/>
              </w:rPr>
              <w:t>(State of Other Jurisdiction of incorporation or Organization)</w:t>
            </w:r>
          </w:p>
        </w:tc>
        <w:tc>
          <w:tcPr>
            <w:tcW w:w="3060" w:type="dxa"/>
            <w:vAlign w:val="bottom"/>
          </w:tcPr>
          <w:p>
            <w:pPr>
              <w:jc w:val="center"/>
              <w:ind w:left="1181"/>
              <w:spacing w:after="0" w:line="125" w:lineRule="exact"/>
              <w:rPr>
                <w:sz w:val="20"/>
                <w:szCs w:val="20"/>
                <w:color w:val="auto"/>
              </w:rPr>
            </w:pPr>
            <w:r>
              <w:rPr>
                <w:rFonts w:ascii="Arial" w:cs="Arial" w:eastAsia="Arial" w:hAnsi="Arial"/>
                <w:sz w:val="12"/>
                <w:szCs w:val="12"/>
                <w:color w:val="auto"/>
                <w:w w:val="98"/>
              </w:rPr>
              <w:t>(I.R.S. Employer Identification No.)</w:t>
            </w:r>
          </w:p>
        </w:tc>
        <w:tc>
          <w:tcPr>
            <w:tcW w:w="0" w:type="dxa"/>
            <w:vAlign w:val="bottom"/>
          </w:tcPr>
          <w:p>
            <w:pPr>
              <w:spacing w:after="0"/>
              <w:rPr>
                <w:sz w:val="1"/>
                <w:szCs w:val="1"/>
                <w:color w:val="auto"/>
              </w:rPr>
            </w:pPr>
          </w:p>
        </w:tc>
      </w:tr>
      <w:tr>
        <w:trPr>
          <w:trHeight w:val="126"/>
        </w:trPr>
        <w:tc>
          <w:tcPr>
            <w:tcW w:w="4360" w:type="dxa"/>
            <w:vAlign w:val="bottom"/>
          </w:tcPr>
          <w:p>
            <w:pPr>
              <w:jc w:val="center"/>
              <w:ind w:right="1181"/>
              <w:spacing w:after="0" w:line="126" w:lineRule="exact"/>
              <w:rPr>
                <w:sz w:val="20"/>
                <w:szCs w:val="20"/>
                <w:color w:val="auto"/>
              </w:rPr>
            </w:pPr>
            <w:r>
              <w:rPr>
                <w:rFonts w:ascii="Arial" w:cs="Arial" w:eastAsia="Arial" w:hAnsi="Arial"/>
                <w:sz w:val="12"/>
                <w:szCs w:val="12"/>
                <w:b w:val="1"/>
                <w:bCs w:val="1"/>
                <w:color w:val="auto"/>
                <w:w w:val="97"/>
              </w:rPr>
              <w:t>601 Gateway Blvd., Suite 900</w:t>
            </w:r>
          </w:p>
        </w:tc>
        <w:tc>
          <w:tcPr>
            <w:tcW w:w="3060" w:type="dxa"/>
            <w:vAlign w:val="bottom"/>
            <w:vMerge w:val="restart"/>
          </w:tcPr>
          <w:p>
            <w:pPr>
              <w:jc w:val="right"/>
              <w:ind w:right="681"/>
              <w:spacing w:after="0"/>
              <w:rPr>
                <w:sz w:val="20"/>
                <w:szCs w:val="20"/>
                <w:color w:val="auto"/>
              </w:rPr>
            </w:pPr>
            <w:r>
              <w:rPr>
                <w:rFonts w:ascii="Arial" w:cs="Arial" w:eastAsia="Arial" w:hAnsi="Arial"/>
                <w:sz w:val="12"/>
                <w:szCs w:val="12"/>
                <w:b w:val="1"/>
                <w:bCs w:val="1"/>
                <w:color w:val="auto"/>
              </w:rPr>
              <w:t>94080</w:t>
            </w:r>
          </w:p>
        </w:tc>
        <w:tc>
          <w:tcPr>
            <w:tcW w:w="0" w:type="dxa"/>
            <w:vAlign w:val="bottom"/>
          </w:tcPr>
          <w:p>
            <w:pPr>
              <w:spacing w:after="0"/>
              <w:rPr>
                <w:sz w:val="1"/>
                <w:szCs w:val="1"/>
                <w:color w:val="auto"/>
              </w:rPr>
            </w:pPr>
          </w:p>
        </w:tc>
      </w:tr>
      <w:tr>
        <w:trPr>
          <w:trHeight w:val="128"/>
        </w:trPr>
        <w:tc>
          <w:tcPr>
            <w:tcW w:w="4360" w:type="dxa"/>
            <w:vAlign w:val="bottom"/>
          </w:tcPr>
          <w:p>
            <w:pPr>
              <w:jc w:val="center"/>
              <w:ind w:right="1161"/>
              <w:spacing w:after="0" w:line="129" w:lineRule="exact"/>
              <w:rPr>
                <w:sz w:val="20"/>
                <w:szCs w:val="20"/>
                <w:color w:val="auto"/>
              </w:rPr>
            </w:pPr>
            <w:r>
              <w:rPr>
                <w:rFonts w:ascii="Arial" w:cs="Arial" w:eastAsia="Arial" w:hAnsi="Arial"/>
                <w:sz w:val="12"/>
                <w:szCs w:val="12"/>
                <w:b w:val="1"/>
                <w:bCs w:val="1"/>
                <w:color w:val="auto"/>
                <w:w w:val="98"/>
              </w:rPr>
              <w:t>South San Francisco, California</w:t>
            </w:r>
          </w:p>
        </w:tc>
        <w:tc>
          <w:tcPr>
            <w:tcW w:w="3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360" w:type="dxa"/>
            <w:vAlign w:val="bottom"/>
          </w:tcPr>
          <w:p>
            <w:pPr>
              <w:jc w:val="center"/>
              <w:ind w:right="1181"/>
              <w:spacing w:after="0"/>
              <w:rPr>
                <w:sz w:val="20"/>
                <w:szCs w:val="20"/>
                <w:color w:val="auto"/>
              </w:rPr>
            </w:pPr>
            <w:r>
              <w:rPr>
                <w:rFonts w:ascii="Arial" w:cs="Arial" w:eastAsia="Arial" w:hAnsi="Arial"/>
                <w:sz w:val="12"/>
                <w:szCs w:val="12"/>
                <w:color w:val="auto"/>
                <w:w w:val="97"/>
              </w:rPr>
              <w:t>(Address of principal executive offices)</w:t>
            </w:r>
          </w:p>
        </w:tc>
        <w:tc>
          <w:tcPr>
            <w:tcW w:w="3060" w:type="dxa"/>
            <w:vAlign w:val="bottom"/>
          </w:tcPr>
          <w:p>
            <w:pPr>
              <w:jc w:val="center"/>
              <w:ind w:left="1181"/>
              <w:spacing w:after="0"/>
              <w:rPr>
                <w:sz w:val="20"/>
                <w:szCs w:val="20"/>
                <w:color w:val="auto"/>
              </w:rPr>
            </w:pPr>
            <w:r>
              <w:rPr>
                <w:rFonts w:ascii="Arial" w:cs="Arial" w:eastAsia="Arial" w:hAnsi="Arial"/>
                <w:sz w:val="12"/>
                <w:szCs w:val="12"/>
                <w:color w:val="auto"/>
                <w:w w:val="99"/>
              </w:rPr>
              <w:t>(Zip code)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2720"/>
        <w:spacing w:after="0"/>
        <w:rPr>
          <w:sz w:val="20"/>
          <w:szCs w:val="20"/>
          <w:color w:val="auto"/>
        </w:rPr>
      </w:pPr>
      <w:r>
        <w:rPr>
          <w:rFonts w:ascii="Arial" w:cs="Arial" w:eastAsia="Arial" w:hAnsi="Arial"/>
          <w:sz w:val="13"/>
          <w:szCs w:val="13"/>
          <w:b w:val="1"/>
          <w:bCs w:val="1"/>
          <w:color w:val="auto"/>
        </w:rPr>
        <w:t>Registrant's telephone number, including area code: (650) 457-1978</w:t>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39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Title of Each Class</w:t>
            </w:r>
          </w:p>
        </w:tc>
        <w:tc>
          <w:tcPr>
            <w:tcW w:w="25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Name Of Each Exchange</w:t>
            </w:r>
          </w:p>
        </w:tc>
        <w:tc>
          <w:tcPr>
            <w:tcW w:w="3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On Which Registered</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Trading Symbol(s)</w:t>
            </w:r>
          </w:p>
        </w:tc>
        <w:tc>
          <w:tcPr>
            <w:tcW w:w="3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8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American Depositary Shares (ADSs), each representing three</w:t>
            </w:r>
          </w:p>
        </w:tc>
        <w:tc>
          <w:tcPr>
            <w:tcW w:w="160" w:type="dxa"/>
            <w:vAlign w:val="bottom"/>
          </w:tcPr>
          <w:p>
            <w:pPr>
              <w:spacing w:after="0"/>
              <w:rPr>
                <w:sz w:val="8"/>
                <w:szCs w:val="8"/>
                <w:color w:val="auto"/>
              </w:rPr>
            </w:pPr>
          </w:p>
        </w:tc>
        <w:tc>
          <w:tcPr>
            <w:tcW w:w="23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GPCR</w:t>
            </w:r>
          </w:p>
        </w:tc>
        <w:tc>
          <w:tcPr>
            <w:tcW w:w="180" w:type="dxa"/>
            <w:vAlign w:val="bottom"/>
          </w:tcPr>
          <w:p>
            <w:pPr>
              <w:spacing w:after="0"/>
              <w:rPr>
                <w:sz w:val="8"/>
                <w:szCs w:val="8"/>
                <w:color w:val="auto"/>
              </w:rPr>
            </w:pPr>
          </w:p>
        </w:tc>
        <w:tc>
          <w:tcPr>
            <w:tcW w:w="32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Nasdaq Global Market</w:t>
            </w:r>
          </w:p>
        </w:tc>
        <w:tc>
          <w:tcPr>
            <w:tcW w:w="0" w:type="dxa"/>
            <w:vAlign w:val="bottom"/>
          </w:tcPr>
          <w:p>
            <w:pPr>
              <w:spacing w:after="0"/>
              <w:rPr>
                <w:sz w:val="1"/>
                <w:szCs w:val="1"/>
                <w:color w:val="auto"/>
              </w:rPr>
            </w:pPr>
          </w:p>
        </w:tc>
      </w:tr>
      <w:tr>
        <w:trPr>
          <w:trHeight w:val="126"/>
        </w:trPr>
        <w:tc>
          <w:tcPr>
            <w:tcW w:w="396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97"/>
              </w:rPr>
              <w:t>ordinary shares, par value $0.0001 per ordinary share</w:t>
            </w: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Nasdaq Global Market*</w:t>
            </w:r>
          </w:p>
        </w:tc>
        <w:tc>
          <w:tcPr>
            <w:tcW w:w="0" w:type="dxa"/>
            <w:vAlign w:val="bottom"/>
          </w:tcPr>
          <w:p>
            <w:pPr>
              <w:spacing w:after="0"/>
              <w:rPr>
                <w:sz w:val="1"/>
                <w:szCs w:val="1"/>
                <w:color w:val="auto"/>
              </w:rPr>
            </w:pPr>
          </w:p>
        </w:tc>
      </w:tr>
      <w:tr>
        <w:trPr>
          <w:trHeight w:val="163"/>
        </w:trPr>
        <w:tc>
          <w:tcPr>
            <w:tcW w:w="3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Ordinary shares, par value $0.0001 per share*</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spacing w:after="0"/>
        <w:rPr>
          <w:sz w:val="20"/>
          <w:szCs w:val="20"/>
          <w:color w:val="auto"/>
        </w:rPr>
      </w:pPr>
      <w:r>
        <w:rPr>
          <w:rFonts w:ascii="Arial" w:cs="Arial" w:eastAsia="Arial" w:hAnsi="Arial"/>
          <w:sz w:val="12"/>
          <w:szCs w:val="12"/>
          <w:color w:val="auto"/>
        </w:rPr>
        <w:t>* Not for trading, but only in connection with the registration of the American Depositary Shares</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51"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11" w:lineRule="exact"/>
        <w:rPr>
          <w:sz w:val="24"/>
          <w:szCs w:val="24"/>
          <w:color w:val="auto"/>
        </w:rPr>
      </w:pPr>
    </w:p>
    <w:p>
      <w:pPr>
        <w:ind w:left="26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11" w:lineRule="exact"/>
        <w:rPr>
          <w:sz w:val="24"/>
          <w:szCs w:val="24"/>
          <w:color w:val="auto"/>
        </w:rPr>
      </w:pPr>
    </w:p>
    <w:p>
      <w:pPr>
        <w:ind w:left="26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1" w:lineRule="exact"/>
        <w:rPr>
          <w:sz w:val="24"/>
          <w:szCs w:val="24"/>
          <w:color w:val="auto"/>
        </w:rPr>
      </w:pPr>
    </w:p>
    <w:p>
      <w:pPr>
        <w:ind w:right="12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80"/>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ind w:right="120"/>
        <w:spacing w:after="0" w:line="24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p>
      <w:pPr>
        <w:spacing w:after="0" w:line="138" w:lineRule="exact"/>
        <w:tabs>
          <w:tab w:leader="none" w:pos="2000" w:val="left"/>
          <w:tab w:leader="none" w:pos="3920" w:val="left"/>
          <w:tab w:leader="none" w:pos="5940" w:val="left"/>
          <w:tab w:leader="none" w:pos="796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78" w:lineRule="exact"/>
        <w:rPr>
          <w:sz w:val="24"/>
          <w:szCs w:val="24"/>
          <w:color w:val="auto"/>
        </w:rPr>
      </w:pPr>
    </w:p>
    <w:p>
      <w:pPr>
        <w:ind w:right="16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20"/>
        <w:spacing w:after="0" w:line="155"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9" w:lineRule="exact"/>
        <w:rPr>
          <w:sz w:val="24"/>
          <w:szCs w:val="24"/>
          <w:color w:val="auto"/>
        </w:rPr>
      </w:pPr>
    </w:p>
    <w:p>
      <w:pPr>
        <w:ind w:right="180"/>
        <w:spacing w:after="0" w:line="155"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9" w:lineRule="exact"/>
        <w:rPr>
          <w:sz w:val="24"/>
          <w:szCs w:val="24"/>
          <w:color w:val="auto"/>
        </w:rPr>
      </w:pPr>
    </w:p>
    <w:p>
      <w:pPr>
        <w:ind w:right="300"/>
        <w:spacing w:after="0" w:line="155"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2"/>
          <w:szCs w:val="12"/>
          <w:color w:val="auto"/>
        </w:rPr>
        <w:t>☐</w:t>
      </w:r>
    </w:p>
    <w:p>
      <w:pPr>
        <w:spacing w:after="0" w:line="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8" w:lineRule="exact"/>
        <w:rPr>
          <w:sz w:val="24"/>
          <w:szCs w:val="24"/>
          <w:color w:val="auto"/>
        </w:rPr>
      </w:pPr>
    </w:p>
    <w:p>
      <w:pPr>
        <w:ind w:right="100" w:firstLine="242"/>
        <w:spacing w:after="0" w:line="229" w:lineRule="auto"/>
        <w:rPr>
          <w:sz w:val="20"/>
          <w:szCs w:val="20"/>
          <w:color w:val="auto"/>
        </w:rPr>
      </w:pPr>
      <w:r>
        <w:rPr>
          <w:rFonts w:ascii="Arial" w:cs="Arial" w:eastAsia="Arial" w:hAnsi="Arial"/>
          <w:sz w:val="12"/>
          <w:szCs w:val="12"/>
          <w:color w:val="auto"/>
        </w:rPr>
        <w:t>The aggregate market value of the registrant’s ordinary shares held by non-affiliates of the registrant as of June 30, 2024, the last business day of the registrant’s most recently completed second fiscal quarter, was approximately $1,953.6 million, based on the closing price of the registrant’s ordinary shares represented by ADSs on the Nasdaq Global Market of $39.27 per ADS. In determining the market value of the voting equity held by non-affiliates, ordinary shares of the registrant beneficially owned by each director and officer and each person who owns 10% or more of the registrant’s outstanding ordinary shares have been excluded. This determination of affiliate status is not necessarily a conclusive determination for other purposes.</w:t>
      </w:r>
    </w:p>
    <w:p>
      <w:pPr>
        <w:spacing w:after="0" w:line="36" w:lineRule="exact"/>
        <w:rPr>
          <w:sz w:val="24"/>
          <w:szCs w:val="24"/>
          <w:color w:val="auto"/>
        </w:rPr>
      </w:pPr>
    </w:p>
    <w:p>
      <w:pPr>
        <w:ind w:right="60" w:firstLine="242"/>
        <w:spacing w:after="0" w:line="248" w:lineRule="auto"/>
        <w:rPr>
          <w:sz w:val="20"/>
          <w:szCs w:val="20"/>
          <w:color w:val="auto"/>
        </w:rPr>
      </w:pPr>
      <w:r>
        <w:rPr>
          <w:rFonts w:ascii="Arial" w:cs="Arial" w:eastAsia="Arial" w:hAnsi="Arial"/>
          <w:sz w:val="12"/>
          <w:szCs w:val="12"/>
          <w:color w:val="auto"/>
        </w:rPr>
        <w:t>The number of outstanding ordinary shares of the registrant, par value $0.0001 per share, as of January 31, 2025 was 172,028,543, of which 162,671,754 ordinary shares were held in the form of ADSs.</w:t>
      </w:r>
    </w:p>
    <w:p>
      <w:pPr>
        <w:spacing w:after="0" w:line="56" w:lineRule="exact"/>
        <w:rPr>
          <w:sz w:val="24"/>
          <w:szCs w:val="24"/>
          <w:color w:val="auto"/>
        </w:rPr>
      </w:pPr>
    </w:p>
    <w:p>
      <w:pPr>
        <w:jc w:val="center"/>
        <w:ind w:right="-259"/>
        <w:spacing w:after="0"/>
        <w:rPr>
          <w:sz w:val="20"/>
          <w:szCs w:val="20"/>
          <w:color w:val="auto"/>
        </w:rPr>
      </w:pPr>
      <w:r>
        <w:rPr>
          <w:rFonts w:ascii="Arial" w:cs="Arial" w:eastAsia="Arial" w:hAnsi="Arial"/>
          <w:sz w:val="12"/>
          <w:szCs w:val="12"/>
          <w:color w:val="auto"/>
        </w:rPr>
        <w:t>DOCUMENTS INCORPORATED BY REFERENCE</w:t>
      </w:r>
    </w:p>
    <w:p>
      <w:pPr>
        <w:spacing w:after="0" w:line="51" w:lineRule="exact"/>
        <w:rPr>
          <w:sz w:val="24"/>
          <w:szCs w:val="24"/>
          <w:color w:val="auto"/>
        </w:rPr>
      </w:pPr>
    </w:p>
    <w:p>
      <w:pPr>
        <w:ind w:right="100"/>
        <w:spacing w:after="0" w:line="235" w:lineRule="auto"/>
        <w:rPr>
          <w:sz w:val="20"/>
          <w:szCs w:val="20"/>
          <w:color w:val="auto"/>
        </w:rPr>
      </w:pPr>
      <w:r>
        <w:rPr>
          <w:rFonts w:ascii="Arial" w:cs="Arial" w:eastAsia="Arial" w:hAnsi="Arial"/>
          <w:sz w:val="12"/>
          <w:szCs w:val="12"/>
          <w:color w:val="auto"/>
        </w:rPr>
        <w:t>Portions of the registrant’s definitive proxy statement for its 2025 Annual General Meeting of Shareholders, which the registrant intends to file pursuant to Regulation 14A with the Securities and Exchange Commission not later than 120 days after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61633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3310" cy="158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6163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73025</wp:posOffset>
            </wp:positionV>
            <wp:extent cx="616331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3310" cy="31750"/>
                    </a:xfrm>
                    <a:prstGeom prst="rect">
                      <a:avLst/>
                    </a:prstGeom>
                    <a:noFill/>
                  </pic:spPr>
                </pic:pic>
              </a:graphicData>
            </a:graphic>
          </wp:anchor>
        </w:drawing>
      </w:r>
    </w:p>
    <w:p>
      <w:pPr>
        <w:sectPr>
          <w:pgSz w:w="11900" w:h="16838" w:orient="portrait"/>
          <w:cols w:equalWidth="0" w:num="1">
            <w:col w:w="9720"/>
          </w:cols>
          <w:pgMar w:left="1080" w:top="628" w:right="10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20" w:type="dxa"/>
            <w:vAlign w:val="bottom"/>
            <w:gridSpan w:val="12"/>
          </w:tcPr>
          <w:p>
            <w:pPr>
              <w:ind w:left="400"/>
              <w:spacing w:after="0"/>
              <w:rPr>
                <w:sz w:val="20"/>
                <w:szCs w:val="20"/>
                <w:color w:val="auto"/>
              </w:rPr>
            </w:pPr>
            <w:r>
              <w:rPr>
                <w:rFonts w:ascii="Arial" w:cs="Arial" w:eastAsia="Arial" w:hAnsi="Arial"/>
                <w:sz w:val="17"/>
                <w:szCs w:val="17"/>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40" w:type="dxa"/>
            <w:vAlign w:val="bottom"/>
            <w:gridSpan w:val="9"/>
            <w:vMerge w:val="restart"/>
          </w:tcPr>
          <w:p>
            <w:pPr>
              <w:jc w:val="center"/>
              <w:ind w:right="3480"/>
              <w:spacing w:after="0"/>
              <w:rPr>
                <w:sz w:val="20"/>
                <w:szCs w:val="20"/>
                <w:color w:val="auto"/>
              </w:rPr>
            </w:pPr>
            <w:r>
              <w:rPr>
                <w:rFonts w:ascii="Arial" w:cs="Arial" w:eastAsia="Arial" w:hAnsi="Arial"/>
                <w:sz w:val="17"/>
                <w:szCs w:val="17"/>
                <w:b w:val="1"/>
                <w:bCs w:val="1"/>
                <w:color w:val="auto"/>
                <w:w w:val="98"/>
              </w:rPr>
              <w:t>Part I</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40" w:type="dxa"/>
            <w:vAlign w:val="bottom"/>
            <w:gridSpan w:val="9"/>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Arial" w:cs="Arial" w:eastAsia="Arial" w:hAnsi="Arial"/>
                <w:sz w:val="17"/>
                <w:szCs w:val="17"/>
                <w:color w:val="auto"/>
              </w:rPr>
              <w:t>Item 1.</w:t>
            </w:r>
          </w:p>
        </w:tc>
        <w:tc>
          <w:tcPr>
            <w:tcW w:w="700" w:type="dxa"/>
            <w:vAlign w:val="bottom"/>
            <w:tcBorders>
              <w:bottom w:val="single" w:sz="8" w:color="0000FF"/>
            </w:tcBorders>
            <w:gridSpan w:val="2"/>
          </w:tcPr>
          <w:p>
            <w:pPr>
              <w:spacing w:after="0" w:line="181" w:lineRule="exact"/>
              <w:rPr>
                <w:sz w:val="20"/>
                <w:szCs w:val="20"/>
                <w:color w:val="auto"/>
              </w:rPr>
            </w:pPr>
            <w:r>
              <w:rPr>
                <w:rFonts w:ascii="Arial" w:cs="Arial" w:eastAsia="Arial" w:hAnsi="Arial"/>
                <w:sz w:val="17"/>
                <w:szCs w:val="17"/>
                <w:color w:val="0000FF"/>
                <w:w w:val="98"/>
              </w:rPr>
              <w:t>Business</w:t>
            </w:r>
          </w:p>
        </w:tc>
        <w:tc>
          <w:tcPr>
            <w:tcW w:w="6720" w:type="dxa"/>
            <w:vAlign w:val="bottom"/>
            <w:gridSpan w:val="24"/>
          </w:tcPr>
          <w:p>
            <w:pPr>
              <w:spacing w:after="0"/>
              <w:rPr>
                <w:sz w:val="15"/>
                <w:szCs w:val="15"/>
                <w:color w:val="auto"/>
              </w:rPr>
            </w:pPr>
          </w:p>
        </w:tc>
        <w:tc>
          <w:tcPr>
            <w:tcW w:w="440" w:type="dxa"/>
            <w:vAlign w:val="bottom"/>
          </w:tcPr>
          <w:p>
            <w:pPr>
              <w:jc w:val="center"/>
              <w:spacing w:after="0" w:line="181"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1A.</w:t>
            </w: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Risk Factors</w:t>
            </w: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4"/>
              </w:rPr>
              <w:t>59</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1B.</w:t>
            </w:r>
          </w:p>
        </w:tc>
        <w:tc>
          <w:tcPr>
            <w:tcW w:w="9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7"/>
                <w:szCs w:val="17"/>
                <w:color w:val="0000FF"/>
              </w:rPr>
              <w:t>Unresolved</w:t>
            </w:r>
          </w:p>
        </w:tc>
        <w:tc>
          <w:tcPr>
            <w:tcW w:w="6480" w:type="dxa"/>
            <w:vAlign w:val="bottom"/>
            <w:gridSpan w:val="21"/>
          </w:tcPr>
          <w:p>
            <w:pPr>
              <w:spacing w:after="0" w:line="169" w:lineRule="exact"/>
              <w:rPr>
                <w:sz w:val="20"/>
                <w:szCs w:val="20"/>
                <w:color w:val="auto"/>
              </w:rPr>
            </w:pPr>
            <w:r>
              <w:rPr>
                <w:rFonts w:ascii="Arial" w:cs="Arial" w:eastAsia="Arial" w:hAnsi="Arial"/>
                <w:sz w:val="17"/>
                <w:szCs w:val="17"/>
                <w:color w:val="0000FF"/>
              </w:rPr>
              <w:t>Staff Comments</w:t>
            </w: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139</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1C.</w:t>
            </w:r>
          </w:p>
        </w:tc>
        <w:tc>
          <w:tcPr>
            <w:tcW w:w="21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7"/>
                <w:szCs w:val="17"/>
                <w:color w:val="0000FF"/>
              </w:rPr>
              <w:t>Cybersecurity</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139</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2.</w:t>
            </w:r>
          </w:p>
        </w:tc>
        <w:tc>
          <w:tcPr>
            <w:tcW w:w="7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7"/>
                <w:szCs w:val="17"/>
                <w:color w:val="0000FF"/>
                <w:w w:val="98"/>
              </w:rPr>
              <w:t>Properties</w:t>
            </w:r>
          </w:p>
        </w:tc>
        <w:tc>
          <w:tcPr>
            <w:tcW w:w="260" w:type="dxa"/>
            <w:vAlign w:val="bottom"/>
            <w:tcBorders>
              <w:top w:val="single" w:sz="8" w:color="0000FF"/>
            </w:tcBorders>
            <w:gridSpan w:val="3"/>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140</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3.</w:t>
            </w: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Legal Proceedings</w:t>
            </w: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140</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189" w:lineRule="exact"/>
              <w:rPr>
                <w:sz w:val="20"/>
                <w:szCs w:val="20"/>
                <w:color w:val="auto"/>
              </w:rPr>
            </w:pPr>
            <w:r>
              <w:rPr>
                <w:rFonts w:ascii="Arial" w:cs="Arial" w:eastAsia="Arial" w:hAnsi="Arial"/>
                <w:sz w:val="17"/>
                <w:szCs w:val="17"/>
                <w:color w:val="auto"/>
              </w:rPr>
              <w:t>Item 4.</w:t>
            </w: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141</w:t>
            </w:r>
          </w:p>
        </w:tc>
        <w:tc>
          <w:tcPr>
            <w:tcW w:w="0" w:type="dxa"/>
            <w:vAlign w:val="bottom"/>
          </w:tcPr>
          <w:p>
            <w:pPr>
              <w:spacing w:after="0" w:line="20" w:lineRule="exact"/>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Mine Safety Disclosures</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0" w:type="dxa"/>
            <w:vAlign w:val="bottom"/>
            <w:gridSpan w:val="10"/>
          </w:tcPr>
          <w:p>
            <w:pPr>
              <w:jc w:val="center"/>
              <w:ind w:right="3020"/>
              <w:spacing w:after="0" w:line="178" w:lineRule="exact"/>
              <w:rPr>
                <w:sz w:val="20"/>
                <w:szCs w:val="20"/>
                <w:color w:val="auto"/>
              </w:rPr>
            </w:pPr>
            <w:r>
              <w:rPr>
                <w:rFonts w:ascii="Arial" w:cs="Arial" w:eastAsia="Arial" w:hAnsi="Arial"/>
                <w:sz w:val="17"/>
                <w:szCs w:val="17"/>
                <w:b w:val="1"/>
                <w:bCs w:val="1"/>
                <w:color w:val="auto"/>
                <w:w w:val="97"/>
              </w:rPr>
              <w:t>Part II</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Arial" w:cs="Arial" w:eastAsia="Arial" w:hAnsi="Arial"/>
                <w:sz w:val="17"/>
                <w:szCs w:val="17"/>
                <w:color w:val="auto"/>
              </w:rPr>
              <w:t>Item 5.</w:t>
            </w:r>
          </w:p>
        </w:tc>
        <w:tc>
          <w:tcPr>
            <w:tcW w:w="7420" w:type="dxa"/>
            <w:vAlign w:val="bottom"/>
            <w:gridSpan w:val="26"/>
          </w:tcPr>
          <w:p>
            <w:pPr>
              <w:spacing w:after="0" w:line="181" w:lineRule="exact"/>
              <w:rPr>
                <w:sz w:val="20"/>
                <w:szCs w:val="20"/>
                <w:color w:val="auto"/>
              </w:rPr>
            </w:pPr>
            <w:r>
              <w:rPr>
                <w:rFonts w:ascii="Arial" w:cs="Arial" w:eastAsia="Arial" w:hAnsi="Arial"/>
                <w:sz w:val="17"/>
                <w:szCs w:val="17"/>
                <w:color w:val="0000FF"/>
              </w:rPr>
              <w:t>Market for Registrant’s Common Equity, Related Stockholder Matters and Issuer Purchases of</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auto"/>
                <w:w w:val="98"/>
              </w:rPr>
              <w:t>141</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700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7"/>
                <w:szCs w:val="17"/>
                <w:color w:val="0000FF"/>
              </w:rPr>
              <w:t>Equity Securities</w:t>
            </w:r>
          </w:p>
        </w:tc>
        <w:tc>
          <w:tcPr>
            <w:tcW w:w="4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6.</w:t>
            </w:r>
          </w:p>
        </w:tc>
        <w:tc>
          <w:tcPr>
            <w:tcW w:w="12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7"/>
                <w:szCs w:val="17"/>
                <w:color w:val="0000FF"/>
              </w:rPr>
              <w:t>[Reserved]</w:t>
            </w: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149</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189" w:lineRule="exact"/>
              <w:rPr>
                <w:sz w:val="20"/>
                <w:szCs w:val="20"/>
                <w:color w:val="auto"/>
              </w:rPr>
            </w:pPr>
            <w:r>
              <w:rPr>
                <w:rFonts w:ascii="Arial" w:cs="Arial" w:eastAsia="Arial" w:hAnsi="Arial"/>
                <w:sz w:val="17"/>
                <w:szCs w:val="17"/>
                <w:color w:val="auto"/>
              </w:rPr>
              <w:t>Item 7.</w:t>
            </w: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150</w:t>
            </w:r>
          </w:p>
        </w:tc>
        <w:tc>
          <w:tcPr>
            <w:tcW w:w="0" w:type="dxa"/>
            <w:vAlign w:val="bottom"/>
          </w:tcPr>
          <w:p>
            <w:pPr>
              <w:spacing w:after="0" w:line="20" w:lineRule="exact"/>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7A.</w:t>
            </w:r>
          </w:p>
        </w:tc>
        <w:tc>
          <w:tcPr>
            <w:tcW w:w="662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7"/>
                <w:szCs w:val="17"/>
                <w:color w:val="0000FF"/>
              </w:rPr>
              <w:t>Quantitative and Qualitative Disclosures About Market Risk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8.</w:t>
            </w:r>
          </w:p>
        </w:tc>
        <w:tc>
          <w:tcPr>
            <w:tcW w:w="442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7"/>
                <w:szCs w:val="17"/>
                <w:color w:val="0000FF"/>
              </w:rPr>
              <w:t>Financial Statements and Supplementary Data</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line="189" w:lineRule="exact"/>
              <w:rPr>
                <w:sz w:val="20"/>
                <w:szCs w:val="20"/>
                <w:color w:val="auto"/>
              </w:rPr>
            </w:pPr>
            <w:r>
              <w:rPr>
                <w:rFonts w:ascii="Arial" w:cs="Arial" w:eastAsia="Arial" w:hAnsi="Arial"/>
                <w:sz w:val="17"/>
                <w:szCs w:val="17"/>
                <w:color w:val="auto"/>
              </w:rPr>
              <w:t>Item 9.</w:t>
            </w: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vMerge w:val="restart"/>
          </w:tcPr>
          <w:p>
            <w:pPr>
              <w:jc w:val="center"/>
              <w:spacing w:after="0" w:line="189" w:lineRule="exact"/>
              <w:rPr>
                <w:sz w:val="20"/>
                <w:szCs w:val="20"/>
                <w:color w:val="auto"/>
              </w:rPr>
            </w:pPr>
            <w:r>
              <w:rPr>
                <w:rFonts w:ascii="Arial" w:cs="Arial" w:eastAsia="Arial" w:hAnsi="Arial"/>
                <w:sz w:val="17"/>
                <w:szCs w:val="17"/>
                <w:color w:val="auto"/>
                <w:w w:val="98"/>
              </w:rPr>
              <w:t>191</w:t>
            </w:r>
          </w:p>
        </w:tc>
        <w:tc>
          <w:tcPr>
            <w:tcW w:w="0" w:type="dxa"/>
            <w:vAlign w:val="bottom"/>
          </w:tcPr>
          <w:p>
            <w:pPr>
              <w:spacing w:after="0" w:line="20" w:lineRule="exact"/>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9A.</w:t>
            </w:r>
          </w:p>
        </w:tc>
        <w:tc>
          <w:tcPr>
            <w:tcW w:w="6720" w:type="dxa"/>
            <w:vAlign w:val="bottom"/>
            <w:tcBorders>
              <w:top w:val="single" w:sz="8" w:color="0000FF"/>
            </w:tcBorders>
            <w:gridSpan w:val="23"/>
          </w:tcPr>
          <w:p>
            <w:pPr>
              <w:spacing w:after="0" w:line="169" w:lineRule="exact"/>
              <w:rPr>
                <w:sz w:val="20"/>
                <w:szCs w:val="20"/>
                <w:color w:val="auto"/>
              </w:rPr>
            </w:pPr>
            <w:r>
              <w:rPr>
                <w:rFonts w:ascii="Arial" w:cs="Arial" w:eastAsia="Arial" w:hAnsi="Arial"/>
                <w:sz w:val="17"/>
                <w:szCs w:val="17"/>
                <w:color w:val="0000FF"/>
              </w:rPr>
              <w:t>Controls and Procedures</w:t>
            </w:r>
          </w:p>
        </w:tc>
        <w:tc>
          <w:tcPr>
            <w:tcW w:w="1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191</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9B.</w:t>
            </w:r>
          </w:p>
        </w:tc>
        <w:tc>
          <w:tcPr>
            <w:tcW w:w="132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7"/>
                <w:szCs w:val="17"/>
                <w:color w:val="0000FF"/>
                <w:w w:val="98"/>
              </w:rPr>
              <w:t>Other Information</w:t>
            </w:r>
          </w:p>
        </w:tc>
        <w:tc>
          <w:tcPr>
            <w:tcW w:w="5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4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3"/>
          </w:tcPr>
          <w:p>
            <w:pPr>
              <w:spacing w:after="0"/>
              <w:rPr>
                <w:sz w:val="14"/>
                <w:szCs w:val="14"/>
                <w:color w:val="auto"/>
              </w:rPr>
            </w:pPr>
          </w:p>
        </w:tc>
        <w:tc>
          <w:tcPr>
            <w:tcW w:w="520" w:type="dxa"/>
            <w:vAlign w:val="bottom"/>
            <w:gridSpan w:val="2"/>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193</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9C.</w:t>
            </w: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193</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40" w:type="dxa"/>
            <w:vAlign w:val="bottom"/>
            <w:tcBorders>
              <w:top w:val="single" w:sz="8" w:color="0000FF"/>
            </w:tcBorders>
            <w:gridSpan w:val="4"/>
          </w:tcPr>
          <w:p>
            <w:pPr>
              <w:jc w:val="center"/>
              <w:ind w:right="680"/>
              <w:spacing w:after="0" w:line="178" w:lineRule="exact"/>
              <w:rPr>
                <w:sz w:val="20"/>
                <w:szCs w:val="20"/>
                <w:color w:val="auto"/>
              </w:rPr>
            </w:pPr>
            <w:r>
              <w:rPr>
                <w:rFonts w:ascii="Arial" w:cs="Arial" w:eastAsia="Arial" w:hAnsi="Arial"/>
                <w:sz w:val="17"/>
                <w:szCs w:val="17"/>
                <w:b w:val="1"/>
                <w:bCs w:val="1"/>
                <w:color w:val="auto"/>
                <w:w w:val="99"/>
              </w:rPr>
              <w:t>Part III</w:t>
            </w:r>
          </w:p>
        </w:tc>
        <w:tc>
          <w:tcPr>
            <w:tcW w:w="620" w:type="dxa"/>
            <w:vAlign w:val="bottom"/>
          </w:tcPr>
          <w:p>
            <w:pPr>
              <w:spacing w:after="0"/>
              <w:rPr>
                <w:sz w:val="15"/>
                <w:szCs w:val="15"/>
                <w:color w:val="auto"/>
              </w:rPr>
            </w:pPr>
          </w:p>
        </w:tc>
        <w:tc>
          <w:tcPr>
            <w:tcW w:w="1220" w:type="dxa"/>
            <w:vAlign w:val="bottom"/>
            <w:gridSpan w:val="3"/>
          </w:tcPr>
          <w:p>
            <w:pPr>
              <w:spacing w:after="0"/>
              <w:rPr>
                <w:sz w:val="15"/>
                <w:szCs w:val="15"/>
                <w:color w:val="auto"/>
              </w:rPr>
            </w:pPr>
          </w:p>
        </w:tc>
        <w:tc>
          <w:tcPr>
            <w:tcW w:w="52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Arial" w:cs="Arial" w:eastAsia="Arial" w:hAnsi="Arial"/>
                <w:sz w:val="17"/>
                <w:szCs w:val="17"/>
                <w:color w:val="auto"/>
              </w:rPr>
              <w:t>Item 10.</w:t>
            </w:r>
          </w:p>
        </w:tc>
        <w:tc>
          <w:tcPr>
            <w:tcW w:w="7420" w:type="dxa"/>
            <w:vAlign w:val="bottom"/>
            <w:gridSpan w:val="26"/>
          </w:tcPr>
          <w:p>
            <w:pPr>
              <w:spacing w:after="0" w:line="181" w:lineRule="exact"/>
              <w:rPr>
                <w:sz w:val="20"/>
                <w:szCs w:val="20"/>
                <w:color w:val="auto"/>
              </w:rPr>
            </w:pPr>
            <w:r>
              <w:rPr>
                <w:rFonts w:ascii="Arial" w:cs="Arial" w:eastAsia="Arial" w:hAnsi="Arial"/>
                <w:sz w:val="17"/>
                <w:szCs w:val="17"/>
                <w:color w:val="0000FF"/>
              </w:rPr>
              <w:t>Directors, Executive Officers and Corporate Governance</w:t>
            </w:r>
          </w:p>
        </w:tc>
        <w:tc>
          <w:tcPr>
            <w:tcW w:w="440" w:type="dxa"/>
            <w:vAlign w:val="bottom"/>
          </w:tcPr>
          <w:p>
            <w:pPr>
              <w:jc w:val="center"/>
              <w:spacing w:after="0" w:line="181"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11.</w:t>
            </w:r>
          </w:p>
        </w:tc>
        <w:tc>
          <w:tcPr>
            <w:tcW w:w="188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7"/>
                <w:szCs w:val="17"/>
                <w:color w:val="0000FF"/>
                <w:w w:val="98"/>
              </w:rPr>
              <w:t>Executive Compensation</w:t>
            </w:r>
          </w:p>
        </w:tc>
        <w:tc>
          <w:tcPr>
            <w:tcW w:w="2340" w:type="dxa"/>
            <w:vAlign w:val="bottom"/>
            <w:tcBorders>
              <w:top w:val="single" w:sz="8" w:color="0000FF"/>
            </w:tcBorders>
            <w:gridSpan w:val="5"/>
          </w:tcPr>
          <w:p>
            <w:pPr>
              <w:spacing w:after="0"/>
              <w:rPr>
                <w:sz w:val="14"/>
                <w:szCs w:val="14"/>
                <w:color w:val="auto"/>
              </w:rPr>
            </w:pPr>
          </w:p>
        </w:tc>
        <w:tc>
          <w:tcPr>
            <w:tcW w:w="1460" w:type="dxa"/>
            <w:vAlign w:val="bottom"/>
            <w:gridSpan w:val="3"/>
          </w:tcPr>
          <w:p>
            <w:pPr>
              <w:spacing w:after="0"/>
              <w:rPr>
                <w:sz w:val="14"/>
                <w:szCs w:val="14"/>
                <w:color w:val="auto"/>
              </w:rPr>
            </w:pPr>
          </w:p>
        </w:tc>
        <w:tc>
          <w:tcPr>
            <w:tcW w:w="1220" w:type="dxa"/>
            <w:vAlign w:val="bottom"/>
            <w:gridSpan w:val="3"/>
          </w:tcPr>
          <w:p>
            <w:pPr>
              <w:spacing w:after="0"/>
              <w:rPr>
                <w:sz w:val="14"/>
                <w:szCs w:val="14"/>
                <w:color w:val="auto"/>
              </w:rPr>
            </w:pPr>
          </w:p>
        </w:tc>
        <w:tc>
          <w:tcPr>
            <w:tcW w:w="520" w:type="dxa"/>
            <w:vAlign w:val="bottom"/>
            <w:gridSpan w:val="2"/>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12.</w:t>
            </w:r>
          </w:p>
        </w:tc>
        <w:tc>
          <w:tcPr>
            <w:tcW w:w="7420" w:type="dxa"/>
            <w:vAlign w:val="bottom"/>
            <w:gridSpan w:val="26"/>
          </w:tcPr>
          <w:p>
            <w:pPr>
              <w:spacing w:after="0" w:line="169" w:lineRule="exact"/>
              <w:rPr>
                <w:sz w:val="20"/>
                <w:szCs w:val="20"/>
                <w:color w:val="auto"/>
              </w:rPr>
            </w:pPr>
            <w:r>
              <w:rPr>
                <w:rFonts w:ascii="Arial" w:cs="Arial" w:eastAsia="Arial" w:hAnsi="Arial"/>
                <w:sz w:val="17"/>
                <w:szCs w:val="17"/>
                <w:color w:val="0000FF"/>
              </w:rPr>
              <w:t>Security Ownership of Certain Beneficial Owners and Management and Related Stockholder</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6900" w:type="dxa"/>
            <w:vAlign w:val="bottom"/>
            <w:tcBorders>
              <w:top w:val="single" w:sz="8" w:color="0000FF"/>
            </w:tcBorders>
            <w:gridSpan w:val="24"/>
          </w:tcPr>
          <w:p>
            <w:pPr>
              <w:spacing w:after="0" w:line="169" w:lineRule="exact"/>
              <w:rPr>
                <w:sz w:val="20"/>
                <w:szCs w:val="20"/>
                <w:color w:val="auto"/>
              </w:rPr>
            </w:pPr>
            <w:r>
              <w:rPr>
                <w:rFonts w:ascii="Arial" w:cs="Arial" w:eastAsia="Arial" w:hAnsi="Arial"/>
                <w:sz w:val="17"/>
                <w:szCs w:val="17"/>
                <w:color w:val="0000FF"/>
              </w:rPr>
              <w:t>Matters</w:t>
            </w:r>
          </w:p>
        </w:tc>
        <w:tc>
          <w:tcPr>
            <w:tcW w:w="520" w:type="dxa"/>
            <w:vAlign w:val="bottom"/>
            <w:gridSpan w:val="2"/>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13.</w:t>
            </w:r>
          </w:p>
        </w:tc>
        <w:tc>
          <w:tcPr>
            <w:tcW w:w="560" w:type="dxa"/>
            <w:vAlign w:val="bottom"/>
            <w:tcBorders>
              <w:top w:val="single" w:sz="8" w:color="0000FF"/>
            </w:tcBorders>
          </w:tcPr>
          <w:p>
            <w:pPr>
              <w:spacing w:after="0" w:line="169" w:lineRule="exact"/>
              <w:rPr>
                <w:sz w:val="20"/>
                <w:szCs w:val="20"/>
                <w:color w:val="auto"/>
              </w:rPr>
            </w:pPr>
            <w:r>
              <w:rPr>
                <w:rFonts w:ascii="Arial" w:cs="Arial" w:eastAsia="Arial" w:hAnsi="Arial"/>
                <w:sz w:val="17"/>
                <w:szCs w:val="17"/>
                <w:color w:val="0000FF"/>
                <w:w w:val="98"/>
              </w:rPr>
              <w:t>Certain</w:t>
            </w:r>
          </w:p>
        </w:tc>
        <w:tc>
          <w:tcPr>
            <w:tcW w:w="6860" w:type="dxa"/>
            <w:vAlign w:val="bottom"/>
            <w:gridSpan w:val="25"/>
          </w:tcPr>
          <w:p>
            <w:pPr>
              <w:ind w:left="40"/>
              <w:spacing w:after="0" w:line="169" w:lineRule="exact"/>
              <w:rPr>
                <w:sz w:val="20"/>
                <w:szCs w:val="20"/>
                <w:color w:val="auto"/>
              </w:rPr>
            </w:pPr>
            <w:r>
              <w:rPr>
                <w:rFonts w:ascii="Arial" w:cs="Arial" w:eastAsia="Arial" w:hAnsi="Arial"/>
                <w:sz w:val="17"/>
                <w:szCs w:val="17"/>
                <w:color w:val="0000FF"/>
              </w:rPr>
              <w:t>Relationships and Related Transactions, and Director Independence</w:t>
            </w: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14.</w:t>
            </w:r>
          </w:p>
        </w:tc>
        <w:tc>
          <w:tcPr>
            <w:tcW w:w="568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7"/>
                <w:szCs w:val="17"/>
                <w:color w:val="0000FF"/>
              </w:rPr>
              <w:t>Principal Accountant Fees and Services</w:t>
            </w:r>
          </w:p>
        </w:tc>
        <w:tc>
          <w:tcPr>
            <w:tcW w:w="1740" w:type="dxa"/>
            <w:vAlign w:val="bottom"/>
            <w:gridSpan w:val="5"/>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178"/>
        </w:trPr>
        <w:tc>
          <w:tcPr>
            <w:tcW w:w="106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400" w:type="dxa"/>
            <w:vAlign w:val="bottom"/>
            <w:gridSpan w:val="10"/>
          </w:tcPr>
          <w:p>
            <w:pPr>
              <w:jc w:val="center"/>
              <w:ind w:right="3020"/>
              <w:spacing w:after="0" w:line="178" w:lineRule="exact"/>
              <w:rPr>
                <w:sz w:val="20"/>
                <w:szCs w:val="20"/>
                <w:color w:val="auto"/>
              </w:rPr>
            </w:pPr>
            <w:r>
              <w:rPr>
                <w:rFonts w:ascii="Arial" w:cs="Arial" w:eastAsia="Arial" w:hAnsi="Arial"/>
                <w:sz w:val="17"/>
                <w:szCs w:val="17"/>
                <w:b w:val="1"/>
                <w:bCs w:val="1"/>
                <w:color w:val="auto"/>
              </w:rPr>
              <w:t>Part IV</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Arial" w:cs="Arial" w:eastAsia="Arial" w:hAnsi="Arial"/>
                <w:sz w:val="17"/>
                <w:szCs w:val="17"/>
                <w:color w:val="auto"/>
              </w:rPr>
              <w:t>Item 15.</w:t>
            </w:r>
          </w:p>
        </w:tc>
        <w:tc>
          <w:tcPr>
            <w:tcW w:w="7420" w:type="dxa"/>
            <w:vAlign w:val="bottom"/>
            <w:gridSpan w:val="26"/>
          </w:tcPr>
          <w:p>
            <w:pPr>
              <w:spacing w:after="0" w:line="181" w:lineRule="exact"/>
              <w:rPr>
                <w:sz w:val="20"/>
                <w:szCs w:val="20"/>
                <w:color w:val="auto"/>
              </w:rPr>
            </w:pPr>
            <w:r>
              <w:rPr>
                <w:rFonts w:ascii="Arial" w:cs="Arial" w:eastAsia="Arial" w:hAnsi="Arial"/>
                <w:sz w:val="17"/>
                <w:szCs w:val="17"/>
                <w:color w:val="0000FF"/>
              </w:rPr>
              <w:t>Exhibits, Financial Statement Schedules</w:t>
            </w:r>
          </w:p>
        </w:tc>
        <w:tc>
          <w:tcPr>
            <w:tcW w:w="440" w:type="dxa"/>
            <w:vAlign w:val="bottom"/>
          </w:tcPr>
          <w:p>
            <w:pPr>
              <w:jc w:val="center"/>
              <w:spacing w:after="0" w:line="181" w:lineRule="exact"/>
              <w:rPr>
                <w:sz w:val="20"/>
                <w:szCs w:val="20"/>
                <w:color w:val="auto"/>
              </w:rPr>
            </w:pPr>
            <w:r>
              <w:rPr>
                <w:rFonts w:ascii="Arial" w:cs="Arial" w:eastAsia="Arial" w:hAnsi="Arial"/>
                <w:sz w:val="17"/>
                <w:szCs w:val="17"/>
                <w:color w:val="auto"/>
                <w:w w:val="98"/>
              </w:rPr>
              <w:t>195</w:t>
            </w:r>
          </w:p>
        </w:tc>
        <w:tc>
          <w:tcPr>
            <w:tcW w:w="0" w:type="dxa"/>
            <w:vAlign w:val="bottom"/>
          </w:tcPr>
          <w:p>
            <w:pPr>
              <w:spacing w:after="0"/>
              <w:rPr>
                <w:sz w:val="1"/>
                <w:szCs w:val="1"/>
                <w:color w:val="auto"/>
              </w:rPr>
            </w:pPr>
          </w:p>
        </w:tc>
      </w:tr>
      <w:tr>
        <w:trPr>
          <w:trHeight w:val="169"/>
        </w:trPr>
        <w:tc>
          <w:tcPr>
            <w:tcW w:w="1060" w:type="dxa"/>
            <w:vAlign w:val="bottom"/>
          </w:tcPr>
          <w:p>
            <w:pPr>
              <w:spacing w:after="0" w:line="169" w:lineRule="exact"/>
              <w:rPr>
                <w:sz w:val="20"/>
                <w:szCs w:val="20"/>
                <w:color w:val="auto"/>
              </w:rPr>
            </w:pPr>
            <w:r>
              <w:rPr>
                <w:rFonts w:ascii="Arial" w:cs="Arial" w:eastAsia="Arial" w:hAnsi="Arial"/>
                <w:sz w:val="17"/>
                <w:szCs w:val="17"/>
                <w:color w:val="auto"/>
              </w:rPr>
              <w:t>Item 16.</w:t>
            </w:r>
          </w:p>
        </w:tc>
        <w:tc>
          <w:tcPr>
            <w:tcW w:w="302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7"/>
                <w:szCs w:val="17"/>
                <w:color w:val="0000FF"/>
              </w:rPr>
              <w:t>Form 10–K Summary</w:t>
            </w:r>
          </w:p>
        </w:tc>
        <w:tc>
          <w:tcPr>
            <w:tcW w:w="4400" w:type="dxa"/>
            <w:vAlign w:val="bottom"/>
            <w:gridSpan w:val="10"/>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199</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82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7"/>
                <w:szCs w:val="17"/>
                <w:color w:val="0000FF"/>
                <w:w w:val="98"/>
              </w:rPr>
              <w:t>Signatures</w:t>
            </w:r>
          </w:p>
        </w:tc>
        <w:tc>
          <w:tcPr>
            <w:tcW w:w="780" w:type="dxa"/>
            <w:vAlign w:val="bottom"/>
            <w:tcBorders>
              <w:top w:val="single" w:sz="8" w:color="0000FF"/>
            </w:tcBorders>
            <w:gridSpan w:val="6"/>
          </w:tcPr>
          <w:p>
            <w:pPr>
              <w:spacing w:after="0"/>
              <w:rPr>
                <w:sz w:val="14"/>
                <w:szCs w:val="14"/>
                <w:color w:val="auto"/>
              </w:rPr>
            </w:pPr>
          </w:p>
        </w:tc>
        <w:tc>
          <w:tcPr>
            <w:tcW w:w="5820" w:type="dxa"/>
            <w:vAlign w:val="bottom"/>
            <w:gridSpan w:val="16"/>
          </w:tcPr>
          <w:p>
            <w:pPr>
              <w:spacing w:after="0"/>
              <w:rPr>
                <w:sz w:val="14"/>
                <w:szCs w:val="14"/>
                <w:color w:val="auto"/>
              </w:rPr>
            </w:pPr>
          </w:p>
        </w:tc>
        <w:tc>
          <w:tcPr>
            <w:tcW w:w="440" w:type="dxa"/>
            <w:vAlign w:val="bottom"/>
          </w:tcPr>
          <w:p>
            <w:pPr>
              <w:jc w:val="center"/>
              <w:spacing w:after="0" w:line="169" w:lineRule="exact"/>
              <w:rPr>
                <w:sz w:val="20"/>
                <w:szCs w:val="20"/>
                <w:color w:val="auto"/>
              </w:rPr>
            </w:pPr>
            <w:r>
              <w:rPr>
                <w:rFonts w:ascii="Arial" w:cs="Arial" w:eastAsia="Arial" w:hAnsi="Arial"/>
                <w:sz w:val="17"/>
                <w:szCs w:val="17"/>
                <w:color w:val="auto"/>
                <w:w w:val="98"/>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96"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This Annual Report on Form 10-K (“Annual Report”), contains forward-looking statements. All statements other than statements of historical facts contained in this Annual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w:t>
      </w:r>
    </w:p>
    <w:p>
      <w:pPr>
        <w:spacing w:after="0" w:line="170" w:lineRule="exact"/>
        <w:rPr>
          <w:sz w:val="20"/>
          <w:szCs w:val="20"/>
          <w:color w:val="auto"/>
        </w:rPr>
      </w:pPr>
    </w:p>
    <w:p>
      <w:pPr>
        <w:ind w:left="680" w:right="21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progress and results of preclinical studies and clinical studies for our product candidates, including our product development plans and strategies;</w:t>
      </w:r>
    </w:p>
    <w:p>
      <w:pPr>
        <w:spacing w:after="0" w:line="3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data collection omissions at any of our clinical sites;</w:t>
      </w:r>
    </w:p>
    <w:p>
      <w:pPr>
        <w:spacing w:after="0" w:line="94" w:lineRule="exact"/>
        <w:rPr>
          <w:rFonts w:ascii="Times New Roman" w:cs="Times New Roman" w:eastAsia="Times New Roman" w:hAnsi="Times New Roman"/>
          <w:sz w:val="17"/>
          <w:szCs w:val="17"/>
          <w:color w:val="auto"/>
        </w:rPr>
      </w:pPr>
    </w:p>
    <w:p>
      <w:pPr>
        <w:ind w:left="680" w:right="35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scope and likelihood of regulatory filings and approvals, including final regulatory approval of our product candidates;</w:t>
      </w:r>
    </w:p>
    <w:p>
      <w:pPr>
        <w:spacing w:after="0" w:line="23"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benefits and market opportunity for our product candidates and discovery platform;</w:t>
      </w:r>
    </w:p>
    <w:p>
      <w:pPr>
        <w:spacing w:after="0" w:line="94"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expectations regarding the size, scope and design of clinical studies;</w:t>
      </w:r>
    </w:p>
    <w:p>
      <w:pPr>
        <w:spacing w:after="0" w:line="94" w:lineRule="exact"/>
        <w:rPr>
          <w:rFonts w:ascii="Times New Roman" w:cs="Times New Roman" w:eastAsia="Times New Roman" w:hAnsi="Times New Roman"/>
          <w:sz w:val="17"/>
          <w:szCs w:val="17"/>
          <w:color w:val="auto"/>
        </w:rPr>
      </w:pPr>
    </w:p>
    <w:p>
      <w:pPr>
        <w:ind w:left="680" w:right="71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plans and strategy with respect to our drug discovery efforts and potential benefits of our discovery platform;</w:t>
      </w:r>
    </w:p>
    <w:p>
      <w:pPr>
        <w:spacing w:after="0" w:line="23"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manufacturing, commercialization, and marketing plans and strategies;</w:t>
      </w:r>
    </w:p>
    <w:p>
      <w:pPr>
        <w:spacing w:after="0" w:line="94"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plans to hire additional personnel and our ability to attract and retain such personnel;</w:t>
      </w:r>
    </w:p>
    <w:p>
      <w:pPr>
        <w:spacing w:after="0" w:line="94" w:lineRule="exact"/>
        <w:rPr>
          <w:rFonts w:ascii="Times New Roman" w:cs="Times New Roman" w:eastAsia="Times New Roman" w:hAnsi="Times New Roman"/>
          <w:sz w:val="17"/>
          <w:szCs w:val="17"/>
          <w:color w:val="auto"/>
        </w:rPr>
      </w:pPr>
    </w:p>
    <w:p>
      <w:pPr>
        <w:ind w:left="680" w:right="23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estimates of the number of patients who suffer from the diseases we are targeting and potential growth in our target markets;</w:t>
      </w:r>
    </w:p>
    <w:p>
      <w:pPr>
        <w:spacing w:after="0" w:line="23"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expectations regarding the approval and use of our product candidates;</w:t>
      </w:r>
    </w:p>
    <w:p>
      <w:pPr>
        <w:spacing w:after="0" w:line="94" w:lineRule="exact"/>
        <w:rPr>
          <w:rFonts w:ascii="Times New Roman" w:cs="Times New Roman" w:eastAsia="Times New Roman" w:hAnsi="Times New Roman"/>
          <w:sz w:val="17"/>
          <w:szCs w:val="17"/>
          <w:color w:val="auto"/>
        </w:rPr>
      </w:pPr>
    </w:p>
    <w:p>
      <w:pPr>
        <w:ind w:left="680" w:right="51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competitive position and the development and impact of competing therapies that are or may become available;</w:t>
      </w:r>
    </w:p>
    <w:p>
      <w:pPr>
        <w:spacing w:after="0" w:line="36" w:lineRule="exact"/>
        <w:rPr>
          <w:rFonts w:ascii="Times New Roman" w:cs="Times New Roman" w:eastAsia="Times New Roman" w:hAnsi="Times New Roman"/>
          <w:sz w:val="17"/>
          <w:szCs w:val="17"/>
          <w:color w:val="auto"/>
        </w:rPr>
      </w:pPr>
    </w:p>
    <w:p>
      <w:pPr>
        <w:ind w:left="680" w:right="179" w:hanging="307"/>
        <w:spacing w:after="0" w:line="295" w:lineRule="auto"/>
        <w:tabs>
          <w:tab w:leader="none" w:pos="6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expectations regarding future events under collaboration and licensing agreements, including potential future payments, as well as our plans and strategies for entering into further collaboration and licensing agreements;</w:t>
      </w:r>
    </w:p>
    <w:p>
      <w:pPr>
        <w:spacing w:after="0" w:line="1" w:lineRule="exact"/>
        <w:rPr>
          <w:rFonts w:ascii="Times New Roman" w:cs="Times New Roman" w:eastAsia="Times New Roman" w:hAnsi="Times New Roman"/>
          <w:sz w:val="16"/>
          <w:szCs w:val="16"/>
          <w:color w:val="auto"/>
        </w:rPr>
      </w:pPr>
    </w:p>
    <w:p>
      <w:pPr>
        <w:ind w:left="680" w:right="219" w:hanging="307"/>
        <w:spacing w:after="0" w:line="243"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53"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rate and degree of market acceptance and clinical utility of product candidates we may develop;</w:t>
      </w:r>
    </w:p>
    <w:p>
      <w:pPr>
        <w:spacing w:after="0" w:line="94"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81"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future financial performance;</w:t>
      </w:r>
    </w:p>
    <w:p>
      <w:pPr>
        <w:spacing w:after="0" w:line="94" w:lineRule="exact"/>
        <w:rPr>
          <w:rFonts w:ascii="Times New Roman" w:cs="Times New Roman" w:eastAsia="Times New Roman" w:hAnsi="Times New Roman"/>
          <w:sz w:val="17"/>
          <w:szCs w:val="17"/>
          <w:color w:val="auto"/>
        </w:rPr>
      </w:pPr>
    </w:p>
    <w:p>
      <w:pPr>
        <w:ind w:left="680" w:right="53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period over which we estimate our existing cash, cash equivalents and short-term investments will be sufficient to fund our future operating expenses and capital expenditure requirements;</w:t>
      </w:r>
    </w:p>
    <w:p>
      <w:pPr>
        <w:spacing w:after="0" w:line="3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expected use of net proceeds from our initial public offering and other financing transactions;</w:t>
      </w:r>
    </w:p>
    <w:p>
      <w:pPr>
        <w:spacing w:after="0" w:line="81"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laws and regulations;</w:t>
      </w:r>
    </w:p>
    <w:p>
      <w:pPr>
        <w:spacing w:after="0" w:line="94"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geopolitical and macroeconomic factors; and</w:t>
      </w:r>
    </w:p>
    <w:p>
      <w:pPr>
        <w:spacing w:after="0" w:line="94" w:lineRule="exact"/>
        <w:rPr>
          <w:rFonts w:ascii="Times New Roman" w:cs="Times New Roman" w:eastAsia="Times New Roman" w:hAnsi="Times New Roman"/>
          <w:sz w:val="17"/>
          <w:szCs w:val="17"/>
          <w:color w:val="auto"/>
        </w:rPr>
      </w:pPr>
    </w:p>
    <w:p>
      <w:pPr>
        <w:ind w:left="680" w:right="459" w:hanging="307"/>
        <w:spacing w:after="0" w:line="264"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other risks and uncertainties, including those described under Part I. Item 1A. “Risk Factors” in this Annual Report.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1" w:lineRule="auto"/>
        <w:rPr>
          <w:sz w:val="20"/>
          <w:szCs w:val="20"/>
          <w:color w:val="auto"/>
        </w:rPr>
      </w:pPr>
      <w:r>
        <w:rPr>
          <w:rFonts w:ascii="Arial" w:cs="Arial" w:eastAsia="Arial" w:hAnsi="Arial"/>
          <w:sz w:val="16"/>
          <w:szCs w:val="16"/>
          <w:color w:val="auto"/>
        </w:rPr>
        <w:t>The forward-looking statements in this Annual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Annual Report and are subject to a number of known and unknown risks, uncertainties, and assumptions, including those described under Part I. Item 1A. “Risk Factors” and Part</w:t>
      </w:r>
    </w:p>
    <w:p>
      <w:pPr>
        <w:spacing w:after="0" w:line="1" w:lineRule="exact"/>
        <w:rPr>
          <w:sz w:val="20"/>
          <w:szCs w:val="20"/>
          <w:color w:val="auto"/>
        </w:rPr>
      </w:pPr>
    </w:p>
    <w:p>
      <w:pPr>
        <w:ind w:left="40" w:right="99" w:firstLine="5"/>
        <w:spacing w:after="0" w:line="235" w:lineRule="auto"/>
        <w:tabs>
          <w:tab w:leader="none" w:pos="227" w:val="left"/>
        </w:tabs>
        <w:numPr>
          <w:ilvl w:val="0"/>
          <w:numId w:val="4"/>
        </w:numPr>
        <w:rPr>
          <w:rFonts w:ascii="Arial" w:cs="Arial" w:eastAsia="Arial" w:hAnsi="Arial"/>
          <w:sz w:val="17"/>
          <w:szCs w:val="17"/>
          <w:color w:val="auto"/>
        </w:rPr>
      </w:pPr>
      <w:r>
        <w:rPr>
          <w:rFonts w:ascii="Arial" w:cs="Arial" w:eastAsia="Arial" w:hAnsi="Arial"/>
          <w:sz w:val="17"/>
          <w:szCs w:val="17"/>
          <w:color w:val="auto"/>
        </w:rPr>
        <w:t>Item 7.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71"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The forward-looking statements made in this Annual report relate only to events or information as of the date on which the statements are made in this Annual Report.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RISK FACTORS</w:t>
      </w:r>
    </w:p>
    <w:p>
      <w:pPr>
        <w:spacing w:after="0" w:line="196" w:lineRule="exact"/>
        <w:rPr>
          <w:sz w:val="20"/>
          <w:szCs w:val="20"/>
          <w:color w:val="auto"/>
        </w:rPr>
      </w:pPr>
    </w:p>
    <w:p>
      <w:pPr>
        <w:ind w:left="40" w:right="99"/>
        <w:spacing w:after="0" w:line="271"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You should carefully consider these risks and uncertainties when investing in our American Depositary Shares (“ADSs”). The principal risks and uncertainties affecting our business include the following:</w:t>
      </w:r>
    </w:p>
    <w:p>
      <w:pPr>
        <w:spacing w:after="0" w:line="129" w:lineRule="exact"/>
        <w:rPr>
          <w:sz w:val="20"/>
          <w:szCs w:val="20"/>
          <w:color w:val="auto"/>
        </w:rPr>
      </w:pPr>
    </w:p>
    <w:p>
      <w:pPr>
        <w:ind w:left="680" w:right="239"/>
        <w:spacing w:after="0" w:line="265" w:lineRule="auto"/>
        <w:rPr>
          <w:sz w:val="20"/>
          <w:szCs w:val="20"/>
          <w:color w:val="auto"/>
        </w:rPr>
      </w:pPr>
      <w:r>
        <w:rPr>
          <w:rFonts w:ascii="Arial" w:cs="Arial" w:eastAsia="Arial" w:hAnsi="Arial"/>
          <w:sz w:val="17"/>
          <w:szCs w:val="17"/>
          <w:color w:val="auto"/>
        </w:rPr>
        <w:t>We have a limited operating history, have incurred significant operating losses since our inception and expect to incur significant losses for the foreseeable future.</w:t>
      </w:r>
    </w:p>
    <w:p>
      <w:pPr>
        <w:spacing w:after="0" w:line="148" w:lineRule="exact"/>
        <w:rPr>
          <w:sz w:val="20"/>
          <w:szCs w:val="20"/>
          <w:color w:val="auto"/>
        </w:rPr>
      </w:pPr>
    </w:p>
    <w:p>
      <w:pPr>
        <w:ind w:left="680" w:right="179"/>
        <w:spacing w:after="0" w:line="248" w:lineRule="auto"/>
        <w:rPr>
          <w:sz w:val="20"/>
          <w:szCs w:val="20"/>
          <w:color w:val="auto"/>
        </w:rPr>
      </w:pPr>
      <w:r>
        <w:rPr>
          <w:rFonts w:ascii="Arial" w:cs="Arial" w:eastAsia="Arial" w:hAnsi="Arial"/>
          <w:sz w:val="17"/>
          <w:szCs w:val="17"/>
          <w:color w:val="auto"/>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163" w:lineRule="exact"/>
        <w:rPr>
          <w:sz w:val="20"/>
          <w:szCs w:val="20"/>
          <w:color w:val="auto"/>
        </w:rPr>
      </w:pPr>
    </w:p>
    <w:p>
      <w:pPr>
        <w:ind w:left="680" w:right="99"/>
        <w:spacing w:after="0" w:line="265" w:lineRule="auto"/>
        <w:rPr>
          <w:sz w:val="20"/>
          <w:szCs w:val="20"/>
          <w:color w:val="auto"/>
        </w:rPr>
      </w:pPr>
      <w:r>
        <w:rPr>
          <w:rFonts w:ascii="Arial" w:cs="Arial" w:eastAsia="Arial" w:hAnsi="Arial"/>
          <w:sz w:val="17"/>
          <w:szCs w:val="17"/>
          <w:color w:val="auto"/>
        </w:rPr>
        <w:t>Our approach to the discovery of product candidates based on our technology platform is unproven, and we do not know whether we will be able to develop any products of commercial value.</w:t>
      </w:r>
    </w:p>
    <w:p>
      <w:pPr>
        <w:spacing w:after="0" w:line="148" w:lineRule="exact"/>
        <w:rPr>
          <w:sz w:val="20"/>
          <w:szCs w:val="20"/>
          <w:color w:val="auto"/>
        </w:rPr>
      </w:pPr>
    </w:p>
    <w:p>
      <w:pPr>
        <w:ind w:left="680" w:right="359"/>
        <w:spacing w:after="0"/>
        <w:rPr>
          <w:sz w:val="20"/>
          <w:szCs w:val="20"/>
          <w:color w:val="auto"/>
        </w:rPr>
      </w:pPr>
      <w:r>
        <w:rPr>
          <w:rFonts w:ascii="Arial" w:cs="Arial" w:eastAsia="Arial" w:hAnsi="Arial"/>
          <w:sz w:val="17"/>
          <w:szCs w:val="17"/>
          <w:color w:val="auto"/>
        </w:rPr>
        <w:t>We are early in our development efforts and only have four product candidates, aleniglipron, ACCG-2671, ANPA-0073 and LTSE-2578,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171" w:lineRule="exact"/>
        <w:rPr>
          <w:sz w:val="20"/>
          <w:szCs w:val="20"/>
          <w:color w:val="auto"/>
        </w:rPr>
      </w:pPr>
    </w:p>
    <w:p>
      <w:pPr>
        <w:ind w:left="680" w:right="339"/>
        <w:spacing w:after="0" w:line="265" w:lineRule="auto"/>
        <w:rPr>
          <w:sz w:val="20"/>
          <w:szCs w:val="20"/>
          <w:color w:val="auto"/>
        </w:rPr>
      </w:pPr>
      <w:r>
        <w:rPr>
          <w:rFonts w:ascii="Arial" w:cs="Arial" w:eastAsia="Arial" w:hAnsi="Arial"/>
          <w:sz w:val="17"/>
          <w:szCs w:val="17"/>
          <w:color w:val="auto"/>
        </w:rPr>
        <w:t>Clinical and preclinical drug development involves a lengthy and expensive process with uncertain timelines and outcomes. The results of prior clinical studies and preclinical studies are not necessarily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predictive of future results, and may not be favorable, or receive regulatory approval on a timely basis, if at all.</w:t>
      </w:r>
    </w:p>
    <w:p>
      <w:pPr>
        <w:spacing w:after="0" w:line="178" w:lineRule="exact"/>
        <w:rPr>
          <w:sz w:val="20"/>
          <w:szCs w:val="20"/>
          <w:color w:val="auto"/>
        </w:rPr>
      </w:pPr>
    </w:p>
    <w:p>
      <w:pPr>
        <w:ind w:left="680" w:right="99"/>
        <w:spacing w:after="0" w:line="248" w:lineRule="auto"/>
        <w:rPr>
          <w:sz w:val="20"/>
          <w:szCs w:val="20"/>
          <w:color w:val="auto"/>
        </w:rPr>
      </w:pPr>
      <w:r>
        <w:rPr>
          <w:rFonts w:ascii="Arial" w:cs="Arial" w:eastAsia="Arial" w:hAnsi="Arial"/>
          <w:sz w:val="17"/>
          <w:szCs w:val="17"/>
          <w:color w:val="auto"/>
        </w:rPr>
        <w:t>Any difficulties or delays in the commencement or completion, or termination or suspension, of our planned clinical studies could result in increased costs to us, delay or limit our ability to generate revenue and adversely affect our commercial prospects.</w:t>
      </w:r>
    </w:p>
    <w:p>
      <w:pPr>
        <w:spacing w:after="0" w:line="163" w:lineRule="exact"/>
        <w:rPr>
          <w:sz w:val="20"/>
          <w:szCs w:val="20"/>
          <w:color w:val="auto"/>
        </w:rPr>
      </w:pPr>
    </w:p>
    <w:p>
      <w:pPr>
        <w:ind w:left="680" w:right="79"/>
        <w:spacing w:after="0"/>
        <w:rPr>
          <w:sz w:val="20"/>
          <w:szCs w:val="20"/>
          <w:color w:val="auto"/>
        </w:rPr>
      </w:pPr>
      <w:r>
        <w:rPr>
          <w:rFonts w:ascii="Arial" w:cs="Arial" w:eastAsia="Arial" w:hAnsi="Arial"/>
          <w:sz w:val="17"/>
          <w:szCs w:val="17"/>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spacing w:after="0" w:line="171" w:lineRule="exact"/>
        <w:rPr>
          <w:sz w:val="20"/>
          <w:szCs w:val="20"/>
          <w:color w:val="auto"/>
        </w:rPr>
      </w:pPr>
    </w:p>
    <w:p>
      <w:pPr>
        <w:ind w:left="680" w:right="199"/>
        <w:spacing w:after="0" w:line="265" w:lineRule="auto"/>
        <w:rPr>
          <w:sz w:val="20"/>
          <w:szCs w:val="20"/>
          <w:color w:val="auto"/>
        </w:rPr>
      </w:pPr>
      <w:r>
        <w:rPr>
          <w:rFonts w:ascii="Arial" w:cs="Arial" w:eastAsia="Arial" w:hAnsi="Arial"/>
          <w:sz w:val="17"/>
          <w:szCs w:val="17"/>
          <w:color w:val="auto"/>
        </w:rPr>
        <w:t>As an organization, we have never conducted later-stage clinical studies or submitted a New Drug Application (“NDA”), and may be unable to do so for any of our product candidates.</w:t>
      </w:r>
    </w:p>
    <w:p>
      <w:pPr>
        <w:spacing w:after="0" w:line="148" w:lineRule="exact"/>
        <w:rPr>
          <w:sz w:val="20"/>
          <w:szCs w:val="20"/>
          <w:color w:val="auto"/>
        </w:rPr>
      </w:pPr>
    </w:p>
    <w:p>
      <w:pPr>
        <w:ind w:left="680" w:right="339"/>
        <w:spacing w:after="0" w:line="271" w:lineRule="auto"/>
        <w:rPr>
          <w:sz w:val="20"/>
          <w:szCs w:val="20"/>
          <w:color w:val="auto"/>
        </w:rPr>
      </w:pPr>
      <w:r>
        <w:rPr>
          <w:rFonts w:ascii="Arial" w:cs="Arial" w:eastAsia="Arial" w:hAnsi="Arial"/>
          <w:sz w:val="16"/>
          <w:szCs w:val="16"/>
          <w:color w:val="auto"/>
        </w:rPr>
        <w:t>The marketing approval processes of the U.S. Food and Drug Administration (“FDA”) and applicable foreign authorities are lengthy, time consuming, expensive and inherently unpredictable, and if we are ultimately unable to obtain marketing approval for our product candidates, our business will be substantially harmed.</w:t>
      </w:r>
    </w:p>
    <w:p>
      <w:pPr>
        <w:spacing w:after="0" w:line="146" w:lineRule="exact"/>
        <w:rPr>
          <w:sz w:val="20"/>
          <w:szCs w:val="20"/>
          <w:color w:val="auto"/>
        </w:rPr>
      </w:pPr>
    </w:p>
    <w:p>
      <w:pPr>
        <w:ind w:left="680" w:right="199"/>
        <w:spacing w:after="0" w:line="243" w:lineRule="auto"/>
        <w:rPr>
          <w:sz w:val="20"/>
          <w:szCs w:val="20"/>
          <w:color w:val="auto"/>
        </w:rPr>
      </w:pPr>
      <w:r>
        <w:rPr>
          <w:rFonts w:ascii="Arial" w:cs="Arial" w:eastAsia="Arial" w:hAnsi="Arial"/>
          <w:sz w:val="17"/>
          <w:szCs w:val="17"/>
          <w:color w:val="auto"/>
        </w:rPr>
        <w:t>We have may conducted, or plan to conduct, our initial clinical studies for aleniglipron, ACCG-2671, ANPA-0073, LTSE-2578 and our other product candidates outside of the United States. However, the FDA and other foreign equivalents may not accept data from such studies, in which case our development plans will be delayed, which could materially harm our business.</w:t>
      </w:r>
    </w:p>
    <w:p>
      <w:pPr>
        <w:spacing w:after="0" w:line="167" w:lineRule="exact"/>
        <w:rPr>
          <w:sz w:val="20"/>
          <w:szCs w:val="20"/>
          <w:color w:val="auto"/>
        </w:rPr>
      </w:pPr>
    </w:p>
    <w:p>
      <w:pPr>
        <w:ind w:left="680" w:right="179"/>
        <w:spacing w:after="0" w:line="263" w:lineRule="auto"/>
        <w:rPr>
          <w:sz w:val="20"/>
          <w:szCs w:val="20"/>
          <w:color w:val="auto"/>
        </w:rPr>
      </w:pPr>
      <w:r>
        <w:rPr>
          <w:rFonts w:ascii="Arial" w:cs="Arial" w:eastAsia="Arial" w:hAnsi="Arial"/>
          <w:sz w:val="16"/>
          <w:szCs w:val="16"/>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52" w:lineRule="exact"/>
        <w:rPr>
          <w:sz w:val="20"/>
          <w:szCs w:val="20"/>
          <w:color w:val="auto"/>
        </w:rPr>
      </w:pPr>
    </w:p>
    <w:p>
      <w:pPr>
        <w:ind w:left="680" w:right="279"/>
        <w:spacing w:after="0" w:line="24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63" w:lineRule="exact"/>
        <w:rPr>
          <w:sz w:val="20"/>
          <w:szCs w:val="20"/>
          <w:color w:val="auto"/>
        </w:rPr>
      </w:pPr>
    </w:p>
    <w:p>
      <w:pPr>
        <w:ind w:left="680" w:right="219"/>
        <w:spacing w:after="0"/>
        <w:rPr>
          <w:sz w:val="20"/>
          <w:szCs w:val="20"/>
          <w:color w:val="auto"/>
        </w:rPr>
      </w:pPr>
      <w:r>
        <w:rPr>
          <w:rFonts w:ascii="Arial" w:cs="Arial" w:eastAsia="Arial" w:hAnsi="Arial"/>
          <w:sz w:val="17"/>
          <w:szCs w:val="17"/>
          <w:color w:val="auto"/>
        </w:rPr>
        <w:t>We rely on third parties to conduct, supervise and monitor our discovery research, preclinical studies and clinical studies.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1" w:lineRule="exact"/>
        <w:rPr>
          <w:sz w:val="20"/>
          <w:szCs w:val="20"/>
          <w:color w:val="auto"/>
        </w:rPr>
      </w:pPr>
    </w:p>
    <w:p>
      <w:pPr>
        <w:ind w:left="680" w:right="99"/>
        <w:spacing w:after="0" w:line="239" w:lineRule="auto"/>
        <w:rPr>
          <w:sz w:val="20"/>
          <w:szCs w:val="20"/>
          <w:color w:val="auto"/>
        </w:rPr>
      </w:pPr>
      <w:r>
        <w:rPr>
          <w:rFonts w:ascii="Arial" w:cs="Arial" w:eastAsia="Arial" w:hAnsi="Arial"/>
          <w:sz w:val="17"/>
          <w:szCs w:val="17"/>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69" w:lineRule="exact"/>
        <w:rPr>
          <w:sz w:val="20"/>
          <w:szCs w:val="20"/>
          <w:color w:val="auto"/>
        </w:rPr>
      </w:pPr>
    </w:p>
    <w:p>
      <w:pPr>
        <w:ind w:left="680" w:right="259"/>
        <w:spacing w:after="0" w:line="248" w:lineRule="auto"/>
        <w:rPr>
          <w:sz w:val="20"/>
          <w:szCs w:val="20"/>
          <w:color w:val="auto"/>
        </w:rPr>
      </w:pPr>
      <w:r>
        <w:rPr>
          <w:rFonts w:ascii="Arial" w:cs="Arial" w:eastAsia="Arial" w:hAnsi="Arial"/>
          <w:sz w:val="17"/>
          <w:szCs w:val="17"/>
          <w:color w:val="auto"/>
        </w:rPr>
        <w:t>Our existing discovery collaborations with Schrödinger, LLC (together with its affiliates, “Schrödinger”) are important to our business. If we are unable to maintain these collaborations, or if these collaborations are not successful, our business could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right="679"/>
        <w:spacing w:after="0" w:line="265" w:lineRule="auto"/>
        <w:rPr>
          <w:sz w:val="20"/>
          <w:szCs w:val="20"/>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us.</w:t>
      </w:r>
    </w:p>
    <w:p>
      <w:pPr>
        <w:spacing w:after="0" w:line="148" w:lineRule="exact"/>
        <w:rPr>
          <w:sz w:val="20"/>
          <w:szCs w:val="20"/>
          <w:color w:val="auto"/>
        </w:rPr>
      </w:pPr>
    </w:p>
    <w:p>
      <w:pPr>
        <w:ind w:left="680" w:right="279"/>
        <w:spacing w:after="0" w:line="243" w:lineRule="auto"/>
        <w:rPr>
          <w:sz w:val="20"/>
          <w:szCs w:val="20"/>
          <w:color w:val="auto"/>
        </w:rPr>
      </w:pPr>
      <w:r>
        <w:rPr>
          <w:rFonts w:ascii="Arial" w:cs="Arial" w:eastAsia="Arial" w:hAnsi="Arial"/>
          <w:sz w:val="17"/>
          <w:szCs w:val="17"/>
          <w:color w:val="auto"/>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67" w:lineRule="exact"/>
        <w:rPr>
          <w:sz w:val="20"/>
          <w:szCs w:val="20"/>
          <w:color w:val="auto"/>
        </w:rPr>
      </w:pPr>
    </w:p>
    <w:p>
      <w:pPr>
        <w:ind w:left="680" w:right="139"/>
        <w:spacing w:after="0"/>
        <w:rPr>
          <w:sz w:val="20"/>
          <w:szCs w:val="20"/>
          <w:color w:val="auto"/>
        </w:rPr>
      </w:pPr>
      <w:r>
        <w:rPr>
          <w:rFonts w:ascii="Arial" w:cs="Arial" w:eastAsia="Arial" w:hAnsi="Arial"/>
          <w:sz w:val="17"/>
          <w:szCs w:val="17"/>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spacing w:after="0" w:line="171" w:lineRule="exact"/>
        <w:rPr>
          <w:sz w:val="20"/>
          <w:szCs w:val="20"/>
          <w:color w:val="auto"/>
        </w:rPr>
      </w:pPr>
    </w:p>
    <w:p>
      <w:pPr>
        <w:ind w:left="680" w:right="199"/>
        <w:spacing w:after="0" w:line="265" w:lineRule="auto"/>
        <w:rPr>
          <w:sz w:val="20"/>
          <w:szCs w:val="20"/>
          <w:color w:val="auto"/>
        </w:rPr>
      </w:pPr>
      <w:r>
        <w:rPr>
          <w:rFonts w:ascii="Arial" w:cs="Arial" w:eastAsia="Arial" w:hAnsi="Arial"/>
          <w:sz w:val="17"/>
          <w:szCs w:val="17"/>
          <w:color w:val="auto"/>
        </w:rPr>
        <w:t>Changes in the political and economic policies or in relations between China and the United States may affect our business, financial condition, results of operations and the market price of our ADSs.</w:t>
      </w:r>
    </w:p>
    <w:p>
      <w:pPr>
        <w:spacing w:after="0" w:line="148" w:lineRule="exact"/>
        <w:rPr>
          <w:sz w:val="20"/>
          <w:szCs w:val="20"/>
          <w:color w:val="auto"/>
        </w:rPr>
      </w:pPr>
    </w:p>
    <w:p>
      <w:pPr>
        <w:ind w:left="680" w:right="259"/>
        <w:spacing w:after="0" w:line="243" w:lineRule="auto"/>
        <w:rPr>
          <w:sz w:val="20"/>
          <w:szCs w:val="20"/>
          <w:color w:val="auto"/>
        </w:rPr>
      </w:pPr>
      <w:r>
        <w:rPr>
          <w:rFonts w:ascii="Arial" w:cs="Arial" w:eastAsia="Arial" w:hAnsi="Arial"/>
          <w:sz w:val="17"/>
          <w:szCs w:val="17"/>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67" w:lineRule="exact"/>
        <w:rPr>
          <w:sz w:val="20"/>
          <w:szCs w:val="20"/>
          <w:color w:val="auto"/>
        </w:rPr>
      </w:pPr>
    </w:p>
    <w:p>
      <w:pPr>
        <w:ind w:left="680" w:right="159"/>
        <w:spacing w:after="0" w:line="243" w:lineRule="auto"/>
        <w:rPr>
          <w:sz w:val="20"/>
          <w:szCs w:val="20"/>
          <w:color w:val="auto"/>
        </w:rPr>
      </w:pPr>
      <w:r>
        <w:rPr>
          <w:rFonts w:ascii="Arial" w:cs="Arial" w:eastAsia="Arial" w:hAnsi="Arial"/>
          <w:sz w:val="17"/>
          <w:szCs w:val="17"/>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Business.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196"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We are a clinical stage global biopharmaceutical company developing novel oral small molecule therapeutics to treat a wide range of chronic diseases with unmet medical need. Our differentiated technology platform leverages both structure-based drug discovery and our expertise in computational chemistry to discover and develop small molecule therapeutics against G-protein coupled receptors (“GPCRs”). These important receptors regulate numerous and diverse physiological and pathological processes. In fact, approximately one in every three marketed medicines targets GPCR-associated pathways for the treatment of various metabolic, cardiovascular and pulmonary disorders. By leveraging our world-class GPCR know-how, we are designing differentiated small molecule therapies to overcome the limitations of biologics and peptide therapies that target this family of receptors.</w:t>
      </w:r>
    </w:p>
    <w:p>
      <w:pPr>
        <w:spacing w:after="0" w:line="172"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Our most advanced product candidate to date is aleniglipron, also known as GSBR-1290, an oral small molecule selective glucagon-like-peptide-1 receptor (“GLP-1R”) agonist currently in two Phase 2 clinical trials for the treatment of obesity, overweight and related conditions. Our obesity pipeline also includes ACCG-2671, an oral small molecule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amylin receptor agonist development candidate in investigational new drug (“IND”)-enabling studies, multiple preclinical</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discovery stage small molecules targeting glucose-dependent insulinotropic polypeptide (“GIP”) and glucagon (“GCG”)</w:t>
      </w:r>
    </w:p>
    <w:p>
      <w:pPr>
        <w:spacing w:after="0" w:line="27" w:lineRule="exact"/>
        <w:rPr>
          <w:sz w:val="20"/>
          <w:szCs w:val="20"/>
          <w:color w:val="auto"/>
        </w:rPr>
      </w:pPr>
    </w:p>
    <w:p>
      <w:pPr>
        <w:jc w:val="both"/>
        <w:ind w:left="40" w:right="79"/>
        <w:spacing w:after="0" w:line="266" w:lineRule="auto"/>
        <w:rPr>
          <w:sz w:val="20"/>
          <w:szCs w:val="20"/>
          <w:color w:val="auto"/>
        </w:rPr>
      </w:pPr>
      <w:r>
        <w:rPr>
          <w:rFonts w:ascii="Arial" w:cs="Arial" w:eastAsia="Arial" w:hAnsi="Arial"/>
          <w:sz w:val="16"/>
          <w:szCs w:val="16"/>
          <w:color w:val="auto"/>
        </w:rPr>
        <w:t>receptors, as well as ANPA-0073, an oral small molecule agonist targeting the apelin (“APJ”) receptor in GLP-toxicology studies and Phase 2 ready. Importantly, these programs have the potential to be developed as monotherapy as well as in fixed dose combination with our backbone therapeutics aleniglipron or ACCG-2671, as demonstrated below. These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7" w:lineRule="auto"/>
        <w:rPr>
          <w:sz w:val="20"/>
          <w:szCs w:val="20"/>
          <w:color w:val="auto"/>
        </w:rPr>
      </w:pPr>
      <w:r>
        <w:rPr>
          <w:rFonts w:ascii="Arial" w:cs="Arial" w:eastAsia="Arial" w:hAnsi="Arial"/>
          <w:sz w:val="17"/>
          <w:szCs w:val="17"/>
          <w:color w:val="auto"/>
        </w:rPr>
        <w:t>combination products enable us to potentially address diseases beyond obesity including type 2 diabetes mellitus (“T2DM”), heart failure, sleep apnea, chronic kidney disease (“CKD”), osteoarthritis, metabolic dysfunction-associated steatotic liver disease (“MASH”) and potentially even addiction and Parkinson’s disease and Alzheimer’s disease, areas where we are starting to see encouraging data with GLP-1Rs.</w:t>
      </w:r>
    </w:p>
    <w:p>
      <w:pPr>
        <w:spacing w:after="0" w:line="1" w:lineRule="exact"/>
        <w:rPr>
          <w:sz w:val="20"/>
          <w:szCs w:val="20"/>
          <w:color w:val="auto"/>
        </w:rPr>
      </w:pPr>
    </w:p>
    <w:p>
      <w:pPr>
        <w:jc w:val="both"/>
        <w:ind w:left="40" w:right="79"/>
        <w:spacing w:after="0" w:line="239" w:lineRule="auto"/>
        <w:rPr>
          <w:sz w:val="20"/>
          <w:szCs w:val="20"/>
          <w:color w:val="auto"/>
        </w:rPr>
      </w:pPr>
      <w:r>
        <w:rPr>
          <w:rFonts w:ascii="Arial" w:cs="Arial" w:eastAsia="Arial" w:hAnsi="Arial"/>
          <w:sz w:val="17"/>
          <w:szCs w:val="17"/>
          <w:color w:val="auto"/>
        </w:rPr>
        <w:t>Our product candidates, as oral small molecules, have the potential to be more accessible medicines than biologics and peptide therapies with potential potentially differentiated effectiveness and safety and, from a manufacturing standpoint, more scalable towards meeting global demand.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Metabolic Franchise Strategy: Fixed-Dose Combinations and Potential Indication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135255</wp:posOffset>
            </wp:positionV>
            <wp:extent cx="4928870" cy="213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8870"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Obesity Market</w:t>
      </w:r>
    </w:p>
    <w:p>
      <w:pPr>
        <w:spacing w:after="0" w:line="196" w:lineRule="exact"/>
        <w:rPr>
          <w:sz w:val="20"/>
          <w:szCs w:val="20"/>
          <w:color w:val="auto"/>
        </w:rPr>
      </w:pPr>
    </w:p>
    <w:p>
      <w:pPr>
        <w:jc w:val="both"/>
        <w:ind w:left="40" w:right="79"/>
        <w:spacing w:after="0" w:line="234" w:lineRule="auto"/>
        <w:rPr>
          <w:sz w:val="20"/>
          <w:szCs w:val="20"/>
          <w:color w:val="auto"/>
        </w:rPr>
      </w:pPr>
      <w:r>
        <w:rPr>
          <w:rFonts w:ascii="Arial" w:cs="Arial" w:eastAsia="Arial" w:hAnsi="Arial"/>
          <w:sz w:val="17"/>
          <w:szCs w:val="17"/>
          <w:color w:val="auto"/>
        </w:rPr>
        <w:t>Obesity is a complex, heterogeneous, chronic, and progressive disease, which substantially affects health, quality of life and mortality. “’Obesity” and “severe obesity” are defined by a body mass index (“BMI”) of greater than 30 and 40</w:t>
      </w:r>
    </w:p>
    <w:p>
      <w:pPr>
        <w:spacing w:after="0" w:line="1" w:lineRule="exact"/>
        <w:rPr>
          <w:sz w:val="20"/>
          <w:szCs w:val="20"/>
          <w:color w:val="auto"/>
        </w:rPr>
      </w:pPr>
    </w:p>
    <w:p>
      <w:pPr>
        <w:ind w:left="40" w:right="219"/>
        <w:spacing w:after="0" w:line="214" w:lineRule="auto"/>
        <w:rPr>
          <w:sz w:val="20"/>
          <w:szCs w:val="20"/>
          <w:color w:val="auto"/>
        </w:rPr>
      </w:pPr>
      <w:r>
        <w:rPr>
          <w:rFonts w:ascii="Arial" w:cs="Arial" w:eastAsia="Arial" w:hAnsi="Arial"/>
          <w:sz w:val="17"/>
          <w:szCs w:val="17"/>
          <w:color w:val="auto"/>
        </w:rPr>
        <w:t>kg/m</w:t>
      </w:r>
      <w:r>
        <w:rPr>
          <w:rFonts w:ascii="Arial" w:cs="Arial" w:eastAsia="Arial" w:hAnsi="Arial"/>
          <w:sz w:val="25"/>
          <w:szCs w:val="25"/>
          <w:color w:val="auto"/>
          <w:vertAlign w:val="superscript"/>
        </w:rPr>
        <w:t>2</w:t>
      </w:r>
      <w:r>
        <w:rPr>
          <w:rFonts w:ascii="Arial" w:cs="Arial" w:eastAsia="Arial" w:hAnsi="Arial"/>
          <w:sz w:val="17"/>
          <w:szCs w:val="17"/>
          <w:color w:val="auto"/>
        </w:rPr>
        <w:t>, respectively, with abnormal or excessive fat accumulation. “Overweight” is defined by a BMI of greater than 25 kg/m</w:t>
      </w:r>
      <w:r>
        <w:rPr>
          <w:rFonts w:ascii="Arial" w:cs="Arial" w:eastAsia="Arial" w:hAnsi="Arial"/>
          <w:sz w:val="25"/>
          <w:szCs w:val="25"/>
          <w:color w:val="auto"/>
          <w:vertAlign w:val="superscript"/>
        </w:rPr>
        <w:t>2</w:t>
      </w:r>
      <w:r>
        <w:rPr>
          <w:rFonts w:ascii="Arial" w:cs="Arial" w:eastAsia="Arial" w:hAnsi="Arial"/>
          <w:sz w:val="17"/>
          <w:szCs w:val="17"/>
          <w:color w:val="auto"/>
        </w:rPr>
        <w:t>.</w:t>
      </w:r>
    </w:p>
    <w:p>
      <w:pPr>
        <w:spacing w:after="0" w:line="64" w:lineRule="exact"/>
        <w:rPr>
          <w:sz w:val="20"/>
          <w:szCs w:val="20"/>
          <w:color w:val="auto"/>
        </w:rPr>
      </w:pPr>
    </w:p>
    <w:p>
      <w:pPr>
        <w:ind w:left="40" w:right="259"/>
        <w:spacing w:after="0" w:line="263" w:lineRule="auto"/>
        <w:rPr>
          <w:sz w:val="20"/>
          <w:szCs w:val="20"/>
          <w:color w:val="auto"/>
        </w:rPr>
      </w:pPr>
      <w:r>
        <w:rPr>
          <w:rFonts w:ascii="Arial" w:cs="Arial" w:eastAsia="Arial" w:hAnsi="Arial"/>
          <w:sz w:val="16"/>
          <w:szCs w:val="16"/>
          <w:color w:val="auto"/>
        </w:rPr>
        <w:t>Obesity has wide-ranging consequences on the health and wellbeing of individuals. The metabolic consequences of obesity include, but are not limited to, T2DM, MASH, hypercholesterolemia, chronic kidney disease, atherosclerotic cardiovascular disease, heart failure, osteoarthritis and sleep apnea. In the United States, 58% of adults with obesity have high blood pressure, a risk factor for heart disease and approximately 23% of adults with obesity have diabetes.</w:t>
      </w:r>
    </w:p>
    <w:p>
      <w:pPr>
        <w:spacing w:after="0" w:line="153" w:lineRule="exact"/>
        <w:rPr>
          <w:sz w:val="20"/>
          <w:szCs w:val="20"/>
          <w:color w:val="auto"/>
        </w:rPr>
      </w:pPr>
    </w:p>
    <w:p>
      <w:pPr>
        <w:ind w:left="40" w:right="179"/>
        <w:spacing w:after="0" w:line="239" w:lineRule="auto"/>
        <w:rPr>
          <w:sz w:val="20"/>
          <w:szCs w:val="20"/>
          <w:color w:val="auto"/>
        </w:rPr>
      </w:pPr>
      <w:r>
        <w:rPr>
          <w:rFonts w:ascii="Arial" w:cs="Arial" w:eastAsia="Arial" w:hAnsi="Arial"/>
          <w:sz w:val="17"/>
          <w:szCs w:val="17"/>
          <w:color w:val="auto"/>
        </w:rPr>
        <w:t>According to the Centers for Disease Control and Prevention, the prevalence of overweight and obesity in the United States between 2017 – 2020 was more than 100 million adults, representing approximately 42% of the population. During the same time, the prevalence of severe obesity was more than 22 million adults, representing approximately 9% of the population. Globally, obesity affects more than 890 million (13%) adults and has continued to increase in prevalence worldwide since the World Health Organization declared a global obesity epidemic. This deeply rooted and global health crisis represents a total addressable market of more than $100 billion annually.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 Obesity Epidemic: Prevalence of Obesity and Overweight 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135255</wp:posOffset>
            </wp:positionV>
            <wp:extent cx="3983355" cy="2108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83355" cy="210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Currently Approved Peptide Treatments have Limitations</w:t>
      </w:r>
    </w:p>
    <w:p>
      <w:pPr>
        <w:spacing w:after="0" w:line="196" w:lineRule="exact"/>
        <w:rPr>
          <w:sz w:val="20"/>
          <w:szCs w:val="20"/>
          <w:color w:val="auto"/>
        </w:rPr>
      </w:pPr>
    </w:p>
    <w:p>
      <w:pPr>
        <w:ind w:left="40" w:right="199"/>
        <w:spacing w:after="0" w:line="243" w:lineRule="auto"/>
        <w:rPr>
          <w:sz w:val="20"/>
          <w:szCs w:val="20"/>
          <w:color w:val="auto"/>
        </w:rPr>
      </w:pPr>
      <w:r>
        <w:rPr>
          <w:rFonts w:ascii="Arial" w:cs="Arial" w:eastAsia="Arial" w:hAnsi="Arial"/>
          <w:sz w:val="17"/>
          <w:szCs w:val="17"/>
          <w:color w:val="auto"/>
        </w:rPr>
        <w:t>Currently approved GLP-1R agonists provide multiple beneficial effects in patients with T2DM, including excellent glycemic control with low risk of hypoglycemia, weight loss and protection against cardiovascular and renal complications. However, approved GLP-1R agonists have several shortcomings in terms of patient convenience, ease of dosing and cost.</w:t>
      </w:r>
    </w:p>
    <w:p>
      <w:pPr>
        <w:spacing w:after="0" w:line="168" w:lineRule="exact"/>
        <w:rPr>
          <w:sz w:val="20"/>
          <w:szCs w:val="20"/>
          <w:color w:val="auto"/>
        </w:rPr>
      </w:pPr>
    </w:p>
    <w:p>
      <w:pPr>
        <w:ind w:left="40" w:right="439"/>
        <w:spacing w:after="0" w:line="243" w:lineRule="auto"/>
        <w:rPr>
          <w:sz w:val="20"/>
          <w:szCs w:val="20"/>
          <w:color w:val="auto"/>
        </w:rPr>
      </w:pPr>
      <w:r>
        <w:rPr>
          <w:rFonts w:ascii="Arial" w:cs="Arial" w:eastAsia="Arial" w:hAnsi="Arial"/>
          <w:sz w:val="17"/>
          <w:szCs w:val="17"/>
          <w:color w:val="auto"/>
        </w:rPr>
        <w:t>Injectable peptide GLP-1R agonists require patients to self-inject, require inconvenient refrigerated storage and are costly. In addition, long acting GLP-1R agonists typically require long titration periods to reach an optimal dose for disease management in order to avoid treatment-associated gastrointestinal side effects, including nausea and vomiting.</w:t>
      </w:r>
    </w:p>
    <w:p>
      <w:pPr>
        <w:spacing w:after="0" w:line="168" w:lineRule="exact"/>
        <w:rPr>
          <w:sz w:val="20"/>
          <w:szCs w:val="20"/>
          <w:color w:val="auto"/>
        </w:rPr>
      </w:pPr>
    </w:p>
    <w:p>
      <w:pPr>
        <w:ind w:left="40" w:right="199"/>
        <w:spacing w:after="0" w:line="271" w:lineRule="auto"/>
        <w:rPr>
          <w:sz w:val="20"/>
          <w:szCs w:val="20"/>
          <w:color w:val="auto"/>
        </w:rPr>
      </w:pPr>
      <w:r>
        <w:rPr>
          <w:rFonts w:ascii="Arial" w:cs="Arial" w:eastAsia="Arial" w:hAnsi="Arial"/>
          <w:sz w:val="16"/>
          <w:szCs w:val="16"/>
          <w:color w:val="auto"/>
        </w:rPr>
        <w:t>Unfortunately, most patients today do not stay on therapy past a year, with discontinuation rates of 65% with injectable GLP-1R agonists after one year and up to 85% after two years as shown below. This means that patients are not benefitting from sustained weight loss and the long-term cardiometabolic benefits that GLP-1R agonist can provide.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Discontinuation Rates of Approved GLP-1R Agonist Treatment Over First Two Year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135255</wp:posOffset>
            </wp:positionV>
            <wp:extent cx="5025390" cy="1915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25390" cy="191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Oral Small Molecules: A Solution for Long-Term Maintenance Therapy</w:t>
      </w:r>
    </w:p>
    <w:p>
      <w:pPr>
        <w:spacing w:after="0" w:line="196" w:lineRule="exact"/>
        <w:rPr>
          <w:sz w:val="20"/>
          <w:szCs w:val="20"/>
          <w:color w:val="auto"/>
        </w:rPr>
      </w:pPr>
    </w:p>
    <w:p>
      <w:pPr>
        <w:ind w:left="40" w:right="439"/>
        <w:spacing w:after="0" w:line="265" w:lineRule="auto"/>
        <w:rPr>
          <w:sz w:val="20"/>
          <w:szCs w:val="20"/>
          <w:color w:val="auto"/>
        </w:rPr>
      </w:pPr>
      <w:r>
        <w:rPr>
          <w:rFonts w:ascii="Arial" w:cs="Arial" w:eastAsia="Arial" w:hAnsi="Arial"/>
          <w:sz w:val="17"/>
          <w:szCs w:val="17"/>
          <w:color w:val="auto"/>
        </w:rPr>
        <w:t>We believe there is a significant opportunity for oral small molecules to enable patients to continue GLP-1R agonist treatment for sustained weight loss and long-term cardiometabolic benefits.</w:t>
      </w:r>
    </w:p>
    <w:p>
      <w:pPr>
        <w:spacing w:after="0" w:line="149" w:lineRule="exact"/>
        <w:rPr>
          <w:sz w:val="20"/>
          <w:szCs w:val="20"/>
          <w:color w:val="auto"/>
        </w:rPr>
      </w:pPr>
    </w:p>
    <w:p>
      <w:pPr>
        <w:ind w:left="40" w:right="139"/>
        <w:spacing w:after="0" w:line="243" w:lineRule="auto"/>
        <w:rPr>
          <w:sz w:val="20"/>
          <w:szCs w:val="20"/>
          <w:color w:val="auto"/>
        </w:rPr>
      </w:pPr>
      <w:r>
        <w:rPr>
          <w:rFonts w:ascii="Arial" w:cs="Arial" w:eastAsia="Arial" w:hAnsi="Arial"/>
          <w:sz w:val="17"/>
          <w:szCs w:val="17"/>
          <w:color w:val="auto"/>
        </w:rPr>
        <w:t>For example, oral semaglutide (Rybelsus), the first approved oral GLP-1R peptide agonist, provides an option for patients who are unable or unwilling to self-administer injectable therapies. However, Rybelsus requires a stringent dosing protocol and dosing with up to four ounces of water and no food or beverage within 30 minutes. Additionally, the product’s absorption enhancer may affect the absorption of other concomitantly administered oral medications.</w:t>
      </w:r>
    </w:p>
    <w:p>
      <w:pPr>
        <w:spacing w:after="0" w:line="168" w:lineRule="exact"/>
        <w:rPr>
          <w:sz w:val="20"/>
          <w:szCs w:val="20"/>
          <w:color w:val="auto"/>
        </w:rPr>
      </w:pPr>
    </w:p>
    <w:p>
      <w:pPr>
        <w:ind w:left="40" w:right="339"/>
        <w:spacing w:after="0" w:line="239" w:lineRule="auto"/>
        <w:rPr>
          <w:sz w:val="20"/>
          <w:szCs w:val="20"/>
          <w:color w:val="auto"/>
        </w:rPr>
      </w:pPr>
      <w:r>
        <w:rPr>
          <w:rFonts w:ascii="Arial" w:cs="Arial" w:eastAsia="Arial" w:hAnsi="Arial"/>
          <w:sz w:val="17"/>
          <w:szCs w:val="17"/>
          <w:color w:val="auto"/>
        </w:rPr>
        <w:t>Thus, we believe there is a significant unmet medical need for orally administered GLP-1R agonists that meet or exceed efficacy and safety parameters of available drugs with less stringent preparation requirements. Existing constraints that should be eliminated or minimized include: restrictive food or fluid dosing protocols, refrigeration and maintenance of effective concentrations throughout the dosing interval without interfering with the absorption of concomitant medications while offering the potential for combination products with other glucose-lowering agents or other commonly co-administered therapies.</w:t>
      </w:r>
    </w:p>
    <w:p>
      <w:pPr>
        <w:spacing w:after="0" w:line="170" w:lineRule="exact"/>
        <w:rPr>
          <w:sz w:val="20"/>
          <w:szCs w:val="20"/>
          <w:color w:val="auto"/>
        </w:rPr>
      </w:pPr>
    </w:p>
    <w:p>
      <w:pPr>
        <w:ind w:left="40" w:right="219"/>
        <w:spacing w:after="0"/>
        <w:rPr>
          <w:sz w:val="20"/>
          <w:szCs w:val="20"/>
          <w:color w:val="auto"/>
        </w:rPr>
      </w:pPr>
      <w:r>
        <w:rPr>
          <w:rFonts w:ascii="Arial" w:cs="Arial" w:eastAsia="Arial" w:hAnsi="Arial"/>
          <w:sz w:val="17"/>
          <w:szCs w:val="17"/>
          <w:color w:val="auto"/>
        </w:rPr>
        <w:t>In addition, the high prevalence of obesity and overweight together with the broad interest in currently approved GLP-1R peptides have contributed to past drug shortages for Wegovy and Zepbound. Moreover, the scalability of weekly GLP-1R peptide injectables may be limited by fill-finish capacity and device requirements, while the scalability to large populations of oral GLP-1R analog peptides, including oral semaglutide, may be limited by large drug substance requirements arising from their poor bioavailability.</w:t>
      </w:r>
    </w:p>
    <w:p>
      <w:pPr>
        <w:spacing w:after="0" w:line="171" w:lineRule="exact"/>
        <w:rPr>
          <w:sz w:val="20"/>
          <w:szCs w:val="20"/>
          <w:color w:val="auto"/>
        </w:rPr>
      </w:pPr>
    </w:p>
    <w:p>
      <w:pPr>
        <w:ind w:left="40" w:right="159"/>
        <w:spacing w:after="0" w:line="265" w:lineRule="auto"/>
        <w:rPr>
          <w:sz w:val="20"/>
          <w:szCs w:val="20"/>
          <w:color w:val="auto"/>
        </w:rPr>
      </w:pPr>
      <w:r>
        <w:rPr>
          <w:rFonts w:ascii="Arial" w:cs="Arial" w:eastAsia="Arial" w:hAnsi="Arial"/>
          <w:sz w:val="17"/>
          <w:szCs w:val="17"/>
          <w:color w:val="auto"/>
        </w:rPr>
        <w:t>We believe we are well-positioned to overcome the limitations of existing peptide therapies through the development of novel oral small molecule therapeutics via our differentiated technology platform and approach.</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Technology Platform and Approach</w:t>
      </w:r>
    </w:p>
    <w:p>
      <w:pPr>
        <w:spacing w:after="0" w:line="196"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Our next generation, structure-based drug discovery platform is based on techniques that our founders have evolved over 25 years, which enables us to generate small molecule product candidates designed to overcome the historical limitations of GPCR drug development (see subsection titled “Challenges of GPCR Therapeutics Discovery and Development” below). As shown below, we believe our insights and capabilities for visualizing three-dimensional ligand and target protein structures combined with computational chemistry capabilities of our co-founder and strategic partner, Schrödinger, give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Technology Platform Repeatedly Delivers New Oral Small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135255</wp:posOffset>
            </wp:positionV>
            <wp:extent cx="5185410" cy="2372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8541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59"/>
        <w:spacing w:after="0" w:line="243" w:lineRule="auto"/>
        <w:rPr>
          <w:sz w:val="20"/>
          <w:szCs w:val="20"/>
          <w:color w:val="auto"/>
        </w:rPr>
      </w:pPr>
      <w:r>
        <w:rPr>
          <w:rFonts w:ascii="Arial" w:cs="Arial" w:eastAsia="Arial" w:hAnsi="Arial"/>
          <w:sz w:val="17"/>
          <w:szCs w:val="17"/>
          <w:color w:val="auto"/>
        </w:rPr>
        <w:t>We believe the strengths of our platform position us to develop oral small molecule drugs that can deliver biologic-like activity and specificity. Oral small molecules can address many of the key limitations of biologic and peptide drugs, thereby significantly improving patient access. We believe this is particularly important for the most prevalent chronic diseases including those involving the metabolic, cardiovascular and pulmonary systems.</w:t>
      </w:r>
    </w:p>
    <w:p>
      <w:pPr>
        <w:spacing w:after="0" w:line="168"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Oral small molecules have large-scale manufacturing advantages and are generally more cost-effective to produce than peptides. As shown below, we have a current manufacturing capacity of 6,000 tons/year of aleniglipron, which is enough to supply treatment to more than 120 million patients per year.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Potential Differentiation for Aleniglipron on Scalable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135255</wp:posOffset>
            </wp:positionV>
            <wp:extent cx="5057140" cy="1923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57140" cy="192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Pipeline and Programs</w:t>
      </w:r>
    </w:p>
    <w:p>
      <w:pPr>
        <w:spacing w:after="0" w:line="196"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We pursue opportunities to target GPCRs in human diseases on the basis of validated biology, safety, development feasibility and market potential. We are building a pipeline of wholly-owned oral small molecule drugs targeting chronic diseases with unmet medical need and commercial potential. Our initial focus is in areas of metabolic, cardiovascular and pulmonary diseases.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key information on our current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135255</wp:posOffset>
            </wp:positionV>
            <wp:extent cx="4969510" cy="23723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6951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Strategy</w:t>
      </w:r>
    </w:p>
    <w:p>
      <w:pPr>
        <w:spacing w:after="0" w:line="196" w:lineRule="exact"/>
        <w:rPr>
          <w:sz w:val="20"/>
          <w:szCs w:val="20"/>
          <w:color w:val="auto"/>
        </w:rPr>
      </w:pPr>
    </w:p>
    <w:p>
      <w:pPr>
        <w:jc w:val="both"/>
        <w:ind w:left="40" w:right="259"/>
        <w:spacing w:after="0" w:line="248" w:lineRule="auto"/>
        <w:rPr>
          <w:sz w:val="20"/>
          <w:szCs w:val="20"/>
          <w:color w:val="auto"/>
        </w:rPr>
      </w:pPr>
      <w:r>
        <w:rPr>
          <w:rFonts w:ascii="Arial" w:cs="Arial" w:eastAsia="Arial" w:hAnsi="Arial"/>
          <w:sz w:val="17"/>
          <w:szCs w:val="17"/>
          <w:color w:val="auto"/>
        </w:rPr>
        <w:t>Our mission is to discover and develop broadly accessible oral therapeutics to treat a wide range of chronic diseases with unmet medical need through advancements in structure-based drug discovery and computational chemistry. The key pillars of our business strategy to achieve this mission include:</w:t>
      </w:r>
    </w:p>
    <w:p>
      <w:pPr>
        <w:spacing w:after="0" w:line="164" w:lineRule="exact"/>
        <w:rPr>
          <w:sz w:val="20"/>
          <w:szCs w:val="20"/>
          <w:color w:val="auto"/>
        </w:rPr>
      </w:pPr>
    </w:p>
    <w:p>
      <w:pPr>
        <w:ind w:left="980" w:right="219" w:hanging="304"/>
        <w:spacing w:after="0" w:line="236" w:lineRule="auto"/>
        <w:tabs>
          <w:tab w:leader="none" w:pos="9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Invest in and leverage our next generation structure-based drug discovery platform to drive innovations in GPCR targeted therapies and beyond.</w:t>
      </w:r>
      <w:r>
        <w:rPr>
          <w:rFonts w:ascii="Arial" w:cs="Arial" w:eastAsia="Arial" w:hAnsi="Arial"/>
          <w:sz w:val="17"/>
          <w:szCs w:val="17"/>
          <w:color w:val="auto"/>
        </w:rPr>
        <w:t xml:space="preserve">  Our platform has the potential to transform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paradigm for a wide range of chronic diseases with unmet medical need. We are continually growing our position as a leader in structure-based drug discovery and development by incorporating platform innovations that have the potential to expand the therapeutic opportunity of this field. We are integrating advancements in computational chemistry, molecular imaging technologies, structural biology techniques and machine learning while continuing to deepen our understanding of GPCR signaling pathways and pharmacology. We intend to expand into other key emerging areas where we can leverage our platform to develop orally-available molecules against targets that historically have been limited to peptides or biologics.</w:t>
      </w:r>
    </w:p>
    <w:p>
      <w:pPr>
        <w:spacing w:after="0" w:line="173" w:lineRule="exact"/>
        <w:rPr>
          <w:rFonts w:ascii="Arial" w:cs="Arial" w:eastAsia="Arial" w:hAnsi="Arial"/>
          <w:sz w:val="17"/>
          <w:szCs w:val="17"/>
          <w:b w:val="1"/>
          <w:bCs w:val="1"/>
          <w:color w:val="auto"/>
        </w:rPr>
      </w:pPr>
    </w:p>
    <w:p>
      <w:pPr>
        <w:ind w:left="980" w:right="119" w:hanging="304"/>
        <w:spacing w:after="0" w:line="237" w:lineRule="auto"/>
        <w:tabs>
          <w:tab w:leader="none" w:pos="9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Advance our metabolic franchise including our GLP-1R and amylin backbone therapies, establishing a foundation for additional opportunities.</w:t>
      </w:r>
      <w:r>
        <w:rPr>
          <w:rFonts w:ascii="Arial" w:cs="Arial" w:eastAsia="Arial" w:hAnsi="Arial"/>
          <w:sz w:val="17"/>
          <w:szCs w:val="17"/>
          <w:color w:val="auto"/>
        </w:rPr>
        <w:t xml:space="preserve">  Our franchise approach involves developing</w:t>
      </w:r>
      <w:r>
        <w:rPr>
          <w:rFonts w:ascii="Arial" w:cs="Arial" w:eastAsia="Arial" w:hAnsi="Arial"/>
          <w:sz w:val="17"/>
          <w:szCs w:val="17"/>
          <w:b w:val="1"/>
          <w:bCs w:val="1"/>
          <w:color w:val="auto"/>
        </w:rPr>
        <w:t xml:space="preserve"> </w:t>
      </w:r>
      <w:r>
        <w:rPr>
          <w:rFonts w:ascii="Arial" w:cs="Arial" w:eastAsia="Arial" w:hAnsi="Arial"/>
          <w:sz w:val="17"/>
          <w:szCs w:val="17"/>
          <w:color w:val="auto"/>
        </w:rPr>
        <w:t>next generation GLP-1R and amylin receptor agonists, designed with customized properties to achieve maximum benefit. Based on compelling data generated from our clinical and preclinical studies, we believe that our lead GLP-1R candidate, aleniglipron, has the potential to be a differentiated treatment for obesity. Based on preclinical data, we believe that our lead oral small molecule amylin development candidate, ACCG-2671, has the potential to be the first-in-class oral small molecule amylin treatment option for obesity. In addition, our program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980" w:right="99"/>
        <w:spacing w:after="0" w:line="248" w:lineRule="auto"/>
        <w:rPr>
          <w:sz w:val="20"/>
          <w:szCs w:val="20"/>
          <w:color w:val="auto"/>
        </w:rPr>
      </w:pPr>
      <w:r>
        <w:rPr>
          <w:rFonts w:ascii="Arial" w:cs="Arial" w:eastAsia="Arial" w:hAnsi="Arial"/>
          <w:sz w:val="17"/>
          <w:szCs w:val="17"/>
          <w:color w:val="auto"/>
        </w:rPr>
        <w:t>focused on the development of orally-available small molecules in combination with GLP-1R and/or amylin, including glucose-dependent insulinotropic polypeptide receptor (“GIPR”), GCG receptor (“GCGR”), as well as the APJ receptor for selective or muscle-sparing weight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114935</wp:posOffset>
            </wp:positionV>
            <wp:extent cx="4737100" cy="158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37100" cy="158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80" w:right="219" w:hanging="304"/>
        <w:spacing w:after="0" w:line="239" w:lineRule="auto"/>
        <w:tabs>
          <w:tab w:leader="none" w:pos="9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Pursue additional opportunities in chronic diseases.</w:t>
      </w:r>
      <w:r>
        <w:rPr>
          <w:rFonts w:ascii="Arial" w:cs="Arial" w:eastAsia="Arial" w:hAnsi="Arial"/>
          <w:sz w:val="17"/>
          <w:szCs w:val="17"/>
          <w:color w:val="auto"/>
        </w:rPr>
        <w:t xml:space="preserve">  Chronic diseases pose a major burden to</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and healthcare systems worldwide and there is an urgent need for effective and more accessible treatment options. We are evaluating LPA1R antagonism in idiopathic pulmonary fibrosis, or IPF and are currently conducting a Phase 1 first-in-human study. We plan to continue to harness insights on GPCR targets, particularly among metabolic, endocrine, pulmonary and cardiovascular indications, and leverage our platform to fuel our pipeline.</w:t>
      </w:r>
    </w:p>
    <w:p>
      <w:pPr>
        <w:spacing w:after="0" w:line="169" w:lineRule="exact"/>
        <w:rPr>
          <w:rFonts w:ascii="Arial" w:cs="Arial" w:eastAsia="Arial" w:hAnsi="Arial"/>
          <w:sz w:val="17"/>
          <w:szCs w:val="17"/>
          <w:b w:val="1"/>
          <w:bCs w:val="1"/>
          <w:color w:val="auto"/>
        </w:rPr>
      </w:pPr>
    </w:p>
    <w:p>
      <w:pPr>
        <w:ind w:left="980" w:right="199" w:hanging="304"/>
        <w:spacing w:after="0" w:line="239" w:lineRule="auto"/>
        <w:tabs>
          <w:tab w:leader="none" w:pos="9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Maximize the potential of our platform and portfolio through strategic partnerships.</w:t>
      </w:r>
      <w:r>
        <w:rPr>
          <w:rFonts w:ascii="Arial" w:cs="Arial" w:eastAsia="Arial" w:hAnsi="Arial"/>
          <w:sz w:val="17"/>
          <w:szCs w:val="17"/>
          <w:color w:val="auto"/>
        </w:rPr>
        <w:t xml:space="preserve">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value- and capability-enhancing collaborations with Schrödinger, our co-founder and strategic partner. We intend to continue to explore additional collaborations with third parties to further strengthen our platform capabilities and enable expansion of our portfolio. We plan to leverage our platform for external opportunities where partners bring additional disease biology understanding, drug development and commercial expertise, regional insights or other complementary capabilities.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Programs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Aleniglipron (GSBR-1290) – Oral Small Molecule Selective GLP-1R Agonist for Obesity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Overview and Timeline</w:t>
      </w:r>
    </w:p>
    <w:p>
      <w:pPr>
        <w:spacing w:after="0" w:line="194"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Our most advanced product candidate, aleniglipron, is an oral and biased small molecule agonist of GLP-1R, a validated GPCR drug target for obesity, currently in two Phase 2 clinical studies for the treatment of obesity, overweight and related conditions.</w:t>
      </w:r>
    </w:p>
    <w:p>
      <w:pPr>
        <w:spacing w:after="0" w:line="164" w:lineRule="exact"/>
        <w:rPr>
          <w:sz w:val="20"/>
          <w:szCs w:val="20"/>
          <w:color w:val="auto"/>
        </w:rPr>
      </w:pPr>
    </w:p>
    <w:p>
      <w:pPr>
        <w:ind w:left="40" w:right="179"/>
        <w:spacing w:after="0"/>
        <w:rPr>
          <w:sz w:val="20"/>
          <w:szCs w:val="20"/>
          <w:color w:val="auto"/>
        </w:rPr>
      </w:pPr>
      <w:r>
        <w:rPr>
          <w:rFonts w:ascii="Arial" w:cs="Arial" w:eastAsia="Arial" w:hAnsi="Arial"/>
          <w:sz w:val="17"/>
          <w:szCs w:val="17"/>
          <w:color w:val="auto"/>
        </w:rPr>
        <w:t>We completed our Phase 1 single ascending dose (“SAD”) study of aleniglipron in September 2022. Aleniglipron was generally well tolerated and demonstrated dose-dependent pharmacokinetic (“PK”) and pharmacodynamic (“PD”) activity. We submitted an IND application to the FDA to support initiation of a Phase 1b study in T2DM and obesity and received FDA allowance in September 2022. We initiated the Phase 1b multiple ascending dose (“MAD”) study of aleniglipron in January 2023 and completed dosing in otherwise healthy overweight subjects in March 2023.</w:t>
      </w:r>
    </w:p>
    <w:p>
      <w:pPr>
        <w:spacing w:after="0" w:line="171" w:lineRule="exact"/>
        <w:rPr>
          <w:sz w:val="20"/>
          <w:szCs w:val="20"/>
          <w:color w:val="auto"/>
        </w:rPr>
      </w:pPr>
    </w:p>
    <w:p>
      <w:pPr>
        <w:ind w:left="40" w:right="179"/>
        <w:spacing w:after="0"/>
        <w:rPr>
          <w:sz w:val="20"/>
          <w:szCs w:val="20"/>
          <w:color w:val="auto"/>
        </w:rPr>
      </w:pPr>
      <w:r>
        <w:rPr>
          <w:rFonts w:ascii="Arial" w:cs="Arial" w:eastAsia="Arial" w:hAnsi="Arial"/>
          <w:sz w:val="17"/>
          <w:szCs w:val="17"/>
          <w:color w:val="auto"/>
        </w:rPr>
        <w:t>In May 2023, we submitted a protocol amendment to the FDA and initiated dosing of the Phase 2a proof-of-concept study in T2DM and obesity. We reported topline data for the 28-day Phase 1b MAD study in September 2023, in which aleniglipron was generally well-tolerated with no adverse event-related discontinuations and demonstrated an encouraging safety profile and significant weight loss of up to 4.9% placebo-adjusted, supporting once-daily dosing. In December 2023, we reported clinically meaningful topline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50" w:lineRule="auto"/>
        <w:rPr>
          <w:sz w:val="20"/>
          <w:szCs w:val="20"/>
          <w:color w:val="auto"/>
        </w:rPr>
      </w:pPr>
      <w:r>
        <w:rPr>
          <w:rFonts w:ascii="Arial" w:cs="Arial" w:eastAsia="Arial" w:hAnsi="Arial"/>
          <w:sz w:val="16"/>
          <w:szCs w:val="16"/>
          <w:color w:val="auto"/>
        </w:rPr>
        <w:t>data from our Phase 2a T2DM cohort, interim results from our Phase 2a obesity cohort and topline data from a Japanese ethno-bridging study of aleniglipron. These data demonstrated that aleniglipron was generally well-tolerated, with no treatment-related serious adverse events (“SAEs”) over 12 weeks, with only one participant discontinuing the study due to adverse events in the T2DM cohort and none in the obesity cohort. Aleniglipron also showed significant reduction in weight in the obesity cohort at 8 weeks and significant reductions in hemoglobin A1c (“HbA1c”) and weight in the T2DM cohort. In June 2024, we reported positive topline data from our Phase 2a obesity study, in which aleniglipron demonstrated a clinically meaningful and statistically significant placebo-adjusted mean decrease in weight of 6.2% at 12 weeks (p&lt;0.0001, using least-squares means (“LSM”) and analyzed based on the primary efficacy estimand using a mixed model for repeated measures) and demonstrated generally favorable safety and tolerability results following repeated, daily dosing up to 120 mg. Furthermore, we explored a new tablet formulation of aleniglipron in a capsule to tablet PK study, which demonstrated a placebo-adjusted mean weight loss of up to 6.9% with the tablet formulation at 12 weeks (p&lt;0.0001, using LSM and analyzed based on the primary efficacy estimand using a mixed model for repeated measures). In July 2024, we submitted an IND to the FDA to support the initiation of a Phase 2b study in chronic weight management and received FDA allowance in August 2024.</w:t>
      </w:r>
    </w:p>
    <w:p>
      <w:pPr>
        <w:spacing w:after="0" w:line="169" w:lineRule="exact"/>
        <w:rPr>
          <w:sz w:val="20"/>
          <w:szCs w:val="20"/>
          <w:color w:val="auto"/>
        </w:rPr>
      </w:pPr>
    </w:p>
    <w:p>
      <w:pPr>
        <w:ind w:left="40" w:right="99"/>
        <w:spacing w:after="0" w:line="229" w:lineRule="auto"/>
        <w:rPr>
          <w:sz w:val="20"/>
          <w:szCs w:val="20"/>
          <w:color w:val="auto"/>
        </w:rPr>
      </w:pPr>
      <w:r>
        <w:rPr>
          <w:rFonts w:ascii="Arial" w:cs="Arial" w:eastAsia="Arial" w:hAnsi="Arial"/>
          <w:sz w:val="16"/>
          <w:szCs w:val="16"/>
          <w:color w:val="auto"/>
        </w:rPr>
        <w:t>In the fourth quarter of 2024, we initiated the Phase 2b ACCESS study, a randomized, double-blind, placebo-controlled, dose-range finding study of aleniglipron in approximately 220 adult participants living with obesity (BMI ≥ 30 kg/m</w:t>
      </w:r>
      <w:r>
        <w:rPr>
          <w:rFonts w:ascii="Arial" w:cs="Arial" w:eastAsia="Arial" w:hAnsi="Arial"/>
          <w:sz w:val="24"/>
          <w:szCs w:val="24"/>
          <w:color w:val="auto"/>
          <w:vertAlign w:val="superscript"/>
        </w:rPr>
        <w:t>2</w:t>
      </w:r>
      <w:r>
        <w:rPr>
          <w:rFonts w:ascii="Arial" w:cs="Arial" w:eastAsia="Arial" w:hAnsi="Arial"/>
          <w:sz w:val="16"/>
          <w:szCs w:val="16"/>
          <w:color w:val="auto"/>
        </w:rPr>
        <w:t>), or overweight (BMI ≥ 27 kg/m</w:t>
      </w:r>
      <w:r>
        <w:rPr>
          <w:rFonts w:ascii="Arial" w:cs="Arial" w:eastAsia="Arial" w:hAnsi="Arial"/>
          <w:sz w:val="24"/>
          <w:szCs w:val="24"/>
          <w:color w:val="auto"/>
          <w:vertAlign w:val="superscript"/>
        </w:rPr>
        <w:t>2</w:t>
      </w:r>
      <w:r>
        <w:rPr>
          <w:rFonts w:ascii="Arial" w:cs="Arial" w:eastAsia="Arial" w:hAnsi="Arial"/>
          <w:sz w:val="16"/>
          <w:szCs w:val="16"/>
          <w:color w:val="auto"/>
        </w:rPr>
        <w:t>) with at least one weight-related comorbidity. Participants start at 5 mg of aleniglipron (or placebo) with a 4-week titration schedule, reaching target doses of 45 mg, 90 mg and 120 mg. The primary endpoint is percent change in body weight from baseline to week 36. Secondary endpoints include safety and tolerability of the monthly titration scheme, as well as PK of aleniglipron. In the fourth quarter of 2024, we initiated a randomized, double-blind, placebo-controlled dose-range finding Phase 2 study of aleniglipron, known as ACCESS II, in approximately 82 adult participants living with obesity or overweight with at least one weight-related comorbidity. The study is designed to evaluate two higher doses of aleniglipron. Participants start at 5 mg of aleniglipron (or placebo) and follow a 4-week titration schedule up to target doses of 120 mg, 180 mg and 240 mg. In February 2025, we completed enrollment in the ACCESS and ACCESS II studies, and we expect to report topline data from both studies in the fourth quarter of 2025.</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Aleniglipron Design and Discovery</w:t>
      </w:r>
    </w:p>
    <w:p>
      <w:pPr>
        <w:spacing w:after="0" w:line="194" w:lineRule="exact"/>
        <w:rPr>
          <w:sz w:val="20"/>
          <w:szCs w:val="20"/>
          <w:color w:val="auto"/>
        </w:rPr>
      </w:pPr>
    </w:p>
    <w:p>
      <w:pPr>
        <w:ind w:left="40" w:right="299"/>
        <w:spacing w:after="0" w:line="248" w:lineRule="auto"/>
        <w:rPr>
          <w:sz w:val="20"/>
          <w:szCs w:val="20"/>
          <w:color w:val="auto"/>
        </w:rPr>
      </w:pPr>
      <w:r>
        <w:rPr>
          <w:rFonts w:ascii="Arial" w:cs="Arial" w:eastAsia="Arial" w:hAnsi="Arial"/>
          <w:sz w:val="17"/>
          <w:szCs w:val="17"/>
          <w:color w:val="auto"/>
        </w:rPr>
        <w:t>We are developing aleniglipron, a biased orally-available small molecule GLP-1R agonist, initially as a treatment for obesity and related diseases. Due to its significant preclinical activity and oral availability, we believe that aleniglipron has the potential to be a differentiated treatment with no restrictions on diet or concomitant therapies.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Aleniglipron Analog Bound GLP-1R Cryo-EM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1637665</wp:posOffset>
            </wp:positionH>
            <wp:positionV relativeFrom="paragraph">
              <wp:posOffset>135255</wp:posOffset>
            </wp:positionV>
            <wp:extent cx="2444750" cy="2051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44750" cy="205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55" w:lineRule="auto"/>
        <w:rPr>
          <w:sz w:val="20"/>
          <w:szCs w:val="20"/>
          <w:color w:val="auto"/>
        </w:rPr>
      </w:pPr>
      <w:r>
        <w:rPr>
          <w:rFonts w:ascii="Arial" w:cs="Arial" w:eastAsia="Arial" w:hAnsi="Arial"/>
          <w:sz w:val="16"/>
          <w:szCs w:val="16"/>
          <w:color w:val="auto"/>
        </w:rPr>
        <w:t>Aleniglipron was designed through our internal structure-based drug discovery platform. As shown above, multiple small molecules bound to GLP-1R structures have been generated to guide iterative chemistry design efforts. Aleniglipron is also designed to be a biased GPCR agonist, which only activates the G-protein pathway without β-arrestin signaling at therapeutic doses, thereby avoiding receptor internalization and de-sensitization. In an intravenous glucose tolerance test in non-human primates (“NHPs”), aleniglipron increased glucose-dependent insulin secretion to a similar level achieved by liraglutide, an approved injectable GLP-1R agonist. In a repeat food intake study in NHPs, aleniglipron showed a significant decrease in body weight relative to the placebo and surpassed that seen with liraglutide.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Aleniglipron Non-clinical Safety Pharmacology and Toxicology Studies</w:t>
      </w:r>
    </w:p>
    <w:p>
      <w:pPr>
        <w:spacing w:after="0" w:line="194" w:lineRule="exact"/>
        <w:rPr>
          <w:sz w:val="20"/>
          <w:szCs w:val="20"/>
          <w:color w:val="auto"/>
        </w:rPr>
      </w:pPr>
    </w:p>
    <w:p>
      <w:pPr>
        <w:jc w:val="both"/>
        <w:ind w:left="40" w:right="159"/>
        <w:spacing w:after="0" w:line="248" w:lineRule="auto"/>
        <w:rPr>
          <w:sz w:val="20"/>
          <w:szCs w:val="20"/>
          <w:color w:val="auto"/>
        </w:rPr>
      </w:pPr>
      <w:r>
        <w:rPr>
          <w:rFonts w:ascii="Arial" w:cs="Arial" w:eastAsia="Arial" w:hAnsi="Arial"/>
          <w:sz w:val="17"/>
          <w:szCs w:val="17"/>
          <w:color w:val="auto"/>
        </w:rPr>
        <w:t>A standard battery of nonclinical safety pharmacology studies (central nervous system, cardiovascular and respiratory) has been completed with aleniglipron with no findings anticipated to be of clinical relevance. Genotoxicity assessments demonstrated an absence of genotoxicity potential.</w:t>
      </w:r>
    </w:p>
    <w:p>
      <w:pPr>
        <w:spacing w:after="0" w:line="164"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In the 4-week and 13-week GLP toxicology study in rats, the no-observed-adverse-effect level (“NOAEL”) dose was considered to be 1000 mg/kg/day, the highest dose tested. In the 4-week and 13-week GLP toxicology study in NHPs, aleniglipron showed pharmacologically related events such as inappetence and bodyweight loss, which were reversible with sufficient recovery periods. There were no aleniglipron related deaths during the course of study and no aleniglipron related changes in organ weights, gross and histopathology examinations at the end of the dosing and recovery periods. In the 13-week study, NHPs of both sexes in all dose groups, including in the control group, had minimal to moderate multifocal necrosis/infiltration in the liver. The root cause of these liver abnormalities was not determined, but these findings were considered unrelated to aleniglipron. The FDA reviewed our 13-week GLP toxicology studies in rats and NHPs and agreed that these liver abnormalities were not considered a new non-clinical safety signal related to aleniglipron.</w:t>
      </w:r>
    </w:p>
    <w:p>
      <w:pPr>
        <w:spacing w:after="0" w:line="173" w:lineRule="exact"/>
        <w:rPr>
          <w:sz w:val="20"/>
          <w:szCs w:val="20"/>
          <w:color w:val="auto"/>
        </w:rPr>
      </w:pPr>
    </w:p>
    <w:p>
      <w:pPr>
        <w:ind w:left="40" w:right="1099"/>
        <w:spacing w:after="0" w:line="265" w:lineRule="auto"/>
        <w:rPr>
          <w:sz w:val="20"/>
          <w:szCs w:val="20"/>
          <w:color w:val="auto"/>
        </w:rPr>
      </w:pPr>
      <w:r>
        <w:rPr>
          <w:rFonts w:ascii="Arial" w:cs="Arial" w:eastAsia="Arial" w:hAnsi="Arial"/>
          <w:sz w:val="17"/>
          <w:szCs w:val="17"/>
          <w:color w:val="auto"/>
        </w:rPr>
        <w:t>In nonclinical animal models, aleniglipron demonstrated statistically significant decreases in blood glucose concentration and increases of insulin secretion.</w:t>
      </w:r>
    </w:p>
    <w:p>
      <w:pPr>
        <w:spacing w:after="0" w:line="149" w:lineRule="exact"/>
        <w:rPr>
          <w:sz w:val="20"/>
          <w:szCs w:val="20"/>
          <w:color w:val="auto"/>
        </w:rPr>
      </w:pPr>
    </w:p>
    <w:p>
      <w:pPr>
        <w:ind w:left="40" w:right="239"/>
        <w:spacing w:after="0"/>
        <w:rPr>
          <w:sz w:val="20"/>
          <w:szCs w:val="20"/>
          <w:color w:val="auto"/>
        </w:rPr>
      </w:pPr>
      <w:r>
        <w:rPr>
          <w:rFonts w:ascii="Arial" w:cs="Arial" w:eastAsia="Arial" w:hAnsi="Arial"/>
          <w:sz w:val="17"/>
          <w:szCs w:val="17"/>
          <w:color w:val="auto"/>
        </w:rPr>
        <w:t>In a recent 6-month GLP toxicology study in rats, aleniglipron demonstrated a NOAEL dose at 1000 mg/kg/day, which supports an estimated more than 100-fold safety window up to 120 mg human dose. We also conducted a 9-month NHP GLP toxicology study and found no test article-related change in heart rates or QTc intervals. No meaningful increases in the liver enzymes, ALT/AST, were observed in either the rat or NHP study. There were no significant findings in embryo-fetal developmental toxicology studies in rats and rabbits.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Aleniglipron Phase 2a Study in Obesity and Diabetes</w:t>
      </w:r>
    </w:p>
    <w:p>
      <w:pPr>
        <w:spacing w:after="0" w:line="194" w:lineRule="exact"/>
        <w:rPr>
          <w:sz w:val="20"/>
          <w:szCs w:val="20"/>
          <w:color w:val="auto"/>
        </w:rPr>
      </w:pPr>
    </w:p>
    <w:p>
      <w:pPr>
        <w:ind w:left="40" w:right="199"/>
        <w:spacing w:after="0" w:line="239" w:lineRule="auto"/>
        <w:rPr>
          <w:sz w:val="20"/>
          <w:szCs w:val="20"/>
          <w:color w:val="auto"/>
        </w:rPr>
      </w:pPr>
      <w:r>
        <w:rPr>
          <w:rFonts w:ascii="Arial" w:cs="Arial" w:eastAsia="Arial" w:hAnsi="Arial"/>
          <w:sz w:val="17"/>
          <w:szCs w:val="17"/>
          <w:color w:val="auto"/>
        </w:rPr>
        <w:t>In June 2024, the Company reported positive topline data from the Phase 2a obesity study in which GSBR-1290 demonstrated a clinically meaningful and statistically significant placebo-adjusted mean weight loss of 6.2% at 12 weeks (p&lt;0.0001) and generally favorable safety and tolerability results following repeated, daily dosing up to 120 mg. The Company also reported data from a new tablet formulation of GSBR-1290 in a capsule to tablet PK study, which demonstrated a placebo-adjusted mean weight loss of up to 6.9% with the tablet formulation at 12 weeks. PK data support proportional exposure between 60 and 120 mg and once-daily oral dosing of GSBR-1290.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Phase 2a Body Weight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135255</wp:posOffset>
            </wp:positionV>
            <wp:extent cx="5025390" cy="2075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25390"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Capsule to Tablet PK Study Body Weight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135255</wp:posOffset>
            </wp:positionV>
            <wp:extent cx="4864735" cy="2219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6473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Aleniglipron Safety and Tolerability Results</w:t>
      </w:r>
    </w:p>
    <w:p>
      <w:pPr>
        <w:spacing w:after="0" w:line="194" w:lineRule="exact"/>
        <w:rPr>
          <w:sz w:val="20"/>
          <w:szCs w:val="20"/>
          <w:color w:val="auto"/>
        </w:rPr>
      </w:pPr>
    </w:p>
    <w:p>
      <w:pPr>
        <w:ind w:left="40" w:right="339"/>
        <w:spacing w:after="0" w:line="265" w:lineRule="auto"/>
        <w:rPr>
          <w:sz w:val="20"/>
          <w:szCs w:val="20"/>
          <w:color w:val="auto"/>
        </w:rPr>
      </w:pPr>
      <w:r>
        <w:rPr>
          <w:rFonts w:ascii="Arial" w:cs="Arial" w:eastAsia="Arial" w:hAnsi="Arial"/>
          <w:sz w:val="17"/>
          <w:szCs w:val="17"/>
          <w:color w:val="auto"/>
        </w:rPr>
        <w:t>Aleniglipron demonstrated an encouraging safety and tolerability profile following repeated, daily dosing for all doses studied (up to 120 mg) in the obesity and T2DM cohorts, with results summarized as follows:</w:t>
      </w:r>
    </w:p>
    <w:p>
      <w:pPr>
        <w:spacing w:after="0" w:line="149" w:lineRule="exact"/>
        <w:rPr>
          <w:sz w:val="20"/>
          <w:szCs w:val="20"/>
          <w:color w:val="auto"/>
        </w:rPr>
      </w:pPr>
    </w:p>
    <w:p>
      <w:pPr>
        <w:ind w:left="980" w:right="719" w:hanging="304"/>
        <w:spacing w:after="0" w:line="265" w:lineRule="auto"/>
        <w:tabs>
          <w:tab w:leader="none" w:pos="9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majority (88 to 96%, depending on study arm) of adverse events (“AEs”) reported were mild to moderate.</w:t>
      </w:r>
    </w:p>
    <w:p>
      <w:pPr>
        <w:spacing w:after="0" w:line="148" w:lineRule="exact"/>
        <w:rPr>
          <w:rFonts w:ascii="Arial" w:cs="Arial" w:eastAsia="Arial" w:hAnsi="Arial"/>
          <w:sz w:val="17"/>
          <w:szCs w:val="17"/>
          <w:b w:val="1"/>
          <w:bCs w:val="1"/>
          <w:color w:val="auto"/>
        </w:rPr>
      </w:pPr>
    </w:p>
    <w:p>
      <w:pPr>
        <w:ind w:left="980" w:hanging="304"/>
        <w:spacing w:after="0"/>
        <w:tabs>
          <w:tab w:leader="none" w:pos="9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There were no SAEs related to study drug.</w:t>
      </w:r>
    </w:p>
    <w:p>
      <w:pPr>
        <w:spacing w:after="0" w:line="195" w:lineRule="exact"/>
        <w:rPr>
          <w:rFonts w:ascii="Arial" w:cs="Arial" w:eastAsia="Arial" w:hAnsi="Arial"/>
          <w:sz w:val="17"/>
          <w:szCs w:val="17"/>
          <w:b w:val="1"/>
          <w:bCs w:val="1"/>
          <w:color w:val="auto"/>
        </w:rPr>
      </w:pPr>
    </w:p>
    <w:p>
      <w:pPr>
        <w:ind w:left="980" w:right="719" w:hanging="304"/>
        <w:spacing w:after="0" w:line="265" w:lineRule="auto"/>
        <w:tabs>
          <w:tab w:leader="none" w:pos="9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As expected for this mechanism of action, leading AEs were gastrointestinal-related. The two most common AEs were nausea and vomiting.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219" w:hanging="304"/>
        <w:spacing w:after="0" w:line="243" w:lineRule="auto"/>
        <w:tabs>
          <w:tab w:leader="none" w:pos="9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There were no cases of elevated liver enzymes in the obesity cohort. One participant in the T2DM treatment group experienced an event of elevated liver enzymes without an increase in bilirubin initially at day 8 while receiving 5 mg of study drug. This participant was diagnosed with fatty liver disease while in the study.</w:t>
      </w:r>
    </w:p>
    <w:p>
      <w:pPr>
        <w:spacing w:after="0" w:line="167" w:lineRule="exact"/>
        <w:rPr>
          <w:rFonts w:ascii="Arial" w:cs="Arial" w:eastAsia="Arial" w:hAnsi="Arial"/>
          <w:sz w:val="17"/>
          <w:szCs w:val="17"/>
          <w:b w:val="1"/>
          <w:bCs w:val="1"/>
          <w:color w:val="auto"/>
        </w:rPr>
      </w:pPr>
    </w:p>
    <w:p>
      <w:pPr>
        <w:ind w:left="980" w:right="539" w:hanging="304"/>
        <w:spacing w:after="0" w:line="265" w:lineRule="auto"/>
        <w:tabs>
          <w:tab w:leader="none" w:pos="9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Of the 60 participants dosed with aleniglipron, only one participant discontinued the study due to AEs related to study drug (none in the obesity cohort and one (2.8%) in the T2DM cohort).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 of Treatment Emergent Adverse Events (“TEAEs”)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gridSpan w:val="4"/>
          </w:tcPr>
          <w:p>
            <w:pPr>
              <w:jc w:val="center"/>
              <w:spacing w:after="0"/>
              <w:rPr>
                <w:sz w:val="20"/>
                <w:szCs w:val="20"/>
                <w:color w:val="auto"/>
              </w:rPr>
            </w:pPr>
            <w:r>
              <w:rPr>
                <w:rFonts w:ascii="Arial" w:cs="Arial" w:eastAsia="Arial" w:hAnsi="Arial"/>
                <w:sz w:val="13"/>
                <w:szCs w:val="13"/>
                <w:color w:val="auto"/>
              </w:rPr>
              <w:t>Phase 2a TDM Cohort</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3"/>
          </w:tcPr>
          <w:p>
            <w:pPr>
              <w:ind w:left="400"/>
              <w:spacing w:after="0"/>
              <w:rPr>
                <w:sz w:val="20"/>
                <w:szCs w:val="20"/>
                <w:color w:val="auto"/>
              </w:rPr>
            </w:pPr>
            <w:r>
              <w:rPr>
                <w:rFonts w:ascii="Arial" w:cs="Arial" w:eastAsia="Arial" w:hAnsi="Arial"/>
                <w:sz w:val="13"/>
                <w:szCs w:val="13"/>
                <w:color w:val="auto"/>
              </w:rPr>
              <w:t>Phase 2a Obesity Cohort</w:t>
            </w:r>
          </w:p>
        </w:tc>
      </w:tr>
      <w:tr>
        <w:trPr>
          <w:trHeight w:val="159"/>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color w:val="auto"/>
              </w:rPr>
              <w:t>(12-week data)</w:t>
            </w:r>
          </w:p>
        </w:tc>
        <w:tc>
          <w:tcPr>
            <w:tcW w:w="10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color w:val="auto"/>
              </w:rPr>
              <w:t>(12-week interim data)</w:t>
            </w:r>
          </w:p>
        </w:tc>
      </w:tr>
      <w:tr>
        <w:trPr>
          <w:trHeight w:val="137"/>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spacing w:after="0" w:line="137" w:lineRule="exact"/>
              <w:rPr>
                <w:sz w:val="20"/>
                <w:szCs w:val="20"/>
                <w:color w:val="auto"/>
              </w:rPr>
            </w:pPr>
            <w:r>
              <w:rPr>
                <w:rFonts w:ascii="Arial" w:cs="Arial" w:eastAsia="Arial" w:hAnsi="Arial"/>
                <w:sz w:val="13"/>
                <w:szCs w:val="13"/>
                <w:color w:val="231F20"/>
              </w:rPr>
              <w:t>Aleniglipron</w:t>
            </w:r>
          </w:p>
        </w:tc>
        <w:tc>
          <w:tcPr>
            <w:tcW w:w="180" w:type="dxa"/>
            <w:vAlign w:val="bottom"/>
          </w:tcPr>
          <w:p>
            <w:pPr>
              <w:spacing w:after="0"/>
              <w:rPr>
                <w:sz w:val="11"/>
                <w:szCs w:val="11"/>
                <w:color w:val="auto"/>
              </w:rPr>
            </w:pPr>
          </w:p>
        </w:tc>
        <w:tc>
          <w:tcPr>
            <w:tcW w:w="1240" w:type="dxa"/>
            <w:vAlign w:val="bottom"/>
            <w:gridSpan w:val="3"/>
          </w:tcPr>
          <w:p>
            <w:pPr>
              <w:jc w:val="center"/>
              <w:ind w:right="200"/>
              <w:spacing w:after="0" w:line="137" w:lineRule="exact"/>
              <w:rPr>
                <w:sz w:val="20"/>
                <w:szCs w:val="20"/>
                <w:color w:val="auto"/>
              </w:rPr>
            </w:pPr>
            <w:r>
              <w:rPr>
                <w:rFonts w:ascii="Arial" w:cs="Arial" w:eastAsia="Arial" w:hAnsi="Arial"/>
                <w:sz w:val="13"/>
                <w:szCs w:val="13"/>
                <w:color w:val="231F20"/>
              </w:rPr>
              <w:t>Aleniglipron</w:t>
            </w: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180"/>
              <w:spacing w:after="0" w:line="137" w:lineRule="exact"/>
              <w:rPr>
                <w:sz w:val="20"/>
                <w:szCs w:val="20"/>
                <w:color w:val="auto"/>
              </w:rPr>
            </w:pPr>
            <w:r>
              <w:rPr>
                <w:rFonts w:ascii="Arial" w:cs="Arial" w:eastAsia="Arial" w:hAnsi="Arial"/>
                <w:sz w:val="13"/>
                <w:szCs w:val="13"/>
                <w:color w:val="231F20"/>
              </w:rPr>
              <w:t>Aleniglipron</w:t>
            </w:r>
          </w:p>
        </w:tc>
        <w:tc>
          <w:tcPr>
            <w:tcW w:w="1060" w:type="dxa"/>
            <w:vAlign w:val="bottom"/>
          </w:tcPr>
          <w:p>
            <w:pPr>
              <w:spacing w:after="0"/>
              <w:rPr>
                <w:sz w:val="11"/>
                <w:szCs w:val="11"/>
                <w:color w:val="auto"/>
              </w:rPr>
            </w:pPr>
          </w:p>
        </w:tc>
      </w:tr>
      <w:tr>
        <w:trPr>
          <w:trHeight w:val="151"/>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color w:val="231F20"/>
              </w:rPr>
              <w:t>45 mg</w:t>
            </w:r>
          </w:p>
        </w:tc>
        <w:tc>
          <w:tcPr>
            <w:tcW w:w="180" w:type="dxa"/>
            <w:vAlign w:val="bottom"/>
          </w:tcPr>
          <w:p>
            <w:pPr>
              <w:spacing w:after="0"/>
              <w:rPr>
                <w:sz w:val="13"/>
                <w:szCs w:val="13"/>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3"/>
                <w:szCs w:val="13"/>
                <w:color w:val="231F20"/>
                <w:w w:val="99"/>
              </w:rPr>
              <w:t>90 mg</w:t>
            </w:r>
          </w:p>
        </w:tc>
        <w:tc>
          <w:tcPr>
            <w:tcW w:w="1240" w:type="dxa"/>
            <w:vAlign w:val="bottom"/>
            <w:gridSpan w:val="2"/>
          </w:tcPr>
          <w:p>
            <w:pPr>
              <w:ind w:left="280"/>
              <w:spacing w:after="0"/>
              <w:rPr>
                <w:sz w:val="20"/>
                <w:szCs w:val="20"/>
                <w:color w:val="auto"/>
              </w:rPr>
            </w:pPr>
            <w:r>
              <w:rPr>
                <w:rFonts w:ascii="Arial" w:cs="Arial" w:eastAsia="Arial" w:hAnsi="Arial"/>
                <w:sz w:val="13"/>
                <w:szCs w:val="13"/>
                <w:color w:val="231F20"/>
              </w:rPr>
              <w:t>Placebo</w:t>
            </w:r>
          </w:p>
        </w:tc>
        <w:tc>
          <w:tcPr>
            <w:tcW w:w="1260" w:type="dxa"/>
            <w:vAlign w:val="bottom"/>
            <w:gridSpan w:val="2"/>
          </w:tcPr>
          <w:p>
            <w:pPr>
              <w:ind w:left="300"/>
              <w:spacing w:after="0"/>
              <w:rPr>
                <w:sz w:val="20"/>
                <w:szCs w:val="20"/>
                <w:color w:val="auto"/>
              </w:rPr>
            </w:pPr>
            <w:r>
              <w:rPr>
                <w:rFonts w:ascii="Arial" w:cs="Arial" w:eastAsia="Arial" w:hAnsi="Arial"/>
                <w:sz w:val="13"/>
                <w:szCs w:val="13"/>
                <w:color w:val="231F20"/>
              </w:rPr>
              <w:t>120 mg</w:t>
            </w:r>
          </w:p>
        </w:tc>
        <w:tc>
          <w:tcPr>
            <w:tcW w:w="1060" w:type="dxa"/>
            <w:vAlign w:val="bottom"/>
          </w:tcPr>
          <w:p>
            <w:pPr>
              <w:jc w:val="right"/>
              <w:ind w:right="233"/>
              <w:spacing w:after="0"/>
              <w:rPr>
                <w:sz w:val="20"/>
                <w:szCs w:val="20"/>
                <w:color w:val="auto"/>
              </w:rPr>
            </w:pPr>
            <w:r>
              <w:rPr>
                <w:rFonts w:ascii="Arial" w:cs="Arial" w:eastAsia="Arial" w:hAnsi="Arial"/>
                <w:sz w:val="13"/>
                <w:szCs w:val="13"/>
                <w:color w:val="231F20"/>
              </w:rPr>
              <w:t>Placebo</w:t>
            </w:r>
          </w:p>
        </w:tc>
      </w:tr>
      <w:tr>
        <w:trPr>
          <w:trHeight w:val="159"/>
        </w:trPr>
        <w:tc>
          <w:tcPr>
            <w:tcW w:w="20" w:type="dxa"/>
            <w:vAlign w:val="bottom"/>
          </w:tcPr>
          <w:p>
            <w:pPr>
              <w:spacing w:after="0"/>
              <w:rPr>
                <w:sz w:val="13"/>
                <w:szCs w:val="13"/>
                <w:color w:val="auto"/>
              </w:rPr>
            </w:pPr>
          </w:p>
        </w:tc>
        <w:tc>
          <w:tcPr>
            <w:tcW w:w="2860" w:type="dxa"/>
            <w:vAlign w:val="bottom"/>
            <w:gridSpan w:val="2"/>
          </w:tcPr>
          <w:p>
            <w:pPr>
              <w:ind w:left="40"/>
              <w:spacing w:after="0"/>
              <w:rPr>
                <w:sz w:val="20"/>
                <w:szCs w:val="20"/>
                <w:color w:val="auto"/>
              </w:rPr>
            </w:pPr>
            <w:r>
              <w:rPr>
                <w:rFonts w:ascii="Arial" w:cs="Arial" w:eastAsia="Arial" w:hAnsi="Arial"/>
                <w:sz w:val="13"/>
                <w:szCs w:val="13"/>
                <w:color w:val="231F20"/>
              </w:rPr>
              <w:t>Event, N (%)</w:t>
            </w:r>
          </w:p>
        </w:tc>
        <w:tc>
          <w:tcPr>
            <w:tcW w:w="1060" w:type="dxa"/>
            <w:vAlign w:val="bottom"/>
            <w:gridSpan w:val="2"/>
          </w:tcPr>
          <w:p>
            <w:pPr>
              <w:jc w:val="center"/>
              <w:spacing w:after="0"/>
              <w:rPr>
                <w:sz w:val="20"/>
                <w:szCs w:val="20"/>
                <w:color w:val="auto"/>
              </w:rPr>
            </w:pPr>
            <w:r>
              <w:rPr>
                <w:rFonts w:ascii="Arial" w:cs="Arial" w:eastAsia="Arial" w:hAnsi="Arial"/>
                <w:sz w:val="13"/>
                <w:szCs w:val="13"/>
                <w:color w:val="231F20"/>
              </w:rPr>
              <w:t>(n=10)</w:t>
            </w:r>
          </w:p>
        </w:tc>
        <w:tc>
          <w:tcPr>
            <w:tcW w:w="180" w:type="dxa"/>
            <w:vAlign w:val="bottom"/>
          </w:tcPr>
          <w:p>
            <w:pPr>
              <w:spacing w:after="0"/>
              <w:rPr>
                <w:sz w:val="13"/>
                <w:szCs w:val="13"/>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3"/>
                <w:szCs w:val="13"/>
                <w:color w:val="231F20"/>
              </w:rPr>
              <w:t>(n=26)</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231F20"/>
              </w:rPr>
              <w:t>(n=18)</w:t>
            </w:r>
          </w:p>
        </w:tc>
        <w:tc>
          <w:tcPr>
            <w:tcW w:w="1260" w:type="dxa"/>
            <w:vAlign w:val="bottom"/>
            <w:gridSpan w:val="2"/>
          </w:tcPr>
          <w:p>
            <w:pPr>
              <w:jc w:val="center"/>
              <w:ind w:right="200"/>
              <w:spacing w:after="0"/>
              <w:rPr>
                <w:sz w:val="20"/>
                <w:szCs w:val="20"/>
                <w:color w:val="auto"/>
              </w:rPr>
            </w:pPr>
            <w:r>
              <w:rPr>
                <w:rFonts w:ascii="Arial" w:cs="Arial" w:eastAsia="Arial" w:hAnsi="Arial"/>
                <w:sz w:val="13"/>
                <w:szCs w:val="13"/>
                <w:color w:val="231F20"/>
              </w:rPr>
              <w:t>(n=24)</w:t>
            </w:r>
          </w:p>
        </w:tc>
        <w:tc>
          <w:tcPr>
            <w:tcW w:w="1060" w:type="dxa"/>
            <w:vAlign w:val="bottom"/>
          </w:tcPr>
          <w:p>
            <w:pPr>
              <w:jc w:val="center"/>
              <w:spacing w:after="0"/>
              <w:rPr>
                <w:sz w:val="20"/>
                <w:szCs w:val="20"/>
                <w:color w:val="auto"/>
              </w:rPr>
            </w:pPr>
            <w:r>
              <w:rPr>
                <w:rFonts w:ascii="Arial" w:cs="Arial" w:eastAsia="Arial" w:hAnsi="Arial"/>
                <w:sz w:val="13"/>
                <w:szCs w:val="13"/>
                <w:color w:val="231F20"/>
              </w:rPr>
              <w:t>(n=16)</w:t>
            </w:r>
          </w:p>
        </w:tc>
      </w:tr>
      <w:tr>
        <w:trPr>
          <w:trHeight w:val="144"/>
        </w:trPr>
        <w:tc>
          <w:tcPr>
            <w:tcW w:w="20" w:type="dxa"/>
            <w:vAlign w:val="bottom"/>
          </w:tcPr>
          <w:p>
            <w:pPr>
              <w:spacing w:after="0"/>
              <w:rPr>
                <w:sz w:val="12"/>
                <w:szCs w:val="12"/>
                <w:color w:val="auto"/>
              </w:rPr>
            </w:pPr>
          </w:p>
        </w:tc>
        <w:tc>
          <w:tcPr>
            <w:tcW w:w="26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231F20"/>
              </w:rPr>
              <w:t>Any TEAE</w:t>
            </w:r>
          </w:p>
        </w:tc>
        <w:tc>
          <w:tcPr>
            <w:tcW w:w="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231F20"/>
              </w:rPr>
              <w:t>10</w:t>
            </w:r>
          </w:p>
        </w:tc>
        <w:tc>
          <w:tcPr>
            <w:tcW w:w="62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231F20"/>
              </w:rPr>
              <w:t>(100)</w:t>
            </w:r>
          </w:p>
        </w:tc>
        <w:tc>
          <w:tcPr>
            <w:tcW w:w="1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231F20"/>
              </w:rPr>
              <w:t>25</w:t>
            </w:r>
          </w:p>
        </w:tc>
        <w:tc>
          <w:tcPr>
            <w:tcW w:w="64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231F20"/>
              </w:rPr>
              <w:t>(96.2)</w:t>
            </w:r>
          </w:p>
        </w:tc>
        <w:tc>
          <w:tcPr>
            <w:tcW w:w="1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231F20"/>
              </w:rPr>
              <w:t>8 (44.4)</w:t>
            </w:r>
          </w:p>
        </w:tc>
        <w:tc>
          <w:tcPr>
            <w:tcW w:w="1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231F20"/>
              </w:rPr>
              <w:t>23 (95.8)</w:t>
            </w:r>
          </w:p>
        </w:tc>
        <w:tc>
          <w:tcPr>
            <w:tcW w:w="1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231F20"/>
                <w:w w:val="99"/>
              </w:rPr>
              <w:t>11 (68.8)</w:t>
            </w:r>
          </w:p>
        </w:tc>
      </w:tr>
      <w:tr>
        <w:trPr>
          <w:trHeight w:val="151"/>
        </w:trPr>
        <w:tc>
          <w:tcPr>
            <w:tcW w:w="20" w:type="dxa"/>
            <w:vAlign w:val="bottom"/>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231F20"/>
              </w:rPr>
              <w:t>Any TEAE by maximum severity</w:t>
            </w: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231F20"/>
              </w:rPr>
              <w:t>Mild</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231F20"/>
              </w:rPr>
              <w:t>2</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231F20"/>
              </w:rPr>
              <w:t>(20)</w:t>
            </w:r>
          </w:p>
        </w:tc>
        <w:tc>
          <w:tcPr>
            <w:tcW w:w="1240" w:type="dxa"/>
            <w:vAlign w:val="bottom"/>
            <w:gridSpan w:val="3"/>
            <w:shd w:val="clear" w:color="auto" w:fill="CCEEFF"/>
          </w:tcPr>
          <w:p>
            <w:pPr>
              <w:jc w:val="right"/>
              <w:ind w:right="233"/>
              <w:spacing w:after="0"/>
              <w:rPr>
                <w:sz w:val="20"/>
                <w:szCs w:val="20"/>
                <w:color w:val="auto"/>
              </w:rPr>
            </w:pPr>
            <w:r>
              <w:rPr>
                <w:rFonts w:ascii="Arial" w:cs="Arial" w:eastAsia="Arial" w:hAnsi="Arial"/>
                <w:sz w:val="13"/>
                <w:szCs w:val="13"/>
                <w:color w:val="231F20"/>
              </w:rPr>
              <w:t>6 (23.1)</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231F20"/>
              </w:rPr>
              <w:t>6 (33.3)</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99"/>
              </w:rPr>
              <w:t>6 (25)</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231F20"/>
              </w:rPr>
              <w:t>9 (56.3)</w:t>
            </w:r>
          </w:p>
        </w:tc>
      </w:tr>
      <w:tr>
        <w:trPr>
          <w:trHeight w:val="151"/>
        </w:trPr>
        <w:tc>
          <w:tcPr>
            <w:tcW w:w="20" w:type="dxa"/>
            <w:vAlign w:val="bottom"/>
          </w:tcPr>
          <w:p>
            <w:pPr>
              <w:spacing w:after="0"/>
              <w:rPr>
                <w:sz w:val="13"/>
                <w:szCs w:val="13"/>
                <w:color w:val="auto"/>
              </w:rPr>
            </w:pPr>
          </w:p>
        </w:tc>
        <w:tc>
          <w:tcPr>
            <w:tcW w:w="2860" w:type="dxa"/>
            <w:vAlign w:val="bottom"/>
            <w:gridSpan w:val="2"/>
          </w:tcPr>
          <w:p>
            <w:pPr>
              <w:ind w:left="80"/>
              <w:spacing w:after="0"/>
              <w:rPr>
                <w:sz w:val="20"/>
                <w:szCs w:val="20"/>
                <w:color w:val="auto"/>
              </w:rPr>
            </w:pPr>
            <w:r>
              <w:rPr>
                <w:rFonts w:ascii="Arial" w:cs="Arial" w:eastAsia="Arial" w:hAnsi="Arial"/>
                <w:sz w:val="13"/>
                <w:szCs w:val="13"/>
                <w:color w:val="231F20"/>
              </w:rPr>
              <w:t>Moderate</w:t>
            </w:r>
          </w:p>
        </w:tc>
        <w:tc>
          <w:tcPr>
            <w:tcW w:w="440" w:type="dxa"/>
            <w:vAlign w:val="bottom"/>
          </w:tcPr>
          <w:p>
            <w:pPr>
              <w:jc w:val="right"/>
              <w:spacing w:after="0"/>
              <w:rPr>
                <w:sz w:val="20"/>
                <w:szCs w:val="20"/>
                <w:color w:val="auto"/>
              </w:rPr>
            </w:pPr>
            <w:r>
              <w:rPr>
                <w:rFonts w:ascii="Arial" w:cs="Arial" w:eastAsia="Arial" w:hAnsi="Arial"/>
                <w:sz w:val="13"/>
                <w:szCs w:val="13"/>
                <w:color w:val="231F20"/>
              </w:rPr>
              <w:t>7</w:t>
            </w:r>
          </w:p>
        </w:tc>
        <w:tc>
          <w:tcPr>
            <w:tcW w:w="620" w:type="dxa"/>
            <w:vAlign w:val="bottom"/>
          </w:tcPr>
          <w:p>
            <w:pPr>
              <w:ind w:left="20"/>
              <w:spacing w:after="0"/>
              <w:rPr>
                <w:sz w:val="20"/>
                <w:szCs w:val="20"/>
                <w:color w:val="auto"/>
              </w:rPr>
            </w:pPr>
            <w:r>
              <w:rPr>
                <w:rFonts w:ascii="Arial" w:cs="Arial" w:eastAsia="Arial" w:hAnsi="Arial"/>
                <w:sz w:val="13"/>
                <w:szCs w:val="13"/>
                <w:color w:val="231F20"/>
              </w:rPr>
              <w:t>(70)</w:t>
            </w:r>
          </w:p>
        </w:tc>
        <w:tc>
          <w:tcPr>
            <w:tcW w:w="600" w:type="dxa"/>
            <w:vAlign w:val="bottom"/>
            <w:gridSpan w:val="2"/>
          </w:tcPr>
          <w:p>
            <w:pPr>
              <w:jc w:val="right"/>
              <w:spacing w:after="0"/>
              <w:rPr>
                <w:sz w:val="20"/>
                <w:szCs w:val="20"/>
                <w:color w:val="auto"/>
              </w:rPr>
            </w:pPr>
            <w:r>
              <w:rPr>
                <w:rFonts w:ascii="Arial" w:cs="Arial" w:eastAsia="Arial" w:hAnsi="Arial"/>
                <w:sz w:val="13"/>
                <w:szCs w:val="13"/>
                <w:color w:val="231F20"/>
              </w:rPr>
              <w:t>17</w:t>
            </w:r>
          </w:p>
        </w:tc>
        <w:tc>
          <w:tcPr>
            <w:tcW w:w="640" w:type="dxa"/>
            <w:vAlign w:val="bottom"/>
          </w:tcPr>
          <w:p>
            <w:pPr>
              <w:ind w:left="20"/>
              <w:spacing w:after="0"/>
              <w:rPr>
                <w:sz w:val="20"/>
                <w:szCs w:val="20"/>
                <w:color w:val="auto"/>
              </w:rPr>
            </w:pPr>
            <w:r>
              <w:rPr>
                <w:rFonts w:ascii="Arial" w:cs="Arial" w:eastAsia="Arial" w:hAnsi="Arial"/>
                <w:sz w:val="13"/>
                <w:szCs w:val="13"/>
                <w:color w:val="231F20"/>
              </w:rPr>
              <w:t>(65.4)</w:t>
            </w: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231F20"/>
              </w:rPr>
              <w:t>2 (11.1)</w:t>
            </w: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231F20"/>
              </w:rPr>
              <w:t>17 (70.8)</w:t>
            </w: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231F20"/>
              </w:rPr>
              <w:t>2 (12.5)</w:t>
            </w:r>
          </w:p>
        </w:tc>
      </w:tr>
      <w:tr>
        <w:trPr>
          <w:trHeight w:val="151"/>
        </w:trPr>
        <w:tc>
          <w:tcPr>
            <w:tcW w:w="20" w:type="dxa"/>
            <w:vAlign w:val="bottom"/>
          </w:tcPr>
          <w:p>
            <w:pPr>
              <w:spacing w:after="0"/>
              <w:rPr>
                <w:sz w:val="13"/>
                <w:szCs w:val="13"/>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231F20"/>
              </w:rPr>
              <w:t>Severe</w:t>
            </w: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231F20"/>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231F20"/>
              </w:rPr>
              <w:t>2</w:t>
            </w:r>
          </w:p>
        </w:tc>
        <w:tc>
          <w:tcPr>
            <w:tcW w:w="640" w:type="dxa"/>
            <w:vAlign w:val="bottom"/>
            <w:shd w:val="clear" w:color="auto" w:fill="CCEEFF"/>
          </w:tcPr>
          <w:p>
            <w:pPr>
              <w:ind w:left="20"/>
              <w:spacing w:after="0"/>
              <w:rPr>
                <w:sz w:val="20"/>
                <w:szCs w:val="20"/>
                <w:color w:val="auto"/>
              </w:rPr>
            </w:pPr>
            <w:r>
              <w:rPr>
                <w:rFonts w:ascii="Arial" w:cs="Arial" w:eastAsia="Arial" w:hAnsi="Arial"/>
                <w:sz w:val="13"/>
                <w:szCs w:val="13"/>
                <w:color w:val="231F20"/>
              </w:rPr>
              <w:t>(7.7)</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231F20"/>
              </w:rPr>
              <w:t>0</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0</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231F20"/>
              </w:rPr>
              <w:t>0</w:t>
            </w:r>
          </w:p>
        </w:tc>
      </w:tr>
      <w:tr>
        <w:trPr>
          <w:trHeight w:val="151"/>
        </w:trPr>
        <w:tc>
          <w:tcPr>
            <w:tcW w:w="20" w:type="dxa"/>
            <w:vAlign w:val="bottom"/>
          </w:tcPr>
          <w:p>
            <w:pPr>
              <w:spacing w:after="0"/>
              <w:rPr>
                <w:sz w:val="13"/>
                <w:szCs w:val="13"/>
                <w:color w:val="auto"/>
              </w:rPr>
            </w:pPr>
          </w:p>
        </w:tc>
        <w:tc>
          <w:tcPr>
            <w:tcW w:w="2860" w:type="dxa"/>
            <w:vAlign w:val="bottom"/>
            <w:gridSpan w:val="2"/>
          </w:tcPr>
          <w:p>
            <w:pPr>
              <w:ind w:left="200"/>
              <w:spacing w:after="0"/>
              <w:rPr>
                <w:sz w:val="20"/>
                <w:szCs w:val="20"/>
                <w:color w:val="auto"/>
              </w:rPr>
            </w:pPr>
            <w:r>
              <w:rPr>
                <w:rFonts w:ascii="Arial" w:cs="Arial" w:eastAsia="Arial" w:hAnsi="Arial"/>
                <w:sz w:val="13"/>
                <w:szCs w:val="13"/>
                <w:color w:val="231F20"/>
              </w:rPr>
              <w:t>Any SAEs</w:t>
            </w:r>
          </w:p>
        </w:tc>
        <w:tc>
          <w:tcPr>
            <w:tcW w:w="440" w:type="dxa"/>
            <w:vAlign w:val="bottom"/>
          </w:tcPr>
          <w:p>
            <w:pPr>
              <w:jc w:val="right"/>
              <w:spacing w:after="0"/>
              <w:rPr>
                <w:sz w:val="20"/>
                <w:szCs w:val="20"/>
                <w:color w:val="auto"/>
              </w:rPr>
            </w:pPr>
            <w:r>
              <w:rPr>
                <w:rFonts w:ascii="Arial" w:cs="Arial" w:eastAsia="Arial" w:hAnsi="Arial"/>
                <w:sz w:val="13"/>
                <w:szCs w:val="13"/>
                <w:color w:val="231F20"/>
              </w:rPr>
              <w:t>1</w:t>
            </w:r>
          </w:p>
        </w:tc>
        <w:tc>
          <w:tcPr>
            <w:tcW w:w="620" w:type="dxa"/>
            <w:vAlign w:val="bottom"/>
          </w:tcPr>
          <w:p>
            <w:pPr>
              <w:ind w:left="20"/>
              <w:spacing w:after="0"/>
              <w:rPr>
                <w:sz w:val="20"/>
                <w:szCs w:val="20"/>
                <w:color w:val="auto"/>
              </w:rPr>
            </w:pPr>
            <w:r>
              <w:rPr>
                <w:rFonts w:ascii="Arial" w:cs="Arial" w:eastAsia="Arial" w:hAnsi="Arial"/>
                <w:sz w:val="13"/>
                <w:szCs w:val="13"/>
                <w:color w:val="231F20"/>
              </w:rPr>
              <w:t>(10)</w:t>
            </w:r>
          </w:p>
        </w:tc>
        <w:tc>
          <w:tcPr>
            <w:tcW w:w="600" w:type="dxa"/>
            <w:vAlign w:val="bottom"/>
            <w:gridSpan w:val="2"/>
          </w:tcPr>
          <w:p>
            <w:pPr>
              <w:jc w:val="right"/>
              <w:spacing w:after="0"/>
              <w:rPr>
                <w:sz w:val="20"/>
                <w:szCs w:val="20"/>
                <w:color w:val="auto"/>
              </w:rPr>
            </w:pPr>
            <w:r>
              <w:rPr>
                <w:rFonts w:ascii="Arial" w:cs="Arial" w:eastAsia="Arial" w:hAnsi="Arial"/>
                <w:sz w:val="13"/>
                <w:szCs w:val="13"/>
                <w:color w:val="231F20"/>
              </w:rPr>
              <w:t>1</w:t>
            </w:r>
          </w:p>
        </w:tc>
        <w:tc>
          <w:tcPr>
            <w:tcW w:w="640" w:type="dxa"/>
            <w:vAlign w:val="bottom"/>
          </w:tcPr>
          <w:p>
            <w:pPr>
              <w:ind w:left="20"/>
              <w:spacing w:after="0"/>
              <w:rPr>
                <w:sz w:val="20"/>
                <w:szCs w:val="20"/>
                <w:color w:val="auto"/>
              </w:rPr>
            </w:pPr>
            <w:r>
              <w:rPr>
                <w:rFonts w:ascii="Arial" w:cs="Arial" w:eastAsia="Arial" w:hAnsi="Arial"/>
                <w:sz w:val="13"/>
                <w:szCs w:val="13"/>
                <w:color w:val="231F20"/>
              </w:rPr>
              <w:t>(3.8)</w:t>
            </w:r>
          </w:p>
        </w:tc>
        <w:tc>
          <w:tcPr>
            <w:tcW w:w="180" w:type="dxa"/>
            <w:vAlign w:val="bottom"/>
          </w:tcPr>
          <w:p>
            <w:pPr>
              <w:spacing w:after="0"/>
              <w:rPr>
                <w:sz w:val="13"/>
                <w:szCs w:val="13"/>
                <w:color w:val="auto"/>
              </w:rPr>
            </w:pPr>
          </w:p>
        </w:tc>
        <w:tc>
          <w:tcPr>
            <w:tcW w:w="1060" w:type="dxa"/>
            <w:vAlign w:val="bottom"/>
          </w:tcPr>
          <w:p>
            <w:pPr>
              <w:jc w:val="right"/>
              <w:ind w:right="453"/>
              <w:spacing w:after="0"/>
              <w:rPr>
                <w:sz w:val="20"/>
                <w:szCs w:val="20"/>
                <w:color w:val="auto"/>
              </w:rPr>
            </w:pPr>
            <w:r>
              <w:rPr>
                <w:rFonts w:ascii="Arial" w:cs="Arial" w:eastAsia="Arial" w:hAnsi="Arial"/>
                <w:sz w:val="13"/>
                <w:szCs w:val="13"/>
                <w:color w:val="231F20"/>
              </w:rPr>
              <w:t>0</w:t>
            </w:r>
          </w:p>
        </w:tc>
        <w:tc>
          <w:tcPr>
            <w:tcW w:w="180" w:type="dxa"/>
            <w:vAlign w:val="bottom"/>
          </w:tcPr>
          <w:p>
            <w:pPr>
              <w:spacing w:after="0"/>
              <w:rPr>
                <w:sz w:val="13"/>
                <w:szCs w:val="13"/>
                <w:color w:val="auto"/>
              </w:rPr>
            </w:pPr>
          </w:p>
        </w:tc>
        <w:tc>
          <w:tcPr>
            <w:tcW w:w="1080" w:type="dxa"/>
            <w:vAlign w:val="bottom"/>
          </w:tcPr>
          <w:p>
            <w:pPr>
              <w:ind w:left="480"/>
              <w:spacing w:after="0"/>
              <w:rPr>
                <w:sz w:val="20"/>
                <w:szCs w:val="20"/>
                <w:color w:val="auto"/>
              </w:rPr>
            </w:pPr>
            <w:r>
              <w:rPr>
                <w:rFonts w:ascii="Arial" w:cs="Arial" w:eastAsia="Arial" w:hAnsi="Arial"/>
                <w:sz w:val="13"/>
                <w:szCs w:val="13"/>
                <w:color w:val="231F20"/>
              </w:rPr>
              <w:t>0</w:t>
            </w:r>
          </w:p>
        </w:tc>
        <w:tc>
          <w:tcPr>
            <w:tcW w:w="180" w:type="dxa"/>
            <w:vAlign w:val="bottom"/>
          </w:tcPr>
          <w:p>
            <w:pPr>
              <w:spacing w:after="0"/>
              <w:rPr>
                <w:sz w:val="13"/>
                <w:szCs w:val="13"/>
                <w:color w:val="auto"/>
              </w:rPr>
            </w:pPr>
          </w:p>
        </w:tc>
        <w:tc>
          <w:tcPr>
            <w:tcW w:w="1060" w:type="dxa"/>
            <w:vAlign w:val="bottom"/>
          </w:tcPr>
          <w:p>
            <w:pPr>
              <w:jc w:val="right"/>
              <w:ind w:right="453"/>
              <w:spacing w:after="0"/>
              <w:rPr>
                <w:sz w:val="20"/>
                <w:szCs w:val="20"/>
                <w:color w:val="auto"/>
              </w:rPr>
            </w:pPr>
            <w:r>
              <w:rPr>
                <w:rFonts w:ascii="Arial" w:cs="Arial" w:eastAsia="Arial" w:hAnsi="Arial"/>
                <w:sz w:val="13"/>
                <w:szCs w:val="13"/>
                <w:color w:val="231F20"/>
              </w:rPr>
              <w:t>0</w:t>
            </w:r>
          </w:p>
        </w:tc>
      </w:tr>
      <w:tr>
        <w:trPr>
          <w:trHeight w:val="151"/>
        </w:trPr>
        <w:tc>
          <w:tcPr>
            <w:tcW w:w="20" w:type="dxa"/>
            <w:vAlign w:val="bottom"/>
          </w:tcPr>
          <w:p>
            <w:pPr>
              <w:spacing w:after="0"/>
              <w:rPr>
                <w:sz w:val="13"/>
                <w:szCs w:val="13"/>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3"/>
                <w:szCs w:val="13"/>
                <w:color w:val="231F20"/>
              </w:rPr>
              <w:t>Any SAEs related to study drug</w:t>
            </w:r>
          </w:p>
        </w:tc>
        <w:tc>
          <w:tcPr>
            <w:tcW w:w="440" w:type="dxa"/>
            <w:vAlign w:val="bottom"/>
            <w:shd w:val="clear" w:color="auto" w:fill="CCEEFF"/>
          </w:tcPr>
          <w:p>
            <w:pPr>
              <w:spacing w:after="0"/>
              <w:rPr>
                <w:sz w:val="13"/>
                <w:szCs w:val="13"/>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231F20"/>
              </w:rPr>
              <w:t>0</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3"/>
                <w:szCs w:val="13"/>
                <w:color w:val="231F20"/>
              </w:rPr>
              <w:t>0</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231F20"/>
              </w:rPr>
              <w:t>0</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0</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231F20"/>
              </w:rPr>
              <w:t>0</w:t>
            </w:r>
          </w:p>
        </w:tc>
      </w:tr>
    </w:tbl>
    <w:p>
      <w:pPr>
        <w:spacing w:after="0" w:line="37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Aleniglipron Efficacy Results</w:t>
      </w:r>
    </w:p>
    <w:p>
      <w:pPr>
        <w:spacing w:after="0" w:line="194" w:lineRule="exact"/>
        <w:rPr>
          <w:sz w:val="20"/>
          <w:szCs w:val="20"/>
          <w:color w:val="auto"/>
        </w:rPr>
      </w:pPr>
    </w:p>
    <w:p>
      <w:pPr>
        <w:ind w:left="40" w:right="299"/>
        <w:spacing w:after="0" w:line="243" w:lineRule="auto"/>
        <w:rPr>
          <w:sz w:val="20"/>
          <w:szCs w:val="20"/>
          <w:color w:val="auto"/>
        </w:rPr>
      </w:pPr>
      <w:r>
        <w:rPr>
          <w:rFonts w:ascii="Arial" w:cs="Arial" w:eastAsia="Arial" w:hAnsi="Arial"/>
          <w:sz w:val="17"/>
          <w:szCs w:val="17"/>
          <w:color w:val="auto"/>
        </w:rPr>
        <w:t>Aleniglipron demonstrated clinically meaningful activity in T2DM cohort. There was a statistically significant HbA1c reduction (-1.01 to -1.02%, placebo-adjusted) at Week 12 (Table 1). The study demonstrated a statistically significant and clinically meaningful reduction in weight at Week 12 (-3.26% to -3.51%, placebo-adjusted) (Table 2). Weight loss continued to decrease through Week 12.</w:t>
      </w:r>
    </w:p>
    <w:p>
      <w:pPr>
        <w:spacing w:after="0" w:line="168"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7"/>
          <w:szCs w:val="17"/>
          <w:b w:val="1"/>
          <w:bCs w:val="1"/>
          <w:color w:val="auto"/>
        </w:rPr>
        <w:t>Table 1: T2DM Cohort Least Square Means Difference (“LSM”) Change in HbA1c from Baseline to 12 Weeks (%)*</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Aleniglipron</w:t>
            </w:r>
          </w:p>
        </w:tc>
        <w:tc>
          <w:tcPr>
            <w:tcW w:w="1860" w:type="dxa"/>
            <w:vAlign w:val="bottom"/>
            <w:gridSpan w:val="3"/>
          </w:tcPr>
          <w:p>
            <w:pPr>
              <w:ind w:left="1040"/>
              <w:spacing w:after="0"/>
              <w:rPr>
                <w:sz w:val="20"/>
                <w:szCs w:val="20"/>
                <w:color w:val="auto"/>
              </w:rPr>
            </w:pPr>
            <w:r>
              <w:rPr>
                <w:rFonts w:ascii="Arial" w:cs="Arial" w:eastAsia="Arial" w:hAnsi="Arial"/>
                <w:sz w:val="13"/>
                <w:szCs w:val="13"/>
                <w:b w:val="1"/>
                <w:bCs w:val="1"/>
                <w:color w:val="auto"/>
              </w:rPr>
              <w:t>Aleniglipron</w:t>
            </w:r>
          </w:p>
        </w:tc>
        <w:tc>
          <w:tcPr>
            <w:tcW w:w="10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45 mg</w:t>
            </w:r>
          </w:p>
        </w:tc>
        <w:tc>
          <w:tcPr>
            <w:tcW w:w="18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rPr>
              <w:t>90 mg</w:t>
            </w:r>
          </w:p>
        </w:tc>
        <w:tc>
          <w:tcPr>
            <w:tcW w:w="1000" w:type="dxa"/>
            <w:vAlign w:val="bottom"/>
          </w:tcPr>
          <w:p>
            <w:pPr>
              <w:jc w:val="center"/>
              <w:ind w:right="286"/>
              <w:spacing w:after="0"/>
              <w:rPr>
                <w:sz w:val="20"/>
                <w:szCs w:val="20"/>
                <w:color w:val="auto"/>
              </w:rPr>
            </w:pPr>
            <w:r>
              <w:rPr>
                <w:rFonts w:ascii="Arial" w:cs="Arial" w:eastAsia="Arial" w:hAnsi="Arial"/>
                <w:sz w:val="13"/>
                <w:szCs w:val="13"/>
                <w:b w:val="1"/>
                <w:bCs w:val="1"/>
                <w:color w:val="auto"/>
              </w:rPr>
              <w:t>Placebo</w:t>
            </w: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(n=10)</w:t>
            </w:r>
          </w:p>
        </w:tc>
        <w:tc>
          <w:tcPr>
            <w:tcW w:w="18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rPr>
              <w:t>(n=26)</w:t>
            </w:r>
          </w:p>
        </w:tc>
        <w:tc>
          <w:tcPr>
            <w:tcW w:w="1000" w:type="dxa"/>
            <w:vAlign w:val="bottom"/>
          </w:tcPr>
          <w:p>
            <w:pPr>
              <w:jc w:val="center"/>
              <w:ind w:right="286"/>
              <w:spacing w:after="0"/>
              <w:rPr>
                <w:sz w:val="20"/>
                <w:szCs w:val="20"/>
                <w:color w:val="auto"/>
              </w:rPr>
            </w:pPr>
            <w:r>
              <w:rPr>
                <w:rFonts w:ascii="Arial" w:cs="Arial" w:eastAsia="Arial" w:hAnsi="Arial"/>
                <w:sz w:val="13"/>
                <w:szCs w:val="13"/>
                <w:b w:val="1"/>
                <w:bCs w:val="1"/>
                <w:color w:val="auto"/>
              </w:rPr>
              <w:t>(n=18)</w:t>
            </w:r>
          </w:p>
        </w:tc>
      </w:tr>
      <w:tr>
        <w:trPr>
          <w:trHeight w:val="144"/>
        </w:trPr>
        <w:tc>
          <w:tcPr>
            <w:tcW w:w="20" w:type="dxa"/>
            <w:vAlign w:val="bottom"/>
          </w:tcPr>
          <w:p>
            <w:pPr>
              <w:spacing w:after="0"/>
              <w:rPr>
                <w:sz w:val="12"/>
                <w:szCs w:val="12"/>
                <w:color w:val="auto"/>
              </w:rPr>
            </w:pPr>
          </w:p>
        </w:tc>
        <w:tc>
          <w:tcPr>
            <w:tcW w:w="45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LSM HbA1c change from baseline (%)</w:t>
            </w:r>
          </w:p>
        </w:tc>
        <w:tc>
          <w:tcPr>
            <w:tcW w:w="132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rPr>
              <w:t>-0.79</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rPr>
              <w:t>-0.84</w:t>
            </w: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ind w:right="346"/>
              <w:spacing w:after="0" w:line="144" w:lineRule="exact"/>
              <w:rPr>
                <w:sz w:val="20"/>
                <w:szCs w:val="20"/>
                <w:color w:val="auto"/>
              </w:rPr>
            </w:pPr>
            <w:r>
              <w:rPr>
                <w:rFonts w:ascii="Arial" w:cs="Arial" w:eastAsia="Arial" w:hAnsi="Arial"/>
                <w:sz w:val="13"/>
                <w:szCs w:val="13"/>
                <w:color w:val="auto"/>
              </w:rPr>
              <w:t>0.18</w:t>
            </w:r>
          </w:p>
        </w:tc>
      </w:tr>
      <w:tr>
        <w:trPr>
          <w:trHeight w:val="151"/>
        </w:trPr>
        <w:tc>
          <w:tcPr>
            <w:tcW w:w="2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 HbA1c change placebo-adjusted (LSM,</w:t>
            </w:r>
          </w:p>
        </w:tc>
        <w:tc>
          <w:tcPr>
            <w:tcW w:w="1320" w:type="dxa"/>
            <w:vAlign w:val="bottom"/>
          </w:tcPr>
          <w:p>
            <w:pPr>
              <w:jc w:val="center"/>
              <w:spacing w:after="0"/>
              <w:rPr>
                <w:sz w:val="20"/>
                <w:szCs w:val="20"/>
                <w:color w:val="auto"/>
              </w:rPr>
            </w:pPr>
            <w:r>
              <w:rPr>
                <w:rFonts w:ascii="Arial" w:cs="Arial" w:eastAsia="Arial" w:hAnsi="Arial"/>
                <w:sz w:val="13"/>
                <w:szCs w:val="13"/>
                <w:color w:val="auto"/>
              </w:rPr>
              <w:t>-1.01</w:t>
            </w:r>
          </w:p>
        </w:tc>
        <w:tc>
          <w:tcPr>
            <w:tcW w:w="1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rPr>
              <w:t>-1.02</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4540" w:type="dxa"/>
            <w:vAlign w:val="bottom"/>
            <w:shd w:val="clear" w:color="auto" w:fill="CCEEFF"/>
          </w:tcPr>
          <w:p>
            <w:pPr>
              <w:ind w:left="80"/>
              <w:spacing w:after="0"/>
              <w:rPr>
                <w:sz w:val="20"/>
                <w:szCs w:val="20"/>
                <w:color w:val="auto"/>
              </w:rPr>
            </w:pPr>
            <w:r>
              <w:rPr>
                <w:rFonts w:ascii="Arial" w:cs="Arial" w:eastAsia="Arial" w:hAnsi="Arial"/>
                <w:sz w:val="13"/>
                <w:szCs w:val="13"/>
                <w:color w:val="auto"/>
              </w:rPr>
              <w:t>95% confidence interval (CI))</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(-1.73, -0.29)</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(-1.59, -0.44)</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540" w:type="dxa"/>
            <w:vAlign w:val="bottom"/>
          </w:tcPr>
          <w:p>
            <w:pPr>
              <w:ind w:left="80"/>
              <w:spacing w:after="0"/>
              <w:rPr>
                <w:sz w:val="20"/>
                <w:szCs w:val="20"/>
                <w:color w:val="auto"/>
              </w:rPr>
            </w:pPr>
            <w:r>
              <w:rPr>
                <w:rFonts w:ascii="Arial" w:cs="Arial" w:eastAsia="Arial" w:hAnsi="Arial"/>
                <w:sz w:val="13"/>
                <w:szCs w:val="13"/>
                <w:color w:val="auto"/>
              </w:rPr>
              <w:t>P-value vs. placebo</w:t>
            </w: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color w:val="auto"/>
              </w:rPr>
              <w:t>p= 0.008</w:t>
            </w:r>
          </w:p>
        </w:tc>
        <w:tc>
          <w:tcPr>
            <w:tcW w:w="1860" w:type="dxa"/>
            <w:vAlign w:val="bottom"/>
            <w:gridSpan w:val="3"/>
          </w:tcPr>
          <w:p>
            <w:pPr>
              <w:jc w:val="center"/>
              <w:ind w:right="540"/>
              <w:spacing w:after="0"/>
              <w:rPr>
                <w:sz w:val="20"/>
                <w:szCs w:val="20"/>
                <w:color w:val="auto"/>
              </w:rPr>
            </w:pPr>
            <w:r>
              <w:rPr>
                <w:rFonts w:ascii="Arial" w:cs="Arial" w:eastAsia="Arial" w:hAnsi="Arial"/>
                <w:sz w:val="13"/>
                <w:szCs w:val="13"/>
                <w:color w:val="auto"/>
              </w:rPr>
              <w:t>p= 0.001</w:t>
            </w:r>
          </w:p>
        </w:tc>
        <w:tc>
          <w:tcPr>
            <w:tcW w:w="1000" w:type="dxa"/>
            <w:vAlign w:val="bottom"/>
          </w:tcPr>
          <w:p>
            <w:pPr>
              <w:spacing w:after="0"/>
              <w:rPr>
                <w:sz w:val="15"/>
                <w:szCs w:val="15"/>
                <w:color w:val="auto"/>
              </w:rPr>
            </w:pPr>
          </w:p>
        </w:tc>
      </w:tr>
      <w:tr>
        <w:trPr>
          <w:trHeight w:val="333"/>
        </w:trPr>
        <w:tc>
          <w:tcPr>
            <w:tcW w:w="4560" w:type="dxa"/>
            <w:vAlign w:val="bottom"/>
            <w:gridSpan w:val="2"/>
          </w:tcPr>
          <w:p>
            <w:pPr>
              <w:spacing w:after="0"/>
              <w:rPr>
                <w:sz w:val="20"/>
                <w:szCs w:val="20"/>
                <w:color w:val="auto"/>
              </w:rPr>
            </w:pPr>
            <w:r>
              <w:rPr>
                <w:rFonts w:ascii="Arial" w:cs="Arial" w:eastAsia="Arial" w:hAnsi="Arial"/>
                <w:sz w:val="13"/>
                <w:szCs w:val="13"/>
                <w:color w:val="auto"/>
              </w:rPr>
              <w:t>*LSM, CI and p-value from Mixed Model for Repeated Measures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900" w:type="dxa"/>
            <w:vAlign w:val="bottom"/>
            <w:gridSpan w:val="6"/>
          </w:tcPr>
          <w:p>
            <w:pPr>
              <w:ind w:left="1880"/>
              <w:spacing w:after="0"/>
              <w:rPr>
                <w:sz w:val="20"/>
                <w:szCs w:val="20"/>
                <w:color w:val="auto"/>
              </w:rPr>
            </w:pPr>
            <w:r>
              <w:rPr>
                <w:rFonts w:ascii="Arial" w:cs="Arial" w:eastAsia="Arial" w:hAnsi="Arial"/>
                <w:sz w:val="17"/>
                <w:szCs w:val="17"/>
                <w:b w:val="1"/>
                <w:bCs w:val="1"/>
                <w:color w:val="auto"/>
              </w:rPr>
              <w:t>Table 2: T2DM Cohort LSM Change in Weight from Baseline (%)*</w:t>
            </w:r>
          </w:p>
        </w:tc>
        <w:tc>
          <w:tcPr>
            <w:tcW w:w="1000" w:type="dxa"/>
            <w:vAlign w:val="bottom"/>
          </w:tcPr>
          <w:p>
            <w:pPr>
              <w:spacing w:after="0"/>
              <w:rPr>
                <w:sz w:val="24"/>
                <w:szCs w:val="24"/>
                <w:color w:val="auto"/>
              </w:rPr>
            </w:pPr>
          </w:p>
        </w:tc>
      </w:tr>
      <w:tr>
        <w:trPr>
          <w:trHeight w:val="33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Aleniglipron</w:t>
            </w:r>
          </w:p>
        </w:tc>
        <w:tc>
          <w:tcPr>
            <w:tcW w:w="1860" w:type="dxa"/>
            <w:vAlign w:val="bottom"/>
            <w:gridSpan w:val="3"/>
          </w:tcPr>
          <w:p>
            <w:pPr>
              <w:ind w:left="1040"/>
              <w:spacing w:after="0"/>
              <w:rPr>
                <w:sz w:val="20"/>
                <w:szCs w:val="20"/>
                <w:color w:val="auto"/>
              </w:rPr>
            </w:pPr>
            <w:r>
              <w:rPr>
                <w:rFonts w:ascii="Arial" w:cs="Arial" w:eastAsia="Arial" w:hAnsi="Arial"/>
                <w:sz w:val="13"/>
                <w:szCs w:val="13"/>
                <w:b w:val="1"/>
                <w:bCs w:val="1"/>
                <w:color w:val="auto"/>
              </w:rPr>
              <w:t>Aleniglipron</w:t>
            </w:r>
          </w:p>
        </w:tc>
        <w:tc>
          <w:tcPr>
            <w:tcW w:w="1000" w:type="dxa"/>
            <w:vAlign w:val="bottom"/>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45 mg</w:t>
            </w:r>
          </w:p>
        </w:tc>
        <w:tc>
          <w:tcPr>
            <w:tcW w:w="186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rPr>
              <w:t>90 mg</w:t>
            </w:r>
          </w:p>
        </w:tc>
        <w:tc>
          <w:tcPr>
            <w:tcW w:w="1000" w:type="dxa"/>
            <w:vAlign w:val="bottom"/>
          </w:tcPr>
          <w:p>
            <w:pPr>
              <w:jc w:val="center"/>
              <w:ind w:right="326"/>
              <w:spacing w:after="0"/>
              <w:rPr>
                <w:sz w:val="20"/>
                <w:szCs w:val="20"/>
                <w:color w:val="auto"/>
              </w:rPr>
            </w:pPr>
            <w:r>
              <w:rPr>
                <w:rFonts w:ascii="Arial" w:cs="Arial" w:eastAsia="Arial" w:hAnsi="Arial"/>
                <w:sz w:val="13"/>
                <w:szCs w:val="13"/>
                <w:b w:val="1"/>
                <w:bCs w:val="1"/>
                <w:color w:val="auto"/>
              </w:rPr>
              <w:t>Placebo</w:t>
            </w: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(n=10)</w:t>
            </w:r>
          </w:p>
        </w:tc>
        <w:tc>
          <w:tcPr>
            <w:tcW w:w="18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rPr>
              <w:t>(n=26)</w:t>
            </w:r>
          </w:p>
        </w:tc>
        <w:tc>
          <w:tcPr>
            <w:tcW w:w="1000" w:type="dxa"/>
            <w:vAlign w:val="bottom"/>
          </w:tcPr>
          <w:p>
            <w:pPr>
              <w:jc w:val="center"/>
              <w:ind w:right="286"/>
              <w:spacing w:after="0"/>
              <w:rPr>
                <w:sz w:val="20"/>
                <w:szCs w:val="20"/>
                <w:color w:val="auto"/>
              </w:rPr>
            </w:pPr>
            <w:r>
              <w:rPr>
                <w:rFonts w:ascii="Arial" w:cs="Arial" w:eastAsia="Arial" w:hAnsi="Arial"/>
                <w:sz w:val="13"/>
                <w:szCs w:val="13"/>
                <w:b w:val="1"/>
                <w:bCs w:val="1"/>
                <w:color w:val="auto"/>
              </w:rPr>
              <w:t>(n=18)</w:t>
            </w:r>
          </w:p>
        </w:tc>
      </w:tr>
      <w:tr>
        <w:trPr>
          <w:trHeight w:val="182"/>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LSM weight change from baseline (%)</w:t>
            </w:r>
          </w:p>
        </w:tc>
        <w:tc>
          <w:tcPr>
            <w:tcW w:w="13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7"/>
                <w:szCs w:val="17"/>
                <w:color w:val="auto"/>
                <w:w w:val="97"/>
              </w:rPr>
              <w:t>-3.32</w:t>
            </w:r>
          </w:p>
        </w:tc>
        <w:tc>
          <w:tcPr>
            <w:tcW w:w="1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ind w:right="8"/>
              <w:spacing w:after="0" w:line="182" w:lineRule="exact"/>
              <w:rPr>
                <w:sz w:val="20"/>
                <w:szCs w:val="20"/>
                <w:color w:val="auto"/>
              </w:rPr>
            </w:pPr>
            <w:r>
              <w:rPr>
                <w:rFonts w:ascii="Arial" w:cs="Arial" w:eastAsia="Arial" w:hAnsi="Arial"/>
                <w:sz w:val="17"/>
                <w:szCs w:val="17"/>
                <w:color w:val="auto"/>
                <w:w w:val="97"/>
              </w:rPr>
              <w:t>-3.22</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ind w:right="326"/>
              <w:spacing w:after="0" w:line="182" w:lineRule="exact"/>
              <w:rPr>
                <w:sz w:val="20"/>
                <w:szCs w:val="20"/>
                <w:color w:val="auto"/>
              </w:rPr>
            </w:pPr>
            <w:r>
              <w:rPr>
                <w:rFonts w:ascii="Arial" w:cs="Arial" w:eastAsia="Arial" w:hAnsi="Arial"/>
                <w:sz w:val="17"/>
                <w:szCs w:val="17"/>
                <w:color w:val="auto"/>
                <w:w w:val="96"/>
              </w:rPr>
              <w:t>0.04</w:t>
            </w:r>
          </w:p>
        </w:tc>
      </w:tr>
      <w:tr>
        <w:trPr>
          <w:trHeight w:val="189"/>
        </w:trPr>
        <w:tc>
          <w:tcPr>
            <w:tcW w:w="20" w:type="dxa"/>
            <w:vAlign w:val="bottom"/>
          </w:tcPr>
          <w:p>
            <w:pPr>
              <w:spacing w:after="0"/>
              <w:rPr>
                <w:sz w:val="16"/>
                <w:szCs w:val="16"/>
                <w:color w:val="auto"/>
              </w:rPr>
            </w:pPr>
          </w:p>
        </w:tc>
        <w:tc>
          <w:tcPr>
            <w:tcW w:w="4540" w:type="dxa"/>
            <w:vAlign w:val="bottom"/>
          </w:tcPr>
          <w:p>
            <w:pPr>
              <w:spacing w:after="0" w:line="189" w:lineRule="exact"/>
              <w:rPr>
                <w:sz w:val="20"/>
                <w:szCs w:val="20"/>
                <w:color w:val="auto"/>
              </w:rPr>
            </w:pPr>
            <w:r>
              <w:rPr>
                <w:rFonts w:ascii="Arial" w:cs="Arial" w:eastAsia="Arial" w:hAnsi="Arial"/>
                <w:sz w:val="17"/>
                <w:szCs w:val="17"/>
                <w:color w:val="auto"/>
              </w:rPr>
              <w:t>% weight change placebo-adjusted (LSM,</w:t>
            </w:r>
          </w:p>
        </w:tc>
        <w:tc>
          <w:tcPr>
            <w:tcW w:w="1320" w:type="dxa"/>
            <w:vAlign w:val="bottom"/>
          </w:tcPr>
          <w:p>
            <w:pPr>
              <w:jc w:val="center"/>
              <w:spacing w:after="0" w:line="189" w:lineRule="exact"/>
              <w:rPr>
                <w:sz w:val="20"/>
                <w:szCs w:val="20"/>
                <w:color w:val="auto"/>
              </w:rPr>
            </w:pPr>
            <w:r>
              <w:rPr>
                <w:rFonts w:ascii="Arial" w:cs="Arial" w:eastAsia="Arial" w:hAnsi="Arial"/>
                <w:sz w:val="17"/>
                <w:szCs w:val="17"/>
                <w:color w:val="auto"/>
                <w:w w:val="97"/>
              </w:rPr>
              <w:t>-3.51</w:t>
            </w:r>
          </w:p>
        </w:tc>
        <w:tc>
          <w:tcPr>
            <w:tcW w:w="180" w:type="dxa"/>
            <w:vAlign w:val="bottom"/>
          </w:tcPr>
          <w:p>
            <w:pPr>
              <w:spacing w:after="0"/>
              <w:rPr>
                <w:sz w:val="16"/>
                <w:szCs w:val="16"/>
                <w:color w:val="auto"/>
              </w:rPr>
            </w:pPr>
          </w:p>
        </w:tc>
        <w:tc>
          <w:tcPr>
            <w:tcW w:w="1340" w:type="dxa"/>
            <w:vAlign w:val="bottom"/>
          </w:tcPr>
          <w:p>
            <w:pPr>
              <w:jc w:val="center"/>
              <w:ind w:right="8"/>
              <w:spacing w:after="0" w:line="189" w:lineRule="exact"/>
              <w:rPr>
                <w:sz w:val="20"/>
                <w:szCs w:val="20"/>
                <w:color w:val="auto"/>
              </w:rPr>
            </w:pPr>
            <w:r>
              <w:rPr>
                <w:rFonts w:ascii="Arial" w:cs="Arial" w:eastAsia="Arial" w:hAnsi="Arial"/>
                <w:sz w:val="17"/>
                <w:szCs w:val="17"/>
                <w:color w:val="auto"/>
                <w:w w:val="97"/>
              </w:rPr>
              <w:t>-3.26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center"/>
              <w:ind w:right="326"/>
              <w:spacing w:after="0" w:line="189" w:lineRule="exact"/>
              <w:rPr>
                <w:sz w:val="20"/>
                <w:szCs w:val="20"/>
                <w:color w:val="auto"/>
              </w:rPr>
            </w:pPr>
            <w:r>
              <w:rPr>
                <w:rFonts w:ascii="Arial" w:cs="Arial" w:eastAsia="Arial" w:hAnsi="Arial"/>
                <w:sz w:val="17"/>
                <w:szCs w:val="17"/>
                <w:color w:val="auto"/>
                <w:w w:val="93"/>
              </w:rPr>
              <w:t>—</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95% CI)</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(-5.58, -1.43)</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7"/>
              </w:rPr>
              <w:t>(-5.17, -1.36)</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P-value vs. placebo</w:t>
            </w: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color w:val="auto"/>
                <w:w w:val="99"/>
              </w:rPr>
              <w:t>p= 0.0019</w:t>
            </w:r>
          </w:p>
        </w:tc>
        <w:tc>
          <w:tcPr>
            <w:tcW w:w="1860" w:type="dxa"/>
            <w:vAlign w:val="bottom"/>
            <w:gridSpan w:val="3"/>
          </w:tcPr>
          <w:p>
            <w:pPr>
              <w:jc w:val="center"/>
              <w:ind w:right="540"/>
              <w:spacing w:after="0"/>
              <w:rPr>
                <w:sz w:val="20"/>
                <w:szCs w:val="20"/>
                <w:color w:val="auto"/>
              </w:rPr>
            </w:pPr>
            <w:r>
              <w:rPr>
                <w:rFonts w:ascii="Arial" w:cs="Arial" w:eastAsia="Arial" w:hAnsi="Arial"/>
                <w:sz w:val="17"/>
                <w:szCs w:val="17"/>
                <w:color w:val="auto"/>
                <w:w w:val="99"/>
              </w:rPr>
              <w:t>p= 0.0013</w:t>
            </w:r>
          </w:p>
        </w:tc>
        <w:tc>
          <w:tcPr>
            <w:tcW w:w="1000" w:type="dxa"/>
            <w:vAlign w:val="bottom"/>
          </w:tcPr>
          <w:p>
            <w:pPr>
              <w:jc w:val="center"/>
              <w:ind w:right="326"/>
              <w:spacing w:after="0"/>
              <w:rPr>
                <w:sz w:val="20"/>
                <w:szCs w:val="20"/>
                <w:color w:val="auto"/>
              </w:rPr>
            </w:pPr>
            <w:r>
              <w:rPr>
                <w:rFonts w:ascii="Arial" w:cs="Arial" w:eastAsia="Arial" w:hAnsi="Arial"/>
                <w:sz w:val="17"/>
                <w:szCs w:val="17"/>
                <w:color w:val="auto"/>
                <w:w w:val="93"/>
              </w:rPr>
              <w:t>—</w:t>
            </w: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*LSM, CI and p-value from Mixed Model for Repeated Measures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ACCG-2671 – Oral Small Molecule Amylin Receptor Agonist for Obesity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Overview</w:t>
      </w:r>
    </w:p>
    <w:p>
      <w:pPr>
        <w:spacing w:after="0" w:line="194"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We are advancing our amylin oral small molecule program and have declared our development candidate, ACCG-2671. In preclinical studies, ACCG-2671 demonstrated sub-nanomolar in vitro functional activity on amylin and calcitonin receptors, and in vivo reduction in food intake, resulting in weight loss. We expect to initiate Phase 1 clinical study of ACCG-2671 in the fourth quarter of 2025.</w:t>
      </w:r>
    </w:p>
    <w:p>
      <w:pPr>
        <w:spacing w:after="0" w:line="168" w:lineRule="exact"/>
        <w:rPr>
          <w:sz w:val="20"/>
          <w:szCs w:val="20"/>
          <w:color w:val="auto"/>
        </w:rPr>
      </w:pPr>
    </w:p>
    <w:p>
      <w:pPr>
        <w:ind w:left="40" w:right="219"/>
        <w:spacing w:after="0" w:line="265" w:lineRule="auto"/>
        <w:rPr>
          <w:sz w:val="20"/>
          <w:szCs w:val="20"/>
          <w:color w:val="auto"/>
        </w:rPr>
      </w:pPr>
      <w:r>
        <w:rPr>
          <w:rFonts w:ascii="Arial" w:cs="Arial" w:eastAsia="Arial" w:hAnsi="Arial"/>
          <w:sz w:val="17"/>
          <w:szCs w:val="17"/>
          <w:color w:val="auto"/>
        </w:rPr>
        <w:t>The amylin receptor system is complex, and its complexity is present at various levels as shown here and in the figure below:</w:t>
      </w:r>
    </w:p>
    <w:p>
      <w:pPr>
        <w:spacing w:after="0" w:line="149" w:lineRule="exact"/>
        <w:rPr>
          <w:sz w:val="20"/>
          <w:szCs w:val="20"/>
          <w:color w:val="auto"/>
        </w:rPr>
      </w:pPr>
    </w:p>
    <w:p>
      <w:pPr>
        <w:ind w:left="980" w:right="219" w:hanging="304"/>
        <w:spacing w:after="0" w:line="248" w:lineRule="auto"/>
        <w:tabs>
          <w:tab w:leader="none" w:pos="9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First (starting from left figure panel): At the receptor level, there are three amylin receptors, AMY1/2/3 receptors. They are heterodimers formed by the calcitonin receptor CTR and the co-receptor RAMP1/2/3. There is an equilibrium between calcitonin receptor and Amylin receptors.</w:t>
      </w:r>
    </w:p>
    <w:p>
      <w:pPr>
        <w:spacing w:after="0" w:line="163" w:lineRule="exact"/>
        <w:rPr>
          <w:rFonts w:ascii="Arial" w:cs="Arial" w:eastAsia="Arial" w:hAnsi="Arial"/>
          <w:sz w:val="17"/>
          <w:szCs w:val="17"/>
          <w:b w:val="1"/>
          <w:bCs w:val="1"/>
          <w:color w:val="auto"/>
        </w:rPr>
      </w:pPr>
    </w:p>
    <w:p>
      <w:pPr>
        <w:ind w:left="980" w:hanging="304"/>
        <w:spacing w:after="0"/>
        <w:tabs>
          <w:tab w:leader="none" w:pos="9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Second: At the agonist level, there are two types of agonists: DACRA and SARA</w:t>
      </w:r>
    </w:p>
    <w:p>
      <w:pPr>
        <w:spacing w:after="0" w:line="196" w:lineRule="exact"/>
        <w:rPr>
          <w:sz w:val="20"/>
          <w:szCs w:val="20"/>
          <w:color w:val="auto"/>
        </w:rPr>
      </w:pPr>
    </w:p>
    <w:p>
      <w:pPr>
        <w:ind w:left="1600" w:right="359" w:hanging="344"/>
        <w:spacing w:after="0" w:line="265" w:lineRule="auto"/>
        <w:tabs>
          <w:tab w:leader="none" w:pos="16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DACRA, stands for Dual Amylin and Calcitonin Receptor Agonists, which binds both the amylin receptor and calcitonin receptor.</w:t>
      </w:r>
    </w:p>
    <w:p>
      <w:pPr>
        <w:spacing w:after="0" w:line="47" w:lineRule="exact"/>
        <w:rPr>
          <w:rFonts w:ascii="Arial" w:cs="Arial" w:eastAsia="Arial" w:hAnsi="Arial"/>
          <w:sz w:val="17"/>
          <w:szCs w:val="17"/>
          <w:color w:val="auto"/>
        </w:rPr>
      </w:pPr>
    </w:p>
    <w:p>
      <w:pPr>
        <w:ind w:left="1600" w:right="519" w:hanging="344"/>
        <w:spacing w:after="0" w:line="265" w:lineRule="auto"/>
        <w:tabs>
          <w:tab w:leader="none" w:pos="16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SARA, stands for Selective Amylin Receptor Agonist, which preferentially binds to the amylin receptor.</w:t>
      </w:r>
    </w:p>
    <w:p>
      <w:pPr>
        <w:spacing w:after="0" w:line="47" w:lineRule="exact"/>
        <w:rPr>
          <w:rFonts w:ascii="Arial" w:cs="Arial" w:eastAsia="Arial" w:hAnsi="Arial"/>
          <w:sz w:val="17"/>
          <w:szCs w:val="17"/>
          <w:color w:val="auto"/>
        </w:rPr>
      </w:pPr>
    </w:p>
    <w:p>
      <w:pPr>
        <w:ind w:left="980" w:right="99" w:hanging="304"/>
        <w:spacing w:after="0" w:line="248" w:lineRule="auto"/>
        <w:tabs>
          <w:tab w:leader="none" w:pos="98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Third: Different agonists bind to the amylin receptor or calcitonin receptor and form different receptor-agonist complexes. These complexes could differ in stability, conformation, G protein/b-arrestin recruitment and activation status and cAMP signaling.</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amylin receptor pocket is large, making small molecule discovery challenging.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135255</wp:posOffset>
            </wp:positionV>
            <wp:extent cx="4656455" cy="2124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56455"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right="219"/>
        <w:spacing w:after="0" w:line="265" w:lineRule="auto"/>
        <w:rPr>
          <w:sz w:val="20"/>
          <w:szCs w:val="20"/>
          <w:color w:val="auto"/>
        </w:rPr>
      </w:pPr>
      <w:r>
        <w:rPr>
          <w:rFonts w:ascii="Arial" w:cs="Arial" w:eastAsia="Arial" w:hAnsi="Arial"/>
          <w:sz w:val="17"/>
          <w:szCs w:val="17"/>
          <w:color w:val="auto"/>
        </w:rPr>
        <w:t>The amylin receptor pocket is large, making small molecule discovery challenging. Despite these challenges, we have successfully discovered what we believe is the first amylin small molecule agonist.</w:t>
      </w:r>
    </w:p>
    <w:p>
      <w:pPr>
        <w:spacing w:after="0" w:line="149"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Amylin is co-secreted with insulin from β pancreatic cells upon nutrient delivery to the small intestine as a satiety signal, acts upon sub-cortical homeostatic and hedonic brain regions, slows gastric emptying and suppresses post-prandial GCG responses to meals. Therefore, new pharmacological amylin analogues can be used as potential anti-obesity medications in individuals who are overweight or obese.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Amylin Tool Compound Showed Add-on Effects When Used with Semaglutide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135255</wp:posOffset>
            </wp:positionV>
            <wp:extent cx="4288155" cy="1995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815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In collaboration with Schrödinger, we are taking a structure-based drug discovery approach to identify oral small molecule amylin agonists for daily use either alone or in combination with GLP-1R agonists to treat obesity and T2DM. In an in-house proof-of-concept study in rats, our small molecule amylin tool compound (ACCG-0184) showed additional beneficial effects when used as an add-on treatment to a GLP-1R agonist.</w:t>
      </w:r>
    </w:p>
    <w:p>
      <w:pPr>
        <w:spacing w:after="0" w:line="168" w:lineRule="exact"/>
        <w:rPr>
          <w:sz w:val="20"/>
          <w:szCs w:val="20"/>
          <w:color w:val="auto"/>
        </w:rPr>
      </w:pPr>
    </w:p>
    <w:p>
      <w:pPr>
        <w:ind w:left="40" w:right="159"/>
        <w:spacing w:after="0" w:line="243" w:lineRule="auto"/>
        <w:rPr>
          <w:sz w:val="20"/>
          <w:szCs w:val="20"/>
          <w:color w:val="auto"/>
        </w:rPr>
      </w:pPr>
      <w:r>
        <w:rPr>
          <w:rFonts w:ascii="Arial" w:cs="Arial" w:eastAsia="Arial" w:hAnsi="Arial"/>
          <w:sz w:val="17"/>
          <w:szCs w:val="17"/>
          <w:color w:val="auto"/>
        </w:rPr>
        <w:t>In December 2024, we announced the selection of ACCG-2671 as our lead oral amylin agonist for the treatment of obesity. ACCG-2671 was designed as an oral small molecule DACRA and is expected to enter Phase 1 clinical development in the fourth quarter of 2025. In addition, we have initiated GMP manufacturing to support GLP toxicology studies and early clinical development.</w:t>
      </w:r>
    </w:p>
    <w:p>
      <w:pPr>
        <w:spacing w:after="0" w:line="168"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In preclinical studies, ACCG-2671 demonstrated potent and balanced in vitro activities toward amylin and the calcitonin receptors. ACCG-2671 also further demonstrated robust in vivo efficacy and a PK and safety profile supporting once-daily oral dosing in humans.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ACCG-2671 Demonstrated Sub-nanomolar Potency of DACRA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135255</wp:posOffset>
            </wp:positionV>
            <wp:extent cx="4912995" cy="2148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12995"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ACCG-2671 Achieved Cagrilintide-like Efficacy in Preclinical DIO Rat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135255</wp:posOffset>
            </wp:positionV>
            <wp:extent cx="4977130" cy="2148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77130"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right="99"/>
        <w:spacing w:after="0" w:line="265" w:lineRule="auto"/>
        <w:rPr>
          <w:sz w:val="20"/>
          <w:szCs w:val="20"/>
          <w:color w:val="auto"/>
        </w:rPr>
      </w:pPr>
      <w:r>
        <w:rPr>
          <w:rFonts w:ascii="Arial" w:cs="Arial" w:eastAsia="Arial" w:hAnsi="Arial"/>
          <w:sz w:val="17"/>
          <w:szCs w:val="17"/>
          <w:color w:val="auto"/>
        </w:rPr>
        <w:t>Lastly, given our most advanced oral small molecule amylin position, we are continuing to work on multiple generations, and we expect to declare additional development candidates in the future.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GIP and GCG Receptor Oral Small Molecule Obesity Programs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Overview</w:t>
      </w:r>
    </w:p>
    <w:p>
      <w:pPr>
        <w:spacing w:after="0" w:line="194" w:lineRule="exact"/>
        <w:rPr>
          <w:sz w:val="20"/>
          <w:szCs w:val="20"/>
          <w:color w:val="auto"/>
        </w:rPr>
      </w:pPr>
    </w:p>
    <w:p>
      <w:pPr>
        <w:ind w:left="40" w:right="219"/>
        <w:spacing w:after="0" w:line="248" w:lineRule="auto"/>
        <w:rPr>
          <w:sz w:val="20"/>
          <w:szCs w:val="20"/>
          <w:color w:val="auto"/>
        </w:rPr>
      </w:pPr>
      <w:r>
        <w:rPr>
          <w:rFonts w:ascii="Arial" w:cs="Arial" w:eastAsia="Arial" w:hAnsi="Arial"/>
          <w:sz w:val="17"/>
          <w:szCs w:val="17"/>
          <w:color w:val="auto"/>
        </w:rPr>
        <w:t>Beyond our GLP-1R and amylin receptor programs, we are developing next generation oral incretins for potential combination therapy with GLP-1R or amylin candidates. These include small molecule candidates targeting GIPR and GCGR, each designed with customized properties to achieve additional benefit.</w:t>
      </w:r>
    </w:p>
    <w:p>
      <w:pPr>
        <w:spacing w:after="0" w:line="164" w:lineRule="exact"/>
        <w:rPr>
          <w:sz w:val="20"/>
          <w:szCs w:val="20"/>
          <w:color w:val="auto"/>
        </w:rPr>
      </w:pPr>
    </w:p>
    <w:p>
      <w:pPr>
        <w:ind w:left="40" w:right="179"/>
        <w:spacing w:after="0" w:line="248" w:lineRule="auto"/>
        <w:rPr>
          <w:sz w:val="20"/>
          <w:szCs w:val="20"/>
          <w:color w:val="auto"/>
        </w:rPr>
      </w:pPr>
      <w:r>
        <w:rPr>
          <w:rFonts w:ascii="Arial" w:cs="Arial" w:eastAsia="Arial" w:hAnsi="Arial"/>
          <w:sz w:val="17"/>
          <w:szCs w:val="17"/>
          <w:color w:val="auto"/>
        </w:rPr>
        <w:t>In our GIPR program, we have identified multiple GIPR agonist, dual GLP-1R/GIPR agonist and GIPR antagonist hits for small molecule GIPR modulation. We believe GLP 1R/GIPR modulation has the potential to provide a differentiated treatment in obesity.</w:t>
      </w:r>
    </w:p>
    <w:p>
      <w:pPr>
        <w:spacing w:after="0" w:line="164"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Recent third-party clinical data showed tirzepatide, a GLP-1R/GIPR modulator, was superior to semaglutide with respect to glycemic control. The glycated hemoglobin level target of less than 5.7% (normoglycemia) was met in 27% to 46% of the T2DM patients who received tirzepatide compared to 19% of those who received semaglutide. The body weight reduction and gastrointestinal-related side effects were similar to the GLP-1R agonists. In addition, many patients who received tirzepatide were noted to have improved biomarkers of insulin sensitivity.</w:t>
      </w:r>
    </w:p>
    <w:p>
      <w:pPr>
        <w:spacing w:after="0" w:line="171" w:lineRule="exact"/>
        <w:rPr>
          <w:sz w:val="20"/>
          <w:szCs w:val="20"/>
          <w:color w:val="auto"/>
        </w:rPr>
      </w:pPr>
    </w:p>
    <w:p>
      <w:pPr>
        <w:ind w:left="40" w:right="379"/>
        <w:spacing w:after="0" w:line="265" w:lineRule="auto"/>
        <w:rPr>
          <w:sz w:val="20"/>
          <w:szCs w:val="20"/>
          <w:color w:val="auto"/>
        </w:rPr>
      </w:pPr>
      <w:r>
        <w:rPr>
          <w:rFonts w:ascii="Arial" w:cs="Arial" w:eastAsia="Arial" w:hAnsi="Arial"/>
          <w:sz w:val="17"/>
          <w:szCs w:val="17"/>
          <w:color w:val="auto"/>
        </w:rPr>
        <w:t>We have obtained both GIP and tirzepatide bound GIPR structures along with GLP-1R structures to guide our small molecular design.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Multiple Structures of Ligand Bound GLP-1R, GIPR, GCGR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135255</wp:posOffset>
            </wp:positionV>
            <wp:extent cx="4872990" cy="1651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72990" cy="165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right="239"/>
        <w:spacing w:after="0" w:line="236" w:lineRule="auto"/>
        <w:rPr>
          <w:sz w:val="20"/>
          <w:szCs w:val="20"/>
          <w:color w:val="auto"/>
        </w:rPr>
      </w:pPr>
      <w:r>
        <w:rPr>
          <w:rFonts w:ascii="Arial" w:cs="Arial" w:eastAsia="Arial" w:hAnsi="Arial"/>
          <w:sz w:val="17"/>
          <w:szCs w:val="17"/>
          <w:color w:val="auto"/>
        </w:rPr>
        <w:t>As shown above, representative three-dimensional structures of the incretin GPCRs (e.g., GIPR, GLP-1R, Glucagon receptor) are available for structure-based drug discovery. This structural data enables the design of dual and tri modulators of this important class of metabolic GPCRs. The GIPR model shown below suggests that one of our dual GLP-1/GIPR agonists may extend to fill the pocket (highlighted in color) occupied by our GLP-1/GIPR agonist hits. Multiple approaches were applied for hit identification, including a screen of our proprietary incretin compound library. Weak antagonists and agonists were identified. After several rounds of structure activity relationship evolution, a full potential GLP-1R/GIPR antagonist and initial dual GLP-1R/GIPR agonist hit leading to the discovery of an optimized dual GLP-1R/GIPR agonist hit. While displaying different GIPR activity, both compounds still maintained certain levels of GLP-1R activities. We are planning to select a development candidate in 2025.</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GIPR Agonist/dual Agonist/antagonist Hits Identified for Potential GLP-1R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135255</wp:posOffset>
            </wp:positionV>
            <wp:extent cx="2781300" cy="2172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81300" cy="217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right="599"/>
        <w:spacing w:after="0" w:line="248" w:lineRule="auto"/>
        <w:rPr>
          <w:sz w:val="20"/>
          <w:szCs w:val="20"/>
          <w:color w:val="auto"/>
        </w:rPr>
      </w:pPr>
      <w:r>
        <w:rPr>
          <w:rFonts w:ascii="Arial" w:cs="Arial" w:eastAsia="Arial" w:hAnsi="Arial"/>
          <w:sz w:val="17"/>
          <w:szCs w:val="17"/>
          <w:color w:val="auto"/>
        </w:rPr>
        <w:t>In our GCG program, we have identified multiple GCGR agonist and dual GLP-1R/GCGR agonist hits for small molecule GCGR modulation. GCG is primarily expressed in the liver and therefore GCGR agonists could play an important role in liver-mediated diseases, specifically MASH.</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ANPA-0073- Oral Small Molecule APJ Receptor Agonist for Selective Weight Loss</w:t>
      </w:r>
    </w:p>
    <w:p>
      <w:pPr>
        <w:spacing w:after="0" w:line="194" w:lineRule="exact"/>
        <w:rPr>
          <w:sz w:val="20"/>
          <w:szCs w:val="20"/>
          <w:color w:val="auto"/>
        </w:rPr>
      </w:pPr>
    </w:p>
    <w:p>
      <w:pPr>
        <w:ind w:left="40" w:right="359"/>
        <w:spacing w:after="0" w:line="243" w:lineRule="auto"/>
        <w:rPr>
          <w:sz w:val="20"/>
          <w:szCs w:val="20"/>
          <w:color w:val="auto"/>
        </w:rPr>
      </w:pPr>
      <w:r>
        <w:rPr>
          <w:rFonts w:ascii="Arial" w:cs="Arial" w:eastAsia="Arial" w:hAnsi="Arial"/>
          <w:sz w:val="17"/>
          <w:szCs w:val="17"/>
          <w:color w:val="auto"/>
        </w:rPr>
        <w:t>ANPA-0073 is our biased APJ receptor agonist. In September 2022, we completed a Phase 1 SAD and MAD study evaluating ANPA-0073 in healthy human volunteers, in which it was generally well tolerated. We are currently conducting long term GLP-toxicology studies of ANPA-0073, which is Phase 2 ready, to be used in combination with weight loss medicines for selective or muscle-sparing weight loss</w:t>
      </w:r>
    </w:p>
    <w:p>
      <w:pPr>
        <w:spacing w:after="0" w:line="168" w:lineRule="exact"/>
        <w:rPr>
          <w:sz w:val="20"/>
          <w:szCs w:val="20"/>
          <w:color w:val="auto"/>
        </w:rPr>
      </w:pPr>
    </w:p>
    <w:p>
      <w:pPr>
        <w:ind w:left="40" w:right="179"/>
        <w:spacing w:after="0" w:line="239" w:lineRule="auto"/>
        <w:rPr>
          <w:sz w:val="20"/>
          <w:szCs w:val="20"/>
          <w:color w:val="auto"/>
        </w:rPr>
      </w:pPr>
      <w:r>
        <w:rPr>
          <w:rFonts w:ascii="Arial" w:cs="Arial" w:eastAsia="Arial" w:hAnsi="Arial"/>
          <w:sz w:val="17"/>
          <w:szCs w:val="17"/>
          <w:color w:val="auto"/>
        </w:rPr>
        <w:t>Apelin is a peptide hormone that binds to the APJ receptor. It is involved in various physiological functions and expressed in human and murine skeletal muscles and widely distributed in the body. Depending on the cell type studied, APJ receptor activation enhances extracellular signal-regulated kinases, AMPK, AKT and p70S6 kinases and the inhibition of cAMP production. Activation of these pathways would result in worthwhile increases in the protein content of skeletal muscles. Apelin has in fact proved beneficial in maintaining muscle and could potentially counteract age-associated atrophy.</w:t>
      </w:r>
    </w:p>
    <w:p>
      <w:pPr>
        <w:spacing w:after="0" w:line="170" w:lineRule="exact"/>
        <w:rPr>
          <w:sz w:val="20"/>
          <w:szCs w:val="20"/>
          <w:color w:val="auto"/>
        </w:rPr>
      </w:pPr>
    </w:p>
    <w:p>
      <w:pPr>
        <w:ind w:left="40" w:right="399"/>
        <w:spacing w:after="0" w:line="265" w:lineRule="auto"/>
        <w:rPr>
          <w:sz w:val="20"/>
          <w:szCs w:val="20"/>
          <w:color w:val="auto"/>
        </w:rPr>
      </w:pPr>
      <w:r>
        <w:rPr>
          <w:rFonts w:ascii="Arial" w:cs="Arial" w:eastAsia="Arial" w:hAnsi="Arial"/>
          <w:sz w:val="17"/>
          <w:szCs w:val="17"/>
          <w:color w:val="auto"/>
        </w:rPr>
        <w:t>We are currently conducting long term GLP-toxicology studies of ANPA-0073, which is Phase 2 ready, to be used in combination with weight loss medicines for selective or muscle-sparing weight loss.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APJ Receptor Biased Agonism is a Potential Differentiator for ANPA-0073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142875</wp:posOffset>
            </wp:positionV>
            <wp:extent cx="56584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tcBorders>
              <w:bottom w:val="single" w:sz="8" w:color="auto"/>
            </w:tcBorders>
            <w:gridSpan w:val="3"/>
          </w:tcPr>
          <w:p>
            <w:pPr>
              <w:ind w:left="920"/>
              <w:spacing w:after="0"/>
              <w:rPr>
                <w:sz w:val="20"/>
                <w:szCs w:val="20"/>
                <w:color w:val="auto"/>
              </w:rPr>
            </w:pPr>
            <w:r>
              <w:rPr>
                <w:rFonts w:ascii="Arial" w:cs="Arial" w:eastAsia="Arial" w:hAnsi="Arial"/>
                <w:sz w:val="13"/>
                <w:szCs w:val="13"/>
                <w:b w:val="1"/>
                <w:bCs w:val="1"/>
                <w:color w:val="auto"/>
              </w:rPr>
              <w:t>BIASED SELECTIVITY</w:t>
            </w:r>
          </w:p>
        </w:tc>
      </w:tr>
      <w:tr>
        <w:trPr>
          <w:trHeight w:val="135"/>
        </w:trPr>
        <w:tc>
          <w:tcPr>
            <w:tcW w:w="5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rPr>
              <w:t>β-ARRESTIN</w:t>
            </w:r>
          </w:p>
        </w:tc>
        <w:tc>
          <w:tcPr>
            <w:tcW w:w="1780" w:type="dxa"/>
            <w:vAlign w:val="bottom"/>
          </w:tcPr>
          <w:p>
            <w:pPr>
              <w:spacing w:after="0"/>
              <w:rPr>
                <w:sz w:val="11"/>
                <w:szCs w:val="11"/>
                <w:color w:val="auto"/>
              </w:rPr>
            </w:pPr>
          </w:p>
        </w:tc>
      </w:tr>
      <w:tr>
        <w:trPr>
          <w:trHeight w:val="161"/>
        </w:trPr>
        <w:tc>
          <w:tcPr>
            <w:tcW w:w="5660" w:type="dxa"/>
            <w:vAlign w:val="bottom"/>
            <w:gridSpan w:val="2"/>
          </w:tcPr>
          <w:p>
            <w:pPr>
              <w:spacing w:after="0"/>
              <w:rPr>
                <w:sz w:val="20"/>
                <w:szCs w:val="20"/>
                <w:color w:val="auto"/>
              </w:rPr>
            </w:pPr>
            <w:r>
              <w:rPr>
                <w:rFonts w:ascii="Arial" w:cs="Arial" w:eastAsia="Arial" w:hAnsi="Arial"/>
                <w:sz w:val="13"/>
                <w:szCs w:val="13"/>
                <w:b w:val="1"/>
                <w:bCs w:val="1"/>
                <w:color w:val="auto"/>
              </w:rPr>
              <w:t>COMPOUND ID</w:t>
            </w: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SIGNALING/cAMP</w:t>
            </w:r>
          </w:p>
        </w:tc>
        <w:tc>
          <w:tcPr>
            <w:tcW w:w="1780" w:type="dxa"/>
            <w:vAlign w:val="bottom"/>
          </w:tcPr>
          <w:p>
            <w:pPr>
              <w:ind w:left="80"/>
              <w:spacing w:after="0"/>
              <w:rPr>
                <w:sz w:val="20"/>
                <w:szCs w:val="20"/>
                <w:color w:val="auto"/>
              </w:rPr>
            </w:pPr>
            <w:r>
              <w:rPr>
                <w:rFonts w:ascii="Arial" w:cs="Arial" w:eastAsia="Arial" w:hAnsi="Arial"/>
                <w:sz w:val="13"/>
                <w:szCs w:val="13"/>
                <w:b w:val="1"/>
                <w:bCs w:val="1"/>
                <w:color w:val="auto"/>
              </w:rPr>
              <w:t>INTERNALIZATION/cAMP</w:t>
            </w:r>
          </w:p>
        </w:tc>
      </w:tr>
      <w:tr>
        <w:trPr>
          <w:trHeight w:val="182"/>
        </w:trPr>
        <w:tc>
          <w:tcPr>
            <w:tcW w:w="54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Apelin Peptide</w:t>
            </w:r>
          </w:p>
        </w:tc>
        <w:tc>
          <w:tcPr>
            <w:tcW w:w="2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7"/>
                <w:szCs w:val="17"/>
                <w:color w:val="auto"/>
              </w:rPr>
              <w:t>1.33</w:t>
            </w:r>
          </w:p>
        </w:tc>
        <w:tc>
          <w:tcPr>
            <w:tcW w:w="2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7"/>
                <w:szCs w:val="17"/>
                <w:color w:val="auto"/>
                <w:w w:val="96"/>
              </w:rPr>
              <w:t>1.47</w:t>
            </w:r>
          </w:p>
        </w:tc>
      </w:tr>
      <w:tr>
        <w:trPr>
          <w:trHeight w:val="189"/>
        </w:trPr>
        <w:tc>
          <w:tcPr>
            <w:tcW w:w="5660" w:type="dxa"/>
            <w:vAlign w:val="bottom"/>
            <w:gridSpan w:val="2"/>
          </w:tcPr>
          <w:p>
            <w:pPr>
              <w:spacing w:after="0" w:line="189" w:lineRule="exact"/>
              <w:rPr>
                <w:sz w:val="20"/>
                <w:szCs w:val="20"/>
                <w:color w:val="auto"/>
              </w:rPr>
            </w:pPr>
            <w:r>
              <w:rPr>
                <w:rFonts w:ascii="Arial" w:cs="Arial" w:eastAsia="Arial" w:hAnsi="Arial"/>
                <w:sz w:val="17"/>
                <w:szCs w:val="17"/>
                <w:color w:val="auto"/>
              </w:rPr>
              <w:t>AMG-986</w:t>
            </w:r>
          </w:p>
        </w:tc>
        <w:tc>
          <w:tcPr>
            <w:tcW w:w="1280" w:type="dxa"/>
            <w:vAlign w:val="bottom"/>
          </w:tcPr>
          <w:p>
            <w:pPr>
              <w:jc w:val="center"/>
              <w:spacing w:after="0" w:line="189" w:lineRule="exact"/>
              <w:rPr>
                <w:sz w:val="20"/>
                <w:szCs w:val="20"/>
                <w:color w:val="auto"/>
              </w:rPr>
            </w:pPr>
            <w:r>
              <w:rPr>
                <w:rFonts w:ascii="Arial" w:cs="Arial" w:eastAsia="Arial" w:hAnsi="Arial"/>
                <w:sz w:val="17"/>
                <w:szCs w:val="17"/>
                <w:color w:val="auto"/>
              </w:rPr>
              <w:t>0.86</w:t>
            </w:r>
          </w:p>
        </w:tc>
        <w:tc>
          <w:tcPr>
            <w:tcW w:w="20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Arial" w:cs="Arial" w:eastAsia="Arial" w:hAnsi="Arial"/>
                <w:sz w:val="17"/>
                <w:szCs w:val="17"/>
                <w:color w:val="auto"/>
                <w:w w:val="96"/>
              </w:rPr>
              <w:t>1.00</w:t>
            </w:r>
          </w:p>
        </w:tc>
      </w:tr>
      <w:tr>
        <w:trPr>
          <w:trHeight w:val="189"/>
        </w:trPr>
        <w:tc>
          <w:tcPr>
            <w:tcW w:w="56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BMS-986224</w:t>
            </w:r>
          </w:p>
        </w:tc>
        <w:tc>
          <w:tcPr>
            <w:tcW w:w="12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3.80</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6"/>
              </w:rPr>
              <w:t>3.80</w:t>
            </w:r>
          </w:p>
        </w:tc>
      </w:tr>
      <w:tr>
        <w:trPr>
          <w:trHeight w:val="189"/>
        </w:trPr>
        <w:tc>
          <w:tcPr>
            <w:tcW w:w="5660" w:type="dxa"/>
            <w:vAlign w:val="bottom"/>
            <w:gridSpan w:val="2"/>
          </w:tcPr>
          <w:p>
            <w:pPr>
              <w:spacing w:after="0" w:line="189" w:lineRule="exact"/>
              <w:rPr>
                <w:sz w:val="20"/>
                <w:szCs w:val="20"/>
                <w:color w:val="auto"/>
              </w:rPr>
            </w:pPr>
            <w:r>
              <w:rPr>
                <w:rFonts w:ascii="Arial" w:cs="Arial" w:eastAsia="Arial" w:hAnsi="Arial"/>
                <w:sz w:val="17"/>
                <w:szCs w:val="17"/>
                <w:color w:val="auto"/>
              </w:rPr>
              <w:t>ANPA-0073</w:t>
            </w:r>
          </w:p>
        </w:tc>
        <w:tc>
          <w:tcPr>
            <w:tcW w:w="1280" w:type="dxa"/>
            <w:vAlign w:val="bottom"/>
          </w:tcPr>
          <w:p>
            <w:pPr>
              <w:jc w:val="center"/>
              <w:spacing w:after="0" w:line="189" w:lineRule="exact"/>
              <w:rPr>
                <w:sz w:val="20"/>
                <w:szCs w:val="20"/>
                <w:color w:val="auto"/>
              </w:rPr>
            </w:pPr>
            <w:r>
              <w:rPr>
                <w:rFonts w:ascii="Arial" w:cs="Arial" w:eastAsia="Arial" w:hAnsi="Arial"/>
                <w:sz w:val="17"/>
                <w:szCs w:val="17"/>
                <w:color w:val="auto"/>
                <w:w w:val="98"/>
              </w:rPr>
              <w:t>18.02</w:t>
            </w:r>
          </w:p>
        </w:tc>
        <w:tc>
          <w:tcPr>
            <w:tcW w:w="20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Arial" w:cs="Arial" w:eastAsia="Arial" w:hAnsi="Arial"/>
                <w:sz w:val="17"/>
                <w:szCs w:val="17"/>
                <w:color w:val="auto"/>
                <w:w w:val="98"/>
              </w:rPr>
              <w:t>3,074</w:t>
            </w:r>
          </w:p>
        </w:tc>
      </w:tr>
      <w:tr>
        <w:trPr>
          <w:trHeight w:val="189"/>
        </w:trPr>
        <w:tc>
          <w:tcPr>
            <w:tcW w:w="56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ANPA-137</w:t>
            </w:r>
          </w:p>
        </w:tc>
        <w:tc>
          <w:tcPr>
            <w:tcW w:w="1280" w:type="dxa"/>
            <w:vAlign w:val="bottom"/>
            <w:tcBorders>
              <w:bottom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28.20</w:t>
            </w:r>
          </w:p>
        </w:tc>
        <w:tc>
          <w:tcPr>
            <w:tcW w:w="200" w:type="dxa"/>
            <w:vAlign w:val="bottom"/>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3"/>
              </w:rPr>
              <w:t>1,411</w:t>
            </w:r>
          </w:p>
        </w:tc>
      </w:tr>
      <w:tr>
        <w:trPr>
          <w:trHeight w:val="182"/>
        </w:trPr>
        <w:tc>
          <w:tcPr>
            <w:tcW w:w="5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r>
    </w:tbl>
    <w:p>
      <w:pPr>
        <w:spacing w:after="0" w:line="37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ANPA-0073 Phase 1 Safety Data in Healthy Volunteers</w:t>
      </w:r>
    </w:p>
    <w:p>
      <w:pPr>
        <w:spacing w:after="0" w:line="194"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In September 2022, we completed a two-part, 96 subject, first-in-human Phase 1 SAD and MAD study for ANPA-0073 in 48 healthy adult volunteers between the ages of 18 and 55. The objective was to assess drug safety and PK. The first part of this study was a SAD study, involving eight cohorts of eight participants assigned to receive a single dose of ANPA-0073 or placebo in a 3:1 ratio. Doses from 2 mg to 600 mg across the eight cohorts were evaluated. The second part of the study was a MAD study, including four cohorts of eight subjects receiving sequential ascending doses of ANPA-0073 daily for seven days, increasing from 75 mg to 500 mg once daily.</w:t>
      </w:r>
    </w:p>
    <w:p>
      <w:pPr>
        <w:spacing w:after="0" w:line="170" w:lineRule="exact"/>
        <w:rPr>
          <w:sz w:val="20"/>
          <w:szCs w:val="20"/>
          <w:color w:val="auto"/>
        </w:rPr>
      </w:pPr>
    </w:p>
    <w:p>
      <w:pPr>
        <w:ind w:left="40" w:right="459"/>
        <w:spacing w:after="0" w:line="265" w:lineRule="auto"/>
        <w:rPr>
          <w:sz w:val="20"/>
          <w:szCs w:val="20"/>
          <w:color w:val="auto"/>
        </w:rPr>
      </w:pPr>
      <w:r>
        <w:rPr>
          <w:rFonts w:ascii="Arial" w:cs="Arial" w:eastAsia="Arial" w:hAnsi="Arial"/>
          <w:sz w:val="17"/>
          <w:szCs w:val="17"/>
          <w:color w:val="auto"/>
        </w:rPr>
        <w:t>ANPA-0073 was generally well tolerated at all dose levels administrated in the SAD and MAD parts of this Phase 1 study.</w:t>
      </w:r>
    </w:p>
    <w:p>
      <w:pPr>
        <w:spacing w:after="0" w:line="149" w:lineRule="exact"/>
        <w:rPr>
          <w:sz w:val="20"/>
          <w:szCs w:val="20"/>
          <w:color w:val="auto"/>
        </w:rPr>
      </w:pPr>
    </w:p>
    <w:p>
      <w:pPr>
        <w:ind w:left="40" w:right="419"/>
        <w:spacing w:after="0" w:line="265" w:lineRule="auto"/>
        <w:rPr>
          <w:sz w:val="20"/>
          <w:szCs w:val="20"/>
          <w:color w:val="auto"/>
        </w:rPr>
      </w:pPr>
      <w:r>
        <w:rPr>
          <w:rFonts w:ascii="Arial" w:cs="Arial" w:eastAsia="Arial" w:hAnsi="Arial"/>
          <w:sz w:val="17"/>
          <w:szCs w:val="17"/>
          <w:color w:val="auto"/>
        </w:rPr>
        <w:t>In the study, PK parameters of systemic exposure, Cmax and AUC, increased with doses of ANPA-0073 across the dose range from 75 mg to 500 mg.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647700</wp:posOffset>
            </wp:positionV>
            <wp:extent cx="4704715" cy="1642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04715" cy="164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In the SAD cohorts, no SAEs and no adverse changes in laboratory tests were observed. Among the AEs reported, five were considered moderate TEAEs and the remaining were mild in severity. AEs did not result in any early terminations or subject discontinuations from participation in this study. No study stopping criteria were met and no significant changes or trends in hematology, blood chemistries, vital signs or electrocardiogram (“ECG”) measurements were noted. The following table shows all TEAEs that were reported: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ANPA-0073 Phase 1 SAD TEAEs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135255</wp:posOffset>
            </wp:positionV>
            <wp:extent cx="4576445" cy="1739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6445" cy="173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In the MAD portion of the Phase 1 study, no SAEs and no adverse changes in laboratory tests were observed. Among the AEs reported, twelve were considered moderate TEAEs and the remaining were mild in severity. AEs did not result in any early terminations or subject discontinuations from participation in this study. No study stopping criteria were met and no significant changes or trends in hematology, blood chemistries, vital signs or ECG measurements were noted. The following table shows all TEAEs that were reported: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ANPA-0073 Phase 1 MAD TEAEs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135255</wp:posOffset>
            </wp:positionV>
            <wp:extent cx="3806825" cy="146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0682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239"/>
        <w:spacing w:after="0" w:line="248" w:lineRule="auto"/>
        <w:rPr>
          <w:sz w:val="20"/>
          <w:szCs w:val="20"/>
          <w:color w:val="auto"/>
        </w:rPr>
      </w:pPr>
      <w:r>
        <w:rPr>
          <w:rFonts w:ascii="Arial" w:cs="Arial" w:eastAsia="Arial" w:hAnsi="Arial"/>
          <w:sz w:val="17"/>
          <w:szCs w:val="17"/>
          <w:color w:val="auto"/>
        </w:rPr>
        <w:t>We have initiated the 26-week chronic GLP-toxicology studies in rats and 39-week studies in dogs that we believe will be required by regulatory agencies to continue dosing beyond 13 weeks in Phase 2. We are also evaluating ANPA-0073 for selective or muscle-sparing weight loss.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LTSE-2578 – Oral Small Molecule LPA1R Antagonist for IPF</w:t>
      </w:r>
    </w:p>
    <w:p>
      <w:pPr>
        <w:spacing w:after="0" w:line="194" w:lineRule="exact"/>
        <w:rPr>
          <w:sz w:val="20"/>
          <w:szCs w:val="20"/>
          <w:color w:val="auto"/>
        </w:rPr>
      </w:pPr>
    </w:p>
    <w:p>
      <w:pPr>
        <w:ind w:left="40" w:right="339"/>
        <w:spacing w:after="0"/>
        <w:rPr>
          <w:sz w:val="20"/>
          <w:szCs w:val="20"/>
          <w:color w:val="auto"/>
        </w:rPr>
      </w:pPr>
      <w:r>
        <w:rPr>
          <w:rFonts w:ascii="Arial" w:cs="Arial" w:eastAsia="Arial" w:hAnsi="Arial"/>
          <w:sz w:val="17"/>
          <w:szCs w:val="17"/>
          <w:color w:val="auto"/>
        </w:rPr>
        <w:t>Additionally, we are developing an antagonist that targets lysophosphatidic acid 1 receptor (“LPA1R”), a GPCR implicated in responses to tissue injury and pro-fibrotic processes, for the treatment of IPF. We have demonstrated substantial anti-fibrotic activity of our LPA1R antagonists in mouse models of fibrotic lung disease and we selected a development candidate, LTSE-2578, in January 2023. In June 2024, we initiated our first-in-human Phase 1 study of LTSE-2578.</w:t>
      </w:r>
    </w:p>
    <w:p>
      <w:pPr>
        <w:spacing w:after="0" w:line="171" w:lineRule="exact"/>
        <w:rPr>
          <w:sz w:val="20"/>
          <w:szCs w:val="20"/>
          <w:color w:val="auto"/>
        </w:rPr>
      </w:pPr>
    </w:p>
    <w:p>
      <w:pPr>
        <w:ind w:left="40" w:right="159"/>
        <w:spacing w:after="0" w:line="239" w:lineRule="auto"/>
        <w:rPr>
          <w:sz w:val="20"/>
          <w:szCs w:val="20"/>
          <w:color w:val="auto"/>
        </w:rPr>
      </w:pPr>
      <w:r>
        <w:rPr>
          <w:rFonts w:ascii="Arial" w:cs="Arial" w:eastAsia="Arial" w:hAnsi="Arial"/>
          <w:sz w:val="17"/>
          <w:szCs w:val="17"/>
          <w:color w:val="auto"/>
        </w:rPr>
        <w:t>We believe LTSE-2578 is a differentiated molecule because it demonstrated potent in vitro and in vivo activity in preclinical IPF models and dose dependent inhibition of histamine release as the pharmacodynamic marker. We have completed IND-enabling studies including 28-day GLP-toxicology studies in dogs and rats. In June 2024, we initiated a Phase 1 clinical study of LTSE-2578. This randomized, double-blind, placebo-controlled first-in-human clinical study is designed to investigate the safety, tolerability and PK of single and multiple ascending doses of LTSE-2578 in approximately 64 healthy participants and expect to report initial data in 2025.</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IPF Disease Background</w:t>
      </w:r>
    </w:p>
    <w:p>
      <w:pPr>
        <w:spacing w:after="0" w:line="194" w:lineRule="exact"/>
        <w:rPr>
          <w:sz w:val="20"/>
          <w:szCs w:val="20"/>
          <w:color w:val="auto"/>
        </w:rPr>
      </w:pPr>
    </w:p>
    <w:p>
      <w:pPr>
        <w:ind w:left="40" w:right="299"/>
        <w:spacing w:after="0" w:line="239" w:lineRule="auto"/>
        <w:rPr>
          <w:sz w:val="20"/>
          <w:szCs w:val="20"/>
          <w:color w:val="auto"/>
        </w:rPr>
      </w:pPr>
      <w:r>
        <w:rPr>
          <w:rFonts w:ascii="Arial" w:cs="Arial" w:eastAsia="Arial" w:hAnsi="Arial"/>
          <w:sz w:val="17"/>
          <w:szCs w:val="17"/>
          <w:color w:val="auto"/>
        </w:rPr>
        <w:t>IPF is a life-threatening chronic interstitial lung disease characterized by progressive fibrosis of lung tissue leading to impaired blood oxygenation, progressive deterioration in lung function and ultimately respiratory failure. IPF occurs primarily among patients between the ages of 50 and 70 years and is associated with high mortality, with median survival time between three- and five-years following diagnosis. Estimated prevalence of IPF is 13 to 20 per 100,000 people worldwide. In the United States, approximately 100,000 people are affected, and 30,000 to 40,000 new cases are diagnosed each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Normal Lungs (A) and Lungs with IPF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135255</wp:posOffset>
            </wp:positionV>
            <wp:extent cx="3903345" cy="140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03345" cy="140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right="399"/>
        <w:spacing w:after="0"/>
        <w:rPr>
          <w:sz w:val="20"/>
          <w:szCs w:val="20"/>
          <w:color w:val="auto"/>
        </w:rPr>
      </w:pPr>
      <w:r>
        <w:rPr>
          <w:rFonts w:ascii="Arial" w:cs="Arial" w:eastAsia="Arial" w:hAnsi="Arial"/>
          <w:sz w:val="17"/>
          <w:szCs w:val="17"/>
          <w:color w:val="auto"/>
        </w:rPr>
        <w:t>The etiology of IPF remains unknown. IPF is a progressive disease, beginning with inflammation followed by fibrotic buildup as damaged epithelial cells surrounding the alveoli are replaced by fibroblasts, as shown above. Buildup of fibroblasts cause the lungs to thicken over time, becoming stiff and unable to properly function. In addition to complications from the disease itself, IPF can lead to other severe co-morbidities, including lung cancer, pulmonary embolisms, pneumonia or PH.</w:t>
      </w:r>
    </w:p>
    <w:p>
      <w:pPr>
        <w:spacing w:after="0" w:line="171"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The most common symptoms of IPF are shortness of breath, persistent cough, fatigue and weight loss, severely impacting quality of life. Given the non-specific nature of these symptoms, IPF is challenging to diagnose, particularly in the early stages of disease.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Current Treatments for IPF and Unmet Medical Need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Currently, there are two FDA-approved drugs for the treatment of IPF, Esbriet (pirfenidone) and Ofev (nintedanib).</w:t>
      </w:r>
    </w:p>
    <w:p>
      <w:pPr>
        <w:spacing w:after="0" w:line="196"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Pirfenidone exhibits anti -fibrotic, anti-inflammatory and antioxidant properties through down-regulation of key pro-fibrotic growth factors including TGF-β, inhibition of inflammatory cytokines production and release and reduction of lipid peroxidation and oxidative stress. In Phase 3 studies, pirfenidone slowed disease progression and functional decline in patients with IPF and showed a reduced risk of mortality. Common adverse effects of pirfenidone include gastrointestinal intolerance such as nausea, diarrhea and dyspepsia and skin reactions, including rash and photosensitivity.</w:t>
      </w:r>
    </w:p>
    <w:p>
      <w:pPr>
        <w:spacing w:after="0" w:line="170"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Nintedanib is an intracellular inhibitor that targets multiple tyrosine kinase growth factor receptors (vascular endothelial growth factor receptors 1 3, fibroblast growth factor receptors 1 3 and platelet-derived growth factor receptors α and β). By inhibiting these receptors, nintedanib interferes with processes implicated in IPF pathogenesis, including proliferation and migration of lung fibroblasts and differentiation of fibroblasts to myofibroblasts. Nintedanib may also have a mortality benefit. Its most frequent side effects are diarrhea and nausea.</w:t>
      </w:r>
    </w:p>
    <w:p>
      <w:pPr>
        <w:spacing w:after="0" w:line="171" w:lineRule="exact"/>
        <w:rPr>
          <w:sz w:val="20"/>
          <w:szCs w:val="20"/>
          <w:color w:val="auto"/>
        </w:rPr>
      </w:pPr>
    </w:p>
    <w:p>
      <w:pPr>
        <w:ind w:left="40" w:right="279"/>
        <w:spacing w:after="0"/>
        <w:rPr>
          <w:sz w:val="20"/>
          <w:szCs w:val="20"/>
          <w:color w:val="auto"/>
        </w:rPr>
      </w:pPr>
      <w:r>
        <w:rPr>
          <w:rFonts w:ascii="Arial" w:cs="Arial" w:eastAsia="Arial" w:hAnsi="Arial"/>
          <w:sz w:val="17"/>
          <w:szCs w:val="17"/>
          <w:color w:val="auto"/>
        </w:rPr>
        <w:t>Both drugs are recommended by the most recent treatment guidelines from 2015. These therapeutics slow disease progression, but do not offer a cure. The two-year mortality rate is 36% and 39% after treatment of nintedanib and pirfenidone, respectively. Safety and tolerability concerns, which resulted in a 20% to 30% discontinuation rate due to side effects, limit therapeutic usage and there remains an unmet medical need for IPF patients. Despite these limitations, these two drugs have generated total sales of $3.6 billion in 2020.</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LPA1R Pathway and Target Biology</w:t>
      </w:r>
    </w:p>
    <w:p>
      <w:pPr>
        <w:spacing w:after="0" w:line="194" w:lineRule="exact"/>
        <w:rPr>
          <w:sz w:val="20"/>
          <w:szCs w:val="20"/>
          <w:color w:val="auto"/>
        </w:rPr>
      </w:pPr>
    </w:p>
    <w:p>
      <w:pPr>
        <w:ind w:left="40" w:right="379"/>
        <w:spacing w:after="0" w:line="248" w:lineRule="auto"/>
        <w:rPr>
          <w:sz w:val="20"/>
          <w:szCs w:val="20"/>
          <w:color w:val="auto"/>
        </w:rPr>
      </w:pPr>
      <w:r>
        <w:rPr>
          <w:rFonts w:ascii="Arial" w:cs="Arial" w:eastAsia="Arial" w:hAnsi="Arial"/>
          <w:sz w:val="17"/>
          <w:szCs w:val="17"/>
          <w:color w:val="auto"/>
        </w:rPr>
        <w:t>Lysophosphatidic acid (“LPA”) is a bioactive lipid that exerts potent extracellular signaling through its interaction with several GPCRs, mediating important cellular responses, such as proliferation, migration and cytoskeletal reorganization.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LPA/LPA1R in IPF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135255</wp:posOffset>
            </wp:positionV>
            <wp:extent cx="2925445" cy="2404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25445" cy="2404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319"/>
        <w:spacing w:after="0" w:line="243" w:lineRule="auto"/>
        <w:rPr>
          <w:sz w:val="20"/>
          <w:szCs w:val="20"/>
          <w:color w:val="auto"/>
        </w:rPr>
      </w:pPr>
      <w:r>
        <w:rPr>
          <w:rFonts w:ascii="Arial" w:cs="Arial" w:eastAsia="Arial" w:hAnsi="Arial"/>
          <w:sz w:val="17"/>
          <w:szCs w:val="17"/>
          <w:color w:val="auto"/>
        </w:rPr>
        <w:t>As shown above, upon injury to certain cells in the lung, LPA levels increase and activate LPA1R. In published third-party preclinical studies, LPA1R activation promoted pro-fibrotic processes, including accumulation of fibroblasts; genetic or PD inhibition of LPA1R attenuated bleomycin induced lung fibrosis by mediating fibroblast recruitment and vascular leak.</w:t>
      </w:r>
    </w:p>
    <w:p>
      <w:pPr>
        <w:spacing w:after="0" w:line="168"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We believe that LPA1R has been clinically validated as a potential target based on proof-of-concept data from a third party, randomized, double blind, placebo-controlled Phase 2 study of an LPA1R antagonist (BMS 986020) in patients with IPF. Patients in the 600 mg BID cohort exhibited significantly slower rates of forced vital capacity decline from baseline to 26 weeks versus placebo. Although the compound was generally well tolerated, dose-related hepatobiliary toxicity in some patients led to early termination of the study. After conducting additional toxicology investigations, BMS reported that hepatobiliary toxicity was likely caused by inhibition of bile acids efflux transporters such as Bile Salt Export Pump (“BSEP”). Second generation LPA1R antagonists (BMS 986278) with minimal BSEP inhibition by BMS are currently in clinical development.</w:t>
      </w:r>
    </w:p>
    <w:p>
      <w:pPr>
        <w:spacing w:after="0" w:line="172"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We believe that LPA1R can also be used to treat progressive pulmonary fibrosis (“PPF”), which is defined as the presence of at least two of the three criteria, which are worsening respiratory symptoms, functional decline and radiological progression in patients with interstitial lung disease with radiological pulmonary fibrosis for known or unknown reasons other than IPF, within the previous year. A conditional recommendation has been made for nintedanib in the treatment of PPF, and further studies are needed for pirfenidone.</w:t>
      </w:r>
    </w:p>
    <w:p>
      <w:pPr>
        <w:spacing w:after="0" w:line="171" w:lineRule="exact"/>
        <w:rPr>
          <w:sz w:val="20"/>
          <w:szCs w:val="20"/>
          <w:color w:val="auto"/>
        </w:rPr>
      </w:pPr>
    </w:p>
    <w:p>
      <w:pPr>
        <w:ind w:left="40" w:right="379"/>
        <w:spacing w:after="0" w:line="243" w:lineRule="auto"/>
        <w:rPr>
          <w:sz w:val="20"/>
          <w:szCs w:val="20"/>
          <w:color w:val="auto"/>
        </w:rPr>
      </w:pPr>
      <w:r>
        <w:rPr>
          <w:rFonts w:ascii="Arial" w:cs="Arial" w:eastAsia="Arial" w:hAnsi="Arial"/>
          <w:sz w:val="17"/>
          <w:szCs w:val="17"/>
          <w:color w:val="auto"/>
        </w:rPr>
        <w:t>As illustrated below, we utilized the available protein structural information to collaborate with Schrödinger. After validation and customization with an initial set of compounds for retrospective analysis, Schrödinger’s Free Energy Perturbation (“FEP”) was utilized and suggested potency in the prospective analysis. This customized model greatly expedited the iterative lead optimization process and helped us to achieve candidate selection efficiently.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Iterative LPA1R Structure-based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135255</wp:posOffset>
            </wp:positionV>
            <wp:extent cx="3005455" cy="2003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5455" cy="200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LTSE-2578 Preclinical Data</w:t>
      </w:r>
    </w:p>
    <w:p>
      <w:pPr>
        <w:spacing w:after="0" w:line="194" w:lineRule="exact"/>
        <w:rPr>
          <w:sz w:val="20"/>
          <w:szCs w:val="20"/>
          <w:color w:val="auto"/>
        </w:rPr>
      </w:pPr>
    </w:p>
    <w:p>
      <w:pPr>
        <w:ind w:left="40" w:right="239"/>
        <w:spacing w:after="0"/>
        <w:rPr>
          <w:sz w:val="20"/>
          <w:szCs w:val="20"/>
          <w:color w:val="auto"/>
        </w:rPr>
      </w:pPr>
      <w:r>
        <w:rPr>
          <w:rFonts w:ascii="Arial" w:cs="Arial" w:eastAsia="Arial" w:hAnsi="Arial"/>
          <w:sz w:val="17"/>
          <w:szCs w:val="17"/>
          <w:color w:val="auto"/>
        </w:rPr>
        <w:t>In an in vivo PK and PD study, mice were orally dosed with LTSE-2578 and challenged by LPA at one hour and at 12 hours after dosing. Plasma was collected at two minutes post-LPA challenge and histamine level was measured as a pharmacodynamics biomarker. As shown below, LTSE-2578 demonstrated reductions in histamine release at doses ≥ 0.06 mg/kg, as compared to approximately 45 ng/mL and approximately 201 ng/mL for BMS’s first generation (BMS 986020) and second generation (BMS 986278) LPA1R antagonists,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LTSE-2578 Demonstrated Dose Dependent Inhibition of Histamine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135255</wp:posOffset>
            </wp:positionV>
            <wp:extent cx="2460625" cy="1827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60625" cy="182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right="839"/>
        <w:spacing w:after="0" w:line="265" w:lineRule="auto"/>
        <w:rPr>
          <w:sz w:val="20"/>
          <w:szCs w:val="20"/>
          <w:color w:val="auto"/>
        </w:rPr>
      </w:pPr>
      <w:r>
        <w:rPr>
          <w:rFonts w:ascii="Arial" w:cs="Arial" w:eastAsia="Arial" w:hAnsi="Arial"/>
          <w:sz w:val="17"/>
          <w:szCs w:val="17"/>
          <w:color w:val="auto"/>
        </w:rPr>
        <w:t>LTSE-2578 showed limited inhibition (IC50 &gt; 50 μ M) of efflux transporters including BSEP, MRP3 and MRP4, potentially reducing the likelihood of hepatobiliary toxicity caused by efflux transporter inhibition.</w:t>
      </w:r>
    </w:p>
    <w:p>
      <w:pPr>
        <w:spacing w:after="0" w:line="149" w:lineRule="exact"/>
        <w:rPr>
          <w:sz w:val="20"/>
          <w:szCs w:val="20"/>
          <w:color w:val="auto"/>
        </w:rPr>
      </w:pPr>
    </w:p>
    <w:p>
      <w:pPr>
        <w:ind w:left="40" w:right="159"/>
        <w:spacing w:after="0" w:line="265" w:lineRule="auto"/>
        <w:rPr>
          <w:sz w:val="20"/>
          <w:szCs w:val="20"/>
          <w:color w:val="auto"/>
        </w:rPr>
      </w:pPr>
      <w:r>
        <w:rPr>
          <w:rFonts w:ascii="Arial" w:cs="Arial" w:eastAsia="Arial" w:hAnsi="Arial"/>
          <w:sz w:val="17"/>
          <w:szCs w:val="17"/>
          <w:color w:val="auto"/>
        </w:rPr>
        <w:t>One month GLP toxicity studies of LTSE-2578 in rats and dogs have been completed to enable the upcoming first time in human study.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GPCRs as a Therapeutic Target Family</w:t>
      </w:r>
    </w:p>
    <w:p>
      <w:pPr>
        <w:spacing w:after="0" w:line="196" w:lineRule="exact"/>
        <w:rPr>
          <w:sz w:val="20"/>
          <w:szCs w:val="20"/>
          <w:color w:val="auto"/>
        </w:rPr>
      </w:pPr>
    </w:p>
    <w:p>
      <w:pPr>
        <w:ind w:left="40" w:right="239"/>
        <w:spacing w:after="0" w:line="238" w:lineRule="auto"/>
        <w:rPr>
          <w:sz w:val="20"/>
          <w:szCs w:val="20"/>
          <w:color w:val="auto"/>
        </w:rPr>
      </w:pPr>
      <w:r>
        <w:rPr>
          <w:rFonts w:ascii="Arial" w:cs="Arial" w:eastAsia="Arial" w:hAnsi="Arial"/>
          <w:sz w:val="17"/>
          <w:szCs w:val="17"/>
          <w:color w:val="auto"/>
        </w:rPr>
        <w:t>GPCRs form the largest human membrane protein family, consisting of approximately 800 identified members as illustrated below. GPCRs are involved in several vital physiological functions, such as immune system regulation and inflammation, autonomic nervous system transmission, behavioral and mood regulation, sensory transmission and maintenance of homeostasis. Therefore, they are important targets for numerous therapeutics with approximately 475 drugs on the market to date acting at over 100 unique GPCRs. Importantly, more than 220 GPCRs have not yet been explored as clinical targets, hence representing a broad and untapped therapeutic potential for addressing global healthcare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Phylogenetic Tree of GPCR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135255</wp:posOffset>
            </wp:positionV>
            <wp:extent cx="2925445" cy="2941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2544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right="139"/>
        <w:spacing w:after="0" w:line="239" w:lineRule="auto"/>
        <w:rPr>
          <w:sz w:val="20"/>
          <w:szCs w:val="20"/>
          <w:color w:val="auto"/>
        </w:rPr>
      </w:pPr>
      <w:r>
        <w:rPr>
          <w:rFonts w:ascii="Arial" w:cs="Arial" w:eastAsia="Arial" w:hAnsi="Arial"/>
          <w:sz w:val="17"/>
          <w:szCs w:val="17"/>
          <w:color w:val="auto"/>
        </w:rPr>
        <w:t>GPCR targeting drugs have successfully delivered significant patient benefit resulting in large market opportunities in many therapeutic areas. Examples include liraglutide (Victoza for T2DM), aripiprazole (Abilify for schizophrenia, bipolar disorder and depression), montelukast (Singulair for asthma), valsartan (Diovan for hypertension), metoprolol (Lopressor for hypertension, angina and myocardial infarction) and clopidogrel (Plavix for myocardial infarction and stroke). GPCR related drugs are the largest drug class accounting for approximately 27% of global pharmaceutical sales with estimated aggregate sales of $890 billion between 2011 and 2015.</w:t>
      </w:r>
    </w:p>
    <w:p>
      <w:pPr>
        <w:spacing w:after="0" w:line="170" w:lineRule="exact"/>
        <w:rPr>
          <w:sz w:val="20"/>
          <w:szCs w:val="20"/>
          <w:color w:val="auto"/>
        </w:rPr>
      </w:pPr>
    </w:p>
    <w:p>
      <w:pPr>
        <w:ind w:left="40" w:right="319"/>
        <w:spacing w:after="0" w:line="265" w:lineRule="auto"/>
        <w:rPr>
          <w:sz w:val="20"/>
          <w:szCs w:val="20"/>
          <w:color w:val="auto"/>
        </w:rPr>
      </w:pPr>
      <w:r>
        <w:rPr>
          <w:rFonts w:ascii="Arial" w:cs="Arial" w:eastAsia="Arial" w:hAnsi="Arial"/>
          <w:sz w:val="17"/>
          <w:szCs w:val="17"/>
          <w:color w:val="auto"/>
        </w:rPr>
        <w:t>GPCRs are proteins that span the entire width of cell membranes. Their primary function is to recognize extracellular substances, primarily ligands, and transmit signals across the cell membrane to the inside of the cell.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Schematic of a GPCR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135255</wp:posOffset>
            </wp:positionV>
            <wp:extent cx="1947545" cy="2524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47545" cy="2524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right="219"/>
        <w:spacing w:after="0" w:line="243" w:lineRule="auto"/>
        <w:rPr>
          <w:sz w:val="20"/>
          <w:szCs w:val="20"/>
          <w:color w:val="auto"/>
        </w:rPr>
      </w:pPr>
      <w:r>
        <w:rPr>
          <w:rFonts w:ascii="Arial" w:cs="Arial" w:eastAsia="Arial" w:hAnsi="Arial"/>
          <w:sz w:val="17"/>
          <w:szCs w:val="17"/>
          <w:color w:val="auto"/>
        </w:rPr>
        <w:t>As shown above, the binding of extracellular ligands to GPCRs elicits conformational changes that impact the intracellular side of the receptor, resulting in the formation of a GPCR complex with signal transducers, particularly G-proteins. These signal transducers go on to interact with second messengers, ultimately either stimulating or inhibiting certain cellular processes.</w:t>
      </w:r>
    </w:p>
    <w:p>
      <w:pPr>
        <w:spacing w:after="0" w:line="168"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GPCRs signal not only through G-proteins, but also through β-arrestins and other non-G-protein transducers. Β-arrestins play an essential role in many physiological and pathological processes, and they are involved in the desensitization, internalization, sequestration and trafficking of GPCRs. Certain GPCR ligands are capable of simultaneously activating both G-protein and non-G-protein mediated signaling pathways, which can lead to a variety of physiologic as well as pathologic effects.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Challenges of GPCR Therapeutic Discovery and Development</w:t>
      </w:r>
    </w:p>
    <w:p>
      <w:pPr>
        <w:spacing w:after="0" w:line="194" w:lineRule="exact"/>
        <w:rPr>
          <w:sz w:val="20"/>
          <w:szCs w:val="20"/>
          <w:color w:val="auto"/>
        </w:rPr>
      </w:pPr>
    </w:p>
    <w:p>
      <w:pPr>
        <w:ind w:left="40" w:right="619"/>
        <w:spacing w:after="0" w:line="265" w:lineRule="auto"/>
        <w:rPr>
          <w:sz w:val="20"/>
          <w:szCs w:val="20"/>
          <w:color w:val="auto"/>
        </w:rPr>
      </w:pPr>
      <w:r>
        <w:rPr>
          <w:rFonts w:ascii="Arial" w:cs="Arial" w:eastAsia="Arial" w:hAnsi="Arial"/>
          <w:sz w:val="17"/>
          <w:szCs w:val="17"/>
          <w:color w:val="auto"/>
        </w:rPr>
        <w:t>Despite tremendous advancements in structure-based drug design and development, GPCR drug discovery and development remains challenging.</w:t>
      </w:r>
    </w:p>
    <w:p>
      <w:pPr>
        <w:spacing w:after="0" w:line="149" w:lineRule="exact"/>
        <w:rPr>
          <w:sz w:val="20"/>
          <w:szCs w:val="20"/>
          <w:color w:val="auto"/>
        </w:rPr>
      </w:pPr>
    </w:p>
    <w:p>
      <w:pPr>
        <w:ind w:left="980" w:right="139" w:hanging="304"/>
        <w:spacing w:after="0" w:line="236" w:lineRule="auto"/>
        <w:tabs>
          <w:tab w:leader="none" w:pos="9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Similarity between the binding sites of GPCRs and related receptors can cause off-target toxicities:</w:t>
      </w:r>
      <w:r>
        <w:rPr>
          <w:rFonts w:ascii="Arial" w:cs="Arial" w:eastAsia="Arial" w:hAnsi="Arial"/>
          <w:sz w:val="17"/>
          <w:szCs w:val="17"/>
          <w:color w:val="auto"/>
        </w:rPr>
        <w:t xml:space="preserve">  All GPCRs have the same overall three-dimensional architecture but the specific endogenous</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site is unique due to the placement of amino acid side chains shaping the binding site. For instance, the early sphingosine 1 phosphate 1 receptor (“S1P1R”) agonist Gilenya led to the development of a new class of therapy for the treatment of multiple sclerosis, but had exhibited bradycardia as a side effect due in part to sphingosine 1 phosphate 3 receptor (“S1P3R”) activity, a very closely related S1P1 receptor subtype. The next generation S1P1R agonist Zeposia was designed using structural information by Receptos, Inc. to remove the S1P3 and other activities and therefore did not have the same side effect profile as Gilenya.</w:t>
      </w:r>
    </w:p>
    <w:p>
      <w:pPr>
        <w:spacing w:after="0" w:line="175" w:lineRule="exact"/>
        <w:rPr>
          <w:rFonts w:ascii="Arial" w:cs="Arial" w:eastAsia="Arial" w:hAnsi="Arial"/>
          <w:sz w:val="17"/>
          <w:szCs w:val="17"/>
          <w:b w:val="1"/>
          <w:bCs w:val="1"/>
          <w:color w:val="auto"/>
        </w:rPr>
      </w:pPr>
    </w:p>
    <w:p>
      <w:pPr>
        <w:ind w:left="980" w:hanging="304"/>
        <w:spacing w:after="0"/>
        <w:tabs>
          <w:tab w:leader="none" w:pos="9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GPCRs are involved in diverse downstream signaling pathways which can result in side effects:</w:t>
      </w:r>
      <w:r>
        <w:rPr>
          <w:rFonts w:ascii="Arial" w:cs="Arial" w:eastAsia="Arial" w:hAnsi="Arial"/>
          <w:sz w:val="17"/>
          <w:szCs w:val="17"/>
          <w:color w:val="auto"/>
        </w:rPr>
        <w:t xml:space="preserve"> </w:t>
      </w:r>
    </w:p>
    <w:p>
      <w:pPr>
        <w:spacing w:after="0" w:line="9" w:lineRule="exact"/>
        <w:rPr>
          <w:rFonts w:ascii="Arial" w:cs="Arial" w:eastAsia="Arial" w:hAnsi="Arial"/>
          <w:sz w:val="17"/>
          <w:szCs w:val="17"/>
          <w:b w:val="1"/>
          <w:bCs w:val="1"/>
          <w:color w:val="auto"/>
        </w:rPr>
      </w:pPr>
    </w:p>
    <w:p>
      <w:pPr>
        <w:ind w:left="980" w:right="159"/>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GPCRs interact with a range of molecules, including G-protein and non-G-protein transducers including β-arrestin. Signaling pathway selectivity results from agonist-induced specific receptor conformation and when targeting GPCRs involved in multiple signaling pathways, both therapeutic benefits and side effect issues may arise.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179" w:hanging="304"/>
        <w:spacing w:after="0"/>
        <w:tabs>
          <w:tab w:leader="none" w:pos="9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Expression levels of GPCRs are low and create significant hurdles to structural and PD characterization: </w:t>
      </w:r>
      <w:r>
        <w:rPr>
          <w:rFonts w:ascii="Arial" w:cs="Arial" w:eastAsia="Arial" w:hAnsi="Arial"/>
          <w:sz w:val="17"/>
          <w:szCs w:val="17"/>
          <w:color w:val="auto"/>
        </w:rPr>
        <w:t>Recombinant protein expression of GPCRs remains extremely challenging. Expression</w:t>
      </w:r>
      <w:r>
        <w:rPr>
          <w:rFonts w:ascii="Arial" w:cs="Arial" w:eastAsia="Arial" w:hAnsi="Arial"/>
          <w:sz w:val="17"/>
          <w:szCs w:val="17"/>
          <w:b w:val="1"/>
          <w:bCs w:val="1"/>
          <w:color w:val="auto"/>
        </w:rPr>
        <w:t xml:space="preserve"> </w:t>
      </w:r>
      <w:r>
        <w:rPr>
          <w:rFonts w:ascii="Arial" w:cs="Arial" w:eastAsia="Arial" w:hAnsi="Arial"/>
          <w:sz w:val="17"/>
          <w:szCs w:val="17"/>
          <w:color w:val="auto"/>
        </w:rPr>
        <w:t>levels of GPCRs are low and improvement of expression level continues to be mainly empirical and resource-consuming. GPCRs are complex membrane proteins that require a stable membrane environment throughout the purification process to avoid destabilization and aggregation.</w:t>
      </w:r>
    </w:p>
    <w:p>
      <w:pPr>
        <w:spacing w:after="0" w:line="171" w:lineRule="exact"/>
        <w:rPr>
          <w:rFonts w:ascii="Arial" w:cs="Arial" w:eastAsia="Arial" w:hAnsi="Arial"/>
          <w:sz w:val="17"/>
          <w:szCs w:val="17"/>
          <w:b w:val="1"/>
          <w:bCs w:val="1"/>
          <w:color w:val="auto"/>
        </w:rPr>
      </w:pPr>
    </w:p>
    <w:p>
      <w:pPr>
        <w:ind w:left="980" w:right="259" w:hanging="304"/>
        <w:spacing w:after="0"/>
        <w:tabs>
          <w:tab w:leader="none" w:pos="9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GPCR structural visualization is complex making GPCR structure-based drug discovery challenging:</w:t>
      </w:r>
      <w:r>
        <w:rPr>
          <w:rFonts w:ascii="Arial" w:cs="Arial" w:eastAsia="Arial" w:hAnsi="Arial"/>
          <w:sz w:val="17"/>
          <w:szCs w:val="17"/>
          <w:color w:val="auto"/>
        </w:rPr>
        <w:t xml:space="preserve">  Structure-based drug design requires rapid iterations of GPCR structures in complex with</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new ligands to determine their effects on conformation. This is well established through robust crystallography platforms for soluble drug targets. Cryo-EM has helped accelerate the membrane protein field, but the methods still require substantial expertise and execution.</w:t>
      </w:r>
    </w:p>
    <w:p>
      <w:pPr>
        <w:spacing w:after="0" w:line="171" w:lineRule="exact"/>
        <w:rPr>
          <w:sz w:val="20"/>
          <w:szCs w:val="20"/>
          <w:color w:val="auto"/>
        </w:rPr>
      </w:pPr>
    </w:p>
    <w:p>
      <w:pPr>
        <w:ind w:left="40" w:right="159"/>
        <w:spacing w:after="0" w:line="248" w:lineRule="auto"/>
        <w:rPr>
          <w:sz w:val="20"/>
          <w:szCs w:val="20"/>
          <w:color w:val="auto"/>
        </w:rPr>
      </w:pPr>
      <w:r>
        <w:rPr>
          <w:rFonts w:ascii="Arial" w:cs="Arial" w:eastAsia="Arial" w:hAnsi="Arial"/>
          <w:sz w:val="17"/>
          <w:szCs w:val="17"/>
          <w:color w:val="auto"/>
        </w:rPr>
        <w:t>Drug discovery approaches targeting GPCRs have evolved from traditional approaches including high throughput screening to rational design for enhanced activity, tailor-made signaling response and improved selectivity, which leads to improved safety and tolerability profiles.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Our Structure-Based Drug Discovery Technology Platform</w:t>
      </w:r>
    </w:p>
    <w:p>
      <w:pPr>
        <w:spacing w:after="0" w:line="196"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Our platform is based on techniques that our founders have been evolving for over 25 years, which have enabled them to deliver multiple marketed medicines. Our approach enables us to generate small molecule product candidates that are designed to overcome the historical limitations of GPCR drug development.</w:t>
      </w:r>
    </w:p>
    <w:p>
      <w:pPr>
        <w:spacing w:after="0" w:line="164"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Our insights and capabilities enable us to visualize the three-dimensional protein structures of the target and the ligands. We believe this visualization combined with the computational chemistry capabilities of Schrödinger gives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spacing w:after="0" w:line="171" w:lineRule="exact"/>
        <w:rPr>
          <w:sz w:val="20"/>
          <w:szCs w:val="20"/>
          <w:color w:val="auto"/>
        </w:rPr>
      </w:pPr>
    </w:p>
    <w:p>
      <w:pPr>
        <w:ind w:left="40" w:right="659"/>
        <w:spacing w:after="0" w:line="265" w:lineRule="auto"/>
        <w:rPr>
          <w:sz w:val="20"/>
          <w:szCs w:val="20"/>
          <w:color w:val="auto"/>
        </w:rPr>
      </w:pPr>
      <w:r>
        <w:rPr>
          <w:rFonts w:ascii="Arial" w:cs="Arial" w:eastAsia="Arial" w:hAnsi="Arial"/>
          <w:sz w:val="17"/>
          <w:szCs w:val="17"/>
          <w:color w:val="auto"/>
        </w:rPr>
        <w:t>As shown below, our technology platform allows us to determine feasibility, optimize the design of and efficiently generate families of potent and highly selective small molecule candidates.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Structure Therapeutics Integrated Technology Platform from Target to 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135255</wp:posOffset>
            </wp:positionV>
            <wp:extent cx="4672965" cy="2468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7296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right="239"/>
        <w:spacing w:after="0" w:line="253" w:lineRule="auto"/>
        <w:rPr>
          <w:sz w:val="20"/>
          <w:szCs w:val="20"/>
          <w:color w:val="auto"/>
        </w:rPr>
      </w:pPr>
      <w:r>
        <w:rPr>
          <w:rFonts w:ascii="Arial" w:cs="Arial" w:eastAsia="Arial" w:hAnsi="Arial"/>
          <w:sz w:val="16"/>
          <w:szCs w:val="16"/>
          <w:color w:val="auto"/>
        </w:rPr>
        <w:t>Oral small molecules have the potential to address the key limitations of biologic and peptide drugs, such as high cost and patient inconvenience, thereby significantly improving patient access. We believe this is particularly important for the most prevalent chronic diseases including those involving the endocrine, cardiovascular and pulmonary systems.</w:t>
      </w:r>
    </w:p>
    <w:p>
      <w:pPr>
        <w:spacing w:after="0" w:line="2" w:lineRule="exact"/>
        <w:rPr>
          <w:sz w:val="20"/>
          <w:szCs w:val="20"/>
          <w:color w:val="auto"/>
        </w:rPr>
      </w:pPr>
    </w:p>
    <w:p>
      <w:pPr>
        <w:ind w:left="40" w:right="119"/>
        <w:spacing w:after="0" w:line="245" w:lineRule="auto"/>
        <w:rPr>
          <w:sz w:val="20"/>
          <w:szCs w:val="20"/>
          <w:color w:val="auto"/>
        </w:rPr>
      </w:pPr>
      <w:r>
        <w:rPr>
          <w:rFonts w:ascii="Arial" w:cs="Arial" w:eastAsia="Arial" w:hAnsi="Arial"/>
          <w:sz w:val="17"/>
          <w:szCs w:val="17"/>
          <w:color w:val="auto"/>
        </w:rPr>
        <w:t>We believe the strengths of our technology platform will enable us to develop oral small molecule drugs that can deliver biologic-like activity and specificity.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GPCR Target Prioritization</w:t>
      </w:r>
    </w:p>
    <w:p>
      <w:pPr>
        <w:spacing w:after="0" w:line="194" w:lineRule="exact"/>
        <w:rPr>
          <w:sz w:val="20"/>
          <w:szCs w:val="20"/>
          <w:color w:val="auto"/>
        </w:rPr>
      </w:pPr>
    </w:p>
    <w:p>
      <w:pPr>
        <w:ind w:left="40" w:right="479"/>
        <w:spacing w:after="0" w:line="248" w:lineRule="auto"/>
        <w:rPr>
          <w:sz w:val="20"/>
          <w:szCs w:val="20"/>
          <w:color w:val="auto"/>
        </w:rPr>
      </w:pPr>
      <w:r>
        <w:rPr>
          <w:rFonts w:ascii="Arial" w:cs="Arial" w:eastAsia="Arial" w:hAnsi="Arial"/>
          <w:sz w:val="17"/>
          <w:szCs w:val="17"/>
          <w:color w:val="auto"/>
        </w:rPr>
        <w:t>We start with target prioritization by focusing on validated GPCR targets that do not have attractive small molecule solutions. We then prioritize by assessing the feasibility of a small molecule solution for these targets and market opportunities of their respective target indication.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Expertise in GPCR Structure-Based Drug Discovery</w:t>
      </w:r>
    </w:p>
    <w:p>
      <w:pPr>
        <w:spacing w:after="0" w:line="194" w:lineRule="exact"/>
        <w:rPr>
          <w:sz w:val="20"/>
          <w:szCs w:val="20"/>
          <w:color w:val="auto"/>
        </w:rPr>
      </w:pPr>
    </w:p>
    <w:p>
      <w:pPr>
        <w:ind w:left="40" w:right="279"/>
        <w:spacing w:after="0"/>
        <w:rPr>
          <w:sz w:val="20"/>
          <w:szCs w:val="20"/>
          <w:color w:val="auto"/>
        </w:rPr>
      </w:pPr>
      <w:r>
        <w:rPr>
          <w:rFonts w:ascii="Arial" w:cs="Arial" w:eastAsia="Arial" w:hAnsi="Arial"/>
          <w:sz w:val="17"/>
          <w:szCs w:val="17"/>
          <w:color w:val="auto"/>
        </w:rPr>
        <w:t>GPCRs are difficult to characterize structurally because they are composed of seven transmembrane domains, have low expression and are unstable outside of the cell membrane environment. While structure-based approaches have been utilized for decades in soluble protein drug discovery, recent breakthrough advancements in computational chemistry, artificial intelligence, machine learning and electron microscopy are redefining the field of GPCR structure-based drug discovery.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Visualization of GPCR Structure and Binding Site Interactions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135255</wp:posOffset>
            </wp:positionV>
            <wp:extent cx="3406140" cy="2516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6140" cy="251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As shown above, our structure-based technology platform combines direct visualization of protein receptor binding interactions with advanced simulation of molecular motion and signal transduction. Site 1 is considered to be the orthosteric or primary binding site for receptor activation. Site 2 is on the surface of the receptor, often referred to as the allosteric site and may potentially regulate receptor activation signaling. By visualizing and analyzing how different ligands bind to a particular target and specific sites and affect their conformational dynamics, we believe we are able to efficiently convert biologics and peptides into more accessible, patient-accommodating oral small molecules. In addition, we can enhance the pharmaceutic properties of our small molecules with the aim of eliciting the desired function while maintaining superior pharmaceutical properties.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Non-biased vs Biased GPCR Agonists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135255</wp:posOffset>
            </wp:positionV>
            <wp:extent cx="3903345" cy="1642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03345" cy="164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Additionally, GPCR signaling can follow several pathways and molecules can be designed such that their pharmacology is selected to create “biased signaling” as illustrated above. GPCRs are known to signal not only through G-proteins, but also through β-arrestins, intracellular proteins that “arrest” the signal and stop the receptor from becoming over-stimulated through a receptor internalization mechanism. Using the three-dimensional structures of GPCRs and selection methods, we can potentially design highly selective “biased”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19"/>
        <w:spacing w:after="0" w:line="265" w:lineRule="auto"/>
        <w:rPr>
          <w:sz w:val="20"/>
          <w:szCs w:val="20"/>
          <w:color w:val="auto"/>
        </w:rPr>
      </w:pPr>
      <w:r>
        <w:rPr>
          <w:rFonts w:ascii="Arial" w:cs="Arial" w:eastAsia="Arial" w:hAnsi="Arial"/>
          <w:sz w:val="17"/>
          <w:szCs w:val="17"/>
          <w:color w:val="auto"/>
        </w:rPr>
        <w:t>molecules that preferentially activate G-protein and not β-arrestin pathways, which could lead to enhanced clinical activity as well as an improved safety profile due to lower dosage requirements.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Robust and Integrated Medicinal Chemistry to Generate and Optimize Hits on GPCR Targets</w:t>
      </w:r>
    </w:p>
    <w:p>
      <w:pPr>
        <w:spacing w:after="0" w:line="194" w:lineRule="exact"/>
        <w:rPr>
          <w:sz w:val="20"/>
          <w:szCs w:val="20"/>
          <w:color w:val="auto"/>
        </w:rPr>
      </w:pPr>
    </w:p>
    <w:p>
      <w:pPr>
        <w:ind w:left="40" w:right="379"/>
        <w:spacing w:after="0" w:line="248" w:lineRule="auto"/>
        <w:rPr>
          <w:sz w:val="20"/>
          <w:szCs w:val="20"/>
          <w:color w:val="auto"/>
        </w:rPr>
      </w:pPr>
      <w:r>
        <w:rPr>
          <w:rFonts w:ascii="Arial" w:cs="Arial" w:eastAsia="Arial" w:hAnsi="Arial"/>
          <w:sz w:val="17"/>
          <w:szCs w:val="17"/>
          <w:color w:val="auto"/>
        </w:rPr>
        <w:t>We have extensive medicinal chemistry know-how on the discovery and development of novel molecules that target GPCRs. When coupled with our deep understanding of GPCR biology, we have the potential to design appropriate chemotypes for each GPCR function as illustrated below.</w:t>
      </w:r>
    </w:p>
    <w:p>
      <w:pPr>
        <w:spacing w:after="0" w:line="164" w:lineRule="exact"/>
        <w:rPr>
          <w:sz w:val="20"/>
          <w:szCs w:val="20"/>
          <w:color w:val="auto"/>
        </w:rPr>
      </w:pPr>
    </w:p>
    <w:p>
      <w:pPr>
        <w:jc w:val="center"/>
        <w:ind w:left="40" w:right="59"/>
        <w:spacing w:after="0" w:line="275" w:lineRule="auto"/>
        <w:rPr>
          <w:sz w:val="20"/>
          <w:szCs w:val="20"/>
          <w:color w:val="auto"/>
        </w:rPr>
      </w:pPr>
      <w:r>
        <w:rPr>
          <w:rFonts w:ascii="Arial" w:cs="Arial" w:eastAsia="Arial" w:hAnsi="Arial"/>
          <w:sz w:val="17"/>
          <w:szCs w:val="17"/>
          <w:b w:val="1"/>
          <w:bCs w:val="1"/>
          <w:color w:val="auto"/>
        </w:rPr>
        <w:t>Family Members with Determined Structures are Highlighted within the Tree, and their Binding Pockets with the Ligand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94615</wp:posOffset>
            </wp:positionV>
            <wp:extent cx="4399915" cy="2444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99915" cy="244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Four Character Code at End of Each Image is Protein Data Bank ID.</w:t>
      </w:r>
    </w:p>
    <w:p>
      <w:pPr>
        <w:spacing w:after="0" w:line="194" w:lineRule="exact"/>
        <w:rPr>
          <w:sz w:val="20"/>
          <w:szCs w:val="20"/>
          <w:color w:val="auto"/>
        </w:rPr>
      </w:pPr>
    </w:p>
    <w:p>
      <w:pPr>
        <w:ind w:left="40" w:right="539"/>
        <w:spacing w:after="0" w:line="265" w:lineRule="auto"/>
        <w:rPr>
          <w:sz w:val="20"/>
          <w:szCs w:val="20"/>
          <w:color w:val="auto"/>
        </w:rPr>
      </w:pPr>
      <w:r>
        <w:rPr>
          <w:rFonts w:ascii="Arial" w:cs="Arial" w:eastAsia="Arial" w:hAnsi="Arial"/>
          <w:sz w:val="17"/>
          <w:szCs w:val="17"/>
          <w:color w:val="auto"/>
        </w:rPr>
        <w:t>Further optimization of compounds powered by our excellence in medicinal chemistry led us to identify potent and selective oral small molecule product candidates.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Partnership with Schrödinger Leveraging its Cutting-Edge Computational Chemistry Capability</w:t>
      </w:r>
    </w:p>
    <w:p>
      <w:pPr>
        <w:spacing w:after="0" w:line="194" w:lineRule="exact"/>
        <w:rPr>
          <w:sz w:val="20"/>
          <w:szCs w:val="20"/>
          <w:color w:val="auto"/>
        </w:rPr>
      </w:pPr>
    </w:p>
    <w:p>
      <w:pPr>
        <w:ind w:left="40" w:right="159"/>
        <w:spacing w:after="0" w:line="238" w:lineRule="auto"/>
        <w:rPr>
          <w:sz w:val="20"/>
          <w:szCs w:val="20"/>
          <w:color w:val="auto"/>
        </w:rPr>
      </w:pPr>
      <w:r>
        <w:rPr>
          <w:rFonts w:ascii="Arial" w:cs="Arial" w:eastAsia="Arial" w:hAnsi="Arial"/>
          <w:sz w:val="17"/>
          <w:szCs w:val="17"/>
          <w:color w:val="auto"/>
        </w:rPr>
        <w:t>We have collaborations with Schrödinger on the iteration and optimization of GPCR lead compounds using various next-generation physics-based computational technologies. Schrödinger is a scientific leader in chemical simulation, accurate physics-based methods, which includes among many technologies, FEP and in silico drug discovery. Its’ computational platforms integrate predictive physics-based methods with machine learning to evaluate billions of compounds in silico, achieving experimental accuracy on properties such as binding affinity and solubility. Through this iterative process, we can accelerate evaluation and optimization of molecules in silico ahead of synthesis and assay and then further optimize them through additional cycles of computation analysis.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Structure Therapeutics Integrated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135255</wp:posOffset>
            </wp:positionV>
            <wp:extent cx="4184015" cy="2693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8401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0" w:right="719"/>
        <w:spacing w:after="0" w:line="271" w:lineRule="auto"/>
        <w:rPr>
          <w:sz w:val="20"/>
          <w:szCs w:val="20"/>
          <w:color w:val="auto"/>
        </w:rPr>
      </w:pPr>
      <w:r>
        <w:rPr>
          <w:rFonts w:ascii="Arial" w:cs="Arial" w:eastAsia="Arial" w:hAnsi="Arial"/>
          <w:sz w:val="16"/>
          <w:szCs w:val="16"/>
          <w:color w:val="auto"/>
        </w:rPr>
        <w:t>As shown above, our collaborations with Schrödinger in our computational and chemistry module enables us to accelerate our lead optimization drug discovery process and reduce development costs. In our partnership with Schrödinger on GPCR drug discovery, we retain the full product rights on the compounds under development.</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Safety Assays</w:t>
      </w:r>
    </w:p>
    <w:p>
      <w:pPr>
        <w:spacing w:after="0" w:line="194"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We have proactively used cell and animal-based safety assays to better screen out unwanted side effects, such as liver, cardiovascular and central nervous system toxicity at the initial stages of lead optimization, and we have designed molecules to help minimize safety risks at every step. Our in-depth understanding of GPCR signaling pathway provides us insights to design biased molecules when necessary to mitigate any unwanted liabilities while maintaining the desired activities.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Other Proprietary In-House Development Tools for Drug Synthesis and Screening</w:t>
      </w:r>
    </w:p>
    <w:p>
      <w:pPr>
        <w:spacing w:after="0" w:line="194" w:lineRule="exact"/>
        <w:rPr>
          <w:sz w:val="20"/>
          <w:szCs w:val="20"/>
          <w:color w:val="auto"/>
        </w:rPr>
      </w:pPr>
    </w:p>
    <w:p>
      <w:pPr>
        <w:ind w:left="40" w:right="139"/>
        <w:spacing w:after="0" w:line="243" w:lineRule="auto"/>
        <w:rPr>
          <w:sz w:val="20"/>
          <w:szCs w:val="20"/>
          <w:color w:val="auto"/>
        </w:rPr>
      </w:pPr>
      <w:r>
        <w:rPr>
          <w:rFonts w:ascii="Arial" w:cs="Arial" w:eastAsia="Arial" w:hAnsi="Arial"/>
          <w:sz w:val="17"/>
          <w:szCs w:val="17"/>
          <w:color w:val="auto"/>
        </w:rPr>
        <w:t>In addition to our robust iterative structure-based drug discovery platform shown above, Basecamp Bio is optimizing proprietary in-house drug discovery tools including DNA-Encoded Library technology and Affinity Mass Spectrometry technology to enable the synthesis and screening of vast numbers of small molecule product candidates at a scale that is not possible to achieve by traditional methods.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Intellectual Property</w:t>
      </w:r>
    </w:p>
    <w:p>
      <w:pPr>
        <w:spacing w:after="0" w:line="196"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Our success depends in part on our ability to obtain and maintain proprietary protection for our product candidates and other discoveries, inventions, trade secrets and know-how that are critical to our business operations. Our success also depends in part on our ability to operate without infringing the proprietary rights of others, and in part on our ability to prevent others from infringing our proprietary rights. A comprehensive discussion on risks relating to intellectual property is provided under Part I. Item 1A. “Risk Factors—Risks Related to Our Intellectual Property.”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19"/>
        <w:spacing w:after="0" w:line="243" w:lineRule="auto"/>
        <w:rPr>
          <w:sz w:val="20"/>
          <w:szCs w:val="20"/>
          <w:color w:val="auto"/>
        </w:rPr>
      </w:pPr>
      <w:r>
        <w:rPr>
          <w:rFonts w:ascii="Arial" w:cs="Arial" w:eastAsia="Arial" w:hAnsi="Arial"/>
          <w:sz w:val="17"/>
          <w:szCs w:val="17"/>
          <w:color w:val="auto"/>
        </w:rPr>
        <w:t>For our product candidates, we will, in general, initially pursue patent protection covering compounds, compositions of matter and methods of use. Throughout the development of our product candidates, we seek to identify additional means of obtaining patent protection that would potentially enhance commercial success, including through additional methods of use, process of making, formulation and dosing regimen-related claims as appropriate.</w:t>
      </w:r>
    </w:p>
    <w:p>
      <w:pPr>
        <w:spacing w:after="0" w:line="168"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In total, our patent portfolio comprises over 350 patents and patent applications, as of December 31, 2024, filed in various jurisdictions worldwide. This includes over 95 issued patents that are owned by our wholly-owned subsidiaries. Our patent portfolio for our product candidates is outlined below.</w:t>
      </w:r>
    </w:p>
    <w:p>
      <w:pPr>
        <w:spacing w:after="0" w:line="164"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In addition to patent protection, we also rely on trade secrets, know-how, trademarks,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Part I. Item 1A. “Risk Factors — Risks Related to Our Intellectual Property.”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Aleniglipron (GSBR-1290):GLP-1 Receptor Program</w:t>
      </w:r>
    </w:p>
    <w:p>
      <w:pPr>
        <w:spacing w:after="0" w:line="194"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For our GLP-1R program, our wholly-owned subsidiary Gasherbrum Bio, Inc. is the sole owner of 24 patent families. These include patents and patent applications directed to our lead product candidate aleniglipron and its analogs, solid forms and methods of treating conditions associated with GLP-1R activity. These patents and patent applications, to the extent they issue (or in the case of priority applications, if issued from future non-provisional applications that we file), are expected to expire between 2041 and 2045, without accounting for potentially available patent term adjustments or extensions.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ACCG-2671: Amylin Receptor Program</w:t>
      </w:r>
    </w:p>
    <w:p>
      <w:pPr>
        <w:spacing w:after="0" w:line="194" w:lineRule="exact"/>
        <w:rPr>
          <w:sz w:val="20"/>
          <w:szCs w:val="20"/>
          <w:color w:val="auto"/>
        </w:rPr>
      </w:pPr>
    </w:p>
    <w:p>
      <w:pPr>
        <w:ind w:left="40" w:right="99"/>
        <w:spacing w:after="0" w:line="239" w:lineRule="auto"/>
        <w:rPr>
          <w:sz w:val="20"/>
          <w:szCs w:val="20"/>
          <w:color w:val="auto"/>
        </w:rPr>
      </w:pPr>
      <w:r>
        <w:rPr>
          <w:rFonts w:ascii="Arial" w:cs="Arial" w:eastAsia="Arial" w:hAnsi="Arial"/>
          <w:sz w:val="17"/>
          <w:szCs w:val="17"/>
          <w:color w:val="auto"/>
        </w:rPr>
        <w:t>For our oral small molecule Amylin program, our wholly-owned subsidiary Aconcagua Bio, Inc. (“Aconcagua”) is the sole owner of 6 patent families. These include patent applications relating to compounds and compositions of matter for treating conditions associated with amylin receptor activity, including ACCG-2671 and its analogs and methods of treating conditions associated with amylin receptor activity. Any patents issuing from these patent applications (or in the case of priority applications, if issued from future non-provisional applications that we file) are expected to expire between 2044 and 2045, without accounting for potentially available patent term adjustments or extensions.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GIP and GCG Receptor Programs</w:t>
      </w:r>
    </w:p>
    <w:p>
      <w:pPr>
        <w:spacing w:after="0" w:line="194" w:lineRule="exact"/>
        <w:rPr>
          <w:sz w:val="20"/>
          <w:szCs w:val="20"/>
          <w:color w:val="auto"/>
        </w:rPr>
      </w:pPr>
    </w:p>
    <w:p>
      <w:pPr>
        <w:ind w:left="40" w:right="99"/>
        <w:spacing w:after="0" w:line="239" w:lineRule="auto"/>
        <w:rPr>
          <w:sz w:val="20"/>
          <w:szCs w:val="20"/>
          <w:color w:val="auto"/>
        </w:rPr>
      </w:pPr>
      <w:r>
        <w:rPr>
          <w:rFonts w:ascii="Arial" w:cs="Arial" w:eastAsia="Arial" w:hAnsi="Arial"/>
          <w:sz w:val="17"/>
          <w:szCs w:val="17"/>
          <w:color w:val="auto"/>
        </w:rPr>
        <w:t>For our oral small molecule GIPR program, our wholly-owned subsidiary Gimigela Bio, Inc. is the sole owner of 3 patent families. These include patent applications relating to compounds and compositions of matter for treating conditions associated with GIPR activity and methods of treating conditions associated with GIPR activity. Any patents issuing from these patent applications (or in the case of priority applications, if issued from future non-provisional applications that we file) are expected to expire in 2045, without accounting for potentially available patent term adjustments or extensions.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ANPA-0073: APJ Receptor Program</w:t>
      </w:r>
    </w:p>
    <w:p>
      <w:pPr>
        <w:spacing w:after="0" w:line="194" w:lineRule="exact"/>
        <w:rPr>
          <w:sz w:val="20"/>
          <w:szCs w:val="20"/>
          <w:color w:val="auto"/>
        </w:rPr>
      </w:pPr>
    </w:p>
    <w:p>
      <w:pPr>
        <w:ind w:left="40" w:right="139"/>
        <w:spacing w:after="0" w:line="239" w:lineRule="auto"/>
        <w:rPr>
          <w:sz w:val="20"/>
          <w:szCs w:val="20"/>
          <w:color w:val="auto"/>
        </w:rPr>
      </w:pPr>
      <w:r>
        <w:rPr>
          <w:rFonts w:ascii="Arial" w:cs="Arial" w:eastAsia="Arial" w:hAnsi="Arial"/>
          <w:sz w:val="17"/>
          <w:szCs w:val="17"/>
          <w:color w:val="auto"/>
        </w:rPr>
        <w:t>For our APJ receptor program, our wholly-owned subsidiary Annapurna Bio, Inc. is the sole owner of 5 patent families. These include patents and patent applications directed to our lead product candidate ANPA-0073 and its analogs, solid forms and methods of treating conditions associated with APJ receptor activity. These patents and patent applications, to the extent they issue (or in the case of priority applications, if issued from future non-provisional applications that we file), are expected to expire between 2039 and 2045, without accounting for potentially available patent term adjustments or extensions.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LTSE-2578: LPA1 Receptor Program</w:t>
      </w:r>
    </w:p>
    <w:p>
      <w:pPr>
        <w:spacing w:after="0" w:line="194"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For our LPA1R program, our wholly-owned subsidiary Lhotse Bio, Inc. (“Lhotse”) is the sole owner of 5 patent families. These include patents and patent applications relating to compounds and compositions of matter for treating conditions associated with LPA1R activity, including LTSE-2578 and its analogs and methods of treating conditions associated with LPA1R activity. These patents and patent applications, to the extent they issue (or in the case of priority applications, if issued from future non-provisional applications that we file), are expected to expire between 2041 and 2044, without accounting for potentially available patent term adjustments or extensions.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Lhotse Collaboration Agreement with Schrödinger, LLC</w:t>
      </w:r>
    </w:p>
    <w:p>
      <w:pPr>
        <w:spacing w:after="0" w:line="196"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In October 2020, Lhotse, our wholly-owned subsidiary, entered into a collaboration agreement with Schrödinger (the “Lhotse-Schrödinger Agreement”)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177"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2024, we have paid to Schrödinger an aggregate of $0.8 million. If Lhotse develops and commercializes a product containing a compound (“Collaboration Compound”) that is discovered or developed under the Lhotse-Schrödinger Agreement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in the low single digit range on aggregate worldwide net sales of all Collaboration Products, subject to specified reductions and offsets. Lhotse’s obligation to pay royalties to Schrödinger will expire on a Collaboration Product-by-Collaboration Product and country-by-country basis on the later of (i) the expiration of the last-to-expire Lhotse owned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(“Royalty Term”).</w:t>
      </w:r>
    </w:p>
    <w:p>
      <w:pPr>
        <w:spacing w:after="0" w:line="173" w:lineRule="exact"/>
        <w:rPr>
          <w:sz w:val="20"/>
          <w:szCs w:val="20"/>
          <w:color w:val="auto"/>
        </w:rPr>
      </w:pPr>
    </w:p>
    <w:p>
      <w:pPr>
        <w:ind w:left="40" w:right="379"/>
        <w:spacing w:after="0" w:line="243" w:lineRule="auto"/>
        <w:rPr>
          <w:sz w:val="20"/>
          <w:szCs w:val="20"/>
          <w:color w:val="auto"/>
        </w:rPr>
      </w:pPr>
      <w:r>
        <w:rPr>
          <w:rFonts w:ascii="Arial" w:cs="Arial" w:eastAsia="Arial" w:hAnsi="Arial"/>
          <w:sz w:val="17"/>
          <w:szCs w:val="17"/>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Royalty Term) to Schrödinger continues after the expiration or termination of the Lhotse-Schrödinger Agreement.</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Aconcagua Collaboration Agreement with Schrödinger</w:t>
      </w:r>
    </w:p>
    <w:p>
      <w:pPr>
        <w:spacing w:after="0" w:line="196"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In November 2023, Aconcagua, our wholly-owned subsidiary,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 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spacing w:after="0" w:line="177" w:lineRule="exact"/>
        <w:rPr>
          <w:sz w:val="20"/>
          <w:szCs w:val="20"/>
          <w:color w:val="auto"/>
        </w:rPr>
      </w:pPr>
    </w:p>
    <w:p>
      <w:pPr>
        <w:jc w:val="both"/>
        <w:ind w:left="40" w:right="79"/>
        <w:spacing w:after="0" w:line="271" w:lineRule="auto"/>
        <w:rPr>
          <w:sz w:val="20"/>
          <w:szCs w:val="20"/>
          <w:color w:val="auto"/>
        </w:rPr>
      </w:pPr>
      <w:r>
        <w:rPr>
          <w:rFonts w:ascii="Arial" w:cs="Arial" w:eastAsia="Arial" w:hAnsi="Arial"/>
          <w:sz w:val="16"/>
          <w:szCs w:val="16"/>
          <w:color w:val="auto"/>
        </w:rPr>
        <w:t>During the term of the Aconcagua-Schrödinger Agreement, Aconcagua is obligated to pay Schrödinger a monthly active program payment in the low six digits, which payment includes fees payable for certain Schrödinger software employed in the Collaboration, and as of December 31, 2024, we have paid to Schrödinger an aggregate of $3.3 million.</w:t>
      </w:r>
    </w:p>
    <w:p>
      <w:pPr>
        <w:spacing w:after="0" w:line="147" w:lineRule="exact"/>
        <w:rPr>
          <w:sz w:val="20"/>
          <w:szCs w:val="20"/>
          <w:color w:val="auto"/>
        </w:rPr>
      </w:pPr>
    </w:p>
    <w:p>
      <w:pPr>
        <w:ind w:left="40" w:right="179"/>
        <w:spacing w:after="0" w:line="235" w:lineRule="auto"/>
        <w:rPr>
          <w:sz w:val="20"/>
          <w:szCs w:val="20"/>
          <w:color w:val="auto"/>
        </w:rPr>
      </w:pPr>
      <w:r>
        <w:rPr>
          <w:rFonts w:ascii="Arial" w:cs="Arial" w:eastAsia="Arial" w:hAnsi="Arial"/>
          <w:sz w:val="17"/>
          <w:szCs w:val="17"/>
          <w:color w:val="auto"/>
        </w:rPr>
        <w:t>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 Aconcagua Collaboration Product and country-by-country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spacing w:after="0" w:line="177" w:lineRule="exact"/>
        <w:rPr>
          <w:sz w:val="20"/>
          <w:szCs w:val="20"/>
          <w:color w:val="auto"/>
        </w:rPr>
      </w:pPr>
    </w:p>
    <w:p>
      <w:pPr>
        <w:ind w:left="40" w:right="159"/>
        <w:spacing w:after="0" w:line="239" w:lineRule="auto"/>
        <w:rPr>
          <w:sz w:val="20"/>
          <w:szCs w:val="20"/>
          <w:color w:val="auto"/>
        </w:rPr>
      </w:pPr>
      <w:r>
        <w:rPr>
          <w:rFonts w:ascii="Arial" w:cs="Arial" w:eastAsia="Arial" w:hAnsi="Arial"/>
          <w:sz w:val="17"/>
          <w:szCs w:val="17"/>
          <w:color w:val="auto"/>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Manufacturing</w:t>
      </w:r>
    </w:p>
    <w:p>
      <w:pPr>
        <w:spacing w:after="0" w:line="196"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We do not own or operate manufacturing facilities for the production of our product candidates and currently have no immediate plans to build our own clinical or commercial scale manufacturing capabilities. We currently engage with third-party contract manufacturing organizations (“CMOs”) in multiple geographies for the manufacture of our product candidates. We rely on and expect to continue to engage third-party manufacturers for the production of both drug substance and finished drug product. We currently obtain our supplies from these manufacturers on a purchase order basis and do not have long-term supply arrangements in place. Should any of these manufacturers become unavailable to us for any reason, we believe that there are a number of potential replacements.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Competition</w:t>
      </w:r>
    </w:p>
    <w:p>
      <w:pPr>
        <w:spacing w:after="0" w:line="196" w:lineRule="exact"/>
        <w:rPr>
          <w:sz w:val="20"/>
          <w:szCs w:val="20"/>
          <w:color w:val="auto"/>
        </w:rPr>
      </w:pPr>
    </w:p>
    <w:p>
      <w:pPr>
        <w:ind w:left="40" w:right="379"/>
        <w:spacing w:after="0"/>
        <w:rPr>
          <w:sz w:val="20"/>
          <w:szCs w:val="20"/>
          <w:color w:val="auto"/>
        </w:rPr>
      </w:pPr>
      <w:r>
        <w:rPr>
          <w:rFonts w:ascii="Arial" w:cs="Arial" w:eastAsia="Arial" w:hAnsi="Arial"/>
          <w:sz w:val="17"/>
          <w:szCs w:val="17"/>
          <w:color w:val="auto"/>
        </w:rPr>
        <w:t>The biotechnology and pharmaceutical industries are characterized by rapid evolution of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71" w:lineRule="exact"/>
        <w:rPr>
          <w:sz w:val="20"/>
          <w:szCs w:val="20"/>
          <w:color w:val="auto"/>
        </w:rPr>
      </w:pPr>
    </w:p>
    <w:p>
      <w:pPr>
        <w:ind w:left="40" w:right="319"/>
        <w:spacing w:after="0"/>
        <w:rPr>
          <w:sz w:val="20"/>
          <w:szCs w:val="20"/>
          <w:color w:val="auto"/>
        </w:rPr>
      </w:pPr>
      <w:r>
        <w:rPr>
          <w:rFonts w:ascii="Arial" w:cs="Arial" w:eastAsia="Arial" w:hAnsi="Arial"/>
          <w:sz w:val="17"/>
          <w:szCs w:val="17"/>
          <w:color w:val="auto"/>
        </w:rPr>
        <w:t>If any of our product candidates are approved for the indications for which we expect to conduct clinical studies, they will compete with the foregoing therapies and currently marketed drugs, as well as any drugs potentially in development. It is also possible that we will face competition from other pharmaceutical approaches as well as other types of therapies. The key competitive factors affecting the success of all our programs, if approved, are likely to be their efficacy, safety, convenience, price, level of generic competition, and availability of reimbursement.</w:t>
      </w:r>
    </w:p>
    <w:p>
      <w:pPr>
        <w:spacing w:after="0" w:line="171"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Despite significant biopharmaceutical industry investment, no oral small molecule therapy targeting GLP-1R has been approved for the treatment of diabetes or obesity. We are aware of GLP-1R small molecules in development by Pfizer, Eli Lilly, Qilu Regor Therapeutics, AstraZeneca/Eccogene, Terns Pharmaceuticals, Jiangsu Hengrui Medicine, Huadong, Sciwind Biosciences, Ascletis, Gilead, Kallyope, MindRank, vTv Therapeutics, Carmot Therapeutics (acquired by Roche Group in January 2024), Kailera Therapeutics, formerly Hercules CM Newco (licensed HRS-7535, an oral small molecule GLP-1; HRS-9531 a GLP-1/GIP; and preclinical asset HRS-4729 from Jiangsu Hengrui Medicine), and Merck (licensed HS-10535, an oral small molecule GLP-1, from Hansoh Pharma). There are currently approved GLP-1R peptides for the treatment of diabetes and obesity marketed by Novo Nordisk, Eli Lilly, AstraZeneca, Sanofi and Kailera Therapeutics, formerly Hercules CM Newco. We are aware of other GLP-1R plus dual/tri incretin targeting peptides in development by Eli Lilly, Jiangsu Hansoh Pharmaceutical Group, Boehringer Ingelheim, Altimmune, Carmot Therapeutics, Sciwind Biosciences, Novo Nordisk, Viking Therapeutics, Amgen, Merck, Zealand Pharma, D&amp;D Pharmatech, GMAX Biopharma, Jiangsu Hengrui Medicine, BrightGene, Innovent Biologics, PegBio, NeuroBo Pharmaceuticals, Hanmi Phamaceuticals, Progen Holdings, Pep2Tango, Metsera, QL Biopharma, Lexaria Bioscience, Sun Pharmaceutical, Gan &amp; Lee, Innogen Biomed Industries and Verdiva Bio. In addition, there are a number of companies developing product candidates for diabetes and obesity utilizing approaches with different mechanisms of action, including but not limited to sodium-glucose cotransporter-2 inhibitors.</w:t>
      </w:r>
    </w:p>
    <w:p>
      <w:pPr>
        <w:spacing w:after="0" w:line="182"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We are aware of APJ receptor targeted product candidates in development for IPF and systemic sclerosis interstitial lung disease by Apie Therapeutics. Both Amgen and Bristol Myers Squibb (“BMS”) have APJ receptor targeted product candidates for heart failure.</w:t>
      </w:r>
    </w:p>
    <w:p>
      <w:pPr>
        <w:spacing w:after="0" w:line="164" w:lineRule="exact"/>
        <w:rPr>
          <w:sz w:val="20"/>
          <w:szCs w:val="20"/>
          <w:color w:val="auto"/>
        </w:rPr>
      </w:pPr>
    </w:p>
    <w:p>
      <w:pPr>
        <w:ind w:left="40" w:right="139"/>
        <w:spacing w:after="0" w:line="243" w:lineRule="auto"/>
        <w:rPr>
          <w:sz w:val="20"/>
          <w:szCs w:val="20"/>
          <w:color w:val="auto"/>
        </w:rPr>
      </w:pPr>
      <w:r>
        <w:rPr>
          <w:rFonts w:ascii="Arial" w:cs="Arial" w:eastAsia="Arial" w:hAnsi="Arial"/>
          <w:sz w:val="17"/>
          <w:szCs w:val="17"/>
          <w:color w:val="auto"/>
        </w:rPr>
        <w:t>We are aware of LPA1R targeted product candidates in development for IPF by BMS, Horizon Therapeutics (acquired by Amgen in October 2023) and DJS Antibodies; and myelin restoration and neuroinflammation by Pipeline Therapeutics. In addition, there are a number of companies developing product candidates for IPF utilizing approaches with different mechanisms of action, including Roche Holding AG and Boehringer Ingelheim.</w:t>
      </w:r>
    </w:p>
    <w:p>
      <w:pPr>
        <w:spacing w:after="0" w:line="168" w:lineRule="exact"/>
        <w:rPr>
          <w:sz w:val="20"/>
          <w:szCs w:val="20"/>
          <w:color w:val="auto"/>
        </w:rPr>
      </w:pPr>
    </w:p>
    <w:p>
      <w:pPr>
        <w:ind w:left="40" w:right="99"/>
        <w:spacing w:after="0" w:line="254"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studies, obtaining regulatory approvals, and marketing approved products than we do. These competitors also compete with us in recruiting and retaining qualified scientific and management personnel and establishing clinical trial sites and patient registration for clinical studies,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Data Privacy and Security Laws</w:t>
      </w:r>
    </w:p>
    <w:p>
      <w:pPr>
        <w:spacing w:after="0" w:line="196"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Numerous state, federal and foreign laws, regulations and standards govern the collection, use, access to, confidentiality and security of health-related and other personal or sensitive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have been enacted or proposed that govern the collection, use, disclosure, and protection of health-related and other personal information. For example, California passed the California Consumer Privacy Act of 2018 (“CCPA”) as amended by the Consumer Privacy Rights Act of 2020 (“CPRA”), Virginia passed the Consumer Data Protection Act, and Colorado passed the Colorado Privacy Act. In addition, certain foreign laws govern the privacy and security of personal data, including health-related data. For example, the European Union General Data Protection Regulation (“EU GDPR”) imposes strict requirements for processing the personal data of individuals within the European Economic Area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(“UK”) GDPR (“UK GDPR”) which, together with the amended UK Data Protection Act 2018, retains the GDPR in UK national law. The UK GDPR mirrors the fines under the GDPR relating to fines up to the greater of £17.5 million or 4% of global turnover.</w:t>
      </w:r>
    </w:p>
    <w:p>
      <w:pPr>
        <w:spacing w:after="0" w:line="181"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California Privacy Rights Act of 2020 (“CPRA”), effective January 1, 2023, will expand the CCPA. The CPRA will, among other things, give California residents the ability to limit use of certain sensitive personal data, establish restrictions on personal data retention, expand the types of data breaches that are subject to the CCPA’s private right of action, and establish a new California Privacy Protection Agency to implement and enforce the new law.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Regulation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Government Regulation of Pharmaceutical Product Development and Approval</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U.S. Regulation of Pharmaceutical Product Development and Approval</w:t>
      </w:r>
    </w:p>
    <w:p>
      <w:pPr>
        <w:spacing w:after="0" w:line="194" w:lineRule="exact"/>
        <w:rPr>
          <w:sz w:val="20"/>
          <w:szCs w:val="20"/>
          <w:color w:val="auto"/>
        </w:rPr>
      </w:pPr>
    </w:p>
    <w:p>
      <w:pPr>
        <w:ind w:left="40" w:right="99"/>
        <w:spacing w:after="0" w:line="239" w:lineRule="auto"/>
        <w:rPr>
          <w:sz w:val="20"/>
          <w:szCs w:val="20"/>
          <w:color w:val="auto"/>
        </w:rPr>
      </w:pPr>
      <w:r>
        <w:rPr>
          <w:rFonts w:ascii="Arial" w:cs="Arial" w:eastAsia="Arial" w:hAnsi="Arial"/>
          <w:sz w:val="17"/>
          <w:szCs w:val="17"/>
          <w:color w:val="auto"/>
        </w:rPr>
        <w:t>In the United States, the FDA regulates drugs under the Federal Food, Drug, and Cosmetic Act (“FDCA”) and its implementing regulations. Drugs are also subject to other federal, state and local statutes and regulations. The process of obtaining marketing approvals and the subsequent compliance with appropriate federal, state and local rules and regulations requires the expenditure of substantial time and financial resources.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70" w:lineRule="exact"/>
        <w:rPr>
          <w:sz w:val="20"/>
          <w:szCs w:val="20"/>
          <w:color w:val="auto"/>
        </w:rPr>
      </w:pPr>
    </w:p>
    <w:p>
      <w:pPr>
        <w:ind w:left="680" w:right="419" w:hanging="307"/>
        <w:spacing w:after="0" w:line="248"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extensive preclinical laboratory tests, preclinical animal studies and formulation studies all performed in compliance with applicable regulations, including the FDA’s good laboratory practices (“GLP”) regulations;</w:t>
      </w:r>
    </w:p>
    <w:p>
      <w:pPr>
        <w:spacing w:after="0" w:line="62" w:lineRule="exact"/>
        <w:rPr>
          <w:rFonts w:ascii="Times New Roman" w:cs="Times New Roman" w:eastAsia="Times New Roman" w:hAnsi="Times New Roman"/>
          <w:sz w:val="17"/>
          <w:szCs w:val="17"/>
          <w:color w:val="auto"/>
        </w:rPr>
      </w:pPr>
    </w:p>
    <w:p>
      <w:pPr>
        <w:ind w:left="680" w:right="359" w:hanging="307"/>
        <w:spacing w:after="0" w:line="264"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Investigational IND which must become effective before human clinical studies may begin;</w:t>
      </w:r>
    </w:p>
    <w:p>
      <w:pPr>
        <w:spacing w:after="0" w:line="48" w:lineRule="exact"/>
        <w:rPr>
          <w:rFonts w:ascii="Times New Roman" w:cs="Times New Roman" w:eastAsia="Times New Roman" w:hAnsi="Times New Roman"/>
          <w:sz w:val="17"/>
          <w:szCs w:val="17"/>
          <w:color w:val="auto"/>
        </w:rPr>
      </w:pPr>
    </w:p>
    <w:p>
      <w:pPr>
        <w:ind w:left="680" w:right="99" w:hanging="307"/>
        <w:spacing w:after="0" w:line="264"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approval by an institutional review board (“IRB”) or ethics committee representing each clinical site before each clinical trial may be initiated;</w:t>
      </w:r>
    </w:p>
    <w:p>
      <w:pPr>
        <w:spacing w:after="0" w:line="48" w:lineRule="exact"/>
        <w:rPr>
          <w:rFonts w:ascii="Times New Roman" w:cs="Times New Roman" w:eastAsia="Times New Roman" w:hAnsi="Times New Roman"/>
          <w:sz w:val="17"/>
          <w:szCs w:val="17"/>
          <w:color w:val="auto"/>
        </w:rPr>
      </w:pPr>
    </w:p>
    <w:p>
      <w:pPr>
        <w:ind w:left="680" w:right="99" w:hanging="307"/>
        <w:spacing w:after="0" w:line="248"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performance of adequate and well-controlled human clinical studies in accordance with applicable good clinical practices (“GCPs”) and other clinical trial-related regulations, to establish the safety and efficacy of the proposed drug product for its proposed indication;</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preparation and submission to the FDA of an NDA together with payment of user fees;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a determination by the FDA within 60 days of its receipt of an NDA to file the NDA for review;</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review by an FDA advisory committee, where appropriate or if applicable;</w:t>
      </w:r>
    </w:p>
    <w:p>
      <w:pPr>
        <w:spacing w:after="0" w:line="106" w:lineRule="exact"/>
        <w:rPr>
          <w:rFonts w:ascii="Times New Roman" w:cs="Times New Roman" w:eastAsia="Times New Roman" w:hAnsi="Times New Roman"/>
          <w:sz w:val="17"/>
          <w:szCs w:val="17"/>
          <w:color w:val="auto"/>
        </w:rPr>
      </w:pPr>
    </w:p>
    <w:p>
      <w:pPr>
        <w:jc w:val="both"/>
        <w:ind w:left="680" w:right="119" w:hanging="307"/>
        <w:spacing w:after="0" w:line="248"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pre-approval inspection of the manufacturing facility or facilities at which the active pharmaceutical ingredient (“API”) and finished drug product are produced to assess compliance with the FDA’s current Good Manufacturing Practices (“cGMP”);</w:t>
      </w:r>
    </w:p>
    <w:p>
      <w:pPr>
        <w:spacing w:after="0" w:line="62" w:lineRule="exact"/>
        <w:rPr>
          <w:rFonts w:ascii="Times New Roman" w:cs="Times New Roman" w:eastAsia="Times New Roman" w:hAnsi="Times New Roman"/>
          <w:sz w:val="17"/>
          <w:szCs w:val="17"/>
          <w:color w:val="auto"/>
        </w:rPr>
      </w:pPr>
    </w:p>
    <w:p>
      <w:pPr>
        <w:ind w:left="680" w:right="379" w:hanging="307"/>
        <w:spacing w:after="0" w:line="264"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FDA audit of the preclinical and/or clinical trial sites that generated the data in support of the NDA; and</w:t>
      </w:r>
    </w:p>
    <w:p>
      <w:pPr>
        <w:spacing w:after="0" w:line="48" w:lineRule="exact"/>
        <w:rPr>
          <w:rFonts w:ascii="Times New Roman" w:cs="Times New Roman" w:eastAsia="Times New Roman" w:hAnsi="Times New Roman"/>
          <w:sz w:val="17"/>
          <w:szCs w:val="17"/>
          <w:color w:val="auto"/>
        </w:rPr>
      </w:pPr>
    </w:p>
    <w:p>
      <w:pPr>
        <w:ind w:left="680" w:right="619" w:hanging="307"/>
        <w:spacing w:after="0" w:line="264" w:lineRule="auto"/>
        <w:tabs>
          <w:tab w:leader="none" w:pos="68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FDA review and approval of the NDA prior to any commercial marketing or sale of the drug in the United States.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Preclinical Studies and Clinical Studies</w:t>
      </w:r>
    </w:p>
    <w:p>
      <w:pPr>
        <w:spacing w:after="0" w:line="194" w:lineRule="exact"/>
        <w:rPr>
          <w:sz w:val="20"/>
          <w:szCs w:val="20"/>
          <w:color w:val="auto"/>
        </w:rPr>
      </w:pPr>
    </w:p>
    <w:p>
      <w:pPr>
        <w:ind w:left="40" w:right="119"/>
        <w:spacing w:after="0" w:line="235" w:lineRule="auto"/>
        <w:rPr>
          <w:sz w:val="20"/>
          <w:szCs w:val="20"/>
          <w:color w:val="auto"/>
        </w:rPr>
      </w:pPr>
      <w:r>
        <w:rPr>
          <w:rFonts w:ascii="Arial" w:cs="Arial" w:eastAsia="Arial" w:hAnsi="Arial"/>
          <w:sz w:val="17"/>
          <w:szCs w:val="17"/>
          <w:color w:val="auto"/>
        </w:rPr>
        <w:t>The preclinical development stage generally involves synthesizing the active component, developing the formulation and determining the manufacturing process, evaluating purity and stability,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studies. The IND automatically becomes effective 30 days after receipt by the FDA, unless the FDA raises concerns or questions regarding the proposed clinical studies and places the IND on clinical hold within that 30-day time period. In such a case, the IND sponsor and the FDA must resolve any outstanding concerns or questions before the clinical trial can begin. Some long-term preclinical testing, such as animal tests of reproductive adverse events and carcinogenicity, may continue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99"/>
        <w:spacing w:after="0" w:line="243" w:lineRule="auto"/>
        <w:rPr>
          <w:sz w:val="20"/>
          <w:szCs w:val="20"/>
          <w:color w:val="auto"/>
        </w:rPr>
      </w:pPr>
      <w:r>
        <w:rPr>
          <w:rFonts w:ascii="Arial" w:cs="Arial" w:eastAsia="Arial" w:hAnsi="Arial"/>
          <w:sz w:val="17"/>
          <w:szCs w:val="17"/>
          <w:color w:val="auto"/>
        </w:rPr>
        <w:t>after the IND is submitted. The FDA may also impose clinical holds on a drug candidate at any time before or during clinical studies due to safety concerns or non-compliance. Accordingly, submission of an IND does not guarantee the FDA will allow clinical studies to begin, or that, once begun, issues will not arise that could cause the trial to be suspended or terminated.</w:t>
      </w:r>
    </w:p>
    <w:p>
      <w:pPr>
        <w:spacing w:after="0" w:line="168"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The clinical stage of development involves the administration of the drug product to human subjects or patients under the supervision of qualified investigators, generally physicians not employed by or under the trial sponsor’s control, in accordance with GCPs, which establish standards for conducting, recording data from, and reporting the results of clinical studies, and are intended to assure that the rights, safety, and well-being of study participants are protected. GCPs also include the requirement that all research subjects provide their informed consent in writing for their participation in any clinical trial. Clinical studies are conducted under written study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A separate submission to the existing IND must be made for each successive clinical trial conducted during product development and for any subsequent protocol amendments. While the IND is active and before approval, progress reports summarizing the results of the clinical studies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65"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Further, each clinical trial must be reviewed and approved by each institution at which the clinical trial will be conducted. An IRB is charged with protecting the welfare and rights of trial participants and considers such items as whether the risks to individuals participating in the clinical studies are minimized and are reasonable in relation to anticipated benefits.</w:t>
      </w:r>
    </w:p>
    <w:p>
      <w:pPr>
        <w:spacing w:after="0" w:line="168"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The IRB also reviews and approves the informed consent form that must be provided to each clinical trial subject or his or her legal representative and must monitor the clinical trial until completed.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There are also requirements governing the reporting of ongoing clinical studies and completed clinical trial results to public registries.</w:t>
      </w:r>
    </w:p>
    <w:p>
      <w:pPr>
        <w:spacing w:after="0" w:line="176" w:lineRule="exact"/>
        <w:rPr>
          <w:sz w:val="20"/>
          <w:szCs w:val="20"/>
          <w:color w:val="auto"/>
        </w:rPr>
      </w:pPr>
    </w:p>
    <w:p>
      <w:pPr>
        <w:ind w:left="40" w:right="699"/>
        <w:spacing w:after="0" w:line="265" w:lineRule="auto"/>
        <w:rPr>
          <w:sz w:val="20"/>
          <w:szCs w:val="20"/>
          <w:color w:val="auto"/>
        </w:rPr>
      </w:pPr>
      <w:r>
        <w:rPr>
          <w:rFonts w:ascii="Arial" w:cs="Arial" w:eastAsia="Arial" w:hAnsi="Arial"/>
          <w:sz w:val="17"/>
          <w:szCs w:val="17"/>
          <w:color w:val="auto"/>
        </w:rPr>
        <w:t>Clinical studies are generally conducted in three sequential phases that may overlap or be combined, known as Phase I, Phase II and Phase III clinical studies.</w:t>
      </w:r>
    </w:p>
    <w:p>
      <w:pPr>
        <w:spacing w:after="0" w:line="149" w:lineRule="exact"/>
        <w:rPr>
          <w:sz w:val="20"/>
          <w:szCs w:val="20"/>
          <w:color w:val="auto"/>
        </w:rPr>
      </w:pPr>
    </w:p>
    <w:p>
      <w:pPr>
        <w:ind w:left="680" w:right="199" w:hanging="307"/>
        <w:spacing w:after="0"/>
        <w:tabs>
          <w:tab w:leader="none" w:pos="6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Phase I: </w:t>
      </w:r>
      <w:r>
        <w:rPr>
          <w:rFonts w:ascii="Arial" w:cs="Arial" w:eastAsia="Arial" w:hAnsi="Arial"/>
          <w:sz w:val="17"/>
          <w:szCs w:val="17"/>
          <w:color w:val="auto"/>
        </w:rPr>
        <w:t>The drug is initially introduced into a small number of healthy volunteers or patients with the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or condition who are initially exposed to a single dose and then multiple doses of the drug candidate. These studies are designed to assess the metabolism, pharmacologic action, dosage tolerance, side effects associated with increasing doses, and safety of the drug, and if possible, to gain early evidence on effectiveness.</w:t>
      </w:r>
    </w:p>
    <w:p>
      <w:pPr>
        <w:spacing w:after="0" w:line="69" w:lineRule="exact"/>
        <w:rPr>
          <w:rFonts w:ascii="Times New Roman" w:cs="Times New Roman" w:eastAsia="Times New Roman" w:hAnsi="Times New Roman"/>
          <w:sz w:val="17"/>
          <w:szCs w:val="17"/>
          <w:color w:val="auto"/>
        </w:rPr>
      </w:pPr>
    </w:p>
    <w:p>
      <w:pPr>
        <w:ind w:left="680" w:right="239" w:hanging="307"/>
        <w:spacing w:after="0" w:line="243" w:lineRule="auto"/>
        <w:tabs>
          <w:tab w:leader="none" w:pos="6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Phase II: </w:t>
      </w:r>
      <w:r>
        <w:rPr>
          <w:rFonts w:ascii="Arial" w:cs="Arial" w:eastAsia="Arial" w:hAnsi="Arial"/>
          <w:sz w:val="17"/>
          <w:szCs w:val="17"/>
          <w:color w:val="auto"/>
        </w:rPr>
        <w:t>The drug is administered to a limited patient population with a specified disease or condition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optimal dosage and dosing schedule. At the same time, safety and further PK and PD information is collected, as well as identification of possible adverse effects and safety risks and preliminary evaluation of efficacy.</w:t>
      </w:r>
    </w:p>
    <w:p>
      <w:pPr>
        <w:spacing w:after="0" w:line="65" w:lineRule="exact"/>
        <w:rPr>
          <w:rFonts w:ascii="Times New Roman" w:cs="Times New Roman" w:eastAsia="Times New Roman" w:hAnsi="Times New Roman"/>
          <w:sz w:val="17"/>
          <w:szCs w:val="17"/>
          <w:color w:val="auto"/>
        </w:rPr>
      </w:pPr>
    </w:p>
    <w:p>
      <w:pPr>
        <w:ind w:left="680" w:right="379" w:hanging="307"/>
        <w:spacing w:after="0" w:line="248" w:lineRule="auto"/>
        <w:tabs>
          <w:tab w:leader="none" w:pos="68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Phase III: </w:t>
      </w:r>
      <w:r>
        <w:rPr>
          <w:rFonts w:ascii="Arial" w:cs="Arial" w:eastAsia="Arial" w:hAnsi="Arial"/>
          <w:sz w:val="17"/>
          <w:szCs w:val="17"/>
          <w:color w:val="auto"/>
        </w:rPr>
        <w:t>The drug is administered to an expanded number of patients, generally at multiple sites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geographically dispersed, in well-controlled clinical studies to generate enough data to demonstrate the efficacy of the drug for its intended use, its safety profile, and to establish the overall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699"/>
        <w:spacing w:after="0" w:line="265" w:lineRule="auto"/>
        <w:rPr>
          <w:sz w:val="20"/>
          <w:szCs w:val="20"/>
          <w:color w:val="auto"/>
        </w:rPr>
      </w:pPr>
      <w:r>
        <w:rPr>
          <w:rFonts w:ascii="Arial" w:cs="Arial" w:eastAsia="Arial" w:hAnsi="Arial"/>
          <w:sz w:val="17"/>
          <w:szCs w:val="17"/>
          <w:color w:val="auto"/>
        </w:rPr>
        <w:t>benefit/risk profile of the drug and provide an adequate basis for drug approval and labeling of the drug product.</w:t>
      </w:r>
    </w:p>
    <w:p>
      <w:pPr>
        <w:spacing w:after="0" w:line="149" w:lineRule="exact"/>
        <w:rPr>
          <w:sz w:val="20"/>
          <w:szCs w:val="20"/>
          <w:color w:val="auto"/>
        </w:rPr>
      </w:pPr>
    </w:p>
    <w:p>
      <w:pPr>
        <w:ind w:left="40" w:right="379"/>
        <w:spacing w:after="0" w:line="243" w:lineRule="auto"/>
        <w:rPr>
          <w:sz w:val="20"/>
          <w:szCs w:val="20"/>
          <w:color w:val="auto"/>
        </w:rPr>
      </w:pPr>
      <w:r>
        <w:rPr>
          <w:rFonts w:ascii="Arial" w:cs="Arial" w:eastAsia="Arial" w:hAnsi="Arial"/>
          <w:sz w:val="17"/>
          <w:szCs w:val="17"/>
          <w:color w:val="auto"/>
        </w:rPr>
        <w:t>Post-approval studies, sometimes referred to as Phase IV clinical studies, may be conducted after initial marketing approval. These studies are used to gain additional experience from the treatment of patients in the intended therapeutic indication. In certain instances, the FDA may mandate the performance of Phase IV clinical studies as a condition of NDA approval.</w:t>
      </w:r>
    </w:p>
    <w:p>
      <w:pPr>
        <w:spacing w:after="0" w:line="168"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Concurrent with clinical studies,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NDA Submission and FDA Review Process</w:t>
      </w:r>
    </w:p>
    <w:p>
      <w:pPr>
        <w:spacing w:after="0" w:line="194"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non-clinical studies and of the clinical studies,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Data can come from company-sponsored clinical studies intended to test the safety and effectiveness of a use of the product, or from a number of alternative sources, including studies initiated by independent investigators. Under the Prescription Drug User Fee Act, as amended (“PDUFA”) each NDA must be accompanied by an application user fee. The FDA adjusts the PDUFA user fees on an annual basis. PDUFA also imposes an annual prescription drug program fee for human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0"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 The FDA reviews the NDA to determine, among other things, whether the proposed drug is safe and effective for its intended use, and whether the drug is being manufactured in accordance with cGMP to assure and preserve the drug’s identity, strength, quality and purity.</w:t>
      </w:r>
    </w:p>
    <w:p>
      <w:pPr>
        <w:spacing w:after="0" w:line="173"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59"/>
        <w:spacing w:after="0" w:line="259"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re-analyze clinical trial data and may also audit data from clinical studies to ensure compliance with GCP requirements.</w:t>
      </w:r>
    </w:p>
    <w:p>
      <w:pPr>
        <w:spacing w:after="0" w:line="156" w:lineRule="exact"/>
        <w:rPr>
          <w:sz w:val="20"/>
          <w:szCs w:val="20"/>
          <w:color w:val="auto"/>
        </w:rPr>
      </w:pPr>
    </w:p>
    <w:p>
      <w:pPr>
        <w:ind w:left="40" w:right="59"/>
        <w:spacing w:after="0" w:line="253" w:lineRule="auto"/>
        <w:rPr>
          <w:sz w:val="20"/>
          <w:szCs w:val="20"/>
          <w:color w:val="auto"/>
        </w:rPr>
      </w:pPr>
      <w:r>
        <w:rPr>
          <w:rFonts w:ascii="Arial" w:cs="Arial" w:eastAsia="Arial" w:hAnsi="Arial"/>
          <w:sz w:val="16"/>
          <w:szCs w:val="16"/>
          <w:color w:val="auto"/>
        </w:rPr>
        <w:t>After the FDA evaluates the application, manufacturing process and manufacturing facilities where the drug product and/or its API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application is not ready for approval. A CRL usually describes all of the specific deficiencies in the NDA identified by the FDA. The CRL may require additional clinical data and/or an additional pivotal clinical trial(s), and/or other significant, expensive and time-consuming requirements related to clinical studies, preclinical studies or manufacturing. If a CRL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160"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If a drug receives marketing approval, such approval will be granted for particular indications and may be significantly limited to specific diseases, dosages, or patient populations.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studies and surveillance to monitor the effects of approved drugs. For example, the FDA may require so-called Phase IV testing which involves clinical studies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(“REMS”) to ensure that the benefits of a drug or biological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Pediatric Studies</w:t>
      </w:r>
    </w:p>
    <w:p>
      <w:pPr>
        <w:spacing w:after="0" w:line="194"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Under the Pediatric Research Equity Act,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A sponsor who is planning to submit a marketing application for a drug that includes a new active ingredient, new indication, new dosage form, new dosing regimen or new route of administration must also submit an initial Pediatric Study Plan (“PSP”) within sixty days of an end-of-Phase II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and/or other clinical development programs.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Orphan Drug Designation and Exclusivity</w:t>
      </w:r>
    </w:p>
    <w:p>
      <w:pPr>
        <w:spacing w:after="0" w:line="194"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publicly disclose the identity of the therapeutic agent and its potential use. Orphan product designation does not convey any advantage in or shorten the duration of the regulatory review and approval process.</w:t>
      </w:r>
    </w:p>
    <w:p>
      <w:pPr>
        <w:spacing w:after="0" w:line="170"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meaning that the FDA may not approve any other applications for the same product for the same indication for seven years, including a full NDA, except in certain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73" w:lineRule="exact"/>
        <w:rPr>
          <w:sz w:val="20"/>
          <w:szCs w:val="20"/>
          <w:color w:val="auto"/>
        </w:rPr>
      </w:pPr>
    </w:p>
    <w:p>
      <w:pPr>
        <w:ind w:left="40" w:right="259"/>
        <w:spacing w:after="0" w:line="239"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Post-Marketing Requirements</w:t>
      </w:r>
    </w:p>
    <w:p>
      <w:pPr>
        <w:spacing w:after="0" w:line="194" w:lineRule="exact"/>
        <w:rPr>
          <w:sz w:val="20"/>
          <w:szCs w:val="20"/>
          <w:color w:val="auto"/>
        </w:rPr>
      </w:pPr>
    </w:p>
    <w:p>
      <w:pPr>
        <w:ind w:left="40" w:right="139"/>
        <w:spacing w:after="0" w:line="238" w:lineRule="auto"/>
        <w:rPr>
          <w:sz w:val="20"/>
          <w:szCs w:val="20"/>
          <w:color w:val="auto"/>
        </w:rPr>
      </w:pPr>
      <w:r>
        <w:rPr>
          <w:rFonts w:ascii="Arial" w:cs="Arial" w:eastAsia="Arial" w:hAnsi="Arial"/>
          <w:sz w:val="17"/>
          <w:szCs w:val="17"/>
          <w:color w:val="auto"/>
        </w:rPr>
        <w:t>Following approval of a new drug, the NDA sponsor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applicable promotion and advertising requirements. Modifications or enhancements to the drug or its labeling or changes of the site of manufacture are often subject to the approval of the FDA and other regulators, which may or may not be received or may result in a lengthy review process.</w:t>
      </w:r>
    </w:p>
    <w:p>
      <w:pPr>
        <w:spacing w:after="0" w:line="170" w:lineRule="exact"/>
        <w:rPr>
          <w:sz w:val="20"/>
          <w:szCs w:val="20"/>
          <w:color w:val="auto"/>
        </w:rPr>
      </w:pPr>
    </w:p>
    <w:p>
      <w:pPr>
        <w:ind w:left="40" w:right="79"/>
        <w:spacing w:after="0" w:line="252" w:lineRule="auto"/>
        <w:rPr>
          <w:sz w:val="20"/>
          <w:szCs w:val="20"/>
          <w:color w:val="auto"/>
        </w:rPr>
      </w:pPr>
      <w:r>
        <w:rPr>
          <w:rFonts w:ascii="Arial" w:cs="Arial" w:eastAsia="Arial" w:hAnsi="Arial"/>
          <w:sz w:val="16"/>
          <w:szCs w:val="16"/>
          <w:color w:val="auto"/>
        </w:rPr>
        <w:t>FDA regulations also require that approved drug products be manufactured in specific facilities identified in the approved application for marketing and in accordance with cGMP.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63" w:lineRule="exact"/>
        <w:rPr>
          <w:sz w:val="20"/>
          <w:szCs w:val="20"/>
          <w:color w:val="auto"/>
        </w:rPr>
      </w:pPr>
    </w:p>
    <w:p>
      <w:pPr>
        <w:ind w:left="40" w:right="239"/>
        <w:spacing w:after="0" w:line="248"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68" w:lineRule="exact"/>
        <w:rPr>
          <w:sz w:val="20"/>
          <w:szCs w:val="20"/>
          <w:color w:val="auto"/>
        </w:rPr>
      </w:pPr>
    </w:p>
    <w:p>
      <w:pPr>
        <w:ind w:left="680" w:right="479" w:hanging="307"/>
        <w:spacing w:after="0" w:line="264" w:lineRule="auto"/>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fines, warning letters, or untitled letters;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on clinical studies;</w:t>
      </w:r>
    </w:p>
    <w:p>
      <w:pPr>
        <w:spacing w:after="0" w:line="106" w:lineRule="exact"/>
        <w:rPr>
          <w:rFonts w:ascii="Times New Roman" w:cs="Times New Roman" w:eastAsia="Times New Roman" w:hAnsi="Times New Roman"/>
          <w:sz w:val="17"/>
          <w:szCs w:val="17"/>
          <w:color w:val="auto"/>
        </w:rPr>
      </w:pPr>
    </w:p>
    <w:p>
      <w:pPr>
        <w:ind w:left="680" w:right="159" w:hanging="307"/>
        <w:spacing w:after="0" w:line="264" w:lineRule="auto"/>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approvals;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106" w:lineRule="exact"/>
        <w:rPr>
          <w:rFonts w:ascii="Times New Roman" w:cs="Times New Roman" w:eastAsia="Times New Roman" w:hAnsi="Times New Roman"/>
          <w:sz w:val="17"/>
          <w:szCs w:val="17"/>
          <w:color w:val="auto"/>
        </w:rPr>
      </w:pPr>
    </w:p>
    <w:p>
      <w:pPr>
        <w:ind w:left="680" w:right="559" w:hanging="307"/>
        <w:spacing w:after="0" w:line="264" w:lineRule="auto"/>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 or</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or criminal penalties.</w:t>
      </w:r>
    </w:p>
    <w:p>
      <w:pPr>
        <w:spacing w:after="0" w:line="208"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Marketing Exclusivity</w:t>
      </w:r>
    </w:p>
    <w:p>
      <w:pPr>
        <w:spacing w:after="0" w:line="194"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Market exclusivity provisions under the FDCA can delay the acceptance by the FDA for review,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or 505(b)(2) NDA, submitted by another company for another drug based on the same active moiety, regardless of whether the drug is intended for the same indication as the original reference drug or for another indication, where the applicant does not own or have a legal right of reference to all the data required for approval. However, an application may be accepted for review after four years if it contains a certification of patent invalidity or non-infringement to one of the patents listed with the FDA for the reference drug.</w:t>
      </w:r>
    </w:p>
    <w:p>
      <w:pPr>
        <w:spacing w:after="0" w:line="170" w:lineRule="exact"/>
        <w:rPr>
          <w:sz w:val="20"/>
          <w:szCs w:val="20"/>
          <w:color w:val="auto"/>
        </w:rPr>
      </w:pPr>
    </w:p>
    <w:p>
      <w:pPr>
        <w:ind w:left="40" w:right="279"/>
        <w:spacing w:after="0" w:line="265"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63" w:lineRule="auto"/>
        <w:rPr>
          <w:sz w:val="20"/>
          <w:szCs w:val="20"/>
          <w:color w:val="auto"/>
        </w:rPr>
      </w:pPr>
      <w:r>
        <w:rPr>
          <w:rFonts w:ascii="Arial" w:cs="Arial" w:eastAsia="Arial" w:hAnsi="Arial"/>
          <w:sz w:val="16"/>
          <w:szCs w:val="16"/>
          <w:color w:val="auto"/>
        </w:rPr>
        <w:t>sponsored by the applicant are deemed by the FDA to be essential to the approval of the application, such as new indications, dosages or strengths of an existing drug. This three-year exclusivity covers only the modification for which the drug received approval on the basis of the new clinical investigations and does not prohibit the FDA from approving abbreviated NDAs or 505(b)(2) NDAs for drugs containing the active agent for the original indication or condition of use.</w:t>
      </w:r>
    </w:p>
    <w:p>
      <w:pPr>
        <w:spacing w:after="0" w:line="153"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Five-year and three-year exclusivity will not delay the submission or approval of a full NDA. However, an applicant submitting a full NDA would be required to conduct or obtain a right of reference to any preclinical studies and adequate and well-controlled clinical studies necessary to demonstrate safety and effectiveness.</w:t>
      </w:r>
    </w:p>
    <w:p>
      <w:pPr>
        <w:spacing w:after="0" w:line="164"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studies in children in response to a written request from the FDA. The issuance of a written request does not require the sponsor to undertake the described clinical studies.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Other U.S. Regulatory Matters</w:t>
      </w:r>
    </w:p>
    <w:p>
      <w:pPr>
        <w:spacing w:after="0" w:line="194" w:lineRule="exact"/>
        <w:rPr>
          <w:sz w:val="20"/>
          <w:szCs w:val="20"/>
          <w:color w:val="auto"/>
        </w:rPr>
      </w:pPr>
    </w:p>
    <w:p>
      <w:pPr>
        <w:ind w:left="40" w:right="79"/>
        <w:spacing w:after="0" w:line="253" w:lineRule="auto"/>
        <w:rPr>
          <w:sz w:val="20"/>
          <w:szCs w:val="20"/>
          <w:color w:val="auto"/>
        </w:rPr>
      </w:pPr>
      <w:r>
        <w:rPr>
          <w:rFonts w:ascii="Arial" w:cs="Arial" w:eastAsia="Arial" w:hAnsi="Arial"/>
          <w:sz w:val="16"/>
          <w:szCs w:val="16"/>
          <w:color w:val="auto"/>
        </w:rPr>
        <w:t>Manufacturing, sales, promotion and other activities following drug approval are also subject to regulation by numerous regulatory authorities in addition to the FDA, including, in the United States, the Centers for Medicare &amp; Medicaid Services (“CMS”), other divisions of the Department of Health and Human Services, the Consumer Product Safety Commission, the Federal Trade Commission, the Occupational Safety &amp; Health Administration, the Environmental Protection Agency and state and local governments. In the United States, the activities of pharmaceutical manufacturers are subject to federal and state laws designed to prevent fraud and abuse in the healthcare industry. The laws generally limit financial interactions between manufacturers and health care providers or other participants in the healthcare industry and/or require disclosure to the government and public of such interactions. Many of these laws and regulations contain ambiguous requirements or require administrative guidance for implementation.</w:t>
      </w:r>
    </w:p>
    <w:p>
      <w:pPr>
        <w:spacing w:after="0" w:line="160" w:lineRule="exact"/>
        <w:rPr>
          <w:sz w:val="20"/>
          <w:szCs w:val="20"/>
          <w:color w:val="auto"/>
        </w:rPr>
      </w:pPr>
    </w:p>
    <w:p>
      <w:pPr>
        <w:ind w:left="40" w:right="279"/>
        <w:spacing w:after="0" w:line="238" w:lineRule="auto"/>
        <w:rPr>
          <w:sz w:val="20"/>
          <w:szCs w:val="20"/>
          <w:color w:val="auto"/>
        </w:rPr>
      </w:pPr>
      <w:r>
        <w:rPr>
          <w:rFonts w:ascii="Arial" w:cs="Arial" w:eastAsia="Arial" w:hAnsi="Arial"/>
          <w:sz w:val="17"/>
          <w:szCs w:val="17"/>
          <w:color w:val="auto"/>
        </w:rPr>
        <w:t>Pharmaceutical manufacturers are also required to provide discounts or rebates under government healthcare programs or to certain government and private purchasers in order to obtain coverage under federal healthcare programs such as Medicaid. Participation in such programs may require tracking and reporting of certain drug prices. Manufacturers are subject to fines and other penalties if such prices are not reported accurately.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70" w:lineRule="exact"/>
        <w:rPr>
          <w:sz w:val="20"/>
          <w:szCs w:val="20"/>
          <w:color w:val="auto"/>
        </w:rPr>
      </w:pPr>
    </w:p>
    <w:p>
      <w:pPr>
        <w:ind w:left="40" w:right="539"/>
        <w:spacing w:after="0" w:line="248" w:lineRule="auto"/>
        <w:rPr>
          <w:sz w:val="20"/>
          <w:szCs w:val="20"/>
          <w:color w:val="auto"/>
        </w:rPr>
      </w:pPr>
      <w:r>
        <w:rPr>
          <w:rFonts w:ascii="Arial" w:cs="Arial" w:eastAsia="Arial" w:hAnsi="Arial"/>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64" w:lineRule="exact"/>
        <w:rPr>
          <w:sz w:val="20"/>
          <w:szCs w:val="20"/>
          <w:color w:val="auto"/>
        </w:rPr>
      </w:pPr>
    </w:p>
    <w:p>
      <w:pPr>
        <w:ind w:left="40" w:right="59"/>
        <w:spacing w:after="0" w:line="254" w:lineRule="auto"/>
        <w:rPr>
          <w:sz w:val="20"/>
          <w:szCs w:val="20"/>
          <w:color w:val="auto"/>
        </w:rPr>
      </w:pPr>
      <w:r>
        <w:rPr>
          <w:rFonts w:ascii="Arial" w:cs="Arial" w:eastAsia="Arial" w:hAnsi="Arial"/>
          <w:sz w:val="16"/>
          <w:szCs w:val="16"/>
          <w:color w:val="auto"/>
        </w:rPr>
        <w:t>The failure to comply with regulatory requirements subjects manufacturers to possible legal or regulatory action. Depending on the circumstances, failure to meet applicable regulatory requirements can result in criminal prosecution, fines, civil monetary or other penalties, injunctions, recall or seizure of drugs, total or partial suspension of production, denial or withdrawal of product approvals, additional regulatory oversight and integrity monitoring, exclusion from participation in government healthcare programs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Pharmaceutical Product Development and Approval</w:t>
      </w:r>
    </w:p>
    <w:p>
      <w:pPr>
        <w:spacing w:after="0" w:line="194" w:lineRule="exact"/>
        <w:rPr>
          <w:sz w:val="20"/>
          <w:szCs w:val="20"/>
          <w:color w:val="auto"/>
        </w:rPr>
      </w:pPr>
    </w:p>
    <w:p>
      <w:pPr>
        <w:ind w:left="40" w:right="159"/>
        <w:spacing w:after="0" w:line="296" w:lineRule="auto"/>
        <w:rPr>
          <w:sz w:val="20"/>
          <w:szCs w:val="20"/>
          <w:color w:val="auto"/>
        </w:rPr>
      </w:pPr>
      <w:r>
        <w:rPr>
          <w:rFonts w:ascii="Arial" w:cs="Arial" w:eastAsia="Arial" w:hAnsi="Arial"/>
          <w:sz w:val="16"/>
          <w:szCs w:val="16"/>
          <w:color w:val="auto"/>
        </w:rPr>
        <w:t>Since China’s entry into the World Trade Organization in 2001, the Chinese government has made significant efforts to standardize regulations, develop its pharmaceutical regulatory system and strengthen intellectual property protection.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In October 2017, China’s drug regulatory system entered a new and significant period of reform. The General Office of the State Council and the General Office of the Communist Party of China Central Committee jointly issued the Opinion on Deepening the Reform of the Regulatory Approval System to Encourage Innovation in Drugs and Medical Devices, or the Innovation Opinion, which is a mandatory plan to further reform the review and approval system and to encourage the innovation of drugs and medical devices. Under the Innovation Opinion and other recent reforms, the expedited programs and other advantages encourage drug manufacturers to seek marketing approval in China first and to develop drugs in high priority disease areas, such as oncology or rare disease.</w:t>
      </w:r>
    </w:p>
    <w:p>
      <w:pPr>
        <w:spacing w:after="0" w:line="170"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To implement the regulatory reform introduced by the Innovation Opinion, the Standing Committee of the National People’s Congress of the PRC (“SCNPC”) and the National Medical Products Administration (“NMPA”) have revised the fundamental laws, regulations and rules governing pharmaceutical products and the pharmaceutical industry, including the amendment of the framework law known as the People’s Republic of China Drug Administration Law (“PRC Drug Administration Law”), which became effective on December 1, 2019. The State Administration for Market Regulation (“SAMR”) has promulgated two key implementing regulations for the PRC Drug Administration Law: (i) the amended Administrative Measures for Drug Registration and (ii) the amended Measures on the Supervision and Administration of the Manufacture of Drugs. Both regulations took effect on July 1, 2020.</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Rest of the World Regulation of Pharmaceutical Product Development and Approval</w:t>
      </w:r>
    </w:p>
    <w:p>
      <w:pPr>
        <w:spacing w:after="0" w:line="194" w:lineRule="exact"/>
        <w:rPr>
          <w:sz w:val="20"/>
          <w:szCs w:val="20"/>
          <w:color w:val="auto"/>
        </w:rPr>
      </w:pPr>
    </w:p>
    <w:p>
      <w:pPr>
        <w:ind w:left="40" w:right="159"/>
        <w:spacing w:after="0" w:line="243" w:lineRule="auto"/>
        <w:rPr>
          <w:sz w:val="20"/>
          <w:szCs w:val="20"/>
          <w:color w:val="auto"/>
        </w:rPr>
      </w:pPr>
      <w:r>
        <w:rPr>
          <w:rFonts w:ascii="Arial" w:cs="Arial" w:eastAsia="Arial" w:hAnsi="Arial"/>
          <w:sz w:val="17"/>
          <w:szCs w:val="17"/>
          <w:color w:val="auto"/>
        </w:rPr>
        <w:t>For other countries outside of Asia and the United States, such as countries in Europe, Latin America or other parts of Asia, the requirements governing the conduct of clinical studies, drug licensing, pricing and reimbursement vary from country to country. In all cases the clinical studies must be conducted in accordance with applicable GCP requirements and the applicable regulatory requirements and ethical principles.</w:t>
      </w:r>
    </w:p>
    <w:p>
      <w:pPr>
        <w:spacing w:after="0" w:line="168" w:lineRule="exact"/>
        <w:rPr>
          <w:sz w:val="20"/>
          <w:szCs w:val="20"/>
          <w:color w:val="auto"/>
        </w:rPr>
      </w:pPr>
    </w:p>
    <w:p>
      <w:pPr>
        <w:ind w:left="40" w:right="359"/>
        <w:spacing w:after="0" w:line="248"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Other Healthcare Laws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Other U.S. Healthcare Laws</w:t>
      </w:r>
    </w:p>
    <w:p>
      <w:pPr>
        <w:spacing w:after="0" w:line="194" w:lineRule="exact"/>
        <w:rPr>
          <w:sz w:val="20"/>
          <w:szCs w:val="20"/>
          <w:color w:val="auto"/>
        </w:rPr>
      </w:pPr>
    </w:p>
    <w:p>
      <w:pPr>
        <w:jc w:val="both"/>
        <w:ind w:left="40" w:right="99"/>
        <w:spacing w:after="0" w:line="248" w:lineRule="auto"/>
        <w:rPr>
          <w:sz w:val="20"/>
          <w:szCs w:val="20"/>
          <w:color w:val="auto"/>
        </w:rPr>
      </w:pPr>
      <w:r>
        <w:rPr>
          <w:rFonts w:ascii="Arial" w:cs="Arial" w:eastAsia="Arial" w:hAnsi="Arial"/>
          <w:sz w:val="17"/>
          <w:szCs w:val="17"/>
          <w:color w:val="auto"/>
        </w:rPr>
        <w:t>We may also be subject to healthcare regulation and enforcement by the U.S. federal government and the states where we may market our drug candidates, if approved. These laws include, without limitation, state and federal anti-kickback, fraud and abuse, false claims, privacy and security and transparency laws, such as the following:</w:t>
      </w:r>
    </w:p>
    <w:p>
      <w:pPr>
        <w:spacing w:after="0" w:line="164" w:lineRule="exact"/>
        <w:rPr>
          <w:sz w:val="20"/>
          <w:szCs w:val="20"/>
          <w:color w:val="auto"/>
        </w:rPr>
      </w:pPr>
    </w:p>
    <w:p>
      <w:pPr>
        <w:ind w:left="680" w:right="99" w:hanging="307"/>
        <w:spacing w:after="0"/>
        <w:tabs>
          <w:tab w:leader="none" w:pos="68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federal Anti-Kickback Statute,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A person or entity does not need to have actual knowledge of the statute or specific intent to violate it in order to have committed a violation;</w:t>
      </w:r>
    </w:p>
    <w:p>
      <w:pPr>
        <w:spacing w:after="0" w:line="69" w:lineRule="exact"/>
        <w:rPr>
          <w:rFonts w:ascii="Times New Roman" w:cs="Times New Roman" w:eastAsia="Times New Roman" w:hAnsi="Times New Roman"/>
          <w:sz w:val="17"/>
          <w:szCs w:val="17"/>
          <w:color w:val="auto"/>
        </w:rPr>
      </w:pPr>
    </w:p>
    <w:p>
      <w:pPr>
        <w:ind w:left="680" w:right="199" w:hanging="307"/>
        <w:spacing w:after="0"/>
        <w:tabs>
          <w:tab w:leader="none" w:pos="68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federal false claims laws, including the False Claim Act and the Civil Monetary Penalties Law, which prohibit, among other things, individuals or entities from knowingly presenting, or causing to be presented, information or claims for payment from Medicare, Medicaid, or other third-party payors that are false or fraudulent. In addition, a claim including items or services resulting from a violation of the U.S. federal Anti-Kickback Statute constitutes a false or fraudulent claim for purposes of the federal civil False Claims Act;</w:t>
      </w:r>
    </w:p>
    <w:p>
      <w:pPr>
        <w:spacing w:after="0" w:line="69" w:lineRule="exact"/>
        <w:rPr>
          <w:rFonts w:ascii="Times New Roman" w:cs="Times New Roman" w:eastAsia="Times New Roman" w:hAnsi="Times New Roman"/>
          <w:sz w:val="17"/>
          <w:szCs w:val="17"/>
          <w:color w:val="auto"/>
        </w:rPr>
      </w:pPr>
    </w:p>
    <w:p>
      <w:pPr>
        <w:ind w:left="680" w:right="119" w:hanging="307"/>
        <w:spacing w:after="0" w:line="248" w:lineRule="auto"/>
        <w:tabs>
          <w:tab w:leader="none" w:pos="68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Health Insurance Portability and Accountability Act of 1996 (“HIPAA”), which prohibits, among other things, executing or attempting to execute a scheme to defraud any healthcare benefit program (including private health plans) or making false statements relating to healthcare matters.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239"/>
        <w:spacing w:after="0" w:line="265" w:lineRule="auto"/>
        <w:rPr>
          <w:sz w:val="20"/>
          <w:szCs w:val="20"/>
          <w:color w:val="auto"/>
        </w:rPr>
      </w:pPr>
      <w:r>
        <w:rPr>
          <w:rFonts w:ascii="Arial" w:cs="Arial" w:eastAsia="Arial" w:hAnsi="Arial"/>
          <w:sz w:val="17"/>
          <w:szCs w:val="17"/>
          <w:color w:val="auto"/>
        </w:rPr>
        <w:t>Similar to the federal Anti-Kickback Statute, a person or entity does not need to have actual knowledge of the statute or specific intent to violate it in order to have committed a violation;</w:t>
      </w:r>
    </w:p>
    <w:p>
      <w:pPr>
        <w:spacing w:after="0" w:line="48" w:lineRule="exact"/>
        <w:rPr>
          <w:sz w:val="20"/>
          <w:szCs w:val="20"/>
          <w:color w:val="auto"/>
        </w:rPr>
      </w:pPr>
    </w:p>
    <w:p>
      <w:pPr>
        <w:ind w:left="680" w:right="159" w:hanging="307"/>
        <w:spacing w:after="0" w:line="248" w:lineRule="auto"/>
        <w:tabs>
          <w:tab w:leader="none" w:pos="6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Food, Drug, and Cosmetic Act (“FDCA”), which among other things, strictly regulates drug product and medical device marketing, prohibits manufacturers from marketing such products prior to approval or for off-label use and regulates the distribution of samples;</w:t>
      </w:r>
    </w:p>
    <w:p>
      <w:pPr>
        <w:spacing w:after="0" w:line="62" w:lineRule="exact"/>
        <w:rPr>
          <w:rFonts w:ascii="Times New Roman" w:cs="Times New Roman" w:eastAsia="Times New Roman" w:hAnsi="Times New Roman"/>
          <w:sz w:val="17"/>
          <w:szCs w:val="17"/>
          <w:color w:val="auto"/>
        </w:rPr>
      </w:pPr>
    </w:p>
    <w:p>
      <w:pPr>
        <w:ind w:left="680" w:right="439" w:hanging="307"/>
        <w:spacing w:after="0" w:line="248" w:lineRule="auto"/>
        <w:tabs>
          <w:tab w:leader="none" w:pos="6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62" w:lineRule="exact"/>
        <w:rPr>
          <w:rFonts w:ascii="Times New Roman" w:cs="Times New Roman" w:eastAsia="Times New Roman" w:hAnsi="Times New Roman"/>
          <w:sz w:val="17"/>
          <w:szCs w:val="17"/>
          <w:color w:val="auto"/>
        </w:rPr>
      </w:pPr>
    </w:p>
    <w:p>
      <w:pPr>
        <w:ind w:left="680" w:right="119" w:hanging="307"/>
        <w:spacing w:after="0" w:line="238" w:lineRule="auto"/>
        <w:tabs>
          <w:tab w:leader="none" w:pos="6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68" w:lineRule="exact"/>
        <w:rPr>
          <w:rFonts w:ascii="Times New Roman" w:cs="Times New Roman" w:eastAsia="Times New Roman" w:hAnsi="Times New Roman"/>
          <w:sz w:val="17"/>
          <w:szCs w:val="17"/>
          <w:color w:val="auto"/>
        </w:rPr>
      </w:pPr>
    </w:p>
    <w:p>
      <w:pPr>
        <w:ind w:left="680" w:right="259" w:hanging="307"/>
        <w:spacing w:after="0" w:line="239" w:lineRule="auto"/>
        <w:tabs>
          <w:tab w:leader="none" w:pos="6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HIPAA, as amended by the Health Information Technology for Economic and Clinical Health Act (“HITECH”), and their implementing regulations, imposes obligations, including mandatory contractual terms, on “covered entities,” including certain healthcare providers, health plans, healthcare clearinghouses, and their respective “business associates,” and their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68" w:lineRule="exact"/>
        <w:rPr>
          <w:rFonts w:ascii="Times New Roman" w:cs="Times New Roman" w:eastAsia="Times New Roman" w:hAnsi="Times New Roman"/>
          <w:sz w:val="17"/>
          <w:szCs w:val="17"/>
          <w:color w:val="auto"/>
        </w:rPr>
      </w:pPr>
    </w:p>
    <w:p>
      <w:pPr>
        <w:ind w:left="680" w:right="79" w:hanging="307"/>
        <w:spacing w:after="0" w:line="239" w:lineRule="auto"/>
        <w:tabs>
          <w:tab w:leader="none" w:pos="68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state law equivalents of the above federal laws, such as anti-kickback and false claims laws, which may apply to items or services reimbursed by any third-party payor, including private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69" w:lineRule="exact"/>
        <w:rPr>
          <w:sz w:val="20"/>
          <w:szCs w:val="20"/>
          <w:color w:val="auto"/>
        </w:rPr>
      </w:pPr>
    </w:p>
    <w:p>
      <w:pPr>
        <w:ind w:left="40" w:right="1019"/>
        <w:spacing w:after="0" w:line="265" w:lineRule="auto"/>
        <w:rPr>
          <w:sz w:val="20"/>
          <w:szCs w:val="20"/>
          <w:color w:val="auto"/>
        </w:rPr>
      </w:pPr>
      <w:r>
        <w:rPr>
          <w:rFonts w:ascii="Arial" w:cs="Arial" w:eastAsia="Arial" w:hAnsi="Arial"/>
          <w:sz w:val="17"/>
          <w:szCs w:val="17"/>
          <w:color w:val="auto"/>
        </w:rPr>
        <w:t>We may also be subject to federal consumer protection and unfair competition laws, which broadly regulate marketplace activities and activities that potentially harm consumers.</w:t>
      </w:r>
    </w:p>
    <w:p>
      <w:pPr>
        <w:spacing w:after="0" w:line="149"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Efforts to ensure that our activities comply with applicable healthcare laws may involve substantial costs. Many of these laws and their implementing regulations contain ambiguous requirements or require administrative guidance for implementation. Given the lack of clarity in laws and their implementation, our activities could be subject to challenge. If our operations were found to be in violation of any of these laws or any other governmental regulations that may apply to us, we could be subject to significant civil, criminal and administrative penalties, including, without limitation, damages, fines, imprisonment, additional regulatory oversight and integrity monitoring, exclusion from participation in government healthcare programs, such as Medicare and Medicaid, and the curtailment or restructuring of our operations.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Coverage and Reimbursement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 Coverage and Reimbursement</w:t>
      </w:r>
    </w:p>
    <w:p>
      <w:pPr>
        <w:spacing w:after="0" w:line="194" w:lineRule="exact"/>
        <w:rPr>
          <w:sz w:val="20"/>
          <w:szCs w:val="20"/>
          <w:color w:val="auto"/>
        </w:rPr>
      </w:pPr>
    </w:p>
    <w:p>
      <w:pPr>
        <w:ind w:left="40" w:right="139"/>
        <w:spacing w:after="0" w:line="238" w:lineRule="auto"/>
        <w:rPr>
          <w:sz w:val="20"/>
          <w:szCs w:val="20"/>
          <w:color w:val="auto"/>
        </w:rPr>
      </w:pPr>
      <w:r>
        <w:rPr>
          <w:rFonts w:ascii="Arial" w:cs="Arial" w:eastAsia="Arial" w:hAnsi="Arial"/>
          <w:sz w:val="17"/>
          <w:szCs w:val="17"/>
          <w:color w:val="auto"/>
        </w:rPr>
        <w:t>Successful sales of our drug candidates in the U.S. market, if approved, will depend, in part, on the extent to which our drugs will be covered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pacing w:after="0" w:line="170"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spacing w:after="0" w:line="170" w:lineRule="exact"/>
        <w:rPr>
          <w:sz w:val="20"/>
          <w:szCs w:val="20"/>
          <w:color w:val="auto"/>
        </w:rPr>
      </w:pPr>
    </w:p>
    <w:p>
      <w:pPr>
        <w:ind w:left="40" w:right="239"/>
        <w:spacing w:after="0" w:line="248" w:lineRule="auto"/>
        <w:rPr>
          <w:sz w:val="20"/>
          <w:szCs w:val="20"/>
          <w:color w:val="auto"/>
        </w:rPr>
      </w:pPr>
      <w:r>
        <w:rPr>
          <w:rFonts w:ascii="Arial" w:cs="Arial" w:eastAsia="Arial" w:hAnsi="Arial"/>
          <w:sz w:val="17"/>
          <w:szCs w:val="17"/>
          <w:color w:val="auto"/>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 Health Care Reform</w:t>
      </w:r>
    </w:p>
    <w:p>
      <w:pPr>
        <w:spacing w:after="0" w:line="194"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(“ACA”) was passed which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judicial, Congressional and executive branch challenges and amendments to certain aspects of the ACA, including efforts to repeal or replace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w:t>
      </w:r>
    </w:p>
    <w:p>
      <w:pPr>
        <w:spacing w:after="0" w:line="171" w:lineRule="exact"/>
        <w:rPr>
          <w:sz w:val="20"/>
          <w:szCs w:val="20"/>
          <w:color w:val="auto"/>
        </w:rPr>
      </w:pPr>
    </w:p>
    <w:p>
      <w:pPr>
        <w:ind w:left="40" w:right="79"/>
        <w:spacing w:after="0" w:line="251" w:lineRule="auto"/>
        <w:rPr>
          <w:sz w:val="20"/>
          <w:szCs w:val="20"/>
          <w:color w:val="auto"/>
        </w:rPr>
      </w:pPr>
      <w:r>
        <w:rPr>
          <w:rFonts w:ascii="Arial" w:cs="Arial" w:eastAsia="Arial" w:hAnsi="Arial"/>
          <w:sz w:val="16"/>
          <w:szCs w:val="16"/>
          <w:color w:val="auto"/>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(1) directs the U.S. Department of Health and Human Services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HHS will select up to fifteen additional drugs covered under Part D for price negotiation in 2025. Each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Additional healthcare reform initiatives may be adopted in the future, particularly in light of the upcoming recent U.S. presidential and Congressional elections.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Other Significant Chinese Regulation Affecting Our Business Activities in China</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Foreign Investment</w:t>
      </w:r>
    </w:p>
    <w:p>
      <w:pPr>
        <w:spacing w:after="0" w:line="194"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The establishment, operation and management of corporate entities in China are governed by the Company Law of the People’s Republic of China (the “PRC Company Law”), which was adopted by the SCNPC in December 1993, implemented in July 1994, and subsequently amended in December 1999, August 2004, October 2005,</w:t>
      </w:r>
    </w:p>
    <w:p>
      <w:pPr>
        <w:ind w:left="40" w:right="59"/>
        <w:spacing w:after="0" w:line="235" w:lineRule="auto"/>
        <w:rPr>
          <w:sz w:val="20"/>
          <w:szCs w:val="20"/>
          <w:color w:val="auto"/>
        </w:rPr>
      </w:pPr>
      <w:r>
        <w:rPr>
          <w:rFonts w:ascii="Arial" w:cs="Arial" w:eastAsia="Arial" w:hAnsi="Arial"/>
          <w:sz w:val="17"/>
          <w:szCs w:val="17"/>
          <w:color w:val="auto"/>
        </w:rPr>
        <w:t>December 2013 and October 2018. Under the PRC Company Law, companies are generally classified into two categories: limited liability companies and companies limited by shares. The PRC Company Law also applies to foreign-invested limited liability companies. The most recent amendment of the PRC Company Law was adopted in December 2023 and came into effect on July 1, 2024, which introduced multiple updates to the current PRC Company Law with regard to, among others, the capital contribution liability, corporate governance structure and responsibilities of directors, supervisors, senior managers, controlling shareholders and actual controllers.</w:t>
      </w:r>
    </w:p>
    <w:p>
      <w:pPr>
        <w:spacing w:after="0" w:line="174"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Investment activities in China by foreign investors are governed by the Guiding Foreign Investment Direction, which was promulgated by the State Council on February 11, 2002 and came into effect on April 1, 2002, and the latest Special Administrative Measures (Negative List) for Foreign Investment Access (2024) (the “Negative List”), which was promulgated by the Ministry of Commerce of the People’s Republic of China (“MOFCOM”), and National Development and Reform Commission (“NDRC”), on September 26, 2024 and took effect on November 1, 2024. The Negative List set out in a unified manner the restrictive measures, such as the requirements on shareholding percentages and management, for the access of foreign investments, and the industries that are prohibited for foreign investment. The Negative List covers 11 industries, and any field not falling in the Negative List shall be administered under the principle of equal treatment to domestic and foreign investment.</w:t>
      </w:r>
    </w:p>
    <w:p>
      <w:pPr>
        <w:spacing w:after="0" w:line="176"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The Foreign Investment Law of the People’s Republic of China (the “Foreign Investment Law”) was promulgated by the National People’s Congress (“NPC”) in March 2019 and became effective in January 2020. After the Foreign Investment Law came into force, the Law on Wholly Foreign-Owned Enterprises of the People’s Republic of China, the Law on Sino-foreign Equity Joint Ventures of the People’s Republic of China and the Law on Sino-foreign Contractual Joint Ventures of the People’s Republic of China have been repealed simultaneously. The investment activities of foreign natural persons, enterprises or other organizations (hereinafter referred to as foreign investors) directly or indirectly within the territory of China shall comply with and be governed by the Foreign Investment Law, including: (i) establishing by foreign investors of foreign-invested enterprises in China alone or jointly with other investors; (ii) acquiring by foreign investors of shares, equity, property shares, or other similar interests of Chinese domestic enterprises; (iii) investing by foreign investors in new projects in China alone or jointly with other investors; (iv) other forms of investment prescribed by laws, administrative regulations or the State Council.</w:t>
      </w:r>
    </w:p>
    <w:p>
      <w:pPr>
        <w:spacing w:after="0" w:line="170"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In December 2019, the State Council issued the Regulations on Implementing the Foreign Investment Law, which came into effect in January 2020. After the Regulations on Implementing the Foreign Investment Law came into effect, the Regulation on Implementing the Sino-Foreign Equity Joint Venture Enterprise Law, Provisional Regulations on the Duration of Sino-Foreign Equity Joint Venture Enterprise, the Regulations on Implementing the Wholly Foreign-Owned Enterprise Law and the Regulations on Implementing the Sino-Foreign Cooperative Joint Venture Enterprise Law have been repealed simultaneously.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In December 2019, the MOFCOM and the SAMR issued the Measures for the Reporting of Foreign Investment Information, which came into effect in January 2020. After the Measures for the Reporting of Foreign Investment Information came into effect, the Interim Measures on the Administration of Filing for Establishment and Change of Foreign Investment Enterprises has been repealed simultaneously. Since January 1, 2020, for foreign investors carrying out investment activities directly or indirectly in China, the foreign investors or foreign-invested enterprises shall submit investment information to the relevant commerce administrative authorities pursuant to these measures.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Commercial Bribery</w:t>
      </w:r>
    </w:p>
    <w:p>
      <w:pPr>
        <w:spacing w:after="0" w:line="194" w:lineRule="exact"/>
        <w:rPr>
          <w:sz w:val="20"/>
          <w:szCs w:val="20"/>
          <w:color w:val="auto"/>
        </w:rPr>
      </w:pPr>
    </w:p>
    <w:p>
      <w:pPr>
        <w:ind w:left="40" w:right="99"/>
        <w:spacing w:after="0" w:line="250" w:lineRule="auto"/>
        <w:rPr>
          <w:sz w:val="20"/>
          <w:szCs w:val="20"/>
          <w:color w:val="auto"/>
        </w:rPr>
      </w:pPr>
      <w:r>
        <w:rPr>
          <w:rFonts w:ascii="Arial" w:cs="Arial" w:eastAsia="Arial" w:hAnsi="Arial"/>
          <w:sz w:val="16"/>
          <w:szCs w:val="16"/>
          <w:color w:val="auto"/>
        </w:rPr>
        <w:t>Pursuant to specific provisions in the amended People’s Republic of China Anti-Unfair Competition Law, commercial bribery is prohibited. Both the bribe giver and bribe recipient are subject to civil and criminal liability. Further, pharmaceutical companies involved in a criminal investigation or administrative proceedings related to bribery are listed in the Adverse Records of Commercial Briberies by its provincial health and family planning administrative department. Pursuant to the Provisions on the Establishment of Adverse Records of Commercial Briberies in the Medicine Purchase and Sales Industry, which became effective on March 1, 2014, provincial health and family planning administrative departments formulate the implementing measures for the establishment of Adverse Records of Commercial Briberies. If a pharmaceutical company is listed in the Adverse Records of Commercial Briberies for the first time, their production is not required to be purchased by public medical institutions. A pharmaceutical company will not be penalized by the relevant Chinese government authorities merely by virtue of having contractual relationships with distributors or third-party promoters who are engaged in bribery activities, so long as such pharmaceutical company and its employees are not utilizing the distributors or third-party promoters for the implementation of, or acting in conjunction with them in, the prohibited bribery activities. In addition, a pharmaceutical company is under no legal obligation to monitor the operating activities of its distributors and third-party promoters, and it will not be subject to penalties or sanctions by relevant Chinese government authorities as a result of failure to monitor their operating activities.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Product Liability</w:t>
      </w:r>
    </w:p>
    <w:p>
      <w:pPr>
        <w:spacing w:after="0" w:line="194" w:lineRule="exact"/>
        <w:rPr>
          <w:sz w:val="20"/>
          <w:szCs w:val="20"/>
          <w:color w:val="auto"/>
        </w:rPr>
      </w:pPr>
    </w:p>
    <w:p>
      <w:pPr>
        <w:ind w:left="40" w:right="119"/>
        <w:spacing w:after="0" w:line="253" w:lineRule="auto"/>
        <w:rPr>
          <w:sz w:val="20"/>
          <w:szCs w:val="20"/>
          <w:color w:val="auto"/>
        </w:rPr>
      </w:pPr>
      <w:r>
        <w:rPr>
          <w:rFonts w:ascii="Arial" w:cs="Arial" w:eastAsia="Arial" w:hAnsi="Arial"/>
          <w:sz w:val="16"/>
          <w:szCs w:val="16"/>
          <w:color w:val="auto"/>
        </w:rPr>
        <w:t>In addition to the strict new drug approval process, certain Chinese laws have been promulgated to protect the rights of consumers and to strengthen the control of medical products in China. Under current Chinese law, manufacturers and vendors of defective products in China may incur liability for loss and injury caused by such products. Pursuant to the General Principles of the Civil Law of the People’s Republic of China (“PRC Civil Law”) promulgated on April 12, 1986 and amended on August 27, 2009, a defective product which causes property damage or physical injury to any person may subject the manufacturer or vendor of such product to civil liability for such damage or injury. The Civil Code of the People’s Republic of China (“PRC Civil Code”), which was promulgated in May 2020 and became effective on January 1, 2021, amalgamates and replaces a series of specialized laws in civil law area, including the PRC Civil Law. The rules on product liability in the PRC Civil Code remain consistent with the rules in the PRC Civil Law.</w:t>
      </w:r>
    </w:p>
    <w:p>
      <w:pPr>
        <w:spacing w:after="0" w:line="160" w:lineRule="exact"/>
        <w:rPr>
          <w:sz w:val="20"/>
          <w:szCs w:val="20"/>
          <w:color w:val="auto"/>
        </w:rPr>
      </w:pPr>
    </w:p>
    <w:p>
      <w:pPr>
        <w:ind w:left="40" w:right="139"/>
        <w:spacing w:after="0" w:line="239" w:lineRule="auto"/>
        <w:rPr>
          <w:sz w:val="20"/>
          <w:szCs w:val="20"/>
          <w:color w:val="auto"/>
        </w:rPr>
      </w:pPr>
      <w:r>
        <w:rPr>
          <w:rFonts w:ascii="Arial" w:cs="Arial" w:eastAsia="Arial" w:hAnsi="Arial"/>
          <w:sz w:val="17"/>
          <w:szCs w:val="17"/>
          <w:color w:val="auto"/>
        </w:rPr>
        <w:t>On February 22, 1993, the Product Quality Law of the People’s Republic of China (“Product Quality Law”) was promulgated to supplement the PRC Civil Law aiming to protect the legitimate rights and interests of the end-users and consumers and to strengthen the supervision and control of the quality of products. The Product Quality Law was revised on July 8, 2000, August 27, 2009 and December 29, 2018 respectively. Pursuant to the revised Product Quality Law, manufacturers who produce defective products may be subject to civil or criminal liability and have their business licenses revoked.</w:t>
      </w:r>
    </w:p>
    <w:p>
      <w:pPr>
        <w:spacing w:after="0" w:line="170" w:lineRule="exact"/>
        <w:rPr>
          <w:sz w:val="20"/>
          <w:szCs w:val="20"/>
          <w:color w:val="auto"/>
        </w:rPr>
      </w:pPr>
    </w:p>
    <w:p>
      <w:pPr>
        <w:ind w:left="40" w:right="199"/>
        <w:spacing w:after="0" w:line="238" w:lineRule="auto"/>
        <w:rPr>
          <w:sz w:val="20"/>
          <w:szCs w:val="20"/>
          <w:color w:val="auto"/>
        </w:rPr>
      </w:pPr>
      <w:r>
        <w:rPr>
          <w:rFonts w:ascii="Arial" w:cs="Arial" w:eastAsia="Arial" w:hAnsi="Arial"/>
          <w:sz w:val="17"/>
          <w:szCs w:val="17"/>
          <w:color w:val="auto"/>
        </w:rPr>
        <w:t>The Law of the People’s Republic of China on the Protection of the Rights and Interests of Consumers was promulgated on October 31, 1993 and was amended on August 27, 2009 and October 25, 2013 to protect consumers’ rights when they purchase or use goods and accept services. According to which, all business operators must comply with this law when they manufacture or sell goods and/or provide services to customers. Under the amendment on October 25, 2013, all business operators shall pay high attention to protect the customers’ privacy and strictly keep confidential any consumer information they obtain during the business operation. In addition, in extreme situations, pharmaceutical product manufacturers and operators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19"/>
        <w:spacing w:after="0" w:line="265" w:lineRule="auto"/>
        <w:rPr>
          <w:sz w:val="20"/>
          <w:szCs w:val="20"/>
          <w:color w:val="auto"/>
        </w:rPr>
      </w:pPr>
      <w:r>
        <w:rPr>
          <w:rFonts w:ascii="Arial" w:cs="Arial" w:eastAsia="Arial" w:hAnsi="Arial"/>
          <w:sz w:val="17"/>
          <w:szCs w:val="17"/>
          <w:color w:val="auto"/>
        </w:rPr>
        <w:t>may be subject to criminal liability if their goods or services lead to the death or injuries of customers or other third parties.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Tort Law</w:t>
      </w:r>
    </w:p>
    <w:p>
      <w:pPr>
        <w:spacing w:after="0" w:line="194"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Under the Tort Law of the People’s Republic of China (“Tort Law”), which became effective on July 1, 2010, if damages to other persons are caused by defective products due to the fault of a third party,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the issuance of a warning, or the recall of products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 The PRC Civil Code amalgamated and replaced the Tort Law effective January 1, 2021. The rules on tort in the PRC Civil Code are generally consistent with the Tort Law.</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Intellectual Property Rights</w:t>
      </w:r>
    </w:p>
    <w:p>
      <w:pPr>
        <w:spacing w:after="0" w:line="194" w:lineRule="exact"/>
        <w:rPr>
          <w:sz w:val="20"/>
          <w:szCs w:val="20"/>
          <w:color w:val="auto"/>
        </w:rPr>
      </w:pPr>
    </w:p>
    <w:p>
      <w:pPr>
        <w:ind w:left="40" w:right="239"/>
        <w:spacing w:after="0" w:line="265" w:lineRule="auto"/>
        <w:rPr>
          <w:sz w:val="20"/>
          <w:szCs w:val="20"/>
          <w:color w:val="auto"/>
        </w:rPr>
      </w:pPr>
      <w:r>
        <w:rPr>
          <w:rFonts w:ascii="Arial" w:cs="Arial" w:eastAsia="Arial" w:hAnsi="Arial"/>
          <w:sz w:val="17"/>
          <w:szCs w:val="17"/>
          <w:color w:val="auto"/>
        </w:rPr>
        <w:t>China has made substantial efforts to adopt comprehensive legislation governing intellectual property rights, including patents, trademarks, copyrights and domain names.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Patents</w:t>
      </w:r>
    </w:p>
    <w:p>
      <w:pPr>
        <w:spacing w:after="0" w:line="194" w:lineRule="exact"/>
        <w:rPr>
          <w:sz w:val="20"/>
          <w:szCs w:val="20"/>
          <w:color w:val="auto"/>
        </w:rPr>
      </w:pPr>
    </w:p>
    <w:p>
      <w:pPr>
        <w:ind w:left="40" w:right="159"/>
        <w:spacing w:after="0" w:line="235" w:lineRule="auto"/>
        <w:rPr>
          <w:sz w:val="20"/>
          <w:szCs w:val="20"/>
          <w:color w:val="auto"/>
        </w:rPr>
      </w:pPr>
      <w:r>
        <w:rPr>
          <w:rFonts w:ascii="Arial" w:cs="Arial" w:eastAsia="Arial" w:hAnsi="Arial"/>
          <w:sz w:val="17"/>
          <w:szCs w:val="17"/>
          <w:color w:val="auto"/>
        </w:rPr>
        <w:t>Pursuant to the Patent Law of the People’s Republic of China (the “PRC Patent Law”), most recently amended in December 2008 and October 2020, and its implementation rules, most recently amended in January 2024,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the new design of a certain product in shape, pattern or a combination of both and in color, shape and pattern combinations aesthetically suitable for industrial application. Under the PRC Patent Law, the term of patent protection starts from the date of application. Patents relating to invention are effective for twenty years, and utility models and designs are effective for ten and fifteen years, respectively, from the date of application. The PRC Patent Law adopts the principle of “first-to-file” system, which provides that where more than one person files a patent application for the same invention, a patent will be granted to the person who files the application first.</w:t>
      </w:r>
    </w:p>
    <w:p>
      <w:pPr>
        <w:spacing w:after="0" w:line="177"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Existing patents can become narrowed, invalid or unenforceable due to a variety of grounds, including lack of novelty, creativity, and deficiencies in patent application. In China, a patent must have novelty, creativity and practical applicability. Under the PRC Patent Law, novelty means that before a patent application is filed, no 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China National Intellectual Property Administration (“CNIPA”). Normally, the CNIPA publishes an application for an invention patent within</w:t>
      </w:r>
    </w:p>
    <w:p>
      <w:pPr>
        <w:spacing w:after="0" w:line="2" w:lineRule="exact"/>
        <w:rPr>
          <w:sz w:val="20"/>
          <w:szCs w:val="20"/>
          <w:color w:val="auto"/>
        </w:rPr>
      </w:pPr>
    </w:p>
    <w:p>
      <w:pPr>
        <w:ind w:left="40" w:right="419"/>
        <w:spacing w:after="0" w:line="245" w:lineRule="auto"/>
        <w:rPr>
          <w:sz w:val="20"/>
          <w:szCs w:val="20"/>
          <w:color w:val="auto"/>
        </w:rPr>
      </w:pPr>
      <w:r>
        <w:rPr>
          <w:rFonts w:ascii="Arial" w:cs="Arial" w:eastAsia="Arial" w:hAnsi="Arial"/>
          <w:sz w:val="17"/>
          <w:szCs w:val="17"/>
          <w:color w:val="auto"/>
        </w:rPr>
        <w:t>18 months after the filing date, which may be shortened at the request of applicant. The applicant must apply to the CNIPA for a substantive examination within three years from the date of application.</w:t>
      </w:r>
    </w:p>
    <w:p>
      <w:pPr>
        <w:spacing w:after="0" w:line="166" w:lineRule="exact"/>
        <w:rPr>
          <w:sz w:val="20"/>
          <w:szCs w:val="20"/>
          <w:color w:val="auto"/>
        </w:rPr>
      </w:pPr>
    </w:p>
    <w:p>
      <w:pPr>
        <w:ind w:left="40" w:right="219"/>
        <w:spacing w:after="0" w:line="265" w:lineRule="auto"/>
        <w:rPr>
          <w:sz w:val="20"/>
          <w:szCs w:val="20"/>
          <w:color w:val="auto"/>
        </w:rPr>
      </w:pPr>
      <w:r>
        <w:rPr>
          <w:rFonts w:ascii="Arial" w:cs="Arial" w:eastAsia="Arial" w:hAnsi="Arial"/>
          <w:sz w:val="17"/>
          <w:szCs w:val="17"/>
          <w:color w:val="auto"/>
        </w:rPr>
        <w:t>Article 19 of the PRC Patent Law provides that, for an invention or utility model completed in China, any applicant (not just Chinese companies and individuals), before filing a patent application outside of China,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0" w:right="199"/>
        <w:spacing w:after="0" w:line="248" w:lineRule="auto"/>
        <w:rPr>
          <w:sz w:val="20"/>
          <w:szCs w:val="20"/>
          <w:color w:val="auto"/>
        </w:rPr>
      </w:pPr>
      <w:r>
        <w:rPr>
          <w:rFonts w:ascii="Arial" w:cs="Arial" w:eastAsia="Arial" w:hAnsi="Arial"/>
          <w:sz w:val="17"/>
          <w:szCs w:val="17"/>
          <w:color w:val="auto"/>
        </w:rPr>
        <w:t>must first submit it to the CNIPA for a confidential examination. Failure to comply with this requirement will result in the denial of any Chinese patent for the relevant invention. The PRC Patent Law also sets up the framework and adds the provisions for patent linkage and patent term extension.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Patent Enforcement</w:t>
      </w:r>
    </w:p>
    <w:p>
      <w:pPr>
        <w:spacing w:after="0" w:line="194"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Unauthorized use of patents without consent from owners of patents, forgery of the patents belonging to other persons, or engagement in other patent infringement acts, will subject the infringers to infringement liability. Serious offenses such as forgery of patents may be subject to criminal penalties.</w:t>
      </w:r>
    </w:p>
    <w:p>
      <w:pPr>
        <w:spacing w:after="0" w:line="164"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When a dispute arises out of infringement of the patent owner’s patent right, Chinese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patent owner’s or an interested party’s request before instituting any legal proceedings or during the proceedings. Damages for infringement are calculated as the loss suffered by the patent holder arising from the infringement, or the benefit gained by the infringer from the infringement. If it is difficult to ascertain damages in this manner, damages may be determined by using a reasonable multiple of the license fee under a contractual license. Statutory damages may be awarded in the circumstances where the damages cannot be determined by the calculation standards referenced above. The damage calculation methods shall be applied in the aforementioned order. Generally, the patent owner has the burden of proving that the patent is being infringed. However, if the owner of an invention patent for manufacturing process of a new product alleges infringement of its patent, the alleged infringer has the burden of proof.</w:t>
      </w:r>
    </w:p>
    <w:p>
      <w:pPr>
        <w:spacing w:after="0" w:line="175"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most recent amendment to the PRC Patent Law, which was promulgated by the SCNPC in October 2020 and became effective in June 2021, describes the general principles of linking generic drug applications to pharmaceutical patent protection, also known as Patent Linkage. In July 2021, the NMPA and the CNIPA jointly published the Measures for Implementing an Early-Stage Resolution Mechanism for Pharmaceutical Patent Disputes (Tentative) (“Measures on Patent Linkage”), providing an operating mechanism for Patent Linkage. Upon notification of generic applications and certifications, if the patentee or the interested person disagrees, the patentee or the interested person will need to file a claim with the court or the CNIPA within 45 days after the Center for Drug Evaluation (“CDE’s”) publication and must submit a copy of the case acceptance notification to the CDE within 15 working days after the case acceptance date. Otherwise, the NMPA can proceed with the technical review and approval. For chemical drugs, the NMPA would initiate a nine-month approval stay period upon notification. If the patentee or the interested person cannot secure a favorable court judgment or a decision from the CNIPA within the nine-month period, the NMPA can grant marketing authorization to the generic applicant after the nine-month period expires.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Medical Patent Compulsory License</w:t>
      </w:r>
    </w:p>
    <w:p>
      <w:pPr>
        <w:spacing w:after="0" w:line="194" w:lineRule="exact"/>
        <w:rPr>
          <w:sz w:val="20"/>
          <w:szCs w:val="20"/>
          <w:color w:val="auto"/>
        </w:rPr>
      </w:pPr>
    </w:p>
    <w:p>
      <w:pPr>
        <w:ind w:left="40" w:right="219"/>
        <w:spacing w:after="0" w:line="248" w:lineRule="auto"/>
        <w:rPr>
          <w:sz w:val="20"/>
          <w:szCs w:val="20"/>
          <w:color w:val="auto"/>
        </w:rPr>
      </w:pPr>
      <w:r>
        <w:rPr>
          <w:rFonts w:ascii="Arial" w:cs="Arial" w:eastAsia="Arial" w:hAnsi="Arial"/>
          <w:sz w:val="17"/>
          <w:szCs w:val="17"/>
          <w:color w:val="auto"/>
        </w:rPr>
        <w:t>According to the PRC Patent Law, for the purpose of public health, the CNIPA may grant a compulsory license for manufacturing patented drugs and exporting them to countries or regions covered under relevant international treaties to which China has acceded.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Exemptions for Unlicensed Manufacture, Use, Sale or Import of Patented Products</w:t>
      </w:r>
    </w:p>
    <w:p>
      <w:pPr>
        <w:spacing w:after="0" w:line="194"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The PRC Patent Law provides five exceptions permitting the unauthorized manufacture, use, sale or import of patented products. None of following circumstances are deemed an infringement of the patent rights, and any person may manufacture, use, sell or import patented products without authorization granted by the patent owner as follows:</w:t>
      </w:r>
    </w:p>
    <w:p>
      <w:pPr>
        <w:spacing w:after="0" w:line="164" w:lineRule="exact"/>
        <w:rPr>
          <w:sz w:val="20"/>
          <w:szCs w:val="20"/>
          <w:color w:val="auto"/>
        </w:rPr>
      </w:pPr>
    </w:p>
    <w:p>
      <w:pPr>
        <w:ind w:left="680" w:right="59" w:hanging="307"/>
        <w:spacing w:after="0" w:line="248" w:lineRule="auto"/>
        <w:tabs>
          <w:tab w:leader="none" w:pos="68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Any person who uses, promises to sell, sells or imports any patented product or product directly obtained in accordance with the patented methods after such product is sold by the patent owner or by its licensed entity or individual;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159" w:hanging="307"/>
        <w:spacing w:after="0" w:line="248" w:lineRule="auto"/>
        <w:tabs>
          <w:tab w:leader="none" w:pos="68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Any person who has manufactured an identical product, has used an identical method or has made necessary preparations for manufacture or use prior to the date of patent application and continues to manufacture such product or use such method only within the original scope;</w:t>
      </w:r>
    </w:p>
    <w:p>
      <w:pPr>
        <w:spacing w:after="0" w:line="62" w:lineRule="exact"/>
        <w:rPr>
          <w:rFonts w:ascii="Times New Roman" w:cs="Times New Roman" w:eastAsia="Times New Roman" w:hAnsi="Times New Roman"/>
          <w:sz w:val="17"/>
          <w:szCs w:val="17"/>
          <w:color w:val="auto"/>
        </w:rPr>
      </w:pPr>
    </w:p>
    <w:p>
      <w:pPr>
        <w:ind w:left="680" w:right="99" w:hanging="307"/>
        <w:spacing w:after="0"/>
        <w:tabs>
          <w:tab w:leader="none" w:pos="68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Any foreign transportation facility that temporarily passes through the territory, territorial waters or territorial airspace of China and uses the relevant patents in its devices and installations for its own needs in accordance with any agreement concluded between China and that country to which the foreign transportation facility belongs, or any international treaty to which both countries are party, or on the basis of the principle of reciprocity;</w:t>
      </w:r>
    </w:p>
    <w:p>
      <w:pPr>
        <w:spacing w:after="0" w:line="69"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 who uses the relevant patents solely for the purposes of scientific research and experimentation; or</w:t>
      </w:r>
    </w:p>
    <w:p>
      <w:pPr>
        <w:spacing w:after="0" w:line="118" w:lineRule="exact"/>
        <w:rPr>
          <w:rFonts w:ascii="Times New Roman" w:cs="Times New Roman" w:eastAsia="Times New Roman" w:hAnsi="Times New Roman"/>
          <w:sz w:val="16"/>
          <w:szCs w:val="16"/>
          <w:color w:val="auto"/>
        </w:rPr>
      </w:pPr>
    </w:p>
    <w:p>
      <w:pPr>
        <w:jc w:val="both"/>
        <w:ind w:left="680" w:right="199" w:hanging="307"/>
        <w:spacing w:after="0" w:line="248" w:lineRule="auto"/>
        <w:tabs>
          <w:tab w:leader="none" w:pos="68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Any person who manufactures, uses or imports patented drug or patented medical equipment for the purpose of providing information required for administrative approval, or manufactures, uses or imports patented drugs or patented medical equipment for the abovementioned person.</w:t>
      </w:r>
    </w:p>
    <w:p>
      <w:pPr>
        <w:spacing w:after="0" w:line="163" w:lineRule="exact"/>
        <w:rPr>
          <w:sz w:val="20"/>
          <w:szCs w:val="20"/>
          <w:color w:val="auto"/>
        </w:rPr>
      </w:pPr>
    </w:p>
    <w:p>
      <w:pPr>
        <w:jc w:val="both"/>
        <w:ind w:left="40" w:right="139"/>
        <w:spacing w:after="0" w:line="248" w:lineRule="auto"/>
        <w:rPr>
          <w:sz w:val="20"/>
          <w:szCs w:val="20"/>
          <w:color w:val="auto"/>
        </w:rPr>
      </w:pPr>
      <w:r>
        <w:rPr>
          <w:rFonts w:ascii="Arial" w:cs="Arial" w:eastAsia="Arial" w:hAnsi="Arial"/>
          <w:sz w:val="17"/>
          <w:szCs w:val="17"/>
          <w:color w:val="auto"/>
        </w:rPr>
        <w:t>However, if patented drugs are utilized on the ground of exemptions for unauthorized manufacture, use, sale or import of patented drugs prescribed in PRC Patent Law, such patented drugs cannot be manufactured, used, sold or imported for any commercial purposes without authorization granted by the patent owner.</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Trade Secrets</w:t>
      </w:r>
    </w:p>
    <w:p>
      <w:pPr>
        <w:spacing w:after="0" w:line="194"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According to the People’s Republic of China Anti-Unfair Competition Law promulgated by the SCNPC on September 2, 1993, as amended on November 4, 2017 and on April 23, 2019 (collectively, the “PRC Anti-Unfair Competition Law”), the term “trade secrets” refers to technical and business information that is unknown to the public that has utility and may create business interests or profits for its legal owners or holders, and is maintained as a secret by its legal owners or holders.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Under the PRC Anti-Unfair Competition Law, business persons are prohibited from infringing others’ trade secrets by:</w:t>
      </w:r>
    </w:p>
    <w:p>
      <w:pPr>
        <w:spacing w:after="0" w:line="10" w:lineRule="exact"/>
        <w:rPr>
          <w:sz w:val="20"/>
          <w:szCs w:val="20"/>
          <w:color w:val="auto"/>
        </w:rPr>
      </w:pPr>
    </w:p>
    <w:p>
      <w:pPr>
        <w:ind w:left="40" w:right="79" w:firstLine="5"/>
        <w:spacing w:after="0" w:line="234" w:lineRule="auto"/>
        <w:tabs>
          <w:tab w:leader="none" w:pos="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in confidence; or (iv) instigating, inducing or assisting others to violate confidentiality obligation or to violate a rights holder’s requirements on keeping confidentiality of trade secrets, disclosing, using or permitting others to use the trade secrets of the rights holder. If a third party knows or should have known of such illegal conduct but nevertheless obtains, uses or discloses trade secrets of others trade secrets, the third party may be deemed to have committed a misappropriation of the others’ trade secrets.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Trademarks and Domain Names</w:t>
      </w:r>
    </w:p>
    <w:p>
      <w:pPr>
        <w:spacing w:after="0" w:line="194" w:lineRule="exact"/>
        <w:rPr>
          <w:sz w:val="20"/>
          <w:szCs w:val="20"/>
          <w:color w:val="auto"/>
        </w:rPr>
      </w:pPr>
    </w:p>
    <w:p>
      <w:pPr>
        <w:ind w:left="40" w:right="179"/>
        <w:spacing w:after="0"/>
        <w:rPr>
          <w:sz w:val="20"/>
          <w:szCs w:val="20"/>
          <w:color w:val="auto"/>
        </w:rPr>
      </w:pPr>
      <w:r>
        <w:rPr>
          <w:rFonts w:ascii="Arial" w:cs="Arial" w:eastAsia="Arial" w:hAnsi="Arial"/>
          <w:sz w:val="17"/>
          <w:szCs w:val="17"/>
          <w:i w:val="1"/>
          <w:iCs w:val="1"/>
          <w:color w:val="auto"/>
        </w:rPr>
        <w:t>Trademarks.</w:t>
      </w:r>
      <w:r>
        <w:rPr>
          <w:rFonts w:ascii="Arial" w:cs="Arial" w:eastAsia="Arial" w:hAnsi="Arial"/>
          <w:sz w:val="17"/>
          <w:szCs w:val="17"/>
          <w:color w:val="auto"/>
        </w:rPr>
        <w:t xml:space="preserve">  According to the Trademark Law of the People’s Republic of China, promulgated by the SCNPC in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1982, as amended in February 1993, October 2001, August 2013 and April 2019 and its implementation rules (collectively, the “Trademark Law”), the Trademark Office of the National Intellectual Property Administration is responsible for the registration and administration of trademarks throughout China. The Trademark Law has adopted a “first-to-file” principle with respect to trademark registration.</w:t>
      </w:r>
    </w:p>
    <w:p>
      <w:pPr>
        <w:spacing w:after="0" w:line="171" w:lineRule="exact"/>
        <w:rPr>
          <w:sz w:val="20"/>
          <w:szCs w:val="20"/>
          <w:color w:val="auto"/>
        </w:rPr>
      </w:pPr>
    </w:p>
    <w:p>
      <w:pPr>
        <w:ind w:left="40" w:right="159"/>
        <w:spacing w:after="0" w:line="243" w:lineRule="auto"/>
        <w:rPr>
          <w:sz w:val="20"/>
          <w:szCs w:val="20"/>
          <w:color w:val="auto"/>
        </w:rPr>
      </w:pPr>
      <w:r>
        <w:rPr>
          <w:rFonts w:ascii="Arial" w:cs="Arial" w:eastAsia="Arial" w:hAnsi="Arial"/>
          <w:sz w:val="17"/>
          <w:szCs w:val="17"/>
          <w:i w:val="1"/>
          <w:iCs w:val="1"/>
          <w:color w:val="auto"/>
        </w:rPr>
        <w:t>Domain Names.</w:t>
      </w:r>
      <w:r>
        <w:rPr>
          <w:rFonts w:ascii="Arial" w:cs="Arial" w:eastAsia="Arial" w:hAnsi="Arial"/>
          <w:sz w:val="17"/>
          <w:szCs w:val="17"/>
          <w:color w:val="auto"/>
        </w:rPr>
        <w:t xml:space="preserve">  Domain names are protected under the Administrative Measures on the Internet Domain Names</w:t>
      </w:r>
      <w:r>
        <w:rPr>
          <w:rFonts w:ascii="Arial" w:cs="Arial" w:eastAsia="Arial" w:hAnsi="Arial"/>
          <w:sz w:val="17"/>
          <w:szCs w:val="17"/>
          <w:i w:val="1"/>
          <w:iCs w:val="1"/>
          <w:color w:val="auto"/>
        </w:rPr>
        <w:t xml:space="preserve"> </w:t>
      </w:r>
      <w:r>
        <w:rPr>
          <w:rFonts w:ascii="Arial" w:cs="Arial" w:eastAsia="Arial" w:hAnsi="Arial"/>
          <w:sz w:val="17"/>
          <w:szCs w:val="17"/>
          <w:color w:val="auto"/>
        </w:rPr>
        <w:t>promulgated by the Ministry of Industry and Information Technology in August 2017 and effective November 2017. The Ministry of Industry and Information Technology is the main regulatory body responsible for the administration of Chinese internet domain names.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Labor Protection</w:t>
      </w:r>
    </w:p>
    <w:p>
      <w:pPr>
        <w:spacing w:after="0" w:line="194" w:lineRule="exact"/>
        <w:rPr>
          <w:sz w:val="20"/>
          <w:szCs w:val="20"/>
          <w:color w:val="auto"/>
        </w:rPr>
      </w:pPr>
    </w:p>
    <w:p>
      <w:pPr>
        <w:ind w:left="40" w:right="119"/>
        <w:spacing w:after="0" w:line="234" w:lineRule="auto"/>
        <w:rPr>
          <w:sz w:val="20"/>
          <w:szCs w:val="20"/>
          <w:color w:val="auto"/>
        </w:rPr>
      </w:pPr>
      <w:r>
        <w:rPr>
          <w:rFonts w:ascii="Arial" w:cs="Arial" w:eastAsia="Arial" w:hAnsi="Arial"/>
          <w:sz w:val="17"/>
          <w:szCs w:val="17"/>
          <w:color w:val="auto"/>
        </w:rPr>
        <w:t>On July 10, 2021, the Cybersecurity Administration of China (the “CAC”) published a draft revision to the existing Cybersecurity Review Measures for public comment (the “Revised Draft CAC Measures”). On January 4, 2022, together with 12 other Chinese regulatory authorities, the CAC released the final version of the Revised Draft CAC Measures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for public comment. On September 24, 2024, the State Council released the final version of the Draft Management Regulations (the “Management Regulations”), which came into effect on January 1, 2025. Under the Management Regulations, online data processors refer to individuals and organizations who determine the data processing activities in terms of the purpose and methods at their discretion. The Management Regulations reiterate that online data processors shall be subject to national security review pursuant to relevant provisions if they carry out data processing activities which affect or may affect national security.</w:t>
      </w:r>
    </w:p>
    <w:p>
      <w:pPr>
        <w:spacing w:after="0" w:line="182"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As of the date of this Annual Report, we have not received any notice from any Chinese regulatory authority identifying us as a “critical information infrastructure operator,” “online platform operator”, “online platform service provider” or “online data processor,” or requiring us to go through the cybersecurity review procedures pursuant to the Revised CAC Measures and the Management Regulations. Based on our understanding of the Revised CAC Measures and the Management Regulations, we do not expect to become subject to cybersecurity review by the CAC for issuing securities to foreign investors because: (i) the clinical and preclinical data we handle in our business operations, either by its nature or in scale, do not normally trigger significant concerns over Chinese national security; and (ii) we have not processed, and do not anticipate to process in the foreseeable future, personal information for more than one million users or persons. However, there remains uncertainty as to how the Revised CAC Measures and the Management Regulations will be interpreted or implemented. For example, neither the Revised CAC Measures nor the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Management Regulations or other laws and regulations related to privacy, data protection and information security. For additional information, see the sections titled “Risk Factors — Risks Related to Doing Business in China and Our International Operations — Compliance with China’s new Data Security Law, Cybersecurity Review Measures, Personal Information Protection Law, regulations and guidelines relating to the multi-level protection scheme on cyber security and any other future laws and regulations may entail significant expenses and could affect our business” and “Risk Factors — Risks Related to Doing Business in China and Our International Operations — The approval of, filing or other procedures with the CSRC or other Chinese regulatory agencies may be required in connection with issuing securities to foreign investors under Chinese law, and, if required, we cannot predict whether we will be able, or how long it will take us, to obtain such approval or complete such filing or other procedures” in this Annual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Chinese Regulation of Labor Protection</w:t>
      </w:r>
    </w:p>
    <w:p>
      <w:pPr>
        <w:spacing w:after="0" w:line="194" w:lineRule="exact"/>
        <w:rPr>
          <w:sz w:val="20"/>
          <w:szCs w:val="20"/>
          <w:color w:val="auto"/>
        </w:rPr>
      </w:pPr>
    </w:p>
    <w:p>
      <w:pPr>
        <w:ind w:left="40" w:right="59"/>
        <w:spacing w:after="0" w:line="243" w:lineRule="auto"/>
        <w:rPr>
          <w:sz w:val="20"/>
          <w:szCs w:val="20"/>
          <w:color w:val="auto"/>
        </w:rPr>
      </w:pPr>
      <w:r>
        <w:rPr>
          <w:rFonts w:ascii="Arial" w:cs="Arial" w:eastAsia="Arial" w:hAnsi="Arial"/>
          <w:sz w:val="17"/>
          <w:szCs w:val="17"/>
          <w:color w:val="auto"/>
        </w:rPr>
        <w:t>Under the Labor Law of the People’s Republic of China, effective on January 1, 1995 and subsequently amended on August 27, 2009 and December 29, 2018, the Employment Contract Law of the People’s Republic of China, effective on January 1, 2008 and subsequently amended on December 28, 2012 and the Implementing Regulations of the Employment Contract Law, effective on September 18, 2008, employers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as requested by the Labor Contract Law of the People’s Republic of China.</w:t>
      </w:r>
    </w:p>
    <w:p>
      <w:pPr>
        <w:spacing w:after="0" w:line="171" w:lineRule="exact"/>
        <w:rPr>
          <w:sz w:val="20"/>
          <w:szCs w:val="20"/>
          <w:color w:val="auto"/>
        </w:rPr>
      </w:pPr>
    </w:p>
    <w:p>
      <w:pPr>
        <w:ind w:left="40" w:right="379"/>
        <w:spacing w:after="0"/>
        <w:rPr>
          <w:sz w:val="20"/>
          <w:szCs w:val="20"/>
          <w:color w:val="auto"/>
        </w:rPr>
      </w:pPr>
      <w:r>
        <w:rPr>
          <w:rFonts w:ascii="Arial" w:cs="Arial" w:eastAsia="Arial" w:hAnsi="Arial"/>
          <w:sz w:val="17"/>
          <w:szCs w:val="17"/>
          <w:color w:val="auto"/>
        </w:rPr>
        <w:t>Pursuant to the Law of Manufacturing Safety of the People’s Republic of China effective on November 1, 2002 and amended on August 27, 2009, August 31, 2014 and June 10, 2021, manufacturers must establish a comprehensive management system to ensure manufacturing safety in accordance with applicable laws, regulations, national standards, and industrial standards. Manufacturers not meeting relevant legal requirements are not permitted to commence their manufacturing activities.</w:t>
      </w:r>
    </w:p>
    <w:p>
      <w:pPr>
        <w:spacing w:after="0" w:line="171" w:lineRule="exact"/>
        <w:rPr>
          <w:sz w:val="20"/>
          <w:szCs w:val="20"/>
          <w:color w:val="auto"/>
        </w:rPr>
      </w:pPr>
    </w:p>
    <w:p>
      <w:pPr>
        <w:ind w:left="40" w:right="399"/>
        <w:spacing w:after="0" w:line="271" w:lineRule="auto"/>
        <w:rPr>
          <w:sz w:val="20"/>
          <w:szCs w:val="20"/>
          <w:color w:val="auto"/>
        </w:rPr>
      </w:pPr>
      <w:r>
        <w:rPr>
          <w:rFonts w:ascii="Arial" w:cs="Arial" w:eastAsia="Arial" w:hAnsi="Arial"/>
          <w:sz w:val="16"/>
          <w:szCs w:val="16"/>
          <w:color w:val="auto"/>
        </w:rPr>
        <w:t>Pursuant to the Administrative Measures Governing the Production Quality of Pharmaceutical Products effective on March 1, 2011, manufacturers of pharmaceutical products are required to establish production safety and labor protection measures in connection with the operation of their manufacturing equipment and manufacturing process.</w:t>
      </w:r>
    </w:p>
    <w:p>
      <w:pPr>
        <w:spacing w:after="0" w:line="147"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color w:val="auto"/>
        </w:rPr>
        <w:t>Pursuant to applicable Chinese laws, rules and regulations, including the Social Insurance Law which became effective on July 1, 2011 and amended on December 29, 2018, the Interim Regulations on the Collection and Payment of Social Security Funds, which became effective on January 22, 1999 and amended on March 24, 2019, Interim Measures concerning the Maternity Insurance of Employees, which became effective on January 1, 1995, and the Regulations on Work-related Injury Insurance, which became effective on January 1, 2004 and was subsequently amended on December 20, 2010, employers are required to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Relating to Foreign Exchange Registration of Offshore Investment by Chinese Residents</w:t>
      </w:r>
    </w:p>
    <w:p>
      <w:pPr>
        <w:spacing w:after="0" w:line="194" w:lineRule="exact"/>
        <w:rPr>
          <w:sz w:val="20"/>
          <w:szCs w:val="20"/>
          <w:color w:val="auto"/>
        </w:rPr>
      </w:pPr>
    </w:p>
    <w:p>
      <w:pPr>
        <w:ind w:left="40" w:right="59"/>
        <w:spacing w:after="0" w:line="250" w:lineRule="auto"/>
        <w:rPr>
          <w:sz w:val="20"/>
          <w:szCs w:val="20"/>
          <w:color w:val="auto"/>
        </w:rPr>
      </w:pPr>
      <w:r>
        <w:rPr>
          <w:rFonts w:ascii="Arial" w:cs="Arial" w:eastAsia="Arial" w:hAnsi="Arial"/>
          <w:sz w:val="16"/>
          <w:szCs w:val="16"/>
          <w:color w:val="auto"/>
        </w:rPr>
        <w:t>In July 2014, the State Administration of Foreign Exchange (“SAFE”), issued SAFE Circular 37 and its implementation guidelines. Pursuant to SAFE Circular 37 and its implementation guidelines, residents of China (including Chinese institutions and individuals) must register with local branches of SAFE in connection with their direct or indirect offshore investment in an overseas special purpose vehicle (“SPV”), directly established or indirectly controlled by Chinese residents for the purposes of offshore investment and financing with their legally owned assets or interests in domestic enterprises, or their legally owned offshore assets or interests. Such Chinese residents are also required to amend their registrations with SAFE when there is a change to the basic information of the SPV, such as changes of a Chinese resident individual shareholder, the name or operating period of the SPV, or when there is a significant change to the SPV, such as changes of the Chinese individual resident’s increase or decrease of its capital contribution in the SPV, or any share transfer or exchange, merger, division of the SPV. 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companies or Chinese residents to penalties under Chinese foreign exchange administration regulations.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Relating to Employee Stock Incentive Plan</w:t>
      </w:r>
    </w:p>
    <w:p>
      <w:pPr>
        <w:spacing w:after="0" w:line="194" w:lineRule="exact"/>
        <w:rPr>
          <w:sz w:val="20"/>
          <w:szCs w:val="20"/>
          <w:color w:val="auto"/>
        </w:rPr>
      </w:pPr>
    </w:p>
    <w:p>
      <w:pPr>
        <w:ind w:left="40" w:right="559"/>
        <w:spacing w:after="0" w:line="265"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 Listed Companies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1" w:lineRule="auto"/>
        <w:rPr>
          <w:sz w:val="20"/>
          <w:szCs w:val="20"/>
          <w:color w:val="auto"/>
        </w:rPr>
      </w:pPr>
      <w:r>
        <w:rPr>
          <w:rFonts w:ascii="Arial" w:cs="Arial" w:eastAsia="Arial" w:hAnsi="Arial"/>
          <w:sz w:val="16"/>
          <w:szCs w:val="16"/>
          <w:color w:val="auto"/>
        </w:rPr>
        <w:t>“Stock Option Rules”). In accordance with the Stock Option Rules and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 are subject to such regulation. In addition, the State Taxation Administration of the PRC, or SAT, has issued circulars concerning employee stock options or restricted shares. Under these circulars, employees working in China who exercise stock options, or whose restricted shares vest, will be subject to Chinese individual income tax (“IIT”). The Chinese subsidiaries of an overseas listed company have obligations to file documents related to employee stock options or restricted shares with relevant tax authorities and to withhold IIT of those employees related to their stock options or restricted shares. If the employees fail to pay, or the Chinese subsidiaries fail to withhold, their IIT according to relevant laws, rules and regulations, the Chinese subsidiaries may face sanctions imposed by the tax authorities or other Chinese government authorities.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Relating to Dividend Distribution</w:t>
      </w:r>
    </w:p>
    <w:p>
      <w:pPr>
        <w:spacing w:after="0" w:line="194" w:lineRule="exact"/>
        <w:rPr>
          <w:sz w:val="20"/>
          <w:szCs w:val="20"/>
          <w:color w:val="auto"/>
        </w:rPr>
      </w:pPr>
    </w:p>
    <w:p>
      <w:pPr>
        <w:ind w:left="40" w:right="59"/>
        <w:spacing w:after="0" w:line="263" w:lineRule="auto"/>
        <w:rPr>
          <w:sz w:val="20"/>
          <w:szCs w:val="20"/>
          <w:color w:val="auto"/>
        </w:rPr>
      </w:pPr>
      <w:r>
        <w:rPr>
          <w:rFonts w:ascii="Arial" w:cs="Arial" w:eastAsia="Arial" w:hAnsi="Arial"/>
          <w:sz w:val="16"/>
          <w:szCs w:val="16"/>
          <w:color w:val="auto"/>
        </w:rPr>
        <w:t>Pursuant to the PRC Company Law and Foreign Investment Law, and Regulations on Implementing the Foreign Investment Law of the People’s Republic of China, foreign investors may freely remit into or out of China, in RMB or any other foreign currency, their capital contributions, profits, capital gains, income from asset disposal, intellectual property royalties, lawfully acquired compensation, indemnity or liquidation income and so on within the territory of China.</w:t>
      </w:r>
    </w:p>
    <w:p>
      <w:pPr>
        <w:spacing w:after="0" w:line="153" w:lineRule="exact"/>
        <w:rPr>
          <w:sz w:val="20"/>
          <w:szCs w:val="20"/>
          <w:color w:val="auto"/>
        </w:rPr>
      </w:pPr>
    </w:p>
    <w:p>
      <w:pPr>
        <w:ind w:left="40" w:right="259"/>
        <w:spacing w:after="0" w:line="237" w:lineRule="auto"/>
        <w:rPr>
          <w:sz w:val="20"/>
          <w:szCs w:val="20"/>
          <w:color w:val="auto"/>
        </w:rPr>
      </w:pPr>
      <w:r>
        <w:rPr>
          <w:rFonts w:ascii="Arial" w:cs="Arial" w:eastAsia="Arial" w:hAnsi="Arial"/>
          <w:sz w:val="17"/>
          <w:szCs w:val="17"/>
          <w:color w:val="auto"/>
        </w:rPr>
        <w:t>In January 2017, SAFE issued the Notice on Improving the Check of Authenticity and Compliance to Further Promote Foreign Exchange Control, which stipulates several capital control measures with respect to outbound remittance of profits from domestic entities to offshore entities, including the following: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domestic entities shall provide detailed explanations of the sources of capital and the utilization arrangements and board resolutions, contracts and other proof when completing the registration procedures in connection with an outbound investment.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Relating to Foreign Exchange</w:t>
      </w:r>
    </w:p>
    <w:p>
      <w:pPr>
        <w:spacing w:after="0" w:line="194"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RMB is to be converted into foreign currency and remitted out of China to pay capital expenses such as the repayment of foreign currency-denominated loans.</w:t>
      </w:r>
    </w:p>
    <w:p>
      <w:pPr>
        <w:spacing w:after="0" w:line="170" w:lineRule="exact"/>
        <w:rPr>
          <w:sz w:val="20"/>
          <w:szCs w:val="20"/>
          <w:color w:val="auto"/>
        </w:rPr>
      </w:pPr>
    </w:p>
    <w:p>
      <w:pPr>
        <w:ind w:left="40" w:right="59"/>
        <w:spacing w:after="0" w:line="252" w:lineRule="auto"/>
        <w:rPr>
          <w:sz w:val="20"/>
          <w:szCs w:val="20"/>
          <w:color w:val="auto"/>
        </w:rPr>
      </w:pPr>
      <w:r>
        <w:rPr>
          <w:rFonts w:ascii="Arial" w:cs="Arial" w:eastAsia="Arial" w:hAnsi="Arial"/>
          <w:sz w:val="16"/>
          <w:szCs w:val="16"/>
          <w:color w:val="auto"/>
        </w:rPr>
        <w:t>In August 2008, SAFE issued the Circular on the Relevant Operating Issues Concerning the Improvement of the Administration of the Payment and Settlement of Foreign Currency Capital of Foreign-Invested Enterprises (“SAFE Circular 142”), regulating the conversion by a foreign-invested enterprise of foreign currency-registered capital into RMB by restricting how the converted RMB may be used. SAFE Circular 142 provides that the RMB capital converted from foreign currency registered capital of a foreign-invested enterprise may only be used for purposes within the business scope approved by the applicable government authority and may not be used for equity investments within China. SAFE also strengthened its oversight of the flow and use of the RMB capital converted from foreign currency registered capital of foreign-invested enterprises. The use of such RMB capital may not be changed without SAFE’s approval, and such RMB capital may not in any case be used to repay RMB loans if the proceeds of such loans have not been used. In March 2015, SAFE issued the Circular of the State Administration of Foreign Exchange on Reforming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Management Approach regarding the Settlement of Foreign Exchange Capital of Foreign-invested Enterprises (“SAFE Circular 19”), which became effective and replaced SAFE Circular 142 on June 1, 2015. Although SAFE Circular 19 allows for the use of RMB converted from the foreign currency- denominated capital for equity investments in China, the restrictions continue to apply as to foreign-invested enterprises’ use of the converted RMB for purposes beyond the business scope, for entrusted loans or for inter-company RMB loans. SAFE promulgated the Notice of the State Administration of Foreign Exchange on Reforming and Standardizing the Foreign Exchange Settlement Management Policy of Capital Account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unassociated enterprises. On December 4, 2023, SAFE promulgated the Notice of the State Administration of Foreign Exchange on Further Deepening the Reform and Promoting Facilitation of Cross-border Trade and Investment (“SAFE Circular 28”), which further updates the restrictions on use of RMB converted from the foreign currency- denominated capital. Violations of SAFE Circular 19, SAFE Circular 16 or SAFE Circular 28 could result in administrative penalties.</w:t>
      </w:r>
    </w:p>
    <w:p>
      <w:pPr>
        <w:spacing w:after="0" w:line="173"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Circular of Further Improving and Adjusting Foreign Exchange Administration Policies on Foreign Direct Investment was promulgated by SAFE in November 2012 and amended in May 2015, which substantially amends and simplifies the current foreign exchange procedure. Pursuant to this circular, the opening of various special purpose foreign exchange accounts (</w:t>
      </w:r>
      <w:r>
        <w:rPr>
          <w:rFonts w:ascii="Arial" w:cs="Arial" w:eastAsia="Arial" w:hAnsi="Arial"/>
          <w:sz w:val="17"/>
          <w:szCs w:val="17"/>
          <w:i w:val="1"/>
          <w:iCs w:val="1"/>
          <w:color w:val="auto"/>
        </w:rPr>
        <w:t>e.g.</w:t>
      </w:r>
      <w:r>
        <w:rPr>
          <w:rFonts w:ascii="Arial" w:cs="Arial" w:eastAsia="Arial" w:hAnsi="Arial"/>
          <w:sz w:val="17"/>
          <w:szCs w:val="17"/>
          <w:color w:val="auto"/>
        </w:rPr>
        <w:t>, pre-establishment expenses accounts, foreign exchange capital accounts and guarantee accounts), the reinvestment of lawful incomes derived by foreign investors in China (</w:t>
      </w:r>
      <w:r>
        <w:rPr>
          <w:rFonts w:ascii="Arial" w:cs="Arial" w:eastAsia="Arial" w:hAnsi="Arial"/>
          <w:sz w:val="17"/>
          <w:szCs w:val="17"/>
          <w:i w:val="1"/>
          <w:iCs w:val="1"/>
          <w:color w:val="auto"/>
        </w:rPr>
        <w:t>e.g.</w:t>
      </w:r>
      <w:r>
        <w:rPr>
          <w:rFonts w:ascii="Arial" w:cs="Arial" w:eastAsia="Arial" w:hAnsi="Arial"/>
          <w:sz w:val="17"/>
          <w:szCs w:val="17"/>
          <w:color w:val="auto"/>
        </w:rPr>
        <w:t>,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China shall be conducted by way of registration and banks shall process foreign exchange business relating to the direct investment in China based on the registration information provided by SAFE and its branches.</w:t>
      </w:r>
    </w:p>
    <w:p>
      <w:pPr>
        <w:spacing w:after="0" w:line="173"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In February 2015, SAFE promulgated the Circular on Further Simplifying and Improving the Policies Concerning Foreign Exchange Control on Direct Investment (“SAFE Circular 13”), which took effect on June 1, 2015. SAFE Circular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on Securities Offering and Listing Outside of China</w:t>
      </w:r>
    </w:p>
    <w:p>
      <w:pPr>
        <w:spacing w:after="0" w:line="194" w:lineRule="exact"/>
        <w:rPr>
          <w:sz w:val="20"/>
          <w:szCs w:val="20"/>
          <w:color w:val="auto"/>
        </w:rPr>
      </w:pPr>
    </w:p>
    <w:p>
      <w:pPr>
        <w:ind w:left="40" w:right="219"/>
        <w:spacing w:after="0" w:line="239" w:lineRule="auto"/>
        <w:rPr>
          <w:sz w:val="20"/>
          <w:szCs w:val="20"/>
          <w:color w:val="auto"/>
        </w:rPr>
      </w:pPr>
      <w:r>
        <w:rPr>
          <w:rFonts w:ascii="Arial" w:cs="Arial" w:eastAsia="Arial" w:hAnsi="Arial"/>
          <w:sz w:val="17"/>
          <w:szCs w:val="17"/>
          <w:color w:val="auto"/>
        </w:rPr>
        <w:t>On July 6, 2021, the General Office of the Communist Party of China Central Committee and the General Office of the State Council jointly issued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spacing w:after="0" w:line="170" w:lineRule="exact"/>
        <w:rPr>
          <w:sz w:val="20"/>
          <w:szCs w:val="20"/>
          <w:color w:val="auto"/>
        </w:rPr>
      </w:pPr>
    </w:p>
    <w:p>
      <w:pPr>
        <w:jc w:val="both"/>
        <w:ind w:left="40" w:right="339"/>
        <w:spacing w:after="0" w:line="263" w:lineRule="auto"/>
        <w:rPr>
          <w:sz w:val="20"/>
          <w:szCs w:val="20"/>
          <w:color w:val="auto"/>
        </w:rPr>
      </w:pPr>
      <w:r>
        <w:rPr>
          <w:rFonts w:ascii="Arial" w:cs="Arial" w:eastAsia="Arial" w:hAnsi="Arial"/>
          <w:sz w:val="16"/>
          <w:szCs w:val="16"/>
          <w:color w:val="auto"/>
        </w:rPr>
        <w:t>On February 17, 2023, the China Securities Regulatory Commission (“CSRC”) promulgated a new set of regulations consisting of the Trial Administrative Measures of Overseas Securities Offering and Listing by Domestic Companies (the “Trial Measures”) and five supporting guidelines which came into effect on March 31, 2023 to regulate overseas securities offering and listing activities by domestic companies either in direct or indirect form.</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Trial Measures and supporting guidelines apply to overseas offerings by domestic companies of equity shares, depositary receipts, convertible corporate bonds, or other equity-like securities, and overseas listing of the securities for trading. Both direct and indirect overseas securities offering and listing by domestic companies would be regulated, of which the former refers to securities offering and listing in an overseas market made by a joint-stock company incorporated domestically, and the latter refers to securities offering and listing in an overseas market made in the name of an offshore entity, while based on the underlying equity, assets, earnings or other similar rights of a domestic company which operates its main business domestically. According to the Trial Measures, if an issuer meets the following conditions, the offering and listing shall be determined as an indirect overseas offering and listing by a domestic company: (i) the total assets, net assets, revenues or gross profits of the domestic company(ies) of the issuer in the most recent financial year account for more than 50% of the corresponding figure in the issuer’s audited consolidated financial statements over the same period; (ii) the majority of the senior management in charge of business operation and management of the issuer are Chinese citizens or habitually reside in China, or its main places of business operation are located in China or main parts of its business activities are conducted in China.</w:t>
      </w:r>
    </w:p>
    <w:p>
      <w:pPr>
        <w:spacing w:after="0" w:line="175" w:lineRule="exact"/>
        <w:rPr>
          <w:sz w:val="20"/>
          <w:szCs w:val="20"/>
          <w:color w:val="auto"/>
        </w:rPr>
      </w:pPr>
    </w:p>
    <w:p>
      <w:pPr>
        <w:ind w:left="40" w:right="239"/>
        <w:spacing w:after="0" w:line="236" w:lineRule="auto"/>
        <w:rPr>
          <w:sz w:val="20"/>
          <w:szCs w:val="20"/>
          <w:color w:val="auto"/>
        </w:rPr>
      </w:pPr>
      <w:r>
        <w:rPr>
          <w:rFonts w:ascii="Arial" w:cs="Arial" w:eastAsia="Arial" w:hAnsi="Arial"/>
          <w:sz w:val="17"/>
          <w:szCs w:val="17"/>
          <w:color w:val="auto"/>
        </w:rPr>
        <w:t>Under the Trial Measures and supporting guidelines, a filing-based regulatory system was implemented covering both direct and indirect overseas offering and listing.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three working days after the overseas offering and listing application documents become public. In addition, subsequent securities offerings of an issuer in the same overseas market where it has previously offered and listed securities shall be filed with the CSRC within three working days after the offering is completed.</w:t>
      </w:r>
    </w:p>
    <w:p>
      <w:pPr>
        <w:spacing w:after="0" w:line="170" w:lineRule="exact"/>
        <w:rPr>
          <w:sz w:val="20"/>
          <w:szCs w:val="20"/>
          <w:color w:val="auto"/>
        </w:rPr>
      </w:pPr>
    </w:p>
    <w:p>
      <w:pPr>
        <w:ind w:left="40" w:right="159"/>
        <w:spacing w:after="0" w:line="236" w:lineRule="auto"/>
        <w:rPr>
          <w:sz w:val="20"/>
          <w:szCs w:val="20"/>
          <w:color w:val="auto"/>
        </w:rPr>
      </w:pPr>
      <w:r>
        <w:rPr>
          <w:rFonts w:ascii="Arial" w:cs="Arial" w:eastAsia="Arial" w:hAnsi="Arial"/>
          <w:sz w:val="17"/>
          <w:szCs w:val="17"/>
          <w:color w:val="auto"/>
        </w:rPr>
        <w:t>Meanwhile, overseas offering and listing would be prohibited under certain circumstances, including but not limited to that (i) the offering and listing are expressly forbidden by the Chinese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w:t>
      </w:r>
    </w:p>
    <w:p>
      <w:pPr>
        <w:spacing w:after="0" w:line="176"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If domestic companies fail to fulfill the above-mentioned filing procedures or offer and list in an overseas market against the prohibited circumstances, they would be warned and fined up to RMB 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 5 million.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Other Chinese National- and Provincial-Level Laws and Regulations</w:t>
      </w:r>
    </w:p>
    <w:p>
      <w:pPr>
        <w:spacing w:after="0" w:line="194" w:lineRule="exact"/>
        <w:rPr>
          <w:sz w:val="20"/>
          <w:szCs w:val="20"/>
          <w:color w:val="auto"/>
        </w:rPr>
      </w:pPr>
    </w:p>
    <w:p>
      <w:pPr>
        <w:ind w:left="40" w:right="379"/>
        <w:spacing w:after="0" w:line="239" w:lineRule="auto"/>
        <w:rPr>
          <w:sz w:val="20"/>
          <w:szCs w:val="20"/>
          <w:color w:val="auto"/>
        </w:rPr>
      </w:pPr>
      <w:r>
        <w:rPr>
          <w:rFonts w:ascii="Arial" w:cs="Arial" w:eastAsia="Arial" w:hAnsi="Arial"/>
          <w:sz w:val="17"/>
          <w:szCs w:val="17"/>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These laws and regulations governing both the disclosure and the use of confidential patient medical information may become more restrictive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96"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As of December 31, 2024, we had 163 full-time employees, 57 of whom have a Ph.D. or M.D. Of these 163 employees, 119 were engaged in research and development activities and 44 were engaged in business development, finance, information systems, facilities, human resources or administrative support. Seven of the non-research and development-based employees were based in Shanghai, China and one based in the UK, while the other 36 resided in the United States. None of our employees are represented by labor unions or covered by collective bargaining agreements. We consider our relationship with our employees to be good.</w:t>
      </w:r>
    </w:p>
    <w:p>
      <w:pPr>
        <w:spacing w:after="0" w:line="170" w:lineRule="exact"/>
        <w:rPr>
          <w:sz w:val="20"/>
          <w:szCs w:val="20"/>
          <w:color w:val="auto"/>
        </w:rPr>
      </w:pPr>
    </w:p>
    <w:p>
      <w:pPr>
        <w:ind w:left="40" w:right="159"/>
        <w:spacing w:after="0"/>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Corporate Information</w:t>
      </w:r>
    </w:p>
    <w:p>
      <w:pPr>
        <w:spacing w:after="0" w:line="196"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We are a Cayman Islands exempted company incorporated with limited liability. We were initially formed as a Delaware limited liability company in 2016 under the name ShouTi Inc., and reorganized as a Cayman Islands exempted company in February 2019.</w:t>
      </w:r>
    </w:p>
    <w:p>
      <w:pPr>
        <w:spacing w:after="0" w:line="164" w:lineRule="exact"/>
        <w:rPr>
          <w:sz w:val="20"/>
          <w:szCs w:val="20"/>
          <w:color w:val="auto"/>
        </w:rPr>
      </w:pPr>
    </w:p>
    <w:p>
      <w:pPr>
        <w:ind w:left="40" w:right="159"/>
        <w:spacing w:after="0" w:line="239" w:lineRule="auto"/>
        <w:rPr>
          <w:sz w:val="20"/>
          <w:szCs w:val="20"/>
          <w:color w:val="auto"/>
        </w:rPr>
      </w:pPr>
      <w:r>
        <w:rPr>
          <w:rFonts w:ascii="Arial" w:cs="Arial" w:eastAsia="Arial" w:hAnsi="Arial"/>
          <w:sz w:val="17"/>
          <w:szCs w:val="17"/>
          <w:color w:val="auto"/>
        </w:rPr>
        <w:t>Our principal executive office is located at 601 Gateway Blvd., Suite 900, South San Francisco, California 94080 and our telephone number is (650) 457-1978. The principal executive office of our research and development operations is located at Unit 01, 11th floor, Lane 2889, Jinke Road, Pudong New Area, Shanghai, People’s Republic of China, 201203. Our telephone number at this address is 86 21 61215839. Our current registered office in the Cayman Islands is located at the offices of International Corporation Services Ltd., P.O. Box 472, 2nd Floor, Harbour Place, 103 South Church Street, George Town, Grand Cayman KY1-1106, Cayman Islands.</w:t>
      </w:r>
    </w:p>
    <w:p>
      <w:pPr>
        <w:spacing w:after="0" w:line="170" w:lineRule="exact"/>
        <w:rPr>
          <w:sz w:val="20"/>
          <w:szCs w:val="20"/>
          <w:color w:val="auto"/>
        </w:rPr>
      </w:pPr>
    </w:p>
    <w:p>
      <w:pPr>
        <w:jc w:val="both"/>
        <w:ind w:left="40" w:right="119"/>
        <w:spacing w:after="0" w:line="248" w:lineRule="auto"/>
        <w:rPr>
          <w:sz w:val="20"/>
          <w:szCs w:val="20"/>
          <w:color w:val="auto"/>
        </w:rPr>
      </w:pPr>
      <w:r>
        <w:rPr>
          <w:rFonts w:ascii="Arial" w:cs="Arial" w:eastAsia="Arial" w:hAnsi="Arial"/>
          <w:sz w:val="17"/>
          <w:szCs w:val="17"/>
          <w:color w:val="auto"/>
        </w:rPr>
        <w:t>Our website is www.structuretx.com. Information contained on, or accessible through, our website shall not be deemed incorporated into, and is not a part of, this Annual Report. We have included our website in this Annual Report solely as an inactive textual reference.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Available Information</w:t>
      </w:r>
    </w:p>
    <w:p>
      <w:pPr>
        <w:spacing w:after="0" w:line="196"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Our Annual Report on Form 10-K, Quarterly Reports on Form 10-Q and Current Reports on Form 8-K and amendments to those reports filed or furnished pursuant to Sections 13(a) or 15(d) of the Exchange Act are available on our website, free of charge, as soon as reasonably practicable after the reports are electronically filed or furnished to the Securities and Exchange Commission, or SEC. The SEC maintains a website at www.sec.gov that contains reports, proxy and information statements, and other information that we file with the SEC electronically.</w:t>
      </w:r>
    </w:p>
    <w:p>
      <w:pPr>
        <w:spacing w:after="0" w:line="171"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We intend to announce material information to the public through filings with the SEC, the investor relations page on our website, which is located at ir.structuretx.com,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The information we post through these channels is not a part of this Annual Report. Any updates to the list of disclosure channels through which we will announce information will be posted on the investor relations page on our website.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198" w:lineRule="exact"/>
        <w:rPr>
          <w:sz w:val="20"/>
          <w:szCs w:val="20"/>
          <w:color w:val="auto"/>
        </w:rPr>
      </w:pPr>
    </w:p>
    <w:p>
      <w:pPr>
        <w:ind w:left="40" w:right="299"/>
        <w:spacing w:after="0" w:line="247"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together with all of the other information contained in this Annual Report, including our consolidated financial statements and their related notes included elsewhere in this Annual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59"/>
        <w:spacing w:after="0" w:line="238" w:lineRule="auto"/>
        <w:rPr>
          <w:sz w:val="20"/>
          <w:szCs w:val="20"/>
          <w:color w:val="auto"/>
        </w:rPr>
      </w:pPr>
      <w:r>
        <w:rPr>
          <w:rFonts w:ascii="Arial" w:cs="Arial" w:eastAsia="Arial" w:hAnsi="Arial"/>
          <w:sz w:val="17"/>
          <w:szCs w:val="17"/>
          <w:i w:val="1"/>
          <w:iCs w:val="1"/>
          <w:color w:val="auto"/>
        </w:rPr>
        <w:t>Report and Part II. Item 7.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Our Limited Operating History, Financial Position and Capital Requirements</w:t>
      </w:r>
    </w:p>
    <w:p>
      <w:pPr>
        <w:spacing w:after="0" w:line="198" w:lineRule="exact"/>
        <w:rPr>
          <w:sz w:val="20"/>
          <w:szCs w:val="20"/>
          <w:color w:val="auto"/>
        </w:rPr>
      </w:pPr>
    </w:p>
    <w:p>
      <w:pPr>
        <w:ind w:left="40" w:right="159"/>
        <w:spacing w:after="0" w:line="272" w:lineRule="auto"/>
        <w:rPr>
          <w:sz w:val="20"/>
          <w:szCs w:val="20"/>
          <w:color w:val="auto"/>
        </w:rPr>
      </w:pPr>
      <w:r>
        <w:rPr>
          <w:rFonts w:ascii="Arial" w:cs="Arial" w:eastAsia="Arial" w:hAnsi="Arial"/>
          <w:sz w:val="17"/>
          <w:szCs w:val="17"/>
          <w:b w:val="1"/>
          <w:bCs w:val="1"/>
          <w:i w:val="1"/>
          <w:iCs w:val="1"/>
          <w:color w:val="auto"/>
        </w:rPr>
        <w:t>We have a limited operating history, have incurred significant operating losses since our inception and expect to incur significant losses for the foreseeable future.</w:t>
      </w:r>
    </w:p>
    <w:p>
      <w:pPr>
        <w:spacing w:after="0" w:line="136" w:lineRule="exact"/>
        <w:rPr>
          <w:sz w:val="20"/>
          <w:szCs w:val="20"/>
          <w:color w:val="auto"/>
        </w:rPr>
      </w:pPr>
    </w:p>
    <w:p>
      <w:pPr>
        <w:ind w:left="40" w:right="59"/>
        <w:spacing w:after="0" w:line="250"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 stage biopharmaceutical company with a limited operating histor</w:t>
      </w:r>
      <w:r>
        <w:rPr>
          <w:rFonts w:ascii="Arial" w:cs="Arial" w:eastAsia="Arial" w:hAnsi="Arial"/>
          <w:sz w:val="16"/>
          <w:szCs w:val="16"/>
          <w:i w:val="1"/>
          <w:iCs w:val="1"/>
          <w:color w:val="auto"/>
        </w:rPr>
        <w:t>y,</w:t>
      </w:r>
      <w:r>
        <w:rPr>
          <w:rFonts w:ascii="Arial" w:cs="Arial" w:eastAsia="Arial" w:hAnsi="Arial"/>
          <w:sz w:val="16"/>
          <w:szCs w:val="16"/>
          <w:color w:val="auto"/>
        </w:rPr>
        <w:t xml:space="preserve">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studies,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commercially. Further, aleniglipron, our product candidate for obesity, overweight and related conditions, ACCG-2671, our oral small molecule amylin receptor agonist development candidate for the treatment of obesity, ANPA-0073, our product candidate for selective or muscle-sparing weight loss, and LTSE-2578, our product candidates for IPF, and,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62"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Our net losses were $122.5 million and $89.6 million for the years ended December 31, 2024 and 2023, respectively. As of December 31, 2024, we had an accumulated deficit of $329.1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including additional funding to conduct Phase 3 clinical studies of aleniglipron,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spacing w:after="0" w:line="175"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(“R&amp;D”) and other expenditures to develop and market additional product candidates. Our failure to become and remain profitable could decrease the value of our ADSs and impair our ability to raise capital, maintain our research and development efforts, expand our business or continue our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79"/>
        <w:spacing w:after="0" w:line="252" w:lineRule="auto"/>
        <w:rPr>
          <w:sz w:val="20"/>
          <w:szCs w:val="20"/>
          <w:color w:val="auto"/>
        </w:rPr>
      </w:pPr>
      <w:r>
        <w:rPr>
          <w:rFonts w:ascii="Arial" w:cs="Arial" w:eastAsia="Arial" w:hAnsi="Arial"/>
          <w:sz w:val="17"/>
          <w:szCs w:val="17"/>
          <w:b w:val="1"/>
          <w:bCs w:val="1"/>
          <w:i w:val="1"/>
          <w:iCs w:val="1"/>
          <w:color w:val="auto"/>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152" w:lineRule="exact"/>
        <w:rPr>
          <w:sz w:val="20"/>
          <w:szCs w:val="20"/>
          <w:color w:val="auto"/>
        </w:rPr>
      </w:pPr>
    </w:p>
    <w:p>
      <w:pPr>
        <w:ind w:left="40" w:right="99"/>
        <w:spacing w:after="0" w:line="251" w:lineRule="auto"/>
        <w:rPr>
          <w:sz w:val="20"/>
          <w:szCs w:val="20"/>
          <w:color w:val="auto"/>
        </w:rPr>
      </w:pPr>
      <w:r>
        <w:rPr>
          <w:rFonts w:ascii="Arial" w:cs="Arial" w:eastAsia="Arial" w:hAnsi="Arial"/>
          <w:sz w:val="16"/>
          <w:szCs w:val="16"/>
          <w:color w:val="auto"/>
        </w:rPr>
        <w:t>The development of biopharmaceutical product candidates is capital-intensive. We expect our expenses to increase substantially in connection with our ongoing and planned activities, particularly as we conduct our ongoing and planned preclinical studies and clinical studies of aleniglipron, ACCG-2671, ANPA-0073, LTSE-2578 and any future product candidates we may develop. Our expenses will increase substantially if our product candidates successfully complete early clinical and other studies, and also could increase beyond expectations if the FDA or foreign authorities require us to perform clinical and other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have and expect to continue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62" w:lineRule="exact"/>
        <w:rPr>
          <w:sz w:val="20"/>
          <w:szCs w:val="20"/>
          <w:color w:val="auto"/>
        </w:rPr>
      </w:pPr>
    </w:p>
    <w:p>
      <w:pPr>
        <w:ind w:left="40" w:right="159"/>
        <w:spacing w:after="0" w:line="236" w:lineRule="auto"/>
        <w:rPr>
          <w:sz w:val="20"/>
          <w:szCs w:val="20"/>
          <w:color w:val="auto"/>
        </w:rPr>
      </w:pPr>
      <w:r>
        <w:rPr>
          <w:rFonts w:ascii="Arial" w:cs="Arial" w:eastAsia="Arial" w:hAnsi="Arial"/>
          <w:sz w:val="17"/>
          <w:szCs w:val="17"/>
          <w:color w:val="auto"/>
        </w:rPr>
        <w:t>Based on our current operating plan, we believe that our cash, cash equivalents and short-term investments, as of December 31, 2024, will be sufficient to fund our operating expenses and key clinical milestones through at least 2027, including all planned aleniglipron studies for Phase 3 readiness but excluding Phase 3 registrational studies.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arrangements. Even if we believe we have sufficient capital for our current or future operating plans, we may seek additional capital if market conditions are favorable or if we have specific strategic considerations.</w:t>
      </w:r>
    </w:p>
    <w:p>
      <w:pPr>
        <w:spacing w:after="0" w:line="17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actual or anticipated changes in interest rates, economic inflation and tariffs, the impact of the Russia/Ukraine conflict and Israel-Hamas war,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including as a result of future bank failures, it may make any necessary debt or equity financing more difficult to obtain in a timely manner or on favorable terms, more costly or more dilutive.</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future funding requirements will depend on many factors, including:</w:t>
      </w:r>
    </w:p>
    <w:p>
      <w:pPr>
        <w:spacing w:after="0" w:line="196" w:lineRule="exact"/>
        <w:rPr>
          <w:sz w:val="20"/>
          <w:szCs w:val="20"/>
          <w:color w:val="auto"/>
        </w:rPr>
      </w:pPr>
    </w:p>
    <w:p>
      <w:pPr>
        <w:ind w:left="680" w:right="379" w:hanging="307"/>
        <w:spacing w:after="0" w:line="264" w:lineRule="auto"/>
        <w:tabs>
          <w:tab w:leader="none" w:pos="68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design, results of and timing of our planned and ongoing preclinical studies and clinical studies, including Phase 3 clinical studies of aleniglipron;</w:t>
      </w:r>
    </w:p>
    <w:p>
      <w:pPr>
        <w:spacing w:after="0" w:line="48" w:lineRule="exact"/>
        <w:rPr>
          <w:rFonts w:ascii="Times New Roman" w:cs="Times New Roman" w:eastAsia="Times New Roman" w:hAnsi="Times New Roman"/>
          <w:sz w:val="17"/>
          <w:szCs w:val="17"/>
          <w:color w:val="auto"/>
        </w:rPr>
      </w:pPr>
    </w:p>
    <w:p>
      <w:pPr>
        <w:ind w:left="680" w:right="279" w:hanging="307"/>
        <w:spacing w:after="0" w:line="248" w:lineRule="auto"/>
        <w:tabs>
          <w:tab w:leader="none" w:pos="68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FDA or applicable foreign authorities to accept our clinical studies, as well as data from our planned and ongoing preclinical studies and clinical studies and other work, as the basis for review and approval of our product candidates;</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costs and timing of seeking and obtaining FDA and applicable foreign regulatory approvals;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and characteristics of product candidates that we pursue;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159" w:hanging="307"/>
        <w:spacing w:after="0" w:line="264" w:lineRule="auto"/>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need to expand our research and development capabilities, including further development of our structure-based drug discovery platform or in-licensing of complementary technologies;</w:t>
      </w:r>
    </w:p>
    <w:p>
      <w:pPr>
        <w:spacing w:after="0" w:line="48" w:lineRule="exact"/>
        <w:rPr>
          <w:rFonts w:ascii="Times New Roman" w:cs="Times New Roman" w:eastAsia="Times New Roman" w:hAnsi="Times New Roman"/>
          <w:sz w:val="17"/>
          <w:szCs w:val="17"/>
          <w:color w:val="auto"/>
        </w:rPr>
      </w:pPr>
    </w:p>
    <w:p>
      <w:pPr>
        <w:ind w:left="680" w:right="559" w:hanging="307"/>
        <w:spacing w:after="0" w:line="264" w:lineRule="auto"/>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associated with manufacturing our product candidates, and establishing commercial supplies and sales, marketing, and distribution capabilities;</w:t>
      </w:r>
    </w:p>
    <w:p>
      <w:pPr>
        <w:spacing w:after="0" w:line="48" w:lineRule="exact"/>
        <w:rPr>
          <w:rFonts w:ascii="Times New Roman" w:cs="Times New Roman" w:eastAsia="Times New Roman" w:hAnsi="Times New Roman"/>
          <w:sz w:val="17"/>
          <w:szCs w:val="17"/>
          <w:color w:val="auto"/>
        </w:rPr>
      </w:pPr>
    </w:p>
    <w:p>
      <w:pPr>
        <w:ind w:left="680" w:right="79" w:hanging="307"/>
        <w:spacing w:after="0" w:line="248" w:lineRule="auto"/>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our need and ability to retain key management and hire scientific, technical, business, and medical personnel;</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our need to implement additional internal systems and infrastructure, including financial and reporting systems;</w:t>
      </w:r>
    </w:p>
    <w:p>
      <w:pPr>
        <w:spacing w:after="0" w:line="118" w:lineRule="exact"/>
        <w:rPr>
          <w:rFonts w:ascii="Times New Roman" w:cs="Times New Roman" w:eastAsia="Times New Roman" w:hAnsi="Times New Roman"/>
          <w:sz w:val="16"/>
          <w:szCs w:val="16"/>
          <w:color w:val="auto"/>
        </w:rPr>
      </w:pPr>
    </w:p>
    <w:p>
      <w:pPr>
        <w:ind w:left="680" w:hanging="307"/>
        <w:spacing w:after="0"/>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associated with operating as a public company;</w:t>
      </w:r>
    </w:p>
    <w:p>
      <w:pPr>
        <w:spacing w:after="0" w:line="106" w:lineRule="exact"/>
        <w:rPr>
          <w:rFonts w:ascii="Times New Roman" w:cs="Times New Roman" w:eastAsia="Times New Roman" w:hAnsi="Times New Roman"/>
          <w:sz w:val="17"/>
          <w:szCs w:val="17"/>
          <w:color w:val="auto"/>
        </w:rPr>
      </w:pPr>
    </w:p>
    <w:p>
      <w:pPr>
        <w:ind w:left="680" w:right="299" w:hanging="307"/>
        <w:spacing w:after="0" w:line="264" w:lineRule="auto"/>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economic and other terms, timing of and success of our current and any future collaboration, licensing or other arrangements which we may enter in the future; and</w:t>
      </w:r>
    </w:p>
    <w:p>
      <w:pPr>
        <w:spacing w:after="0" w:line="99"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receipt, and amount of sales from our potential products, if approved.</w:t>
      </w:r>
    </w:p>
    <w:p>
      <w:pPr>
        <w:spacing w:after="0" w:line="157"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spacing w:after="0" w:line="173" w:lineRule="exact"/>
        <w:rPr>
          <w:sz w:val="20"/>
          <w:szCs w:val="20"/>
          <w:color w:val="auto"/>
        </w:rPr>
      </w:pPr>
    </w:p>
    <w:p>
      <w:pPr>
        <w:ind w:left="40" w:right="599"/>
        <w:spacing w:after="0" w:line="272" w:lineRule="auto"/>
        <w:rPr>
          <w:sz w:val="20"/>
          <w:szCs w:val="20"/>
          <w:color w:val="auto"/>
        </w:rPr>
      </w:pPr>
      <w:r>
        <w:rPr>
          <w:rFonts w:ascii="Arial" w:cs="Arial" w:eastAsia="Arial" w:hAnsi="Arial"/>
          <w:sz w:val="17"/>
          <w:szCs w:val="17"/>
          <w:b w:val="1"/>
          <w:bCs w:val="1"/>
          <w:i w:val="1"/>
          <w:iCs w:val="1"/>
          <w:color w:val="auto"/>
        </w:rPr>
        <w:t>Raising additional capital may cause dilution to our shareholders, restrict our operations or require us to relinquish rights to our technologies or product candidates.</w:t>
      </w:r>
    </w:p>
    <w:p>
      <w:pPr>
        <w:spacing w:after="0" w:line="136"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equity offerings, debt financings or other capital sources, including potentially grants, collaborations, licenses or other similar arrangements. For example, in October 2023, we issued and sold an aggregate of 21,617,295 ordinary shares and 2,401,920 newly designated non-voting ordinary shares in the Private Placement. In June 2024, we issued and sold an aggregate of 10,427,017 ADSs in the Follow-On Offering. To the extent that we raise additional capital through the sale of equity or convertible debt securities, the ownership interest of our shareholders will be diluted, and the terms of these securities may include liquidation or other preferences that adversely affect the rights of our ADS holders. Debt financing, if available, may involve agreements that include covenants limiting or restricting our ability to take specific actions, such as limitations on our ability to incur additional debt, make capital 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the Discovery, Development and Regulatory Approval of Product Candidates</w:t>
      </w:r>
    </w:p>
    <w:p>
      <w:pPr>
        <w:spacing w:after="0" w:line="198" w:lineRule="exact"/>
        <w:rPr>
          <w:sz w:val="20"/>
          <w:szCs w:val="20"/>
          <w:color w:val="auto"/>
        </w:rPr>
      </w:pPr>
    </w:p>
    <w:p>
      <w:pPr>
        <w:ind w:left="40" w:right="299"/>
        <w:spacing w:after="0" w:line="272" w:lineRule="auto"/>
        <w:rPr>
          <w:sz w:val="20"/>
          <w:szCs w:val="20"/>
          <w:color w:val="auto"/>
        </w:rPr>
      </w:pPr>
      <w:r>
        <w:rPr>
          <w:rFonts w:ascii="Arial" w:cs="Arial" w:eastAsia="Arial" w:hAnsi="Arial"/>
          <w:sz w:val="17"/>
          <w:szCs w:val="17"/>
          <w:b w:val="1"/>
          <w:bCs w:val="1"/>
          <w:i w:val="1"/>
          <w:iCs w:val="1"/>
          <w:color w:val="auto"/>
        </w:rPr>
        <w:t>Our approach to the discovery of product candidates based on our technology platform is unproven, and we do not know whether we will be able to develop any products of commercial value.</w:t>
      </w:r>
    </w:p>
    <w:p>
      <w:pPr>
        <w:spacing w:after="0" w:line="136" w:lineRule="exact"/>
        <w:rPr>
          <w:sz w:val="20"/>
          <w:szCs w:val="20"/>
          <w:color w:val="auto"/>
        </w:rPr>
      </w:pPr>
    </w:p>
    <w:p>
      <w:pPr>
        <w:ind w:left="40" w:right="199"/>
        <w:spacing w:after="0" w:line="239" w:lineRule="auto"/>
        <w:rPr>
          <w:sz w:val="20"/>
          <w:szCs w:val="20"/>
          <w:color w:val="auto"/>
        </w:rPr>
      </w:pPr>
      <w:r>
        <w:rPr>
          <w:rFonts w:ascii="Arial" w:cs="Arial" w:eastAsia="Arial" w:hAnsi="Arial"/>
          <w:sz w:val="17"/>
          <w:szCs w:val="17"/>
          <w:color w:val="auto"/>
        </w:rPr>
        <w:t>The success of our business depends primarily upon our ability to identify novel product candidates based on our structure-based drug discovery platform and to successfully develop and commercialize those product candidates. While we have had favorable preclinical study and topline clinical trial results for certain of our development programs, we have not yet succeeded and may not succeed in demonstrating efficacy and safety for any product candidates in clinical studies or in obtaining marketing approvals or in commercializing such product candidates. We also may be unsuccessful in identifying additional product candidates using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55" w:lineRule="auto"/>
        <w:rPr>
          <w:sz w:val="20"/>
          <w:szCs w:val="20"/>
          <w:color w:val="auto"/>
        </w:rPr>
      </w:pPr>
      <w:r>
        <w:rPr>
          <w:rFonts w:ascii="Arial" w:cs="Arial" w:eastAsia="Arial" w:hAnsi="Arial"/>
          <w:sz w:val="16"/>
          <w:szCs w:val="16"/>
          <w:color w:val="auto"/>
        </w:rPr>
        <w:t>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spacing w:after="0" w:line="159" w:lineRule="exact"/>
        <w:rPr>
          <w:sz w:val="20"/>
          <w:szCs w:val="20"/>
          <w:color w:val="auto"/>
        </w:rPr>
      </w:pPr>
    </w:p>
    <w:p>
      <w:pPr>
        <w:ind w:left="40" w:right="399"/>
        <w:spacing w:after="0" w:line="265" w:lineRule="auto"/>
        <w:rPr>
          <w:sz w:val="20"/>
          <w:szCs w:val="20"/>
          <w:color w:val="auto"/>
        </w:rPr>
      </w:pPr>
      <w:r>
        <w:rPr>
          <w:rFonts w:ascii="Arial" w:cs="Arial" w:eastAsia="Arial" w:hAnsi="Arial"/>
          <w:sz w:val="17"/>
          <w:szCs w:val="17"/>
          <w:color w:val="auto"/>
        </w:rPr>
        <w:t>If any of these events occur, our ability to successfully discover, develop and commercialize any product candidates may be impaired and the value of our company could decline significantly.</w:t>
      </w:r>
    </w:p>
    <w:p>
      <w:pPr>
        <w:spacing w:after="0" w:line="151" w:lineRule="exact"/>
        <w:rPr>
          <w:sz w:val="20"/>
          <w:szCs w:val="20"/>
          <w:color w:val="auto"/>
        </w:rPr>
      </w:pPr>
    </w:p>
    <w:p>
      <w:pPr>
        <w:ind w:left="40" w:right="459"/>
        <w:spacing w:after="0" w:line="242" w:lineRule="auto"/>
        <w:rPr>
          <w:sz w:val="20"/>
          <w:szCs w:val="20"/>
          <w:color w:val="auto"/>
        </w:rPr>
      </w:pPr>
      <w:r>
        <w:rPr>
          <w:rFonts w:ascii="Arial" w:cs="Arial" w:eastAsia="Arial" w:hAnsi="Arial"/>
          <w:sz w:val="17"/>
          <w:szCs w:val="17"/>
          <w:b w:val="1"/>
          <w:bCs w:val="1"/>
          <w:i w:val="1"/>
          <w:iCs w:val="1"/>
          <w:color w:val="auto"/>
        </w:rPr>
        <w:t>We are early in our development efforts and only have four product candidates, aleniglipron, ACCG-2671, ANPA-0073 and LTSE-2578,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161"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We are in the early stages of our development efforts and have four product candidates, aleniglipron, ACCG-2671, ANPA-0073 and LTSE-2578, in early clinical development. In June 2024, we reported positive topline data from our Phase 2a obesity study, in which aleniglipron demonstrated a clinically meaningful and statistically significant placebo-adjusted mean decrease in weight of 6.2% at 12 weeks (p&lt;0.0001, using least-squares means (“LSM”) and analyzed based on the primary efficacy estimand using a mixed model for repeated measures) and demonstrated generally favorable safety and tolerability results following repeated, daily dosing up to 120 mg. Furthermore, we explored a new tablet formulation of aleniglipron in a capsule to tablet PK study, which demonstrated a placebo-adjusted mean weight loss of up to 6.9% with the tablet formulation at 12 weeks (p&lt;0.0001, using LSM and analyzed based on the primary efficacy estimand using a mixed model for repeated measures). In July 2024, we submitted an IND to the FDA to support the initiation of a Phase 2b study in chronic weight management and received FDA allowance in August 2024. In the fourth quarter of 2024, we initiated the Phase 2b ACCESS study, a randomized, double-blind, placebo-controlled, dose-range finding study of aleniglipron in approximately 220 adult participants living with obesity (BMI ≥ 30 kg/m2), or overweight (BMI ≥ 27 kg/m2) with at least one weight-related comorbidity. Participants start at 5 mg of aleniglipron (or placebo) with a 4-week titration schedule, reaching target doses of 45 mg, 90 mg and 120 mg. The primary endpoint is percent change in body weight from baseline to week 36. Secondary endpoints include safety and tolerability of the monthly titration scheme, as well as PK of aleniglipron. In the fourth quarter of 2024, we initiated a randomized, double-blind, placebo-controlled dose-range finding Phase 2 study of aleniglipron, known as ACCESS II, in approximately 82 adult participants living with obesity or overweight with at least one weight-related comorbidity. The study is designed to evaluate two higher doses of aleniglipron. Participants start at 5 mg of aleniglipron (or placebo) and follow a 4-week titration schedule up to target doses of 120 mg, 180 mg and 240 mg. In February 2025, we completed enrollment in the ACCESS and ACCESS II studies, and we expect to report topline data from both studies in the fourth quarter of 2025.</w:t>
      </w:r>
    </w:p>
    <w:p>
      <w:pPr>
        <w:spacing w:after="0" w:line="169" w:lineRule="exact"/>
        <w:rPr>
          <w:sz w:val="20"/>
          <w:szCs w:val="20"/>
          <w:color w:val="auto"/>
        </w:rPr>
      </w:pPr>
    </w:p>
    <w:p>
      <w:pPr>
        <w:ind w:left="40" w:right="159"/>
        <w:spacing w:after="0" w:line="271" w:lineRule="auto"/>
        <w:rPr>
          <w:sz w:val="20"/>
          <w:szCs w:val="20"/>
          <w:color w:val="auto"/>
        </w:rPr>
      </w:pPr>
      <w:r>
        <w:rPr>
          <w:rFonts w:ascii="Arial" w:cs="Arial" w:eastAsia="Arial" w:hAnsi="Arial"/>
          <w:sz w:val="16"/>
          <w:szCs w:val="16"/>
          <w:color w:val="auto"/>
        </w:rPr>
        <w:t>In June 2024, we initiated a Phase 1 clinical trial of LTSE-2578. The randomized, double-blind, placebo-controlled first-in-human clinical trial is designed to investigate the safety, tolerability and pharmacokinetics of single and multiple ascending doses of LTSE-2578 in approximately 64 healthy participants and expect to report initial data in 2025.</w:t>
      </w:r>
    </w:p>
    <w:p>
      <w:pPr>
        <w:spacing w:after="0" w:line="147"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Our other product candidates are still in the preclinical or discovery stages. We will need to progress early product candidates through preclinical studies and submit INDs to the FDA or appropriate regulatory documents to applicable foreign authorities prior to initiating their clinical development. 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preclinical studies with favorable results;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 enrollment in, and completion of, clinical studies;</w:t>
      </w:r>
    </w:p>
    <w:p>
      <w:pPr>
        <w:spacing w:after="0" w:line="106" w:lineRule="exact"/>
        <w:rPr>
          <w:rFonts w:ascii="Times New Roman" w:cs="Times New Roman" w:eastAsia="Times New Roman" w:hAnsi="Times New Roman"/>
          <w:sz w:val="17"/>
          <w:szCs w:val="17"/>
          <w:color w:val="auto"/>
        </w:rPr>
      </w:pPr>
    </w:p>
    <w:p>
      <w:pPr>
        <w:ind w:left="680" w:right="61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sufficiency of our financial and other resources to complete the necessary preclinical studies and clinical studies;</w:t>
      </w:r>
    </w:p>
    <w:p>
      <w:pPr>
        <w:spacing w:after="0" w:line="48" w:lineRule="exact"/>
        <w:rPr>
          <w:rFonts w:ascii="Times New Roman" w:cs="Times New Roman" w:eastAsia="Times New Roman" w:hAnsi="Times New Roman"/>
          <w:sz w:val="17"/>
          <w:szCs w:val="17"/>
          <w:color w:val="auto"/>
        </w:rPr>
      </w:pPr>
    </w:p>
    <w:p>
      <w:pPr>
        <w:ind w:left="680" w:right="299" w:hanging="307"/>
        <w:spacing w:after="0" w:line="248"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allowance to proceed with clinical studies under INDs by the FDA or under similar regulatory submissions by applicable foreign authorities for the conduct of clinical studies of our product candidates and our proposed design of future clinical studies;</w:t>
      </w:r>
    </w:p>
    <w:p>
      <w:pPr>
        <w:spacing w:after="0" w:line="62" w:lineRule="exact"/>
        <w:rPr>
          <w:rFonts w:ascii="Times New Roman" w:cs="Times New Roman" w:eastAsia="Times New Roman" w:hAnsi="Times New Roman"/>
          <w:sz w:val="17"/>
          <w:szCs w:val="17"/>
          <w:color w:val="auto"/>
        </w:rPr>
      </w:pPr>
    </w:p>
    <w:p>
      <w:pPr>
        <w:ind w:left="680" w:right="47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demonstrating the safety and efficacy of our product candidates to the satisfaction of applicable regulatory authorities;</w:t>
      </w:r>
    </w:p>
    <w:p>
      <w:pPr>
        <w:spacing w:after="0" w:line="48" w:lineRule="exact"/>
        <w:rPr>
          <w:rFonts w:ascii="Times New Roman" w:cs="Times New Roman" w:eastAsia="Times New Roman" w:hAnsi="Times New Roman"/>
          <w:sz w:val="17"/>
          <w:szCs w:val="17"/>
          <w:color w:val="auto"/>
        </w:rPr>
      </w:pPr>
    </w:p>
    <w:p>
      <w:pPr>
        <w:ind w:left="680" w:right="65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receipt of regulatory approvals from applicable regulatory authorities, including NDAs from the FDA and maintaining such approvals;</w:t>
      </w:r>
    </w:p>
    <w:p>
      <w:pPr>
        <w:spacing w:after="0" w:line="48" w:lineRule="exact"/>
        <w:rPr>
          <w:rFonts w:ascii="Times New Roman" w:cs="Times New Roman" w:eastAsia="Times New Roman" w:hAnsi="Times New Roman"/>
          <w:sz w:val="17"/>
          <w:szCs w:val="17"/>
          <w:color w:val="auto"/>
        </w:rPr>
      </w:pPr>
    </w:p>
    <w:p>
      <w:pPr>
        <w:ind w:left="680" w:right="35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making arrangements with third-party manufacturers, or establishing clinical and commercial manufacturing capabilities for our product candidates;</w:t>
      </w:r>
    </w:p>
    <w:p>
      <w:pPr>
        <w:spacing w:after="0" w:line="48" w:lineRule="exact"/>
        <w:rPr>
          <w:rFonts w:ascii="Times New Roman" w:cs="Times New Roman" w:eastAsia="Times New Roman" w:hAnsi="Times New Roman"/>
          <w:sz w:val="17"/>
          <w:szCs w:val="17"/>
          <w:color w:val="auto"/>
        </w:rPr>
      </w:pPr>
    </w:p>
    <w:p>
      <w:pPr>
        <w:ind w:left="680" w:right="33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48" w:lineRule="exact"/>
        <w:rPr>
          <w:rFonts w:ascii="Times New Roman" w:cs="Times New Roman" w:eastAsia="Times New Roman" w:hAnsi="Times New Roman"/>
          <w:sz w:val="17"/>
          <w:szCs w:val="17"/>
          <w:color w:val="auto"/>
        </w:rPr>
      </w:pPr>
    </w:p>
    <w:p>
      <w:pPr>
        <w:ind w:left="680" w:right="71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and maintaining patent and trade secret protection or regulatory exclusivity for our product candidates;</w:t>
      </w:r>
    </w:p>
    <w:p>
      <w:pPr>
        <w:spacing w:after="0" w:line="48" w:lineRule="exact"/>
        <w:rPr>
          <w:rFonts w:ascii="Times New Roman" w:cs="Times New Roman" w:eastAsia="Times New Roman" w:hAnsi="Times New Roman"/>
          <w:sz w:val="17"/>
          <w:szCs w:val="17"/>
          <w:color w:val="auto"/>
        </w:rPr>
      </w:pPr>
    </w:p>
    <w:p>
      <w:pPr>
        <w:ind w:left="680" w:right="379" w:hanging="307"/>
        <w:spacing w:after="0" w:line="264" w:lineRule="auto"/>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of any products we develop and their benefits and uses, if and when approved, by patients, the medical community and third-party payors;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therapies;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obtaining and maintaining healthcare coverage and adequate reimbursement from third-party payors;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maintaining an acceptable safety profile of our products following approval; and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building and maintaining an organization of people who can successfully develop our product candidates.</w:t>
      </w:r>
    </w:p>
    <w:p>
      <w:pPr>
        <w:spacing w:after="0" w:line="208" w:lineRule="exact"/>
        <w:rPr>
          <w:sz w:val="20"/>
          <w:szCs w:val="20"/>
          <w:color w:val="auto"/>
        </w:rPr>
      </w:pPr>
    </w:p>
    <w:p>
      <w:pPr>
        <w:ind w:left="40" w:right="259"/>
        <w:spacing w:after="0" w:line="239" w:lineRule="auto"/>
        <w:rPr>
          <w:sz w:val="20"/>
          <w:szCs w:val="20"/>
          <w:color w:val="auto"/>
        </w:rPr>
      </w:pPr>
      <w:r>
        <w:rPr>
          <w:rFonts w:ascii="Arial" w:cs="Arial" w:eastAsia="Arial" w:hAnsi="Arial"/>
          <w:sz w:val="17"/>
          <w:szCs w:val="17"/>
          <w:color w:val="auto"/>
        </w:rPr>
        <w:t>We have not yet succeeded and may not succeed in demonstrating efficacy and safety for any product candidates in clinical studies or in obtaining marketing approval thereafter. Given our early stage of development, it will take several years before we can demonstrate the safety and efficacy of a product 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spacing w:after="0" w:line="172"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b w:val="1"/>
          <w:bCs w:val="1"/>
          <w:i w:val="1"/>
          <w:iCs w:val="1"/>
          <w:color w:val="auto"/>
        </w:rPr>
        <w:t>Clinical and preclinical drug development involves a lengthy and expensive process with uncertain timelines and outcomes. The results of prior clinical studies and preclinical studies are not necessarily predictive of future results, and may not be favorable, or receive regulatory approval on a timely basis, if at all.</w:t>
      </w:r>
    </w:p>
    <w:p>
      <w:pPr>
        <w:spacing w:after="0" w:line="135" w:lineRule="exact"/>
        <w:rPr>
          <w:sz w:val="20"/>
          <w:szCs w:val="20"/>
          <w:color w:val="auto"/>
        </w:rPr>
      </w:pPr>
    </w:p>
    <w:p>
      <w:pPr>
        <w:ind w:left="40" w:right="59"/>
        <w:spacing w:after="0" w:line="252" w:lineRule="auto"/>
        <w:rPr>
          <w:sz w:val="20"/>
          <w:szCs w:val="20"/>
          <w:color w:val="auto"/>
        </w:rPr>
      </w:pPr>
      <w:r>
        <w:rPr>
          <w:rFonts w:ascii="Arial" w:cs="Arial" w:eastAsia="Arial" w:hAnsi="Arial"/>
          <w:sz w:val="16"/>
          <w:szCs w:val="16"/>
          <w:color w:val="auto"/>
        </w:rPr>
        <w:t>Clinical drug development is expensive and can take many years to complete, and its outcome is inherently uncertain. Our clinical studies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studies or preclinical studies of a product candidate may not predict the results of later clinical studies of the product candidate, and interim results of a clinical trial are not necessarily indicative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final results. For example, the preliminary topline nature of aleniglipron results and the length of the study and sample size, may render these results not necessarily indicative of the results for our future clinical studies for aleniglipron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study and had similar baseline characteristics (implicit imputation). Product candidates in later stages of clinical studies may fail to show the desired safety and efficacy characteristics despite having progressed through preclinical studies and initial clinical studies. In particular, while we have conducted, or are conducting certain preclinical studies of our product candidates, the predictive value of these studies with respect to future testing in humans is limited, particularly in indications where animal models are less developed.</w:t>
      </w:r>
    </w:p>
    <w:p>
      <w:pPr>
        <w:spacing w:after="0" w:line="177" w:lineRule="exact"/>
        <w:rPr>
          <w:sz w:val="20"/>
          <w:szCs w:val="20"/>
          <w:color w:val="auto"/>
        </w:rPr>
      </w:pPr>
    </w:p>
    <w:p>
      <w:pPr>
        <w:ind w:left="40" w:right="119"/>
        <w:spacing w:after="0" w:line="251" w:lineRule="auto"/>
        <w:rPr>
          <w:sz w:val="20"/>
          <w:szCs w:val="20"/>
          <w:color w:val="auto"/>
        </w:rPr>
      </w:pPr>
      <w:r>
        <w:rPr>
          <w:rFonts w:ascii="Arial" w:cs="Arial" w:eastAsia="Arial" w:hAnsi="Arial"/>
          <w:sz w:val="16"/>
          <w:szCs w:val="16"/>
          <w:color w:val="auto"/>
        </w:rPr>
        <w:t>Even if our clinical studies are completed, the results may not be sufficient to obtain marketing approval for our product candidates. In clinical studies that are based on preclinical studies and early clinical studies,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studies. In addition, in some cases, external experts or regulatory authorities disagreed with such companies’ views and interpretations of the data and results from earlier preclinical studies or clinical studies. As we investigate aleniglipron and ACCG-2671 for obesity, ANPA-0073 for selective and muscle-sparing weight loss, and LTSE-2578 for IPF, we may encounter new and unforeseen difficulties. Similarly, any future product candidates we may develop may not be able to progress from preclinical to Phase 1 clinical development. For the foregoing reasons, we cannot be certain that our ongoing and planned clinical studies and preclinical studies will be successful. Any of the foregoing occurrences may harm our business, financial condition and prospects significantly.</w:t>
      </w:r>
    </w:p>
    <w:p>
      <w:pPr>
        <w:spacing w:after="0" w:line="167" w:lineRule="exact"/>
        <w:rPr>
          <w:sz w:val="20"/>
          <w:szCs w:val="20"/>
          <w:color w:val="auto"/>
        </w:rPr>
      </w:pPr>
    </w:p>
    <w:p>
      <w:pPr>
        <w:ind w:left="40" w:right="319"/>
        <w:spacing w:after="0" w:line="252"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planned clinical studies could result in increased costs to us, delay or limit our ability to generate revenue and adversely affect our commercial prospects.</w:t>
      </w:r>
    </w:p>
    <w:p>
      <w:pPr>
        <w:spacing w:after="0" w:line="152" w:lineRule="exact"/>
        <w:rPr>
          <w:sz w:val="20"/>
          <w:szCs w:val="20"/>
          <w:color w:val="auto"/>
        </w:rPr>
      </w:pPr>
    </w:p>
    <w:p>
      <w:pPr>
        <w:ind w:left="40" w:right="139"/>
        <w:spacing w:after="0" w:line="235" w:lineRule="auto"/>
        <w:rPr>
          <w:sz w:val="20"/>
          <w:szCs w:val="20"/>
          <w:color w:val="auto"/>
        </w:rPr>
      </w:pPr>
      <w:r>
        <w:rPr>
          <w:rFonts w:ascii="Arial" w:cs="Arial" w:eastAsia="Arial" w:hAnsi="Arial"/>
          <w:sz w:val="17"/>
          <w:szCs w:val="17"/>
          <w:color w:val="auto"/>
        </w:rPr>
        <w:t>In order to obtain FDA approval to market our product candidates, we must demonstrate the safety and efficacy of our product candidates in humans to the satisfaction of the FDA. To meet these requirements, we will have to conduct adequate and well-controlled clinical studies. In addition, before we can initiate clinical studies for any product candidate,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and we are also required to submit comparable applications to foreign regulatory authorities for clinical studies outside of the United States. In July 2024, we submitted an IND to the FDA to support initiation of a Phase 2b study of aleniglipron in chronic weight management and received FDA allowance in August 2024. In the fourth quarter of 2024, we initiated the Phase 2b ACCESS study. We dosed the first patient in the ACCESS II study in the fourth quarter of 2024. We may be required to obtain additional FDA approval prior to evaluating aleniglipron at higher doses of 180 mg and 240 mg under our ACCESS II study. Since we have not previously tested these higher doses, we cannot be certain whether they have a favorable safety or tolerability profile. If we are unable to obtain such additional FDA approval, we may not be able to conduct our ACCESS II study as planned.</w:t>
      </w:r>
    </w:p>
    <w:p>
      <w:pPr>
        <w:spacing w:after="0" w:line="173" w:lineRule="exact"/>
        <w:rPr>
          <w:sz w:val="20"/>
          <w:szCs w:val="20"/>
          <w:color w:val="auto"/>
        </w:rPr>
      </w:pPr>
    </w:p>
    <w:p>
      <w:pPr>
        <w:ind w:left="40" w:right="439"/>
        <w:spacing w:after="0"/>
        <w:rPr>
          <w:sz w:val="20"/>
          <w:szCs w:val="20"/>
          <w:color w:val="auto"/>
        </w:rPr>
      </w:pPr>
      <w:r>
        <w:rPr>
          <w:rFonts w:ascii="Arial" w:cs="Arial" w:eastAsia="Arial" w:hAnsi="Arial"/>
          <w:sz w:val="17"/>
          <w:szCs w:val="17"/>
          <w:color w:val="auto"/>
        </w:rPr>
        <w:t>Clinical testing is expensive, time-consuming and subject to uncertainty. Conducting preclinical studies and clinical studies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Clinical studies may not be conducted as planned or completed on schedule, if at all. For example, in September 2023, we reported that a data collection omission had occurred at a clinical site that impacted the obesity cohort (120 mg dose level) of the Phase 2a study for aleniglipron, where weight was not collected at the final (week 12) visit for 24 of the 40 enrolled participants, and as a result of this data collection omission, we were delayed and reported interim Phase 2a obesity cohort data in December 2023, and topline 12-week obesity data in June 2024.</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Events that may prevent successful or timely completion of clinical development include:</w:t>
      </w:r>
    </w:p>
    <w:p>
      <w:pPr>
        <w:spacing w:after="0" w:line="196" w:lineRule="exact"/>
        <w:rPr>
          <w:sz w:val="20"/>
          <w:szCs w:val="20"/>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reaching a consensus with applicable regulatory authorities on trial design or implementation;</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obtaining regulatory authorization to commence a clinical trial;</w:t>
      </w:r>
    </w:p>
    <w:p>
      <w:pPr>
        <w:spacing w:after="0" w:line="106" w:lineRule="exact"/>
        <w:rPr>
          <w:rFonts w:ascii="Times New Roman" w:cs="Times New Roman" w:eastAsia="Times New Roman" w:hAnsi="Times New Roman"/>
          <w:sz w:val="17"/>
          <w:szCs w:val="17"/>
          <w:color w:val="auto"/>
        </w:rPr>
      </w:pPr>
    </w:p>
    <w:p>
      <w:pPr>
        <w:jc w:val="both"/>
        <w:ind w:left="680" w:right="139" w:hanging="307"/>
        <w:spacing w:after="0" w:line="248"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reaching agreement on acceptable terms with prospective CROs, other vendors, or clinical trial sites, the terms of which can be subject to extensive negotiation and may vary significantly among different vendors and trial sites;</w:t>
      </w:r>
    </w:p>
    <w:p>
      <w:pPr>
        <w:spacing w:after="0" w:line="62" w:lineRule="exact"/>
        <w:rPr>
          <w:rFonts w:ascii="Times New Roman" w:cs="Times New Roman" w:eastAsia="Times New Roman" w:hAnsi="Times New Roman"/>
          <w:sz w:val="17"/>
          <w:szCs w:val="17"/>
          <w:color w:val="auto"/>
        </w:rPr>
      </w:pPr>
    </w:p>
    <w:p>
      <w:pPr>
        <w:ind w:left="680" w:right="159" w:hanging="307"/>
        <w:spacing w:after="0" w:line="248"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obtaining approval from one or more institutional review boards (“IRB”) refusing to approve, suspending or terminating the trial at an investigational site, precluding enrollment of additional participants, or withdrawing their approval of the trial;</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recruiting suitable patients to participate in our ongoing and planned clinical studies;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clinical trial protocol;</w:t>
      </w:r>
    </w:p>
    <w:p>
      <w:pPr>
        <w:spacing w:after="0" w:line="106" w:lineRule="exact"/>
        <w:rPr>
          <w:rFonts w:ascii="Times New Roman" w:cs="Times New Roman" w:eastAsia="Times New Roman" w:hAnsi="Times New Roman"/>
          <w:sz w:val="17"/>
          <w:szCs w:val="17"/>
          <w:color w:val="auto"/>
        </w:rPr>
      </w:pPr>
    </w:p>
    <w:p>
      <w:pPr>
        <w:ind w:left="680" w:right="219" w:hanging="307"/>
        <w:spacing w:after="0" w:line="264"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clinical sites deviating from trial protocol such as the data collection omission we experienced at a clinical site as discussed above or dropping out of a trial;</w:t>
      </w:r>
    </w:p>
    <w:p>
      <w:pPr>
        <w:spacing w:after="0" w:line="48" w:lineRule="exact"/>
        <w:rPr>
          <w:rFonts w:ascii="Times New Roman" w:cs="Times New Roman" w:eastAsia="Times New Roman" w:hAnsi="Times New Roman"/>
          <w:sz w:val="17"/>
          <w:szCs w:val="17"/>
          <w:color w:val="auto"/>
        </w:rPr>
      </w:pPr>
    </w:p>
    <w:p>
      <w:pPr>
        <w:ind w:left="680" w:right="319" w:hanging="307"/>
        <w:spacing w:after="0" w:line="264"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manufacturing sufficient quantities of our product candidates for use in clinical studies, or delays in sufficiently developing, characterizing or controlling a manufacturing process suitable for clinical studies;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delays in having patients complete participation in a trial or return for post-treatment follow-up;</w:t>
      </w:r>
    </w:p>
    <w:p>
      <w:pPr>
        <w:spacing w:after="0" w:line="106" w:lineRule="exact"/>
        <w:rPr>
          <w:rFonts w:ascii="Times New Roman" w:cs="Times New Roman" w:eastAsia="Times New Roman" w:hAnsi="Times New Roman"/>
          <w:sz w:val="17"/>
          <w:szCs w:val="17"/>
          <w:color w:val="auto"/>
        </w:rPr>
      </w:pPr>
    </w:p>
    <w:p>
      <w:pPr>
        <w:ind w:left="680" w:right="639" w:hanging="307"/>
        <w:spacing w:after="0" w:line="264"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participants choosing an alternative treatment for the indication for which we are developing our product candidates, or participating in competing clinical studies;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lack of adequate funding to continue a clinical trial;</w:t>
      </w:r>
    </w:p>
    <w:p>
      <w:pPr>
        <w:spacing w:after="0" w:line="106" w:lineRule="exact"/>
        <w:rPr>
          <w:rFonts w:ascii="Times New Roman" w:cs="Times New Roman" w:eastAsia="Times New Roman" w:hAnsi="Times New Roman"/>
          <w:sz w:val="17"/>
          <w:szCs w:val="17"/>
          <w:color w:val="auto"/>
        </w:rPr>
      </w:pPr>
    </w:p>
    <w:p>
      <w:pPr>
        <w:ind w:left="680" w:right="459" w:hanging="307"/>
        <w:spacing w:after="0" w:line="264"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occurrence of AEs or SAEs associated with the product candidate that are viewed to outweigh its potential benefits;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occurrence of SAEs in clinical studies of the same class of agents conducted by other companies;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imposition of a temporary or permanent clinical hold by regulatory authorities;</w:t>
      </w:r>
    </w:p>
    <w:p>
      <w:pPr>
        <w:spacing w:after="0" w:line="106" w:lineRule="exact"/>
        <w:rPr>
          <w:rFonts w:ascii="Times New Roman" w:cs="Times New Roman" w:eastAsia="Times New Roman" w:hAnsi="Times New Roman"/>
          <w:sz w:val="17"/>
          <w:szCs w:val="17"/>
          <w:color w:val="auto"/>
        </w:rPr>
      </w:pPr>
    </w:p>
    <w:p>
      <w:pPr>
        <w:ind w:left="680" w:right="539" w:hanging="307"/>
        <w:spacing w:after="0" w:line="264"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selection of clinical trial end points that require prolonged periods of clinical observation or analysis of the resulting data;</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clinical studies producing negative or inconclusive results;</w:t>
      </w:r>
    </w:p>
    <w:p>
      <w:pPr>
        <w:spacing w:after="0" w:line="106" w:lineRule="exact"/>
        <w:rPr>
          <w:rFonts w:ascii="Times New Roman" w:cs="Times New Roman" w:eastAsia="Times New Roman" w:hAnsi="Times New Roman"/>
          <w:sz w:val="17"/>
          <w:szCs w:val="17"/>
          <w:color w:val="auto"/>
        </w:rPr>
      </w:pPr>
    </w:p>
    <w:p>
      <w:pPr>
        <w:ind w:left="680" w:right="539" w:hanging="307"/>
        <w:spacing w:after="0" w:line="243"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a facility manufacturing our product candidates or any of their components being ordered by the FDA or applicable foreign authorities to temporarily or permanently shut down due to violations of current good manufacturing practice (“cGMP”) regulations or other applicable requirements, or contamination or cross-contaminations of product candidates in the manufacturing process;</w:t>
      </w:r>
    </w:p>
    <w:p>
      <w:pPr>
        <w:spacing w:after="0" w:line="65" w:lineRule="exact"/>
        <w:rPr>
          <w:rFonts w:ascii="Times New Roman" w:cs="Times New Roman" w:eastAsia="Times New Roman" w:hAnsi="Times New Roman"/>
          <w:sz w:val="17"/>
          <w:szCs w:val="17"/>
          <w:color w:val="auto"/>
        </w:rPr>
      </w:pPr>
    </w:p>
    <w:p>
      <w:pPr>
        <w:ind w:left="680" w:right="239" w:hanging="307"/>
        <w:spacing w:after="0" w:line="248" w:lineRule="auto"/>
        <w:tabs>
          <w:tab w:leader="none" w:pos="68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third-party clinical investigators losing the licenses or permits necessary to perform our clinical studies, not performing our clinical studies on our anticipated schedule or consistent with the clinical trial protocol or other regulatory requirements or committing fraud;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179" w:hanging="307"/>
        <w:spacing w:after="0" w:line="264" w:lineRule="auto"/>
        <w:tabs>
          <w:tab w:leader="none" w:pos="68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guidance, or feedback from regulatory agencies that require amending or submitting new clinical protocols or otherwise modifying the design of our clinical studies.</w:t>
      </w:r>
    </w:p>
    <w:p>
      <w:pPr>
        <w:spacing w:after="0" w:line="150" w:lineRule="exact"/>
        <w:rPr>
          <w:sz w:val="20"/>
          <w:szCs w:val="20"/>
          <w:color w:val="auto"/>
        </w:rPr>
      </w:pPr>
    </w:p>
    <w:p>
      <w:pPr>
        <w:ind w:left="40" w:right="99"/>
        <w:spacing w:after="0" w:line="252"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studies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spacing w:after="0" w:line="163"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Further, conducting clinical studies in foreign countries, as we may do for our product candidates, presents additional risks that may delay completion of our clinical studies.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 impede patient movement or interrupt healthcare services. Similarly, our ability to recruit and retain patients and principal investigators and site staff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public health concerns. We have faced and may continue to face delays in meeting our anticipated timelines for our ongoing and planned clinical studies. We experienced delays in our patient enrollment and our supply chain as a direct result of COVID-19 on our suppliers’ ability to timely manufacture and ship certain supplies such as reagents and other lab consumables and due to the data collection omission at a clinical site as discussed above. These delays have previously impacted and could in the future adversely affect our business, financial condition, results of operations and growth prospects.</w:t>
      </w:r>
    </w:p>
    <w:p>
      <w:pPr>
        <w:spacing w:after="0" w:line="171" w:lineRule="exact"/>
        <w:rPr>
          <w:sz w:val="20"/>
          <w:szCs w:val="20"/>
          <w:color w:val="auto"/>
        </w:rPr>
      </w:pPr>
    </w:p>
    <w:p>
      <w:pPr>
        <w:ind w:left="40" w:right="119"/>
        <w:spacing w:after="0" w:line="235"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studies to tablet formulations, including the addition of excipients, in later stage clinical studies. While these formulation transitions are common for small molecule drug candidates, we cannot guarantee that we will not encounter delays or unexpected results in bridging studies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spacing w:after="0" w:line="179" w:lineRule="exact"/>
        <w:rPr>
          <w:sz w:val="20"/>
          <w:szCs w:val="20"/>
          <w:color w:val="auto"/>
        </w:rPr>
      </w:pPr>
    </w:p>
    <w:p>
      <w:pPr>
        <w:ind w:left="40" w:right="119"/>
        <w:spacing w:after="0" w:line="252" w:lineRule="auto"/>
        <w:rPr>
          <w:sz w:val="20"/>
          <w:szCs w:val="20"/>
          <w:color w:val="auto"/>
        </w:rPr>
      </w:pPr>
      <w:r>
        <w:rPr>
          <w:rFonts w:ascii="Arial" w:cs="Arial" w:eastAsia="Arial" w:hAnsi="Arial"/>
          <w:sz w:val="17"/>
          <w:szCs w:val="17"/>
          <w:b w:val="1"/>
          <w:bCs w:val="1"/>
          <w:i w:val="1"/>
          <w:iCs w:val="1"/>
          <w:color w:val="auto"/>
        </w:rPr>
        <w:t>Enrollment and retention of patients in clinical studies is an expensive and time-consuming process and could be made more difficult or rendered impossible by multiple factors outside our control, which could adversely affect our business, operating results and prospects.</w:t>
      </w:r>
    </w:p>
    <w:p>
      <w:pPr>
        <w:spacing w:after="0" w:line="152"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Patient enrollment is a significant factor impacting the duration of our clinical studies, along with treatment duration and completion of required follow-up periods. Clinical studies may be prolonged, or we may not be able to initiate or continue clinical studies for our product candidates if we are unable to locate and enroll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sufficient number of eligible patients to participate as required by the FDA or applicable foreign authorities. For certain of our product candidates, including ANPA-0073, the conditions which we may evaluate include rare diseases with limited patient pools from which to draw. In some cases, patient populations for rare diseases are located at specific academic sites focused on such indications, often with multiple competing clinical studies. Potential patients for any planned clinical studies may not be adequately diagnosed or identified with the diseases which we are targeting or may not meet the entry criteria for such studies. We also may encounter difficulties in identifying and enrolling patients with a stage of disease appropriate for our planned clinical studies and monitoring such patients adequately during and after treatment. As noted above, other pharmaceutical companies targeting these same diseases are recruiting clinical trial patients from these patient populations, which may make it more difficult to fully enroll our clinical studies. In addition, the process of finding and diagnosing patients may prove costly.</w:t>
      </w:r>
    </w:p>
    <w:p>
      <w:pPr>
        <w:spacing w:after="0" w:line="173" w:lineRule="exact"/>
        <w:rPr>
          <w:sz w:val="20"/>
          <w:szCs w:val="20"/>
          <w:color w:val="auto"/>
        </w:rPr>
      </w:pPr>
    </w:p>
    <w:p>
      <w:pPr>
        <w:ind w:left="40" w:right="239"/>
        <w:spacing w:after="0"/>
        <w:rPr>
          <w:sz w:val="20"/>
          <w:szCs w:val="20"/>
          <w:color w:val="auto"/>
        </w:rPr>
      </w:pPr>
      <w:r>
        <w:rPr>
          <w:rFonts w:ascii="Arial" w:cs="Arial" w:eastAsia="Arial" w:hAnsi="Arial"/>
          <w:sz w:val="17"/>
          <w:szCs w:val="17"/>
          <w:color w:val="auto"/>
        </w:rPr>
        <w:t>The eligibility criteria of our clinical studies, once established, may further limit the pool of available trial participants. If the actual number of patients with these diseases is smaller than we anticipate, we may encounter difficulties in enrolling patients in our clinical studies, thereby delaying or preventing development and approval of our product candidates. Even once enrolled we may be unable to retain a sufficient number of patients to complete any of our studies.</w:t>
      </w:r>
    </w:p>
    <w:p>
      <w:pPr>
        <w:spacing w:after="0" w:line="171"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The timely completion of clinical studies in accordance with their protocols depends, among other things, on our ability to enroll a sufficient number of patients who remain in the study until its conclusion. We may experience difficulties in patient enrollment or retention in our clinical studies for a variety of reasons. Patient enrollment and retention in clinical studies depends on many factors, including:</w:t>
      </w:r>
    </w:p>
    <w:p>
      <w:pPr>
        <w:spacing w:after="0" w:line="168" w:lineRule="exact"/>
        <w:rPr>
          <w:sz w:val="20"/>
          <w:szCs w:val="20"/>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size and nature of the patient population;</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severity of the disease under investigation;</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trial protocol;</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existing body of safety and efficacy data for the product candidate;</w:t>
      </w:r>
    </w:p>
    <w:p>
      <w:pPr>
        <w:spacing w:after="0" w:line="106" w:lineRule="exact"/>
        <w:rPr>
          <w:rFonts w:ascii="Times New Roman" w:cs="Times New Roman" w:eastAsia="Times New Roman" w:hAnsi="Times New Roman"/>
          <w:sz w:val="17"/>
          <w:szCs w:val="17"/>
          <w:color w:val="auto"/>
        </w:rPr>
      </w:pPr>
    </w:p>
    <w:p>
      <w:pPr>
        <w:ind w:left="680" w:right="419" w:hanging="307"/>
        <w:spacing w:after="0" w:line="264" w:lineRule="auto"/>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and nature of competing treatments and ongoing clinical studies of competing therapies for the same indication;</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sites;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eligibility criteria for the trial;</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recruit clinical trial investigators with the appropriate competencies and experience;</w:t>
      </w:r>
    </w:p>
    <w:p>
      <w:pPr>
        <w:spacing w:after="0" w:line="106" w:lineRule="exact"/>
        <w:rPr>
          <w:rFonts w:ascii="Times New Roman" w:cs="Times New Roman" w:eastAsia="Times New Roman" w:hAnsi="Times New Roman"/>
          <w:sz w:val="17"/>
          <w:szCs w:val="17"/>
          <w:color w:val="auto"/>
        </w:rPr>
      </w:pPr>
    </w:p>
    <w:p>
      <w:pPr>
        <w:ind w:left="680" w:right="259" w:hanging="307"/>
        <w:spacing w:after="0" w:line="264" w:lineRule="auto"/>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adequately monitor patients during a trial, clinicians’ and patients’ perceptions as to the potential advantages of the product candidate being studied;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will drop out of a trial before completing all site visits; and</w:t>
      </w:r>
    </w:p>
    <w:p>
      <w:pPr>
        <w:spacing w:after="0" w:line="106" w:lineRule="exact"/>
        <w:rPr>
          <w:rFonts w:ascii="Times New Roman" w:cs="Times New Roman" w:eastAsia="Times New Roman" w:hAnsi="Times New Roman"/>
          <w:sz w:val="17"/>
          <w:szCs w:val="17"/>
          <w:color w:val="auto"/>
        </w:rPr>
      </w:pPr>
    </w:p>
    <w:p>
      <w:pPr>
        <w:ind w:left="680" w:right="119" w:hanging="307"/>
        <w:spacing w:after="0" w:line="264" w:lineRule="auto"/>
        <w:tabs>
          <w:tab w:leader="none" w:pos="68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clinicians’ and patients’ perceptions as to the potential advantages of the drug being studied in relation to other available therapies.</w:t>
      </w:r>
    </w:p>
    <w:p>
      <w:pPr>
        <w:spacing w:after="0" w:line="150" w:lineRule="exact"/>
        <w:rPr>
          <w:sz w:val="20"/>
          <w:szCs w:val="20"/>
          <w:color w:val="auto"/>
        </w:rPr>
      </w:pPr>
    </w:p>
    <w:p>
      <w:pPr>
        <w:ind w:left="40" w:right="99"/>
        <w:spacing w:after="0" w:line="252" w:lineRule="auto"/>
        <w:rPr>
          <w:sz w:val="20"/>
          <w:szCs w:val="20"/>
          <w:color w:val="auto"/>
        </w:rPr>
      </w:pPr>
      <w:r>
        <w:rPr>
          <w:rFonts w:ascii="Arial" w:cs="Arial" w:eastAsia="Arial" w:hAnsi="Arial"/>
          <w:sz w:val="16"/>
          <w:szCs w:val="16"/>
          <w:color w:val="auto"/>
        </w:rPr>
        <w:t>Furthermore, our efforts to build relationships with patient communities may not succeed, which could result in delays in patient enrollment in our clinical studies. If we encounter any delays in enrolling such additional participants, this may further delay our clinical trial. In addition, any negative results we may report in clinical studies of our product candidate may make it difficult or impossible to recruit and retain patients in other clinical studies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may delay or prevent patients from enrolling or from receiving treatment in accordance with the protocol and the required timelines, which could delay our clinical studies, or prevent us or our partners from completing our clinical studies at all, and harm our ability to obtain approval for such product candidate. Further, if patients drop out of our clinical studies, miss scheduled doses or follow-up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visits, or otherwise fail to follow clinical trial protocols, the integrity of data from our clinical studies may be compromised or not accepted by the FDA or applicable foreign authorities, which would represent a significant setback for the applicable program. In addition, we may rely on CROs and clinical trial sites to ensure proper and timely conduct of our future clinical studies and, while we intend to enter into agreements governing their services, we will be limited in our ability to compel their actual performance. Such delays or failures could adversely affect our business, operating results and prospects.</w:t>
      </w:r>
    </w:p>
    <w:p>
      <w:pPr>
        <w:spacing w:after="0" w:line="172" w:lineRule="exact"/>
        <w:rPr>
          <w:sz w:val="20"/>
          <w:szCs w:val="20"/>
          <w:color w:val="auto"/>
        </w:rPr>
      </w:pPr>
    </w:p>
    <w:p>
      <w:pPr>
        <w:ind w:left="40" w:right="179"/>
        <w:spacing w:after="0" w:line="242" w:lineRule="auto"/>
        <w:rPr>
          <w:sz w:val="20"/>
          <w:szCs w:val="20"/>
          <w:color w:val="auto"/>
        </w:rPr>
      </w:pPr>
      <w:r>
        <w:rPr>
          <w:rFonts w:ascii="Arial" w:cs="Arial" w:eastAsia="Arial" w:hAnsi="Arial"/>
          <w:sz w:val="17"/>
          <w:szCs w:val="17"/>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spacing w:after="0" w:line="161"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During the conduct of clinical studies,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studies with a broader group of patients, or as use of these product candidates becomes more widespread if they receive marketing approval, illnesses, injuries, discomforts and other AEs that were observed in earlier studies, as well as conditions that did not occur or went undetected in previous studies, will be reported by participants. Many times, side effects are only detectable after investigational product candidates are tested in large-scale, Phase 3 studies or, in some cases, after they are made available to patients on a commercial scale after approval. If additional clinical experience indicates that any of our current product candidates and any future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spacing w:after="0" w:line="363" w:lineRule="exact"/>
        <w:rPr>
          <w:sz w:val="20"/>
          <w:szCs w:val="20"/>
          <w:color w:val="auto"/>
        </w:rPr>
      </w:pPr>
    </w:p>
    <w:p>
      <w:pPr>
        <w:ind w:left="40" w:right="79"/>
        <w:spacing w:after="0" w:line="233" w:lineRule="auto"/>
        <w:rPr>
          <w:sz w:val="20"/>
          <w:szCs w:val="20"/>
          <w:color w:val="auto"/>
        </w:rPr>
      </w:pPr>
      <w:r>
        <w:rPr>
          <w:rFonts w:ascii="Arial" w:cs="Arial" w:eastAsia="Arial" w:hAnsi="Arial"/>
          <w:sz w:val="17"/>
          <w:szCs w:val="17"/>
          <w:color w:val="auto"/>
        </w:rPr>
        <w:t>Moreover, if our product candidates are associated with undesirable side effects in clinical studies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in our ongoing clinical studies. In our completed Phase 1 SAD and Phase 1b MAD study of aleniglipron, the following adverse events occurred and were considered probably or possibly related to the study drug: nausea, headache, vomiting, dehydration, decreased appetite, dizziness, and diarrhea. In our completed Phase 2a study of aleniglipron, the following adverse events occurred and were considered probably or possibly related to the study drug: nausea, headache, vomiting, decreased appetite, dyspepsia, and diarrhea. In our completed Phase 1 SAD and MAD study of ANPA-0073, the following adverse events occurred and were considered probably or possibly related to the study drug: blood creatine phosphokinase increase, dizziness, electrocardiogram T wave inversion, diarrhea, headache, lethargy, nausea, vomiting, chills, palpitations, and sinus tachycardia. However, further analysis may reveal AEs inconsistent with the safety results observed.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9" w:lineRule="exact"/>
        <w:rPr>
          <w:sz w:val="20"/>
          <w:szCs w:val="20"/>
          <w:color w:val="auto"/>
        </w:rPr>
      </w:pPr>
    </w:p>
    <w:p>
      <w:pPr>
        <w:ind w:left="40" w:right="79"/>
        <w:spacing w:after="0" w:line="245" w:lineRule="auto"/>
        <w:rPr>
          <w:sz w:val="20"/>
          <w:szCs w:val="20"/>
          <w:color w:val="auto"/>
        </w:rPr>
      </w:pPr>
      <w:r>
        <w:rPr>
          <w:rFonts w:ascii="Arial" w:cs="Arial" w:eastAsia="Arial" w:hAnsi="Arial"/>
          <w:sz w:val="17"/>
          <w:szCs w:val="17"/>
          <w:color w:val="auto"/>
        </w:rPr>
        <w:t>In addition, if any of our product candidates receive marketing approval, the FDA could require us to include a black box warning in our label or adopt a risk evaluation and mitigation strategy (“REMS”), to ensure that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studies. While we have not yet conducted carcinogenicity studies for aleniglipron, because it also targets GLP-1R, it is possible that absent compelling data to the contrary, the FDA and applicable foreign authorities will similarly require a black box warning for aleniglipron if it is approved for marketing. Furthermore, if we or others later identify undesirable side effects caused by our product candidates, several other potentially significant negative consequences could result, including:</w:t>
      </w:r>
    </w:p>
    <w:p>
      <w:pPr>
        <w:spacing w:after="0" w:line="172" w:lineRule="exact"/>
        <w:rPr>
          <w:sz w:val="20"/>
          <w:szCs w:val="20"/>
          <w:color w:val="auto"/>
        </w:rPr>
      </w:pPr>
    </w:p>
    <w:p>
      <w:pPr>
        <w:ind w:left="680" w:hanging="307"/>
        <w:spacing w:after="0"/>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authorities may suspend or withdraw approvals of such product candidate;</w:t>
      </w:r>
    </w:p>
    <w:p>
      <w:pPr>
        <w:spacing w:after="0" w:line="106" w:lineRule="exact"/>
        <w:rPr>
          <w:rFonts w:ascii="Times New Roman" w:cs="Times New Roman" w:eastAsia="Times New Roman" w:hAnsi="Times New Roman"/>
          <w:sz w:val="17"/>
          <w:szCs w:val="17"/>
          <w:color w:val="auto"/>
        </w:rPr>
      </w:pPr>
    </w:p>
    <w:p>
      <w:pPr>
        <w:jc w:val="both"/>
        <w:ind w:left="680" w:right="159" w:hanging="307"/>
        <w:spacing w:after="0" w:line="248" w:lineRule="auto"/>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62" w:lineRule="exact"/>
        <w:rPr>
          <w:rFonts w:ascii="Times New Roman" w:cs="Times New Roman" w:eastAsia="Times New Roman" w:hAnsi="Times New Roman"/>
          <w:sz w:val="17"/>
          <w:szCs w:val="17"/>
          <w:color w:val="auto"/>
        </w:rPr>
      </w:pPr>
    </w:p>
    <w:p>
      <w:pPr>
        <w:ind w:left="680" w:right="599" w:hanging="307"/>
        <w:spacing w:after="0" w:line="264" w:lineRule="auto"/>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required to change the way a product candidate is administered or conduct additional clinical studies;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we could be sued and held liable for harm caused to patients;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we could be subject to fines, injunctions, or the imposition of criminal or civil penalties;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we may need to conduct a recall;</w:t>
      </w:r>
    </w:p>
    <w:p>
      <w:pPr>
        <w:spacing w:after="0" w:line="106" w:lineRule="exact"/>
        <w:rPr>
          <w:rFonts w:ascii="Times New Roman" w:cs="Times New Roman" w:eastAsia="Times New Roman" w:hAnsi="Times New Roman"/>
          <w:sz w:val="17"/>
          <w:szCs w:val="17"/>
          <w:color w:val="auto"/>
        </w:rPr>
      </w:pPr>
    </w:p>
    <w:p>
      <w:pPr>
        <w:ind w:left="680" w:right="99" w:hanging="307"/>
        <w:spacing w:after="0" w:line="264" w:lineRule="auto"/>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forced to suspend marketing of that product, or decide to remove the product from the marketplace; and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may become less competitive, and our reputation may suffer.</w:t>
      </w:r>
    </w:p>
    <w:p>
      <w:pPr>
        <w:spacing w:after="0" w:line="208" w:lineRule="exact"/>
        <w:rPr>
          <w:sz w:val="20"/>
          <w:szCs w:val="20"/>
          <w:color w:val="auto"/>
        </w:rPr>
      </w:pPr>
    </w:p>
    <w:p>
      <w:pPr>
        <w:ind w:left="40" w:right="239"/>
        <w:spacing w:after="0" w:line="265"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and could significantly harm our business, prospects, financial condition and results of operations.</w:t>
      </w:r>
    </w:p>
    <w:p>
      <w:pPr>
        <w:spacing w:after="0" w:line="151" w:lineRule="exact"/>
        <w:rPr>
          <w:sz w:val="20"/>
          <w:szCs w:val="20"/>
          <w:color w:val="auto"/>
        </w:rPr>
      </w:pPr>
    </w:p>
    <w:p>
      <w:pPr>
        <w:ind w:left="40" w:right="439"/>
        <w:spacing w:after="0" w:line="272" w:lineRule="auto"/>
        <w:rPr>
          <w:sz w:val="20"/>
          <w:szCs w:val="20"/>
          <w:color w:val="auto"/>
        </w:rPr>
      </w:pPr>
      <w:r>
        <w:rPr>
          <w:rFonts w:ascii="Arial" w:cs="Arial" w:eastAsia="Arial" w:hAnsi="Arial"/>
          <w:sz w:val="17"/>
          <w:szCs w:val="17"/>
          <w:b w:val="1"/>
          <w:bCs w:val="1"/>
          <w:i w:val="1"/>
          <w:iCs w:val="1"/>
          <w:color w:val="auto"/>
        </w:rPr>
        <w:t>As an organization, we have never conducted later-stage clinical studies or submitted an NDA, and may be unable to do so for any of our product candidates.</w:t>
      </w:r>
    </w:p>
    <w:p>
      <w:pPr>
        <w:spacing w:after="0" w:line="136" w:lineRule="exact"/>
        <w:rPr>
          <w:sz w:val="20"/>
          <w:szCs w:val="20"/>
          <w:color w:val="auto"/>
        </w:rPr>
      </w:pPr>
    </w:p>
    <w:p>
      <w:pPr>
        <w:ind w:left="40" w:right="59"/>
        <w:spacing w:after="0" w:line="250" w:lineRule="auto"/>
        <w:rPr>
          <w:sz w:val="20"/>
          <w:szCs w:val="20"/>
          <w:color w:val="auto"/>
        </w:rPr>
      </w:pPr>
      <w:r>
        <w:rPr>
          <w:rFonts w:ascii="Arial" w:cs="Arial" w:eastAsia="Arial" w:hAnsi="Arial"/>
          <w:sz w:val="16"/>
          <w:szCs w:val="16"/>
          <w:color w:val="auto"/>
        </w:rPr>
        <w:t>We are early in our development efforts for our product candidates, and we will need to successfully complete pivotal clinical studies in order to seek FDA or applicable foreign authority approval to market aleniglipron, ACCG-2671, ANPA-0073, LTSE-2578 and any future product candidates we may develop. Carrying out clinical studies and the submission of NDAs is complicated. We have not conducted any later stage or pivotal clinical studies, have limited experience as a company in preparing, submitting and prosecuting regulatory filings and have not previously submitted an NDA or other applicable foreign regulatory submission for any product candidate. We also plan to conduct a number of clinical studies for multiple product candidates in parallel over the next several years. This may be a difficult process to manage with our limited resources and may divert the attention of management. In addition, we are currently planning for later stage interactions with FDA, and other foreign regulatory agencies however we cannot guarantee timely or shift alignment on our clinical trial designs, phase 3 dose rationale and overall size of the data base needed for any future marketing applications. Consequently, we may be unable to successfully and efficiently execute and complete necessary clinical studies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studies, could prevent us from or delay us in submitting NDAs for and commercializing our product candidates.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99"/>
        <w:spacing w:after="0" w:line="252" w:lineRule="auto"/>
        <w:rPr>
          <w:sz w:val="20"/>
          <w:szCs w:val="20"/>
          <w:color w:val="auto"/>
        </w:rPr>
      </w:pPr>
      <w:r>
        <w:rPr>
          <w:rFonts w:ascii="Arial" w:cs="Arial" w:eastAsia="Arial" w:hAnsi="Arial"/>
          <w:sz w:val="17"/>
          <w:szCs w:val="17"/>
          <w:b w:val="1"/>
          <w:bCs w:val="1"/>
          <w:i w:val="1"/>
          <w:iCs w:val="1"/>
          <w:color w:val="auto"/>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spacing w:after="0" w:line="152" w:lineRule="exact"/>
        <w:rPr>
          <w:sz w:val="20"/>
          <w:szCs w:val="20"/>
          <w:color w:val="auto"/>
        </w:rPr>
      </w:pPr>
    </w:p>
    <w:p>
      <w:pPr>
        <w:ind w:left="40" w:right="99"/>
        <w:spacing w:after="0" w:line="237" w:lineRule="auto"/>
        <w:rPr>
          <w:sz w:val="20"/>
          <w:szCs w:val="20"/>
          <w:color w:val="auto"/>
        </w:rPr>
      </w:pPr>
      <w:r>
        <w:rPr>
          <w:rFonts w:ascii="Arial" w:cs="Arial" w:eastAsia="Arial" w:hAnsi="Arial"/>
          <w:sz w:val="17"/>
          <w:szCs w:val="17"/>
          <w:color w:val="auto"/>
        </w:rPr>
        <w:t>The time required to reach approval by the FDA and applicable foreign authorities is unpredictable but typically takes many years following the commencement of clinical studies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spacing w:after="0" w:line="172" w:lineRule="exact"/>
        <w:rPr>
          <w:sz w:val="20"/>
          <w:szCs w:val="20"/>
          <w:color w:val="auto"/>
        </w:rPr>
      </w:pPr>
    </w:p>
    <w:p>
      <w:pPr>
        <w:ind w:left="40" w:right="99"/>
        <w:spacing w:after="0" w:line="252" w:lineRule="auto"/>
        <w:rPr>
          <w:sz w:val="20"/>
          <w:szCs w:val="20"/>
          <w:color w:val="auto"/>
        </w:rPr>
      </w:pPr>
      <w:r>
        <w:rPr>
          <w:rFonts w:ascii="Arial" w:cs="Arial" w:eastAsia="Arial" w:hAnsi="Arial"/>
          <w:sz w:val="16"/>
          <w:szCs w:val="16"/>
          <w:color w:val="auto"/>
        </w:rPr>
        <w:t>Prior to obtaining approval to commercialize a product candidate in the United States or abroad, we or our collaborators must demonstrate with substantial evidence from well-controlled clinical studies, and to the satisfaction of the FDA or applicable foreign authorities, that such product candidates are safe and effective for their intended uses. The number of nonclinical studies and clinical studies that will be required for FDA approval varies depending on the product candidate, the disease or condition that the product candidate is designed to address, and the regulations applicable to any particular product candidate. Results from nonclinical studies and clinical studies can be interpreted in different ways. Even if we believe the nonclinical or clinical data for our product candidates are promising, such data may not be sufficient to support approval by the FDA and other regulatory authorities. The FDA and applicable foreign authorities may also require us to conduct additional preclinical studies or clinical studies for our product candidates either prior to or post-approval, or could object to elements of our clinical development program.</w:t>
      </w:r>
    </w:p>
    <w:p>
      <w:pPr>
        <w:spacing w:after="0" w:line="163" w:lineRule="exact"/>
        <w:rPr>
          <w:sz w:val="20"/>
          <w:szCs w:val="20"/>
          <w:color w:val="auto"/>
        </w:rPr>
      </w:pPr>
    </w:p>
    <w:p>
      <w:pPr>
        <w:ind w:left="40" w:right="339"/>
        <w:spacing w:after="0" w:line="296" w:lineRule="auto"/>
        <w:rPr>
          <w:sz w:val="20"/>
          <w:szCs w:val="20"/>
          <w:color w:val="auto"/>
        </w:rPr>
      </w:pPr>
      <w:r>
        <w:rPr>
          <w:rFonts w:ascii="Arial" w:cs="Arial" w:eastAsia="Arial" w:hAnsi="Arial"/>
          <w:sz w:val="16"/>
          <w:szCs w:val="16"/>
          <w:color w:val="auto"/>
        </w:rPr>
        <w:t>The FDA or applicable foreign authorities can delay, limit or deny approval of our product candidates or require us to conduct additional nonclinical or clinical testing or abandon a program for various reasons, including the following:</w:t>
      </w:r>
    </w:p>
    <w:p>
      <w:pPr>
        <w:spacing w:after="0" w:line="127" w:lineRule="exact"/>
        <w:rPr>
          <w:sz w:val="20"/>
          <w:szCs w:val="20"/>
          <w:color w:val="auto"/>
        </w:rPr>
      </w:pPr>
    </w:p>
    <w:p>
      <w:pPr>
        <w:ind w:left="680" w:hanging="307"/>
        <w:spacing w:after="0"/>
        <w:tabs>
          <w:tab w:leader="none" w:pos="6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FDA or applicable foreign authorities may disagree with the design or implementation of our clinical studies;</w:t>
      </w:r>
    </w:p>
    <w:p>
      <w:pPr>
        <w:spacing w:after="0" w:line="118" w:lineRule="exact"/>
        <w:rPr>
          <w:rFonts w:ascii="Times New Roman" w:cs="Times New Roman" w:eastAsia="Times New Roman" w:hAnsi="Times New Roman"/>
          <w:sz w:val="16"/>
          <w:szCs w:val="16"/>
          <w:color w:val="auto"/>
        </w:rPr>
      </w:pPr>
    </w:p>
    <w:p>
      <w:pPr>
        <w:ind w:left="680" w:right="139" w:hanging="307"/>
        <w:spacing w:after="0" w:line="264"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unable to demonstrate to the satisfaction of the FDA or applicable foreign authorities that a product candidate is safe and effective for its proposed indication;</w:t>
      </w:r>
    </w:p>
    <w:p>
      <w:pPr>
        <w:spacing w:after="0" w:line="48" w:lineRule="exact"/>
        <w:rPr>
          <w:rFonts w:ascii="Times New Roman" w:cs="Times New Roman" w:eastAsia="Times New Roman" w:hAnsi="Times New Roman"/>
          <w:sz w:val="17"/>
          <w:szCs w:val="17"/>
          <w:color w:val="auto"/>
        </w:rPr>
      </w:pPr>
    </w:p>
    <w:p>
      <w:pPr>
        <w:ind w:left="680" w:right="99" w:hanging="307"/>
        <w:spacing w:after="0" w:line="264"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clinical studies may not meet the level of statistical significance required by the FDA or applicable foreign authorities for approval;</w:t>
      </w:r>
    </w:p>
    <w:p>
      <w:pPr>
        <w:spacing w:after="0" w:line="48" w:lineRule="exact"/>
        <w:rPr>
          <w:rFonts w:ascii="Times New Roman" w:cs="Times New Roman" w:eastAsia="Times New Roman" w:hAnsi="Times New Roman"/>
          <w:sz w:val="17"/>
          <w:szCs w:val="17"/>
          <w:color w:val="auto"/>
        </w:rPr>
      </w:pPr>
    </w:p>
    <w:p>
      <w:pPr>
        <w:ind w:left="680" w:right="599" w:hanging="307"/>
        <w:spacing w:after="0" w:line="264"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serious and unexpected drug-related side effects experienced by participants in our clinical studies or by individuals using drugs similar to our product candidates;</w:t>
      </w:r>
    </w:p>
    <w:p>
      <w:pPr>
        <w:spacing w:after="0" w:line="48" w:lineRule="exact"/>
        <w:rPr>
          <w:rFonts w:ascii="Times New Roman" w:cs="Times New Roman" w:eastAsia="Times New Roman" w:hAnsi="Times New Roman"/>
          <w:sz w:val="17"/>
          <w:szCs w:val="17"/>
          <w:color w:val="auto"/>
        </w:rPr>
      </w:pPr>
    </w:p>
    <w:p>
      <w:pPr>
        <w:ind w:left="680" w:right="459" w:hanging="307"/>
        <w:spacing w:after="0" w:line="264"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48" w:lineRule="exact"/>
        <w:rPr>
          <w:rFonts w:ascii="Times New Roman" w:cs="Times New Roman" w:eastAsia="Times New Roman" w:hAnsi="Times New Roman"/>
          <w:sz w:val="17"/>
          <w:szCs w:val="17"/>
          <w:color w:val="auto"/>
        </w:rPr>
      </w:pPr>
    </w:p>
    <w:p>
      <w:pPr>
        <w:ind w:left="680" w:right="99" w:hanging="307"/>
        <w:spacing w:after="0" w:line="264"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applicable foreign authorities may disagree with our interpretation of data from preclinical studies or clinical studies;</w:t>
      </w:r>
    </w:p>
    <w:p>
      <w:pPr>
        <w:spacing w:after="0" w:line="48" w:lineRule="exact"/>
        <w:rPr>
          <w:rFonts w:ascii="Times New Roman" w:cs="Times New Roman" w:eastAsia="Times New Roman" w:hAnsi="Times New Roman"/>
          <w:sz w:val="17"/>
          <w:szCs w:val="17"/>
          <w:color w:val="auto"/>
        </w:rPr>
      </w:pPr>
    </w:p>
    <w:p>
      <w:pPr>
        <w:ind w:left="680" w:right="119" w:hanging="307"/>
        <w:spacing w:after="0" w:line="248"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data collected from clinical studies of our product candidates may not be acceptable or sufficient to support the submission of an NDA or other submission or to obtain marketing approval in the United States or elsewhere, and we may be required to conduct additional clinical studies;</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FDA’s or the applicable foreign authority’s requirement for additional nonclinical studies or clinical studies;</w:t>
      </w:r>
    </w:p>
    <w:p>
      <w:pPr>
        <w:spacing w:after="0" w:line="106" w:lineRule="exact"/>
        <w:rPr>
          <w:rFonts w:ascii="Times New Roman" w:cs="Times New Roman" w:eastAsia="Times New Roman" w:hAnsi="Times New Roman"/>
          <w:sz w:val="17"/>
          <w:szCs w:val="17"/>
          <w:color w:val="auto"/>
        </w:rPr>
      </w:pPr>
    </w:p>
    <w:p>
      <w:pPr>
        <w:ind w:left="680" w:right="739" w:hanging="307"/>
        <w:spacing w:after="0" w:line="264" w:lineRule="auto"/>
        <w:tabs>
          <w:tab w:leader="none" w:pos="68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the applicable foreign authority may disagree regarding the formulation, labeling and/or the specifications of our product candidates;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199" w:hanging="307"/>
        <w:spacing w:after="0" w:line="264" w:lineRule="auto"/>
        <w:tabs>
          <w:tab w:leader="none" w:pos="68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applicable foreign authorities may fail to approve the manufacturing processes or facilities of third-party manufacturers with which we contract for clinical and commercial supplies; and</w:t>
      </w:r>
    </w:p>
    <w:p>
      <w:pPr>
        <w:spacing w:after="0" w:line="48" w:lineRule="exact"/>
        <w:rPr>
          <w:rFonts w:ascii="Times New Roman" w:cs="Times New Roman" w:eastAsia="Times New Roman" w:hAnsi="Times New Roman"/>
          <w:sz w:val="17"/>
          <w:szCs w:val="17"/>
          <w:color w:val="auto"/>
        </w:rPr>
      </w:pPr>
    </w:p>
    <w:p>
      <w:pPr>
        <w:ind w:left="680" w:right="319" w:hanging="307"/>
        <w:spacing w:after="0" w:line="264" w:lineRule="auto"/>
        <w:tabs>
          <w:tab w:leader="none" w:pos="68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approval policies or regulations of the FDA or applicable foreign authorities may significantly change in a manner rendering our clinical data insufficient for approval.</w:t>
      </w:r>
    </w:p>
    <w:p>
      <w:pPr>
        <w:spacing w:after="0" w:line="150" w:lineRule="exact"/>
        <w:rPr>
          <w:sz w:val="20"/>
          <w:szCs w:val="20"/>
          <w:color w:val="auto"/>
        </w:rPr>
      </w:pPr>
    </w:p>
    <w:p>
      <w:pPr>
        <w:ind w:left="40" w:right="159"/>
        <w:spacing w:after="0" w:line="243" w:lineRule="auto"/>
        <w:rPr>
          <w:sz w:val="20"/>
          <w:szCs w:val="20"/>
          <w:color w:val="auto"/>
        </w:rPr>
      </w:pPr>
      <w:r>
        <w:rPr>
          <w:rFonts w:ascii="Arial" w:cs="Arial" w:eastAsia="Arial" w:hAnsi="Arial"/>
          <w:sz w:val="17"/>
          <w:szCs w:val="17"/>
          <w:color w:val="auto"/>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spacing w:after="0" w:line="170" w:lineRule="exact"/>
        <w:rPr>
          <w:sz w:val="20"/>
          <w:szCs w:val="20"/>
          <w:color w:val="auto"/>
        </w:rPr>
      </w:pPr>
    </w:p>
    <w:p>
      <w:pPr>
        <w:ind w:left="40" w:right="99"/>
        <w:spacing w:after="0" w:line="30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13"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In addition, in recent years, a number of companies have entered the drug discovery industry utilizing different artificial intelligence (“AI”) approaches. The success of other such AI approaches to drug discovery could create more competition for us. We believe that we must continue to invest a significant amount of time and resources in our platform technologies to maintain and improve our competitive position.</w:t>
      </w:r>
    </w:p>
    <w:p>
      <w:pPr>
        <w:spacing w:after="0" w:line="363" w:lineRule="exact"/>
        <w:rPr>
          <w:sz w:val="20"/>
          <w:szCs w:val="20"/>
          <w:color w:val="auto"/>
        </w:rPr>
      </w:pPr>
    </w:p>
    <w:p>
      <w:pPr>
        <w:ind w:left="40" w:right="219"/>
        <w:spacing w:after="0" w:line="272" w:lineRule="auto"/>
        <w:rPr>
          <w:sz w:val="20"/>
          <w:szCs w:val="20"/>
          <w:color w:val="auto"/>
        </w:rPr>
      </w:pPr>
      <w:r>
        <w:rPr>
          <w:rFonts w:ascii="Arial" w:cs="Arial" w:eastAsia="Arial" w:hAnsi="Arial"/>
          <w:sz w:val="17"/>
          <w:szCs w:val="17"/>
          <w:b w:val="1"/>
          <w:bCs w:val="1"/>
          <w:i w:val="1"/>
          <w:iCs w:val="1"/>
          <w:color w:val="auto"/>
        </w:rPr>
        <w:t>We may not be able to obtain or maintain orphan drug designations or exclusivity for our product candidates, which could limit the potential profitability of our product candidates.</w:t>
      </w:r>
    </w:p>
    <w:p>
      <w:pPr>
        <w:spacing w:after="0" w:line="136"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seven-year period of marketing exclusivity that precludes the applicable regulatory authority from approving another marketing application for the same chemical entity for the same indication for the 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71" w:lineRule="exact"/>
        <w:rPr>
          <w:sz w:val="20"/>
          <w:szCs w:val="20"/>
          <w:color w:val="auto"/>
        </w:rPr>
      </w:pPr>
    </w:p>
    <w:p>
      <w:pPr>
        <w:ind w:left="40" w:right="319"/>
        <w:spacing w:after="0" w:line="245" w:lineRule="auto"/>
        <w:rPr>
          <w:sz w:val="20"/>
          <w:szCs w:val="20"/>
          <w:color w:val="auto"/>
        </w:rPr>
      </w:pPr>
      <w:r>
        <w:rPr>
          <w:rFonts w:ascii="Arial" w:cs="Arial" w:eastAsia="Arial" w:hAnsi="Arial"/>
          <w:sz w:val="17"/>
          <w:szCs w:val="17"/>
          <w:b w:val="1"/>
          <w:bCs w:val="1"/>
          <w:i w:val="1"/>
          <w:iCs w:val="1"/>
          <w:color w:val="auto"/>
        </w:rPr>
        <w:t>We have conducted, or may plan to conduct, our initial clinical studies for aleniglipron, ACCG-2671, ANPA-0073, LTSE-2578 and our other product candidates outside of the United States. However, the FDA and other foreign equivalents may not accept data from such studies, in which case our development plans will be delayed, which could materially harm our business.</w:t>
      </w:r>
    </w:p>
    <w:p>
      <w:pPr>
        <w:spacing w:after="0" w:line="159"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We have conducted our initial clinical studies for aleniglipron and ANPA-0073 in Australia, and may conduct our Phase 1 studies for other drug candidates in Australia, China or other foreign countries. The acceptance of study data from clinical studies conducted outside the United States or another jurisdiction by the FDA or applicable foreign authority may be subject to certain conditions or may not be accepted at all. In cases where data from foreign clinical studies are intended to serve as the sole basis for marketing approval in the United States, the FDA will generally not approve the application on the basis of foreign data alone unless (i) the data are applicable to the U.S. population and U.S. medical practice; (ii) the studies were performed by clinical investigators of recognized competence and pursuant to good clinical practices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studies would be subject to the applicable local laws of the foreign jurisdictions where the studies are conducted. There can be no assurance that the FDA or any applicable foreign authority will accept data from studies conducted outside of the United States or the applicable jurisdiction. If the FDA or any applicable foreign authority does not accept such data, it would result in the need for additional studies, which could be costly and time-consuming, and which may result in current or future product candidates that we may develop not receiving approval for commercialization in the applicable jurisdiction.</w:t>
      </w:r>
    </w:p>
    <w:p>
      <w:pPr>
        <w:spacing w:after="0" w:line="178" w:lineRule="exact"/>
        <w:rPr>
          <w:sz w:val="20"/>
          <w:szCs w:val="20"/>
          <w:color w:val="auto"/>
        </w:rPr>
      </w:pPr>
    </w:p>
    <w:p>
      <w:pPr>
        <w:ind w:left="40" w:right="339"/>
        <w:spacing w:after="0" w:line="239" w:lineRule="auto"/>
        <w:rPr>
          <w:sz w:val="20"/>
          <w:szCs w:val="20"/>
          <w:color w:val="auto"/>
        </w:rPr>
      </w:pPr>
      <w:r>
        <w:rPr>
          <w:rFonts w:ascii="Arial" w:cs="Arial" w:eastAsia="Arial" w:hAnsi="Arial"/>
          <w:sz w:val="17"/>
          <w:szCs w:val="17"/>
          <w:color w:val="auto"/>
        </w:rPr>
        <w:t>We believe that clinical data generated in Australia and China or other foreign countries will be accepted by the FDA and its foreign equivalents outside of Australia; however, there can be no assurance the FDA or applicable foreign authorities will accept data from any other clinical studies that we may conduct in Australia, China or other foreign countries. If the FDA or applicable foreign authorities do not accept any such data, we would likely be required to conduct additional Phase 1 clinical studies, which would be costly and time consuming, and delay aspects of our development plan, which could harm our business.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Conducting clinical studies outside the United States exposes us to additional risks, including risks associated with:</w:t>
      </w:r>
    </w:p>
    <w:p>
      <w:pPr>
        <w:spacing w:after="0" w:line="196" w:lineRule="exact"/>
        <w:rPr>
          <w:sz w:val="20"/>
          <w:szCs w:val="20"/>
          <w:color w:val="auto"/>
        </w:rPr>
      </w:pPr>
    </w:p>
    <w:p>
      <w:pPr>
        <w:ind w:left="680" w:hanging="307"/>
        <w:spacing w:after="0"/>
        <w:tabs>
          <w:tab w:leader="none" w:pos="68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additional foreign regulatory requirements;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foreign exchange fluctuations;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foreign manufacturing, customs, shipment and storage requirements;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cultural differences in medical practice and clinical research; and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diminished protection of intellectual property in some countries.</w:t>
      </w:r>
    </w:p>
    <w:p>
      <w:pPr>
        <w:spacing w:after="0" w:line="210" w:lineRule="exact"/>
        <w:rPr>
          <w:sz w:val="20"/>
          <w:szCs w:val="20"/>
          <w:color w:val="auto"/>
        </w:rPr>
      </w:pPr>
    </w:p>
    <w:p>
      <w:pPr>
        <w:jc w:val="both"/>
        <w:ind w:left="40" w:right="339"/>
        <w:spacing w:after="0" w:line="252" w:lineRule="auto"/>
        <w:rPr>
          <w:sz w:val="20"/>
          <w:szCs w:val="20"/>
          <w:color w:val="auto"/>
        </w:rPr>
      </w:pPr>
      <w:r>
        <w:rPr>
          <w:rFonts w:ascii="Arial" w:cs="Arial" w:eastAsia="Arial" w:hAnsi="Arial"/>
          <w:sz w:val="17"/>
          <w:szCs w:val="17"/>
          <w:b w:val="1"/>
          <w:bCs w:val="1"/>
          <w:i w:val="1"/>
          <w:iCs w:val="1"/>
          <w:color w:val="auto"/>
        </w:rPr>
        <w:t>Preliminary, topline and interim data from our clinical studies that we announce or publish from time to time may change as more patient data become available and are subject to audit and verification procedures that could result in material changes in the final data.</w:t>
      </w:r>
    </w:p>
    <w:p>
      <w:pPr>
        <w:spacing w:after="0" w:line="152"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From time to time, we may publicly disclose interim,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studies. Interim data from clinical studies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For example, topline results and the length of the study and sample size may render the results of our prior aleniglipron studies not necessarily indicative of the results for our future clinical studies for aleniglipron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study and had similar baseline characteristics (implicit imputation). Due to the preliminary nature of these results and the length of the study and sample size, these results are not necessarily indicative of the final results for our clinical studies for aleniglipron. If the final data is materially different from the preliminary topline data reported, this could significantly harm our business prospects.</w:t>
      </w:r>
    </w:p>
    <w:p>
      <w:pPr>
        <w:spacing w:after="0" w:line="357"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40" w:right="399"/>
        <w:spacing w:after="0" w:line="304" w:lineRule="auto"/>
        <w:rPr>
          <w:sz w:val="20"/>
          <w:szCs w:val="20"/>
          <w:color w:val="auto"/>
        </w:rPr>
      </w:pPr>
      <w:r>
        <w:rPr>
          <w:rFonts w:ascii="Arial" w:cs="Arial" w:eastAsia="Arial" w:hAnsi="Arial"/>
          <w:sz w:val="16"/>
          <w:szCs w:val="16"/>
          <w:b w:val="1"/>
          <w:bCs w:val="1"/>
          <w:i w:val="1"/>
          <w:iCs w:val="1"/>
          <w:color w:val="auto"/>
        </w:rPr>
        <w:t>Obtaining and maintaining marketing approval of our product candidates in one jurisdiction does not mean that we will be successful in obtaining marketing approval of our product candidates in other jurisdictions.</w:t>
      </w:r>
    </w:p>
    <w:p>
      <w:pPr>
        <w:spacing w:after="0" w:line="113" w:lineRule="exact"/>
        <w:rPr>
          <w:sz w:val="20"/>
          <w:szCs w:val="20"/>
          <w:color w:val="auto"/>
        </w:rPr>
      </w:pPr>
    </w:p>
    <w:p>
      <w:pPr>
        <w:ind w:left="40" w:right="159"/>
        <w:spacing w:after="0" w:line="236" w:lineRule="auto"/>
        <w:rPr>
          <w:sz w:val="20"/>
          <w:szCs w:val="20"/>
          <w:color w:val="auto"/>
        </w:rPr>
      </w:pPr>
      <w:r>
        <w:rPr>
          <w:rFonts w:ascii="Arial" w:cs="Arial" w:eastAsia="Arial" w:hAnsi="Arial"/>
          <w:sz w:val="17"/>
          <w:szCs w:val="17"/>
          <w:color w:val="auto"/>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studies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0" w:lineRule="exact"/>
        <w:rPr>
          <w:sz w:val="20"/>
          <w:szCs w:val="20"/>
          <w:color w:val="auto"/>
        </w:rPr>
      </w:pPr>
    </w:p>
    <w:p>
      <w:pPr>
        <w:ind w:left="40" w:right="99"/>
        <w:spacing w:after="0" w:line="239" w:lineRule="auto"/>
        <w:rPr>
          <w:sz w:val="20"/>
          <w:szCs w:val="20"/>
          <w:color w:val="auto"/>
        </w:rPr>
      </w:pPr>
      <w:r>
        <w:rPr>
          <w:rFonts w:ascii="Arial" w:cs="Arial" w:eastAsia="Arial" w:hAnsi="Arial"/>
          <w:sz w:val="17"/>
          <w:szCs w:val="17"/>
          <w:color w:val="auto"/>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172" w:lineRule="exact"/>
        <w:rPr>
          <w:sz w:val="20"/>
          <w:szCs w:val="20"/>
          <w:color w:val="auto"/>
        </w:rPr>
      </w:pPr>
    </w:p>
    <w:p>
      <w:pPr>
        <w:ind w:left="40" w:right="79"/>
        <w:spacing w:after="0" w:line="245"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59"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The ability of the FDA and applicable foreign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40" w:right="319"/>
        <w:spacing w:after="0" w:line="23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furloughed critical employees and ceased critical activities. More recently, such agencies, including the FDA, have conducted layoffs and may, from time to time, conduct additional layoffs. If a prolonged government shutdown or significant layoffs occur, it could significantly impact the ability of the FDA and applicable foreign authorities to timely review and process our regulatory submissions, which could have a material adverse effect on our business.</w:t>
      </w:r>
    </w:p>
    <w:p>
      <w:pPr>
        <w:spacing w:after="0" w:line="170" w:lineRule="exact"/>
        <w:rPr>
          <w:sz w:val="20"/>
          <w:szCs w:val="20"/>
          <w:color w:val="auto"/>
        </w:rPr>
      </w:pPr>
    </w:p>
    <w:p>
      <w:pPr>
        <w:ind w:left="40" w:right="219"/>
        <w:spacing w:after="0" w:line="243" w:lineRule="auto"/>
        <w:rPr>
          <w:sz w:val="20"/>
          <w:szCs w:val="20"/>
          <w:color w:val="auto"/>
        </w:rPr>
      </w:pPr>
      <w:r>
        <w:rPr>
          <w:rFonts w:ascii="Arial" w:cs="Arial" w:eastAsia="Arial" w:hAnsi="Arial"/>
          <w:sz w:val="17"/>
          <w:szCs w:val="17"/>
          <w:color w:val="auto"/>
        </w:rPr>
        <w:t>If a prolonged government shutdown occurs, or if global health concerns prevent the FDA or applicable foreign authorities from conducting their regular inspections, reviews, or other regulatory activities, it could significantly impact the ability of the FDA or applicable foreign authorities to timely review and process our regulatory submissions, which could have a material adverse effect on our business.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98" w:lineRule="exact"/>
        <w:rPr>
          <w:sz w:val="20"/>
          <w:szCs w:val="20"/>
          <w:color w:val="auto"/>
        </w:rPr>
      </w:pPr>
    </w:p>
    <w:p>
      <w:pPr>
        <w:jc w:val="both"/>
        <w:ind w:left="40" w:right="159"/>
        <w:spacing w:after="0" w:line="252" w:lineRule="auto"/>
        <w:rPr>
          <w:sz w:val="20"/>
          <w:szCs w:val="20"/>
          <w:color w:val="auto"/>
        </w:rPr>
      </w:pPr>
      <w:r>
        <w:rPr>
          <w:rFonts w:ascii="Arial" w:cs="Arial" w:eastAsia="Arial" w:hAnsi="Arial"/>
          <w:sz w:val="17"/>
          <w:szCs w:val="17"/>
          <w:b w:val="1"/>
          <w:bCs w:val="1"/>
          <w:i w:val="1"/>
          <w:iCs w:val="1"/>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379"/>
        <w:spacing w:after="0" w:line="272" w:lineRule="auto"/>
        <w:rPr>
          <w:sz w:val="20"/>
          <w:szCs w:val="20"/>
          <w:color w:val="auto"/>
        </w:rPr>
      </w:pPr>
      <w:r>
        <w:rPr>
          <w:rFonts w:ascii="Arial" w:cs="Arial" w:eastAsia="Arial" w:hAnsi="Arial"/>
          <w:sz w:val="17"/>
          <w:szCs w:val="17"/>
          <w:b w:val="1"/>
          <w:bCs w:val="1"/>
          <w:i w:val="1"/>
          <w:iCs w:val="1"/>
          <w:color w:val="auto"/>
        </w:rPr>
        <w:t>such quantities at an acceptable cost, which could delay, prevent or impair our development or commercialization efforts.</w:t>
      </w:r>
    </w:p>
    <w:p>
      <w:pPr>
        <w:spacing w:after="0" w:line="136" w:lineRule="exact"/>
        <w:rPr>
          <w:sz w:val="20"/>
          <w:szCs w:val="20"/>
          <w:color w:val="auto"/>
        </w:rPr>
      </w:pPr>
    </w:p>
    <w:p>
      <w:pPr>
        <w:ind w:left="40" w:right="79"/>
        <w:spacing w:after="0" w:line="248"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our product candidates are currently provided by a supplier, WuXi STA, a subsidiary of WuXi AppTec, and we expect to rely on this supplier for the foreseeable future. Contract manufacturing organizations may become subject to legislation, trade restrictions, sanctions, and other regulatory requirements by the U.S. government, which could restrict or even prohibit our ability to work with such entities, thereby potentially disrupting the supply of material to us. For example, the House of Representatives of the prior Congress (the 118th Congress) passed the BIOSECURE Act, which proposed prohibiting U.S. government contracts, grants, and loans to entities that use equipment and services from certain named Chinese biotech companies, which currently include WuXi AppTec and WuXi Biologics and certain of their respective subsidiaries and affiliates, and authorizes the U.S. government to include additional Chinese biotechnology companies of concern. This version of the BIOSECURE Act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Actor similar legislation in this congressional session and, if so, how the scope, prohibitions, or designated biotechnology companies of concern may differ from the version of the BIOSECURE Act passed by the House in the prior 118th Congress. Any U.S. executive action, legislative action or potential sanctions with China could materially impact entities that work with Chinese biotechnology companies.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 We have contracted with, or are in the process of pursuing contracts with, alternative suppliers or manufacturers outside of China for our active pharmaceutical ingredients and drug product for our product candidates. While we believe that our current manufacturing plan will provide us with alternative sources for such supplies, there is a risk that, if supplies are interrupted, or the quality of ingredients provided by such alternative sources is not to our specification, it would cause delays in our supply chain and increase the cost of manufacturing our drugs, which could materially harm our business.</w:t>
      </w:r>
    </w:p>
    <w:p>
      <w:pPr>
        <w:spacing w:after="0" w:line="368" w:lineRule="exact"/>
        <w:rPr>
          <w:sz w:val="20"/>
          <w:szCs w:val="20"/>
          <w:color w:val="auto"/>
        </w:rPr>
      </w:pPr>
    </w:p>
    <w:p>
      <w:pPr>
        <w:ind w:left="40" w:right="119"/>
        <w:spacing w:after="0" w:line="235" w:lineRule="auto"/>
        <w:rPr>
          <w:sz w:val="20"/>
          <w:szCs w:val="20"/>
          <w:color w:val="auto"/>
        </w:rPr>
      </w:pPr>
      <w:r>
        <w:rPr>
          <w:rFonts w:ascii="Arial" w:cs="Arial" w:eastAsia="Arial" w:hAnsi="Arial"/>
          <w:sz w:val="17"/>
          <w:szCs w:val="17"/>
          <w:color w:val="auto"/>
        </w:rPr>
        <w:t>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59"/>
        <w:spacing w:after="0" w:line="265" w:lineRule="auto"/>
        <w:rPr>
          <w:sz w:val="20"/>
          <w:szCs w:val="20"/>
          <w:color w:val="auto"/>
        </w:rPr>
      </w:pPr>
      <w:r>
        <w:rPr>
          <w:rFonts w:ascii="Arial" w:cs="Arial" w:eastAsia="Arial" w:hAnsi="Arial"/>
          <w:sz w:val="17"/>
          <w:szCs w:val="17"/>
          <w:color w:val="auto"/>
        </w:rPr>
        <w:t>significantly and adversely affect supplies of our product candidates or drugs and harm our business and results of operations.</w:t>
      </w:r>
    </w:p>
    <w:p>
      <w:pPr>
        <w:spacing w:after="0" w:line="151" w:lineRule="exact"/>
        <w:rPr>
          <w:sz w:val="20"/>
          <w:szCs w:val="20"/>
          <w:color w:val="auto"/>
        </w:rPr>
      </w:pPr>
    </w:p>
    <w:p>
      <w:pPr>
        <w:jc w:val="both"/>
        <w:ind w:left="40" w:right="239"/>
        <w:spacing w:after="0" w:line="252" w:lineRule="auto"/>
        <w:rPr>
          <w:sz w:val="20"/>
          <w:szCs w:val="20"/>
          <w:color w:val="auto"/>
        </w:rPr>
      </w:pPr>
      <w:r>
        <w:rPr>
          <w:rFonts w:ascii="Arial" w:cs="Arial" w:eastAsia="Arial" w:hAnsi="Arial"/>
          <w:sz w:val="17"/>
          <w:szCs w:val="17"/>
          <w:b w:val="1"/>
          <w:bCs w:val="1"/>
          <w:i w:val="1"/>
          <w:iCs w:val="1"/>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52"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future global pandemics,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363" w:lineRule="exact"/>
        <w:rPr>
          <w:sz w:val="20"/>
          <w:szCs w:val="20"/>
          <w:color w:val="auto"/>
        </w:rPr>
      </w:pPr>
    </w:p>
    <w:p>
      <w:pPr>
        <w:ind w:left="40" w:right="519"/>
        <w:spacing w:after="0" w:line="248" w:lineRule="auto"/>
        <w:rPr>
          <w:sz w:val="20"/>
          <w:szCs w:val="20"/>
          <w:color w:val="auto"/>
        </w:rPr>
      </w:pPr>
      <w:r>
        <w:rPr>
          <w:rFonts w:ascii="Arial" w:cs="Arial" w:eastAsia="Arial" w:hAnsi="Arial"/>
          <w:sz w:val="17"/>
          <w:szCs w:val="17"/>
          <w:color w:val="auto"/>
        </w:rPr>
        <w:t>Our or a third party’s failure to execute on our manufacturing requirements on commercially reasonable terms and timelines, if at all, and comply with cGMP requirements could adversely affect our business in a number of ways, including:</w:t>
      </w:r>
    </w:p>
    <w:p>
      <w:pPr>
        <w:spacing w:after="0" w:line="164" w:lineRule="exact"/>
        <w:rPr>
          <w:sz w:val="20"/>
          <w:szCs w:val="20"/>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inability to meet our drug specifications and quality requirements consistently;</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delay or inability to procure or expand sufficient manufacturing capacity;</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issues related to scale-up of manufacturing;</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costs and validation of new equipment and facilities required for scale-up;</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failure to comply with cGMP or similar foreign standards;</w:t>
      </w:r>
    </w:p>
    <w:p>
      <w:pPr>
        <w:spacing w:after="0" w:line="106" w:lineRule="exact"/>
        <w:rPr>
          <w:rFonts w:ascii="Times New Roman" w:cs="Times New Roman" w:eastAsia="Times New Roman" w:hAnsi="Times New Roman"/>
          <w:sz w:val="17"/>
          <w:szCs w:val="17"/>
          <w:color w:val="auto"/>
        </w:rPr>
      </w:pPr>
    </w:p>
    <w:p>
      <w:pPr>
        <w:ind w:left="680" w:right="319" w:hanging="307"/>
        <w:spacing w:after="0" w:line="264" w:lineRule="auto"/>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inability to negotiate manufacturing agreements with third parties under commercially reasonable terms, if at all;</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reliance on single source manufacturers for drug substances and drug products;</w:t>
      </w:r>
    </w:p>
    <w:p>
      <w:pPr>
        <w:spacing w:after="0" w:line="106" w:lineRule="exact"/>
        <w:rPr>
          <w:rFonts w:ascii="Times New Roman" w:cs="Times New Roman" w:eastAsia="Times New Roman" w:hAnsi="Times New Roman"/>
          <w:sz w:val="17"/>
          <w:szCs w:val="17"/>
          <w:color w:val="auto"/>
        </w:rPr>
      </w:pPr>
    </w:p>
    <w:p>
      <w:pPr>
        <w:ind w:left="680" w:right="499" w:hanging="307"/>
        <w:spacing w:after="0" w:line="264" w:lineRule="auto"/>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lack of qualified backup suppliers for those components that are currently purchased from a sole or single source supplier;</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misappropriation of proprietary information, including our trade secrets and know-how;</w:t>
      </w:r>
    </w:p>
    <w:p>
      <w:pPr>
        <w:spacing w:after="0" w:line="106" w:lineRule="exact"/>
        <w:rPr>
          <w:rFonts w:ascii="Times New Roman" w:cs="Times New Roman" w:eastAsia="Times New Roman" w:hAnsi="Times New Roman"/>
          <w:sz w:val="17"/>
          <w:szCs w:val="17"/>
          <w:color w:val="auto"/>
        </w:rPr>
      </w:pPr>
    </w:p>
    <w:p>
      <w:pPr>
        <w:ind w:left="680" w:right="439" w:hanging="307"/>
        <w:spacing w:after="0" w:line="264" w:lineRule="auto"/>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the mislabeling of clinical supplies, potentially resulting in the wrong dose amounts being supplied or study drug or placebo not being properly identified;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clinical supplies not being delivered to clinical sites on time, leading to clinical trial interruptions;</w:t>
      </w:r>
    </w:p>
    <w:p>
      <w:pPr>
        <w:spacing w:after="0" w:line="106" w:lineRule="exact"/>
        <w:rPr>
          <w:rFonts w:ascii="Times New Roman" w:cs="Times New Roman" w:eastAsia="Times New Roman" w:hAnsi="Times New Roman"/>
          <w:sz w:val="17"/>
          <w:szCs w:val="17"/>
          <w:color w:val="auto"/>
        </w:rPr>
      </w:pPr>
    </w:p>
    <w:p>
      <w:pPr>
        <w:ind w:left="680" w:right="559" w:hanging="307"/>
        <w:spacing w:after="0" w:line="264" w:lineRule="auto"/>
        <w:tabs>
          <w:tab w:leader="none" w:pos="68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operations of our third-party manufacturers or suppliers could be disrupted by conditions unrelated to our business or operations, including the bankruptcy of the manufacturer or supplier;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carrier disruptions or increased costs that are beyond our control.</w:t>
      </w:r>
    </w:p>
    <w:p>
      <w:pPr>
        <w:spacing w:after="0" w:line="208" w:lineRule="exact"/>
        <w:rPr>
          <w:sz w:val="20"/>
          <w:szCs w:val="20"/>
          <w:color w:val="auto"/>
        </w:rPr>
      </w:pPr>
    </w:p>
    <w:p>
      <w:pPr>
        <w:ind w:left="40" w:right="279"/>
        <w:spacing w:after="0" w:line="243" w:lineRule="auto"/>
        <w:rPr>
          <w:sz w:val="20"/>
          <w:szCs w:val="20"/>
          <w:color w:val="auto"/>
        </w:rPr>
      </w:pPr>
      <w:r>
        <w:rPr>
          <w:rFonts w:ascii="Arial" w:cs="Arial" w:eastAsia="Arial" w:hAnsi="Arial"/>
          <w:sz w:val="17"/>
          <w:szCs w:val="17"/>
          <w:color w:val="auto"/>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spacing w:after="0" w:line="170" w:lineRule="exact"/>
        <w:rPr>
          <w:sz w:val="20"/>
          <w:szCs w:val="20"/>
          <w:color w:val="auto"/>
        </w:rPr>
      </w:pPr>
    </w:p>
    <w:p>
      <w:pPr>
        <w:ind w:left="40" w:right="159"/>
        <w:spacing w:after="0" w:line="242" w:lineRule="auto"/>
        <w:rPr>
          <w:sz w:val="20"/>
          <w:szCs w:val="20"/>
          <w:color w:val="auto"/>
        </w:rPr>
      </w:pPr>
      <w:r>
        <w:rPr>
          <w:rFonts w:ascii="Arial" w:cs="Arial" w:eastAsia="Arial" w:hAnsi="Arial"/>
          <w:sz w:val="17"/>
          <w:szCs w:val="17"/>
          <w:b w:val="1"/>
          <w:bCs w:val="1"/>
          <w:i w:val="1"/>
          <w:iCs w:val="1"/>
          <w:color w:val="auto"/>
        </w:rPr>
        <w:t>We rely on third parties to conduct, supervise and monitor our discovery research, preclinical studies and clinical studies.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61"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We do not currently have the ability to independently conduct certain discovery research, preclinical studies and clinical studies for our product candidates. We rely on CROs and clinical trial sites to ensure the proper and timely conduct of our preclinical studies and clinical studies,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or clinical studies are conducted in accordance with the applicable protocol, legal, regulatory and scientific standards and our reliance on the CROs does not relieve us of our regulatory responsibilities.</w:t>
      </w:r>
    </w:p>
    <w:p>
      <w:pPr>
        <w:spacing w:after="0" w:line="172"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We and our CROs will be required to comply with the good laboratory practices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GLP-compliant preclinical studies and GCP-compliant clinical studies, we remain responsible for ensuring that each of our GLP preclinical studies and clinical studies is conducted in accordance with its investigational plan and protocol and applicable laws and regulations, and our reliance on the CROs does not relieve us of our regulatory responsibilities. If we or our CROs fail to comply with GCPs, the clinical data generated in our clinical studies may be deemed unreliable and the FDA or applicable foreign authorities may require us to perform additional clinical studies before approving our marketing applications. For example, in September 2023, we announced that topline data from the obesity cohort of our Phase 2a trial of aleniglipron would be delayed because of a data collection omission by a clinical site, where weight was not collected at the final (week 12) visit for 24 of the 40 enrolled participants. Accordingly, if our CROs fail to comply with these regulations or fail to recruit a sufficient number of participants or ensure the collection of requisite data by clinical sites, we may be required to enroll additional participants or repeat clinical studies, which would delay the marketing approval process.</w:t>
      </w:r>
    </w:p>
    <w:p>
      <w:pPr>
        <w:spacing w:after="0" w:line="182"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studies,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studies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spacing w:after="0" w:line="170"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In addition, principal investigators for our clinical studies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spacing w:after="0" w:line="178" w:lineRule="exact"/>
        <w:rPr>
          <w:sz w:val="20"/>
          <w:szCs w:val="20"/>
          <w:color w:val="auto"/>
        </w:rPr>
      </w:pPr>
    </w:p>
    <w:p>
      <w:pPr>
        <w:ind w:left="40" w:right="59"/>
        <w:spacing w:after="0"/>
        <w:rPr>
          <w:sz w:val="20"/>
          <w:szCs w:val="20"/>
          <w:color w:val="auto"/>
        </w:rPr>
      </w:pPr>
      <w:r>
        <w:rPr>
          <w:rFonts w:ascii="Arial" w:cs="Arial" w:eastAsia="Arial" w:hAnsi="Arial"/>
          <w:sz w:val="17"/>
          <w:szCs w:val="17"/>
          <w:b w:val="1"/>
          <w:bCs w:val="1"/>
          <w:i w:val="1"/>
          <w:iCs w:val="1"/>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63"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Research and development collaborations are subject to numerous risks, which may include the following:</w:t>
      </w:r>
    </w:p>
    <w:p>
      <w:pPr>
        <w:spacing w:after="0" w:line="196" w:lineRule="exact"/>
        <w:rPr>
          <w:sz w:val="20"/>
          <w:szCs w:val="20"/>
          <w:color w:val="auto"/>
        </w:rPr>
      </w:pPr>
    </w:p>
    <w:p>
      <w:pPr>
        <w:ind w:left="680" w:right="659" w:hanging="307"/>
        <w:spacing w:after="0" w:line="248" w:lineRule="auto"/>
        <w:tabs>
          <w:tab w:leader="none" w:pos="68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a collaboration, and may not commit sufficient efforts and resources, or may misapply those efforts and resources;</w:t>
      </w:r>
    </w:p>
    <w:p>
      <w:pPr>
        <w:spacing w:after="0" w:line="62" w:lineRule="exact"/>
        <w:rPr>
          <w:rFonts w:ascii="Times New Roman" w:cs="Times New Roman" w:eastAsia="Times New Roman" w:hAnsi="Times New Roman"/>
          <w:sz w:val="17"/>
          <w:szCs w:val="17"/>
          <w:color w:val="auto"/>
        </w:rPr>
      </w:pPr>
    </w:p>
    <w:p>
      <w:pPr>
        <w:ind w:left="680" w:right="619" w:hanging="307"/>
        <w:spacing w:after="0" w:line="264" w:lineRule="auto"/>
        <w:tabs>
          <w:tab w:leader="none" w:pos="68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our structure-based drug discovery platform or collaboration product candidates or may elect not to continue or renew</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development or commercialization programs based on clinical trial results or changes in their strategic focus;</w:t>
      </w:r>
    </w:p>
    <w:p>
      <w:pPr>
        <w:spacing w:after="0" w:line="95" w:lineRule="exact"/>
        <w:rPr>
          <w:sz w:val="20"/>
          <w:szCs w:val="20"/>
          <w:color w:val="auto"/>
        </w:rPr>
      </w:pPr>
    </w:p>
    <w:p>
      <w:pPr>
        <w:ind w:left="680" w:right="359" w:hanging="307"/>
        <w:spacing w:after="0" w:line="264" w:lineRule="auto"/>
        <w:tabs>
          <w:tab w:leader="none" w:pos="68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provide insufficient resources to, or modify or stop clinical studies for our structure-based drug discovery platform or collaboration product candidates;</w:t>
      </w:r>
    </w:p>
    <w:p>
      <w:pPr>
        <w:spacing w:after="0" w:line="48" w:lineRule="exact"/>
        <w:rPr>
          <w:rFonts w:ascii="Times New Roman" w:cs="Times New Roman" w:eastAsia="Times New Roman" w:hAnsi="Times New Roman"/>
          <w:sz w:val="17"/>
          <w:szCs w:val="17"/>
          <w:color w:val="auto"/>
        </w:rPr>
      </w:pPr>
    </w:p>
    <w:p>
      <w:pPr>
        <w:ind w:left="680" w:right="239" w:hanging="307"/>
        <w:spacing w:after="0" w:line="264" w:lineRule="auto"/>
        <w:tabs>
          <w:tab w:leader="none" w:pos="68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develop or acquire products outside of the collaboration that compete directly or indirectly with our products or product candidates;</w:t>
      </w:r>
    </w:p>
    <w:p>
      <w:pPr>
        <w:spacing w:after="0" w:line="48" w:lineRule="exact"/>
        <w:rPr>
          <w:rFonts w:ascii="Times New Roman" w:cs="Times New Roman" w:eastAsia="Times New Roman" w:hAnsi="Times New Roman"/>
          <w:sz w:val="17"/>
          <w:szCs w:val="17"/>
          <w:color w:val="auto"/>
        </w:rPr>
      </w:pPr>
    </w:p>
    <w:p>
      <w:pPr>
        <w:ind w:left="680" w:right="379" w:hanging="307"/>
        <w:spacing w:after="0" w:line="271" w:lineRule="auto"/>
        <w:tabs>
          <w:tab w:leader="none" w:pos="68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44" w:lineRule="exact"/>
        <w:rPr>
          <w:rFonts w:ascii="Times New Roman" w:cs="Times New Roman" w:eastAsia="Times New Roman" w:hAnsi="Times New Roman"/>
          <w:sz w:val="16"/>
          <w:szCs w:val="16"/>
          <w:color w:val="auto"/>
        </w:rPr>
      </w:pPr>
    </w:p>
    <w:p>
      <w:pPr>
        <w:ind w:left="680" w:right="179" w:hanging="307"/>
        <w:spacing w:after="0" w:line="248" w:lineRule="auto"/>
        <w:tabs>
          <w:tab w:leader="none" w:pos="68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2" w:lineRule="exact"/>
        <w:rPr>
          <w:rFonts w:ascii="Times New Roman" w:cs="Times New Roman" w:eastAsia="Times New Roman" w:hAnsi="Times New Roman"/>
          <w:sz w:val="17"/>
          <w:szCs w:val="17"/>
          <w:color w:val="auto"/>
        </w:rPr>
      </w:pPr>
    </w:p>
    <w:p>
      <w:pPr>
        <w:ind w:left="680" w:right="59" w:hanging="307"/>
        <w:spacing w:after="0" w:line="248" w:lineRule="auto"/>
        <w:tabs>
          <w:tab w:leader="none" w:pos="68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collaborations may be terminated and, if terminated, may result in a need for additional capital and personnel to pursue further development or commercialization of our structure-based drug discovery platform or the applicable product candidates; and</w:t>
      </w:r>
    </w:p>
    <w:p>
      <w:pPr>
        <w:spacing w:after="0" w:line="62" w:lineRule="exact"/>
        <w:rPr>
          <w:rFonts w:ascii="Times New Roman" w:cs="Times New Roman" w:eastAsia="Times New Roman" w:hAnsi="Times New Roman"/>
          <w:sz w:val="17"/>
          <w:szCs w:val="17"/>
          <w:color w:val="auto"/>
        </w:rPr>
      </w:pPr>
    </w:p>
    <w:p>
      <w:pPr>
        <w:jc w:val="both"/>
        <w:ind w:left="680" w:right="159" w:hanging="307"/>
        <w:spacing w:after="0" w:line="295" w:lineRule="auto"/>
        <w:tabs>
          <w:tab w:leader="none" w:pos="68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products that results from our collaborating with them, and in such cases, we may not have the exclusive right to commercialize such intellectual property.</w:t>
      </w:r>
    </w:p>
    <w:p>
      <w:pPr>
        <w:spacing w:after="0" w:line="127"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175"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In addition, we may face regulatory obstacles in completing such transactions.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79"/>
        <w:spacing w:after="0" w:line="237" w:lineRule="auto"/>
        <w:rPr>
          <w:sz w:val="20"/>
          <w:szCs w:val="20"/>
          <w:color w:val="auto"/>
        </w:rPr>
      </w:pPr>
      <w:r>
        <w:rPr>
          <w:rFonts w:ascii="Arial" w:cs="Arial" w:eastAsia="Arial" w:hAnsi="Arial"/>
          <w:sz w:val="17"/>
          <w:szCs w:val="17"/>
          <w:color w:val="auto"/>
        </w:rPr>
        <w:t>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2"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spacing w:after="0" w:line="179" w:lineRule="exact"/>
        <w:rPr>
          <w:sz w:val="20"/>
          <w:szCs w:val="20"/>
          <w:color w:val="auto"/>
        </w:rPr>
      </w:pPr>
    </w:p>
    <w:p>
      <w:pPr>
        <w:ind w:left="40" w:right="279"/>
        <w:spacing w:after="0" w:line="252" w:lineRule="auto"/>
        <w:rPr>
          <w:sz w:val="20"/>
          <w:szCs w:val="20"/>
          <w:color w:val="auto"/>
        </w:rPr>
      </w:pPr>
      <w:r>
        <w:rPr>
          <w:rFonts w:ascii="Arial" w:cs="Arial" w:eastAsia="Arial" w:hAnsi="Arial"/>
          <w:sz w:val="17"/>
          <w:szCs w:val="17"/>
          <w:b w:val="1"/>
          <w:bCs w:val="1"/>
          <w:i w:val="1"/>
          <w:iCs w:val="1"/>
          <w:color w:val="auto"/>
        </w:rPr>
        <w:t>Our existing discovery collaborations with Schrödinger are important to our business. If we are unable to maintain these collaborations, or if these collaborations are not successful, our business could be adversely affected.</w:t>
      </w:r>
    </w:p>
    <w:p>
      <w:pPr>
        <w:spacing w:after="0" w:line="152" w:lineRule="exact"/>
        <w:rPr>
          <w:sz w:val="20"/>
          <w:szCs w:val="20"/>
          <w:color w:val="auto"/>
        </w:rPr>
      </w:pPr>
    </w:p>
    <w:p>
      <w:pPr>
        <w:ind w:left="40" w:right="159"/>
        <w:spacing w:after="0" w:line="237" w:lineRule="auto"/>
        <w:rPr>
          <w:sz w:val="20"/>
          <w:szCs w:val="20"/>
          <w:color w:val="auto"/>
        </w:rPr>
      </w:pPr>
      <w:r>
        <w:rPr>
          <w:rFonts w:ascii="Arial" w:cs="Arial" w:eastAsia="Arial" w:hAnsi="Arial"/>
          <w:sz w:val="17"/>
          <w:szCs w:val="17"/>
          <w:color w:val="auto"/>
        </w:rPr>
        <w:t>In October 2020, Lhotse, our wholly-owned subsidiary, entered into the Lhotse-Schrödinger Agreement. In November 2023, Aconcagua, our wholly-owned subsidiary, entered into the Aconcagua-Schrödinger Agreement. Under both agreements,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both agreements. See the discussion in Part I. Item 1. “Business—Lhotse Collaboration Agreement with Schrödinger, LLC” and Part I. Item 1. “Business—Aconcagua Collaboration Agreement with Schrödinger, Inc.” of this Annual Report.</w:t>
      </w:r>
    </w:p>
    <w:p>
      <w:pPr>
        <w:spacing w:after="0" w:line="172" w:lineRule="exact"/>
        <w:rPr>
          <w:sz w:val="20"/>
          <w:szCs w:val="20"/>
          <w:color w:val="auto"/>
        </w:rPr>
      </w:pPr>
    </w:p>
    <w:p>
      <w:pPr>
        <w:ind w:left="40" w:right="99"/>
        <w:spacing w:after="0" w:line="252" w:lineRule="auto"/>
        <w:rPr>
          <w:sz w:val="20"/>
          <w:szCs w:val="20"/>
          <w:color w:val="auto"/>
        </w:rPr>
      </w:pPr>
      <w:r>
        <w:rPr>
          <w:rFonts w:ascii="Arial" w:cs="Arial" w:eastAsia="Arial" w:hAnsi="Arial"/>
          <w:sz w:val="16"/>
          <w:szCs w:val="16"/>
          <w:color w:val="auto"/>
        </w:rPr>
        <w:t>Because we currently rely on Schrödinger for a substantial portion of our discovery capabilities, if Schrödinger delays or fails to perform its obligations under the Lhotse-Schrödinger Agreement or Aconcagua-Schrödinger Agreement, disagrees with our interpretation of the terms of the collaborations or our discovery plan or terminates the Lhotse-Schrödinger Agreement or Aconcagua-Schrödinger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time-consuming and expensive. Additionally, either party has the right to terminate the collaboration pursuant to the terms of the Lhotse-Schrödinger Agreement or Aconcagua-Schrödinger Agreement, as applicable. If either of our collaborations with Schrödinger is terminated, especially during our discovery phase, the development of our product candidates would be materially delayed or harmed.</w:t>
      </w:r>
    </w:p>
    <w:p>
      <w:pPr>
        <w:spacing w:after="0" w:line="165" w:lineRule="exact"/>
        <w:rPr>
          <w:sz w:val="20"/>
          <w:szCs w:val="20"/>
          <w:color w:val="auto"/>
        </w:rPr>
      </w:pPr>
    </w:p>
    <w:p>
      <w:pPr>
        <w:ind w:left="40" w:right="879"/>
        <w:spacing w:after="0" w:line="272" w:lineRule="auto"/>
        <w:rPr>
          <w:sz w:val="20"/>
          <w:szCs w:val="20"/>
          <w:color w:val="auto"/>
        </w:rPr>
      </w:pPr>
      <w:r>
        <w:rPr>
          <w:rFonts w:ascii="Arial" w:cs="Arial" w:eastAsia="Arial" w:hAnsi="Arial"/>
          <w:sz w:val="17"/>
          <w:szCs w:val="17"/>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36" w:lineRule="exact"/>
        <w:rPr>
          <w:sz w:val="20"/>
          <w:szCs w:val="20"/>
          <w:color w:val="auto"/>
        </w:rPr>
      </w:pPr>
    </w:p>
    <w:p>
      <w:pPr>
        <w:ind w:left="40" w:right="739"/>
        <w:spacing w:after="0" w:line="265" w:lineRule="auto"/>
        <w:rPr>
          <w:sz w:val="20"/>
          <w:szCs w:val="20"/>
          <w:color w:val="auto"/>
        </w:rPr>
      </w:pPr>
      <w:r>
        <w:rPr>
          <w:rFonts w:ascii="Arial" w:cs="Arial" w:eastAsia="Arial" w:hAnsi="Arial"/>
          <w:sz w:val="17"/>
          <w:szCs w:val="17"/>
          <w:color w:val="auto"/>
        </w:rPr>
        <w:t>Reliance on third parties to manufacture or commercialize our current or any future product candidates, and on collaborations with additional third parties for the development of our current or any future product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77"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spacing w:after="0" w:line="173" w:lineRule="exact"/>
        <w:rPr>
          <w:sz w:val="20"/>
          <w:szCs w:val="20"/>
          <w:color w:val="auto"/>
        </w:rPr>
      </w:pPr>
    </w:p>
    <w:p>
      <w:pPr>
        <w:ind w:left="40" w:right="159"/>
        <w:spacing w:after="0" w:line="272" w:lineRule="auto"/>
        <w:rPr>
          <w:sz w:val="20"/>
          <w:szCs w:val="20"/>
          <w:color w:val="auto"/>
        </w:rPr>
      </w:pPr>
      <w:r>
        <w:rPr>
          <w:rFonts w:ascii="Arial" w:cs="Arial" w:eastAsia="Arial" w:hAnsi="Arial"/>
          <w:sz w:val="17"/>
          <w:szCs w:val="17"/>
          <w:b w:val="1"/>
          <w:bCs w:val="1"/>
          <w:i w:val="1"/>
          <w:iCs w:val="1"/>
          <w:color w:val="auto"/>
        </w:rPr>
        <w:t>Confidentiality agreements with employees and third parties may not prevent unauthorized disclosure of trade secrets and other proprietary information.</w:t>
      </w:r>
    </w:p>
    <w:p>
      <w:pPr>
        <w:spacing w:after="0" w:line="136" w:lineRule="exact"/>
        <w:rPr>
          <w:sz w:val="20"/>
          <w:szCs w:val="20"/>
          <w:color w:val="auto"/>
        </w:rPr>
      </w:pPr>
    </w:p>
    <w:p>
      <w:pPr>
        <w:ind w:left="40" w:right="139"/>
        <w:spacing w:after="0" w:line="235"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studies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177"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65" w:lineRule="auto"/>
        <w:rPr>
          <w:sz w:val="20"/>
          <w:szCs w:val="20"/>
          <w:color w:val="auto"/>
        </w:rPr>
      </w:pPr>
      <w:r>
        <w:rPr>
          <w:rFonts w:ascii="Arial" w:cs="Arial" w:eastAsia="Arial" w:hAnsi="Arial"/>
          <w:sz w:val="17"/>
          <w:szCs w:val="17"/>
          <w:color w:val="auto"/>
        </w:rPr>
        <w:t>intellectual property by third parties, we may not be able to establish or maintain a competitive advantage in our market, which could materially adversely affect our business, operating results, and financial condition.</w:t>
      </w:r>
    </w:p>
    <w:p>
      <w:pPr>
        <w:spacing w:after="0" w:line="151" w:lineRule="exact"/>
        <w:rPr>
          <w:sz w:val="20"/>
          <w:szCs w:val="20"/>
          <w:color w:val="auto"/>
        </w:rPr>
      </w:pPr>
    </w:p>
    <w:p>
      <w:pPr>
        <w:jc w:val="both"/>
        <w:ind w:left="40" w:right="219"/>
        <w:spacing w:after="0" w:line="252" w:lineRule="auto"/>
        <w:rPr>
          <w:sz w:val="20"/>
          <w:szCs w:val="20"/>
          <w:color w:val="auto"/>
        </w:rPr>
      </w:pPr>
      <w:r>
        <w:rPr>
          <w:rFonts w:ascii="Arial" w:cs="Arial" w:eastAsia="Arial" w:hAnsi="Arial"/>
          <w:sz w:val="17"/>
          <w:szCs w:val="17"/>
          <w:b w:val="1"/>
          <w:bCs w:val="1"/>
          <w:i w:val="1"/>
          <w:iCs w:val="1"/>
          <w:color w:val="auto"/>
        </w:rPr>
        <w:t>The adoption and deployment of AI in our, and any third-party collaborators’ operations, and in particular our and any third-party collaborators’ R&amp;D efforts to explore new targets and develop effective products, may not be effective and may expose us to risk.</w:t>
      </w:r>
    </w:p>
    <w:p>
      <w:pPr>
        <w:spacing w:after="0" w:line="152"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The industry in which we compete is characterized by rapid technological advancements, frequent introductions of new products and heavy competition. The discovery of new products and targets remain vital to our success and the implementation by us and by any third-party collaborators of AI technologies and processes, including advanced predictive analytics, computational approaches for drug discovery and so-called “generative” AI, has the potential to provide significant benefits in these areas. Use of AI in our efforts may be difficult to deploy successfully due to operational issues inherent in such methods. In particular, the AI algorithms utilize machine learning and predictive analytics which may lead to flawed, biased, and inaccurate results, which could lead to ineffective product or target candidates and exposure to competitive and reputational harm. We face increased competition from other companies that are using AI and related methods for drug discovery, some of which have more resources than we do and may have developed more effective methods than we and any third-party collaborators have, which may reduce our and any third-party collaborator’s effectiveness in identifying potential targets and attracting additional collaborators to work with us. Even with the successful implementation of AI, we may fail to correctly identify indications and allocate resources efficiently, which could adversely impact our pipeline and ability to compete effectively.</w:t>
      </w:r>
    </w:p>
    <w:p>
      <w:pPr>
        <w:spacing w:after="0" w:line="175" w:lineRule="exact"/>
        <w:rPr>
          <w:sz w:val="20"/>
          <w:szCs w:val="20"/>
          <w:color w:val="auto"/>
        </w:rPr>
      </w:pPr>
    </w:p>
    <w:p>
      <w:pPr>
        <w:ind w:left="40" w:right="99"/>
        <w:spacing w:after="0" w:line="250" w:lineRule="auto"/>
        <w:rPr>
          <w:sz w:val="20"/>
          <w:szCs w:val="20"/>
          <w:color w:val="auto"/>
        </w:rPr>
      </w:pPr>
      <w:r>
        <w:rPr>
          <w:rFonts w:ascii="Arial" w:cs="Arial" w:eastAsia="Arial" w:hAnsi="Arial"/>
          <w:sz w:val="16"/>
          <w:szCs w:val="16"/>
          <w:color w:val="auto"/>
        </w:rPr>
        <w:t>Further, AI presents additional risks and challenges, especially as the use of these technologies becomes more important to our operations over time. Generative AI may be used improperly or inappropriately which could lead to the tainting of our proprietary information and render us unable to qualify for patent protection. Their use by people, including our vendors, employees, suppliers and contractors, with access to our proprietary and confidential information, including trade secrets, may continue to increase and may lead to the release of such information, which may impact our ability to realize the benefit of our intellectual property. Our use of generative AI platforms may lead to novel and urgent cybersecurity risks, which may adversely affect our operations and reputation, as well as the operations of any third-party collaborators. Emerging ethical issues surround the use of AI, and we may be subject to reputational and legal risk if our deployment or use of AI becomes controversial. Regulators could limit our, or any third-party collaborator’s ability to develop or implement AI-based technologies as part of measures taken against us or any third-party collaborators in particular or as a consequence of broader legislation, which could have an adverse effect on our or any third-party collaborators’ business, results of operations and financial conditions. Several jurisdictions around the globe, including Europe and certain U.S. states, have proposed, enacted, or are considering laws governing the development and use of AI/Machine Learning, such as the EU’s AI Act. We expect other jurisdictions will adopt similar laws. Uncertainty in the legal regulatory regime may require significant resources to modify and maintain business practices to comply with U.S. and non-U.S. laws, the nature of which cannot be determined at this time.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98" w:lineRule="exact"/>
        <w:rPr>
          <w:sz w:val="20"/>
          <w:szCs w:val="20"/>
          <w:color w:val="auto"/>
        </w:rPr>
      </w:pPr>
    </w:p>
    <w:p>
      <w:pPr>
        <w:ind w:left="40" w:right="99"/>
        <w:spacing w:after="0"/>
        <w:rPr>
          <w:sz w:val="20"/>
          <w:szCs w:val="20"/>
          <w:color w:val="auto"/>
        </w:rPr>
      </w:pPr>
      <w:r>
        <w:rPr>
          <w:rFonts w:ascii="Arial" w:cs="Arial" w:eastAsia="Arial" w:hAnsi="Arial"/>
          <w:sz w:val="17"/>
          <w:szCs w:val="17"/>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63" w:lineRule="exact"/>
        <w:rPr>
          <w:sz w:val="20"/>
          <w:szCs w:val="20"/>
          <w:color w:val="auto"/>
        </w:rPr>
      </w:pPr>
    </w:p>
    <w:p>
      <w:pPr>
        <w:ind w:left="40" w:right="319"/>
        <w:spacing w:after="0"/>
        <w:rPr>
          <w:sz w:val="20"/>
          <w:szCs w:val="20"/>
          <w:color w:val="auto"/>
        </w:rPr>
      </w:pPr>
      <w:r>
        <w:rPr>
          <w:rFonts w:ascii="Arial" w:cs="Arial" w:eastAsia="Arial" w:hAnsi="Arial"/>
          <w:sz w:val="17"/>
          <w:szCs w:val="17"/>
          <w:color w:val="auto"/>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 requirements include submissions of safety and other post-marketing information and reports, registration, as well as on-going compliance with cGMPs and GCPs, for any clinical studies that we may conduct post-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studies, and surveillance to monitor the quality, safety and efficacy of the drug.</w:t>
      </w:r>
    </w:p>
    <w:p>
      <w:pPr>
        <w:spacing w:after="0" w:line="168"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70" w:lineRule="exact"/>
        <w:rPr>
          <w:sz w:val="20"/>
          <w:szCs w:val="20"/>
          <w:color w:val="auto"/>
        </w:rPr>
      </w:pPr>
    </w:p>
    <w:p>
      <w:pPr>
        <w:ind w:left="40" w:right="899"/>
        <w:spacing w:after="0" w:line="265" w:lineRule="auto"/>
        <w:rPr>
          <w:sz w:val="20"/>
          <w:szCs w:val="20"/>
          <w:color w:val="auto"/>
        </w:rPr>
      </w:pPr>
      <w:r>
        <w:rPr>
          <w:rFonts w:ascii="Arial" w:cs="Arial" w:eastAsia="Arial" w:hAnsi="Arial"/>
          <w:sz w:val="17"/>
          <w:szCs w:val="17"/>
          <w:color w:val="auto"/>
        </w:rPr>
        <w:t>If we fail to comply with applicable regulatory requirements following approval of our current or future product candidates, a regulatory authority may, among other things:</w:t>
      </w:r>
    </w:p>
    <w:p>
      <w:pPr>
        <w:spacing w:after="0" w:line="149" w:lineRule="exact"/>
        <w:rPr>
          <w:sz w:val="20"/>
          <w:szCs w:val="20"/>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issue an untitled letter or warning letter asserting that we are in violation of the law;</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seek an injunction or impose administrative, civil or criminal penalties or monetary fines;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suspend or withdraw marketing approval;</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suspend any ongoing clinical studies;</w:t>
      </w:r>
    </w:p>
    <w:p>
      <w:pPr>
        <w:spacing w:after="0" w:line="106" w:lineRule="exact"/>
        <w:rPr>
          <w:rFonts w:ascii="Times New Roman" w:cs="Times New Roman" w:eastAsia="Times New Roman" w:hAnsi="Times New Roman"/>
          <w:sz w:val="17"/>
          <w:szCs w:val="17"/>
          <w:color w:val="auto"/>
        </w:rPr>
      </w:pPr>
    </w:p>
    <w:p>
      <w:pPr>
        <w:ind w:left="680" w:right="399" w:hanging="307"/>
        <w:spacing w:after="0" w:line="264" w:lineRule="auto"/>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refuse to approve a pending NDA or NDA supplement, or comparable foreign marketing application (or any supplements thereto) submitted by us or our strategic partners;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restrict or suspend the marketing or manufacturing of the drug;</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seize or detain the drug or otherwise require the withdrawal of the drug from the market;</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refuse to permit the import or export of product candidates; or</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refuse to allow us to enter into supply contracts, including government contracts.</w:t>
      </w:r>
    </w:p>
    <w:p>
      <w:pPr>
        <w:spacing w:after="0" w:line="208"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spacing w:after="0" w:line="170"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 xml:space="preserve">The FDA’s policies, and those of equivalent foreign regulatory agencies, may change and additional government regulations may be enacted that could cause changes to or delays in the drug review process, or suspend or restrict marketing approval of our product candidates. For example, the U.S. Supreme Court’s June 2024 decision in </w:t>
      </w:r>
      <w:r>
        <w:rPr>
          <w:rFonts w:ascii="Arial" w:cs="Arial" w:eastAsia="Arial" w:hAnsi="Arial"/>
          <w:sz w:val="17"/>
          <w:szCs w:val="17"/>
          <w:i w:val="1"/>
          <w:iCs w:val="1"/>
          <w:color w:val="auto"/>
        </w:rPr>
        <w:t>Loper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Bright Enterprises v. Raimondo </w:t>
      </w:r>
      <w:r>
        <w:rPr>
          <w:rFonts w:ascii="Arial" w:cs="Arial" w:eastAsia="Arial" w:hAnsi="Arial"/>
          <w:sz w:val="17"/>
          <w:szCs w:val="17"/>
          <w:color w:val="auto"/>
        </w:rPr>
        <w:t>overturned the longstanding Chevron doctrine, under which courts were required to give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deference to regulatory agencies’ reasonable interpretations of ambiguous federal statutes. The </w:t>
      </w:r>
      <w:r>
        <w:rPr>
          <w:rFonts w:ascii="Arial" w:cs="Arial" w:eastAsia="Arial" w:hAnsi="Arial"/>
          <w:sz w:val="17"/>
          <w:szCs w:val="17"/>
          <w:i w:val="1"/>
          <w:iCs w:val="1"/>
          <w:color w:val="auto"/>
        </w:rPr>
        <w:t>Loper</w:t>
      </w:r>
      <w:r>
        <w:rPr>
          <w:rFonts w:ascii="Arial" w:cs="Arial" w:eastAsia="Arial" w:hAnsi="Arial"/>
          <w:sz w:val="17"/>
          <w:szCs w:val="17"/>
          <w:color w:val="auto"/>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Arial" w:cs="Arial" w:eastAsia="Arial" w:hAnsi="Arial"/>
          <w:sz w:val="17"/>
          <w:szCs w:val="17"/>
          <w:i w:val="1"/>
          <w:iCs w:val="1"/>
          <w:color w:val="auto"/>
        </w:rPr>
        <w:t xml:space="preserve">Loper </w:t>
      </w:r>
      <w:r>
        <w:rPr>
          <w:rFonts w:ascii="Arial" w:cs="Arial" w:eastAsia="Arial" w:hAnsi="Arial"/>
          <w:sz w:val="17"/>
          <w:szCs w:val="17"/>
          <w:color w:val="auto"/>
        </w:rPr>
        <w:t>decision may result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99"/>
        <w:spacing w:after="0" w:line="238" w:lineRule="auto"/>
        <w:rPr>
          <w:sz w:val="20"/>
          <w:szCs w:val="20"/>
          <w:color w:val="auto"/>
        </w:rPr>
      </w:pPr>
      <w:r>
        <w:rPr>
          <w:rFonts w:ascii="Arial" w:cs="Arial" w:eastAsia="Arial" w:hAnsi="Arial"/>
          <w:sz w:val="17"/>
          <w:szCs w:val="17"/>
          <w:color w:val="auto"/>
        </w:rPr>
        <w:t>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spacing w:after="0" w:line="172" w:lineRule="exact"/>
        <w:rPr>
          <w:sz w:val="20"/>
          <w:szCs w:val="20"/>
          <w:color w:val="auto"/>
        </w:rPr>
      </w:pPr>
    </w:p>
    <w:p>
      <w:pPr>
        <w:ind w:left="40" w:right="339"/>
        <w:spacing w:after="0" w:line="252" w:lineRule="auto"/>
        <w:rPr>
          <w:sz w:val="20"/>
          <w:szCs w:val="20"/>
          <w:color w:val="auto"/>
        </w:rPr>
      </w:pPr>
      <w:r>
        <w:rPr>
          <w:rFonts w:ascii="Arial" w:cs="Arial" w:eastAsia="Arial" w:hAnsi="Arial"/>
          <w:sz w:val="17"/>
          <w:szCs w:val="17"/>
          <w:b w:val="1"/>
          <w:bCs w:val="1"/>
          <w:i w:val="1"/>
          <w:iCs w:val="1"/>
          <w:color w:val="auto"/>
        </w:rPr>
        <w:t>Even if our current or future product candidates receive marketing approval, they may fail to achieve market acceptance by physicians, patients, third-party payors or others in the medical community necessary for commercial success.</w:t>
      </w:r>
    </w:p>
    <w:p>
      <w:pPr>
        <w:spacing w:after="0" w:line="152" w:lineRule="exact"/>
        <w:rPr>
          <w:sz w:val="20"/>
          <w:szCs w:val="20"/>
          <w:color w:val="auto"/>
        </w:rPr>
      </w:pPr>
    </w:p>
    <w:p>
      <w:pPr>
        <w:ind w:left="40" w:right="239"/>
        <w:spacing w:after="0"/>
        <w:rPr>
          <w:sz w:val="20"/>
          <w:szCs w:val="20"/>
          <w:color w:val="auto"/>
        </w:rPr>
      </w:pPr>
      <w:r>
        <w:rPr>
          <w:rFonts w:ascii="Arial" w:cs="Arial" w:eastAsia="Arial" w:hAnsi="Arial"/>
          <w:sz w:val="17"/>
          <w:szCs w:val="17"/>
          <w:color w:val="auto"/>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p>
      <w:pPr>
        <w:spacing w:after="0" w:line="171" w:lineRule="exact"/>
        <w:rPr>
          <w:sz w:val="20"/>
          <w:szCs w:val="20"/>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candidate is approved;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and potential advantages compared to alternative treatments and therapies;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the product as well as competitive products;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effectiveness of sales and marketing efforts;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our relationships with patient communities;</w:t>
      </w:r>
    </w:p>
    <w:p>
      <w:pPr>
        <w:spacing w:after="0" w:line="106" w:lineRule="exact"/>
        <w:rPr>
          <w:rFonts w:ascii="Times New Roman" w:cs="Times New Roman" w:eastAsia="Times New Roman" w:hAnsi="Times New Roman"/>
          <w:sz w:val="17"/>
          <w:szCs w:val="17"/>
          <w:color w:val="auto"/>
        </w:rPr>
      </w:pPr>
    </w:p>
    <w:p>
      <w:pPr>
        <w:ind w:left="680" w:right="919" w:hanging="307"/>
        <w:spacing w:after="0" w:line="264" w:lineRule="auto"/>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 and therapies, including any similar generic treatments;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offer such product for sale at competitive prices;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convenience and ease of administration compared to alternative treatments and therapies;</w:t>
      </w:r>
    </w:p>
    <w:p>
      <w:pPr>
        <w:spacing w:after="0" w:line="106" w:lineRule="exact"/>
        <w:rPr>
          <w:rFonts w:ascii="Times New Roman" w:cs="Times New Roman" w:eastAsia="Times New Roman" w:hAnsi="Times New Roman"/>
          <w:sz w:val="17"/>
          <w:szCs w:val="17"/>
          <w:color w:val="auto"/>
        </w:rPr>
      </w:pPr>
    </w:p>
    <w:p>
      <w:pPr>
        <w:ind w:left="680" w:right="679" w:hanging="307"/>
        <w:spacing w:after="0" w:line="264" w:lineRule="auto"/>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third-party coverage and adequate reimbursement;</w:t>
      </w:r>
    </w:p>
    <w:p>
      <w:pPr>
        <w:spacing w:after="0" w:line="106" w:lineRule="exact"/>
        <w:rPr>
          <w:rFonts w:ascii="Times New Roman" w:cs="Times New Roman" w:eastAsia="Times New Roman" w:hAnsi="Times New Roman"/>
          <w:sz w:val="17"/>
          <w:szCs w:val="17"/>
          <w:color w:val="auto"/>
        </w:rPr>
      </w:pPr>
    </w:p>
    <w:p>
      <w:pPr>
        <w:ind w:left="680" w:right="359" w:hanging="307"/>
        <w:spacing w:after="0" w:line="264" w:lineRule="auto"/>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patients to pay out-of-pocket in the absence of coverage and adequate reimbursement by third-party payors and government authorities;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any side effects; and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any restrictions on the use of the product together with other medications.</w:t>
      </w:r>
    </w:p>
    <w:p>
      <w:pPr>
        <w:spacing w:after="0" w:line="208"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79"/>
        <w:spacing w:after="0" w:line="272" w:lineRule="auto"/>
        <w:rPr>
          <w:sz w:val="20"/>
          <w:szCs w:val="20"/>
          <w:color w:val="auto"/>
        </w:rPr>
      </w:pPr>
      <w:r>
        <w:rPr>
          <w:rFonts w:ascii="Arial" w:cs="Arial" w:eastAsia="Arial" w:hAnsi="Arial"/>
          <w:sz w:val="17"/>
          <w:szCs w:val="17"/>
          <w:b w:val="1"/>
          <w:bCs w:val="1"/>
          <w:i w:val="1"/>
          <w:iCs w:val="1"/>
          <w:color w:val="auto"/>
        </w:rPr>
        <w:t>Coverage and adequate reimbursement may not be available for our current or any future product candidates, which could make it difficult for us to sell profitably, if approved.</w:t>
      </w:r>
    </w:p>
    <w:p>
      <w:pPr>
        <w:spacing w:after="0" w:line="136"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spacing w:after="0" w:line="181" w:lineRule="exact"/>
        <w:rPr>
          <w:sz w:val="20"/>
          <w:szCs w:val="20"/>
          <w:color w:val="auto"/>
        </w:rPr>
      </w:pPr>
    </w:p>
    <w:p>
      <w:pPr>
        <w:ind w:left="40" w:right="159"/>
        <w:spacing w:after="0" w:line="236" w:lineRule="auto"/>
        <w:rPr>
          <w:sz w:val="20"/>
          <w:szCs w:val="20"/>
          <w:color w:val="auto"/>
        </w:rPr>
      </w:pPr>
      <w:r>
        <w:rPr>
          <w:rFonts w:ascii="Arial" w:cs="Arial" w:eastAsia="Arial" w:hAnsi="Arial"/>
          <w:sz w:val="17"/>
          <w:szCs w:val="17"/>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pacing w:after="0" w:line="172" w:lineRule="exact"/>
        <w:rPr>
          <w:sz w:val="20"/>
          <w:szCs w:val="20"/>
          <w:color w:val="auto"/>
        </w:rPr>
      </w:pPr>
    </w:p>
    <w:p>
      <w:pPr>
        <w:ind w:left="40" w:right="639"/>
        <w:spacing w:after="0" w:line="272"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us.</w:t>
      </w:r>
    </w:p>
    <w:p>
      <w:pPr>
        <w:spacing w:after="0" w:line="136"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w:t>
      </w:r>
    </w:p>
    <w:p>
      <w:pPr>
        <w:spacing w:after="0" w:line="160"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We are aware of GLP-1R small molecules in development by Pfizer, Eli Lilly, Qilu Regor Therapeutics, AstraZeneca/Eccogene, Terns Pharmaceuticals, Jiangsu Hengrui Medicine, Huadong, Sciwind Biosciences, Ascletis, Gilead, Kallyope, MindRank, vTv Therapeutics, Carmot Therapeutics (acquired by Roche Group in January 2024) and Kailera Therapeutics, formerly Hercules CM Newco (licensed HRS-7535, an oral small molecule GLP-1; HRS-9531 a GLP-1/GIP; and preclinical asset HRS-4729 from Jiangsu Hengrui Medicine). There are currently approved GLP-1R peptides for the treatment of diabetes and obesity marketed by Novo Nordisk, Eli Lilly, AstraZeneca, Sanofi and Kailera Therapeutics, formerly Hercules CM Newco. We are also aware of other GLP-1R plus dual/tri incretin targeting peptides in development by Eli Lilly, Jiangsu Hansoh Pharmaceutical Group, Boehringer Ingelheim, Altimmune, Carmot Therapeutics, Sciwind Biosciences, Novo Nordisk, Viking Therapeutics, Amgen, Merck, Zealand Pharma, D&amp;D Pharmatech, GMAX Biopharma, Jiangsu Hengrui Medicine, BrightGene, Innovent Biologics, PegBio, NeuroBo Pharmaceuticals, Hanmi Phamaceuticals, Progen Holdings, Pep2Tango, Metsera, QL Biopharma, Lexaria Bioscience, Sun Pharmaceutical, Gan &amp; Lee, Innogen and Biomed Industries. Additionally, we are aware of APJ receptor targeted product candidates in development for COVID-19 acute respiratory distress syndrome by CohBar, Inc.; IPF, systemic sclerosis interstitial lung disease, and kidney nephrotic syndrome by Apie Therapeutics; and muscle atrophy by BioAge Labs, Inc. Both Amgen and Bristol Myers Squibb (“BMS”) have APJ receptor targeted product candidates for heart failure. Furthermore, we are aware of LPA1R targeted product candidates in development for IPF by BMS, Horizon Therapeutics (acquired by Amgen in October 2023) and DJS Antibodies; and myelin restoration and neuroinflammation by Contineum Therapeutics.</w:t>
      </w:r>
    </w:p>
    <w:p>
      <w:pPr>
        <w:spacing w:after="0" w:line="179"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73"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studies, as well as in acquiring technologies complementary to, or necessary for, our programs. Any failure to compete effectively could harm our business, financial condition and operating results.</w:t>
      </w:r>
    </w:p>
    <w:p>
      <w:pPr>
        <w:spacing w:after="0" w:line="170"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In addition, we and any third-party collaborators are facing increasing competition from companies utilizing AI and other computational approaches for drug discovery. Some of these competitors are involved in drug discovery themselves and/or with partners, and others develop software or as well as other tools utilizing AI which can be used, directly or indirectly, in drug discovery. To the extent these other AI approaches to drug discovery prove to be successful, or more successful, than our and any third-party collaborators’ approach, our business, financial condition and operating results could be adversely affected.</w:t>
      </w:r>
    </w:p>
    <w:p>
      <w:pPr>
        <w:spacing w:after="0" w:line="172" w:lineRule="exact"/>
        <w:rPr>
          <w:sz w:val="20"/>
          <w:szCs w:val="20"/>
          <w:color w:val="auto"/>
        </w:rPr>
      </w:pPr>
    </w:p>
    <w:p>
      <w:pPr>
        <w:ind w:left="40" w:right="479"/>
        <w:spacing w:after="0" w:line="304" w:lineRule="auto"/>
        <w:rPr>
          <w:sz w:val="20"/>
          <w:szCs w:val="20"/>
          <w:color w:val="auto"/>
        </w:rPr>
      </w:pPr>
      <w:r>
        <w:rPr>
          <w:rFonts w:ascii="Arial" w:cs="Arial" w:eastAsia="Arial" w:hAnsi="Arial"/>
          <w:sz w:val="16"/>
          <w:szCs w:val="16"/>
          <w:b w:val="1"/>
          <w:bCs w:val="1"/>
          <w:i w:val="1"/>
          <w:iCs w:val="1"/>
          <w:color w:val="auto"/>
        </w:rPr>
        <w:t>If the market opportunities for any of our product candidates are smaller than we estimate, even assuming approval of a product candidate, our revenue may be adversely affected, and our business may suffer.</w:t>
      </w:r>
    </w:p>
    <w:p>
      <w:pPr>
        <w:spacing w:after="0" w:line="113" w:lineRule="exact"/>
        <w:rPr>
          <w:sz w:val="20"/>
          <w:szCs w:val="20"/>
          <w:color w:val="auto"/>
        </w:rPr>
      </w:pPr>
    </w:p>
    <w:p>
      <w:pPr>
        <w:ind w:left="40" w:right="199"/>
        <w:spacing w:after="0" w:line="243" w:lineRule="auto"/>
        <w:rPr>
          <w:sz w:val="20"/>
          <w:szCs w:val="20"/>
          <w:color w:val="auto"/>
        </w:rPr>
      </w:pPr>
      <w:r>
        <w:rPr>
          <w:rFonts w:ascii="Arial" w:cs="Arial" w:eastAsia="Arial" w:hAnsi="Arial"/>
          <w:sz w:val="17"/>
          <w:szCs w:val="17"/>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75" w:lineRule="exact"/>
        <w:rPr>
          <w:sz w:val="20"/>
          <w:szCs w:val="20"/>
          <w:color w:val="auto"/>
        </w:rPr>
      </w:pPr>
    </w:p>
    <w:p>
      <w:pPr>
        <w:ind w:left="40" w:right="259"/>
        <w:spacing w:after="0" w:line="245"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59" w:lineRule="exact"/>
        <w:rPr>
          <w:sz w:val="20"/>
          <w:szCs w:val="20"/>
          <w:color w:val="auto"/>
        </w:rPr>
      </w:pPr>
    </w:p>
    <w:p>
      <w:pPr>
        <w:ind w:left="40" w:right="119"/>
        <w:spacing w:after="0" w:line="234" w:lineRule="auto"/>
        <w:rPr>
          <w:sz w:val="20"/>
          <w:szCs w:val="20"/>
          <w:color w:val="auto"/>
        </w:rPr>
      </w:pPr>
      <w:r>
        <w:rPr>
          <w:rFonts w:ascii="Arial" w:cs="Arial" w:eastAsia="Arial" w:hAnsi="Arial"/>
          <w:sz w:val="17"/>
          <w:szCs w:val="17"/>
          <w:color w:val="auto"/>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81" w:lineRule="exact"/>
        <w:rPr>
          <w:sz w:val="20"/>
          <w:szCs w:val="20"/>
          <w:color w:val="auto"/>
        </w:rPr>
      </w:pPr>
    </w:p>
    <w:p>
      <w:pPr>
        <w:ind w:left="40" w:right="219"/>
        <w:spacing w:after="0" w:line="272" w:lineRule="auto"/>
        <w:rPr>
          <w:sz w:val="20"/>
          <w:szCs w:val="20"/>
          <w:color w:val="auto"/>
        </w:rPr>
      </w:pPr>
      <w:r>
        <w:rPr>
          <w:rFonts w:ascii="Arial" w:cs="Arial" w:eastAsia="Arial" w:hAnsi="Arial"/>
          <w:sz w:val="17"/>
          <w:szCs w:val="17"/>
          <w:b w:val="1"/>
          <w:bCs w:val="1"/>
          <w:i w:val="1"/>
          <w:iCs w:val="1"/>
          <w:color w:val="auto"/>
        </w:rPr>
        <w:t>Our future growth may depend, in part, on our ability to commercialize products in foreign markets, where we would be subject to additional regulatory burdens and other risks and uncertainties.</w:t>
      </w:r>
    </w:p>
    <w:p>
      <w:pPr>
        <w:spacing w:after="0" w:line="136"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studies,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172" w:lineRule="exact"/>
        <w:rPr>
          <w:sz w:val="20"/>
          <w:szCs w:val="20"/>
          <w:color w:val="auto"/>
        </w:rPr>
      </w:pPr>
    </w:p>
    <w:p>
      <w:pPr>
        <w:ind w:left="680" w:hanging="307"/>
        <w:spacing w:after="0"/>
        <w:tabs>
          <w:tab w:leader="none" w:pos="68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different regulatory requirements for approval of drugs in foreign countries;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reduced protection for intellectual property rights;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the existence of additional third-party patent rights of potential relevance to our business;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unexpected changes in tariffs, trade barriers and regulatory requirements;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06" w:lineRule="exact"/>
        <w:rPr>
          <w:rFonts w:ascii="Times New Roman" w:cs="Times New Roman" w:eastAsia="Times New Roman" w:hAnsi="Times New Roman"/>
          <w:sz w:val="17"/>
          <w:szCs w:val="17"/>
          <w:color w:val="auto"/>
        </w:rPr>
      </w:pPr>
    </w:p>
    <w:p>
      <w:pPr>
        <w:ind w:left="680" w:right="239" w:hanging="307"/>
        <w:spacing w:after="0" w:line="264" w:lineRule="auto"/>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foreign reimbursement, pricing and insurance regimes;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workforce uncertainty in countries where labor unrest is common;</w:t>
      </w:r>
    </w:p>
    <w:p>
      <w:pPr>
        <w:spacing w:after="0" w:line="106" w:lineRule="exact"/>
        <w:rPr>
          <w:rFonts w:ascii="Times New Roman" w:cs="Times New Roman" w:eastAsia="Times New Roman" w:hAnsi="Times New Roman"/>
          <w:sz w:val="17"/>
          <w:szCs w:val="17"/>
          <w:color w:val="auto"/>
        </w:rPr>
      </w:pPr>
    </w:p>
    <w:p>
      <w:pPr>
        <w:ind w:left="680" w:right="479" w:hanging="307"/>
        <w:spacing w:after="0" w:line="264" w:lineRule="auto"/>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48" w:lineRule="exact"/>
        <w:rPr>
          <w:rFonts w:ascii="Times New Roman" w:cs="Times New Roman" w:eastAsia="Times New Roman" w:hAnsi="Times New Roman"/>
          <w:sz w:val="17"/>
          <w:szCs w:val="17"/>
          <w:color w:val="auto"/>
        </w:rPr>
      </w:pPr>
    </w:p>
    <w:p>
      <w:pPr>
        <w:ind w:left="680" w:right="539" w:hanging="307"/>
        <w:spacing w:after="0" w:line="264" w:lineRule="auto"/>
        <w:tabs>
          <w:tab w:leader="none" w:pos="68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and fires.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Our Business Operations and Industry</w:t>
      </w:r>
    </w:p>
    <w:p>
      <w:pPr>
        <w:spacing w:after="0" w:line="198" w:lineRule="exact"/>
        <w:rPr>
          <w:sz w:val="20"/>
          <w:szCs w:val="20"/>
          <w:color w:val="auto"/>
        </w:rPr>
      </w:pPr>
    </w:p>
    <w:p>
      <w:pPr>
        <w:ind w:left="40" w:right="259"/>
        <w:spacing w:after="0" w:line="272"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36"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4" w:lineRule="exact"/>
        <w:rPr>
          <w:sz w:val="20"/>
          <w:szCs w:val="20"/>
          <w:color w:val="auto"/>
        </w:rPr>
      </w:pPr>
    </w:p>
    <w:p>
      <w:pPr>
        <w:ind w:left="680" w:right="319" w:hanging="307"/>
        <w:spacing w:after="0" w:line="248" w:lineRule="auto"/>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degree of success and cost of, and level of investment in, research, development, regulatory approval and commercialization activities relating to our product candidates, which may change from time to time;</w:t>
      </w:r>
    </w:p>
    <w:p>
      <w:pPr>
        <w:spacing w:after="0" w:line="62" w:lineRule="exact"/>
        <w:rPr>
          <w:rFonts w:ascii="Times New Roman" w:cs="Times New Roman" w:eastAsia="Times New Roman" w:hAnsi="Times New Roman"/>
          <w:sz w:val="17"/>
          <w:szCs w:val="17"/>
          <w:color w:val="auto"/>
        </w:rPr>
      </w:pPr>
    </w:p>
    <w:p>
      <w:pPr>
        <w:ind w:left="680" w:right="199" w:hanging="307"/>
        <w:spacing w:after="0" w:line="264" w:lineRule="auto"/>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coverage and reimbursement policies with respect to our product candidates, if approved, and potential future drugs that compete with our products;</w:t>
      </w:r>
    </w:p>
    <w:p>
      <w:pPr>
        <w:spacing w:after="0" w:line="48" w:lineRule="exact"/>
        <w:rPr>
          <w:rFonts w:ascii="Times New Roman" w:cs="Times New Roman" w:eastAsia="Times New Roman" w:hAnsi="Times New Roman"/>
          <w:sz w:val="17"/>
          <w:szCs w:val="17"/>
          <w:color w:val="auto"/>
        </w:rPr>
      </w:pPr>
    </w:p>
    <w:p>
      <w:pPr>
        <w:ind w:left="680" w:right="119" w:hanging="307"/>
        <w:spacing w:after="0" w:line="264" w:lineRule="auto"/>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terms of our agreements with third-party manufacturers;</w:t>
      </w:r>
    </w:p>
    <w:p>
      <w:pPr>
        <w:spacing w:after="0" w:line="48" w:lineRule="exact"/>
        <w:rPr>
          <w:rFonts w:ascii="Times New Roman" w:cs="Times New Roman" w:eastAsia="Times New Roman" w:hAnsi="Times New Roman"/>
          <w:sz w:val="17"/>
          <w:szCs w:val="17"/>
          <w:color w:val="auto"/>
        </w:rPr>
      </w:pPr>
    </w:p>
    <w:p>
      <w:pPr>
        <w:ind w:left="680" w:right="659" w:hanging="307"/>
        <w:spacing w:after="0" w:line="264" w:lineRule="auto"/>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may incur to acquire, develop or commercialize additional product candidates and technologies;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any approved products, which may vary significantly;</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 and</w:t>
      </w:r>
    </w:p>
    <w:p>
      <w:pPr>
        <w:spacing w:after="0" w:line="106" w:lineRule="exact"/>
        <w:rPr>
          <w:rFonts w:ascii="Times New Roman" w:cs="Times New Roman" w:eastAsia="Times New Roman" w:hAnsi="Times New Roman"/>
          <w:sz w:val="17"/>
          <w:szCs w:val="17"/>
          <w:color w:val="auto"/>
        </w:rPr>
      </w:pPr>
    </w:p>
    <w:p>
      <w:pPr>
        <w:jc w:val="both"/>
        <w:ind w:left="680" w:right="479" w:hanging="307"/>
        <w:spacing w:after="0" w:line="248" w:lineRule="auto"/>
        <w:tabs>
          <w:tab w:leader="none" w:pos="68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preclinical studies or clinical studies for our product candidates or any competing product candidates, or any other change in the competitive landscape of our industry, including consolidation among our competitors or partners.</w:t>
      </w:r>
    </w:p>
    <w:p>
      <w:pPr>
        <w:spacing w:after="0" w:line="163"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59"/>
        <w:spacing w:after="0" w:line="252" w:lineRule="auto"/>
        <w:rPr>
          <w:sz w:val="20"/>
          <w:szCs w:val="20"/>
          <w:color w:val="auto"/>
        </w:rPr>
      </w:pPr>
      <w:r>
        <w:rPr>
          <w:rFonts w:ascii="Arial" w:cs="Arial" w:eastAsia="Arial" w:hAnsi="Arial"/>
          <w:sz w:val="17"/>
          <w:szCs w:val="17"/>
          <w:b w:val="1"/>
          <w:bCs w:val="1"/>
          <w:i w:val="1"/>
          <w:iCs w:val="1"/>
          <w:color w:val="auto"/>
        </w:rPr>
        <w:t>We are highly dependent on the services of our senior management team and if we are not able to retain these members of our management team and recruit and retain additional management, clinical and scientific personnel, our business will be harmed.</w:t>
      </w:r>
    </w:p>
    <w:p>
      <w:pPr>
        <w:spacing w:after="0" w:line="152" w:lineRule="exact"/>
        <w:rPr>
          <w:sz w:val="20"/>
          <w:szCs w:val="20"/>
          <w:color w:val="auto"/>
        </w:rPr>
      </w:pPr>
    </w:p>
    <w:p>
      <w:pPr>
        <w:ind w:left="40" w:right="259"/>
        <w:spacing w:after="0" w:line="238" w:lineRule="auto"/>
        <w:rPr>
          <w:sz w:val="20"/>
          <w:szCs w:val="20"/>
          <w:color w:val="auto"/>
        </w:rPr>
      </w:pPr>
      <w:r>
        <w:rPr>
          <w:rFonts w:ascii="Arial" w:cs="Arial" w:eastAsia="Arial" w:hAnsi="Arial"/>
          <w:sz w:val="17"/>
          <w:szCs w:val="17"/>
          <w:color w:val="auto"/>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spacing w:after="0" w:line="170"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spacing w:after="0" w:line="176"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spacing w:after="0" w:line="172" w:lineRule="exact"/>
        <w:rPr>
          <w:sz w:val="20"/>
          <w:szCs w:val="20"/>
          <w:color w:val="auto"/>
        </w:rPr>
      </w:pPr>
    </w:p>
    <w:p>
      <w:pPr>
        <w:ind w:left="40" w:right="339"/>
        <w:spacing w:after="0" w:line="272" w:lineRule="auto"/>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136"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As of December 31, 2024, we had 163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 candidates receives marketing approval, sales, marketing and distribution. To manage any future growth, we must:</w:t>
      </w:r>
    </w:p>
    <w:p>
      <w:pPr>
        <w:spacing w:after="0" w:line="171" w:lineRule="exact"/>
        <w:rPr>
          <w:sz w:val="20"/>
          <w:szCs w:val="20"/>
          <w:color w:val="auto"/>
        </w:rPr>
      </w:pPr>
    </w:p>
    <w:p>
      <w:pPr>
        <w:ind w:left="680" w:hanging="307"/>
        <w:spacing w:after="0"/>
        <w:tabs>
          <w:tab w:leader="none" w:pos="68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identify, recruit, integrate, maintain and motivate additional qualified personnel;</w:t>
      </w:r>
    </w:p>
    <w:p>
      <w:pPr>
        <w:spacing w:after="0" w:line="106" w:lineRule="exact"/>
        <w:rPr>
          <w:rFonts w:ascii="Times New Roman" w:cs="Times New Roman" w:eastAsia="Times New Roman" w:hAnsi="Times New Roman"/>
          <w:sz w:val="17"/>
          <w:szCs w:val="17"/>
          <w:color w:val="auto"/>
        </w:rPr>
      </w:pPr>
    </w:p>
    <w:p>
      <w:pPr>
        <w:ind w:left="680" w:right="619" w:hanging="307"/>
        <w:spacing w:after="0" w:line="264" w:lineRule="auto"/>
        <w:tabs>
          <w:tab w:leader="none" w:pos="68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manage our development efforts effectively, including the initiation and conduct of clinical studies for our product candidates; and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improve our operational, financial and management controls, reporting systems and procedures.</w:t>
      </w:r>
    </w:p>
    <w:p>
      <w:pPr>
        <w:spacing w:after="0" w:line="208" w:lineRule="exact"/>
        <w:rPr>
          <w:sz w:val="20"/>
          <w:szCs w:val="20"/>
          <w:color w:val="auto"/>
        </w:rPr>
      </w:pPr>
    </w:p>
    <w:p>
      <w:pPr>
        <w:ind w:left="40" w:right="239"/>
        <w:spacing w:after="0" w:line="243" w:lineRule="auto"/>
        <w:rPr>
          <w:sz w:val="20"/>
          <w:szCs w:val="20"/>
          <w:color w:val="auto"/>
        </w:rPr>
      </w:pPr>
      <w:r>
        <w:rPr>
          <w:rFonts w:ascii="Arial" w:cs="Arial" w:eastAsia="Arial" w:hAnsi="Arial"/>
          <w:sz w:val="17"/>
          <w:szCs w:val="17"/>
          <w:color w:val="auto"/>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spacing w:after="0" w:line="168"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79"/>
        <w:spacing w:after="0" w:line="242" w:lineRule="auto"/>
        <w:rPr>
          <w:sz w:val="20"/>
          <w:szCs w:val="20"/>
          <w:color w:val="auto"/>
        </w:rPr>
      </w:pPr>
      <w:r>
        <w:rPr>
          <w:rFonts w:ascii="Arial" w:cs="Arial" w:eastAsia="Arial" w:hAnsi="Arial"/>
          <w:sz w:val="17"/>
          <w:szCs w:val="17"/>
          <w:b w:val="1"/>
          <w:bCs w:val="1"/>
          <w:i w:val="1"/>
          <w:iCs w:val="1"/>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spacing w:after="0" w:line="161"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In 2021, we formed two wholly-owned Australian subsidiaries, Annapurna Bio Pty Limited (“Annapurna AU”) and Gasherbrum Bio Pty Limited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studies. Furthermore, we have no assurance that the results of any clinical studies that we conduct for our product candidates in Australia will be accepted by the FDA or applicable foreign authorities.</w:t>
      </w:r>
    </w:p>
    <w:p>
      <w:pPr>
        <w:spacing w:after="0" w:line="170" w:lineRule="exact"/>
        <w:rPr>
          <w:sz w:val="20"/>
          <w:szCs w:val="20"/>
          <w:color w:val="auto"/>
        </w:rPr>
      </w:pPr>
    </w:p>
    <w:p>
      <w:pPr>
        <w:ind w:left="40" w:right="139"/>
        <w:spacing w:after="0" w:line="238" w:lineRule="auto"/>
        <w:rPr>
          <w:sz w:val="20"/>
          <w:szCs w:val="20"/>
          <w:color w:val="auto"/>
        </w:rPr>
      </w:pPr>
      <w:r>
        <w:rPr>
          <w:rFonts w:ascii="Arial" w:cs="Arial" w:eastAsia="Arial" w:hAnsi="Arial"/>
          <w:sz w:val="17"/>
          <w:szCs w:val="17"/>
          <w:color w:val="auto"/>
        </w:rPr>
        <w:t>In addition, current Australian tax regulations provide for a refundable research and development tax credit equal to 43.5% of qualified expenditures. Although we have previously claimed a refundable research and development tax credit there is a possibility that we may not be able to claim such credit or we might qualify for a lesser credit. If we lose our ability to operate Annapurna AU or Gasherbrum AU in Australia, or if in the future we are ineligible or unable to receive the research and development tax credit or are required to refund any research and development tax credit previously received or have to reserve for such credit in our financial statements, or if the Australian government significantly reduces or eliminates the tax credit, our business and results of operation may be adversely affected.</w:t>
      </w:r>
    </w:p>
    <w:p>
      <w:pPr>
        <w:spacing w:after="0" w:line="172" w:lineRule="exact"/>
        <w:rPr>
          <w:sz w:val="20"/>
          <w:szCs w:val="20"/>
          <w:color w:val="auto"/>
        </w:rPr>
      </w:pPr>
    </w:p>
    <w:p>
      <w:pPr>
        <w:ind w:left="40" w:right="319"/>
        <w:spacing w:after="0" w:line="242" w:lineRule="auto"/>
        <w:rPr>
          <w:sz w:val="20"/>
          <w:szCs w:val="20"/>
          <w:color w:val="auto"/>
        </w:rPr>
      </w:pPr>
      <w:r>
        <w:rPr>
          <w:rFonts w:ascii="Arial" w:cs="Arial" w:eastAsia="Arial" w:hAnsi="Arial"/>
          <w:sz w:val="17"/>
          <w:szCs w:val="17"/>
          <w:b w:val="1"/>
          <w:bCs w:val="1"/>
          <w:i w:val="1"/>
          <w:iCs w:val="1"/>
          <w:color w:val="auto"/>
        </w:rPr>
        <w:t>Our relationships with customers, physicians and other healthcare providers,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spacing w:after="0" w:line="161" w:lineRule="exact"/>
        <w:rPr>
          <w:sz w:val="20"/>
          <w:szCs w:val="20"/>
          <w:color w:val="auto"/>
        </w:rPr>
      </w:pPr>
    </w:p>
    <w:p>
      <w:pPr>
        <w:ind w:left="40" w:right="219"/>
        <w:spacing w:after="0" w:line="236" w:lineRule="auto"/>
        <w:rPr>
          <w:sz w:val="20"/>
          <w:szCs w:val="20"/>
          <w:color w:val="auto"/>
        </w:rPr>
      </w:pPr>
      <w:r>
        <w:rPr>
          <w:rFonts w:ascii="Arial" w:cs="Arial" w:eastAsia="Arial" w:hAnsi="Arial"/>
          <w:sz w:val="17"/>
          <w:szCs w:val="17"/>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The laws that may affect our operations include, but are not limited to:</w:t>
      </w:r>
    </w:p>
    <w:p>
      <w:pPr>
        <w:spacing w:after="0" w:line="176" w:lineRule="exact"/>
        <w:rPr>
          <w:sz w:val="20"/>
          <w:szCs w:val="20"/>
          <w:color w:val="auto"/>
        </w:rPr>
      </w:pPr>
    </w:p>
    <w:p>
      <w:pPr>
        <w:ind w:left="680" w:right="139" w:hanging="307"/>
        <w:spacing w:after="0" w:line="237" w:lineRule="auto"/>
        <w:tabs>
          <w:tab w:leader="none" w:pos="68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p>
      <w:pPr>
        <w:spacing w:after="0" w:line="70" w:lineRule="exact"/>
        <w:rPr>
          <w:rFonts w:ascii="Times New Roman" w:cs="Times New Roman" w:eastAsia="Times New Roman" w:hAnsi="Times New Roman"/>
          <w:sz w:val="17"/>
          <w:szCs w:val="17"/>
          <w:color w:val="auto"/>
        </w:rPr>
      </w:pPr>
    </w:p>
    <w:p>
      <w:pPr>
        <w:ind w:left="680" w:right="79" w:hanging="307"/>
        <w:spacing w:after="0"/>
        <w:tabs>
          <w:tab w:leader="none" w:pos="68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219"/>
        <w:spacing w:after="0" w:line="248" w:lineRule="auto"/>
        <w:rPr>
          <w:sz w:val="20"/>
          <w:szCs w:val="20"/>
          <w:color w:val="auto"/>
        </w:rPr>
      </w:pPr>
      <w:r>
        <w:rPr>
          <w:rFonts w:ascii="Arial" w:cs="Arial" w:eastAsia="Arial" w:hAnsi="Arial"/>
          <w:sz w:val="17"/>
          <w:szCs w:val="17"/>
          <w:color w:val="auto"/>
        </w:rPr>
        <w:t>government. In addition, the government may assert that a claim including items or services resulting from a violation of the federal Anti-Kickback Statute constitutes a false or fraudulent claim for purposes of the federal False Claims Act;</w:t>
      </w:r>
    </w:p>
    <w:p>
      <w:pPr>
        <w:spacing w:after="0" w:line="63" w:lineRule="exact"/>
        <w:rPr>
          <w:sz w:val="20"/>
          <w:szCs w:val="20"/>
          <w:color w:val="auto"/>
        </w:rPr>
      </w:pPr>
    </w:p>
    <w:p>
      <w:pPr>
        <w:ind w:left="680" w:right="99" w:hanging="307"/>
        <w:spacing w:after="0"/>
        <w:tabs>
          <w:tab w:leader="none" w:pos="68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Health Insurance Portability and Accountability Act of 1996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 w:cs="Arial" w:eastAsia="Arial" w:hAnsi="Arial"/>
          <w:sz w:val="17"/>
          <w:szCs w:val="17"/>
          <w:i w:val="1"/>
          <w:iCs w:val="1"/>
          <w:color w:val="auto"/>
        </w:rPr>
        <w:t>e.g.</w:t>
      </w:r>
      <w:r>
        <w:rPr>
          <w:rFonts w:ascii="Arial" w:cs="Arial" w:eastAsia="Arial" w:hAnsi="Arial"/>
          <w:sz w:val="17"/>
          <w:szCs w:val="17"/>
          <w:color w:val="auto"/>
        </w:rPr>
        <w:t>, public or private). Similar to the federal Anti-Kickback Statute, a person or entity does not need to have actual knowledge of this statute or specific intent to violate it in order to have committed a violation;</w:t>
      </w:r>
    </w:p>
    <w:p>
      <w:pPr>
        <w:spacing w:after="0" w:line="69" w:lineRule="exact"/>
        <w:rPr>
          <w:rFonts w:ascii="Times New Roman" w:cs="Times New Roman" w:eastAsia="Times New Roman" w:hAnsi="Times New Roman"/>
          <w:sz w:val="17"/>
          <w:szCs w:val="17"/>
          <w:color w:val="auto"/>
        </w:rPr>
      </w:pPr>
    </w:p>
    <w:p>
      <w:pPr>
        <w:ind w:left="680" w:right="139" w:hanging="307"/>
        <w:spacing w:after="0" w:line="237" w:lineRule="auto"/>
        <w:tabs>
          <w:tab w:leader="none" w:pos="68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HIPAA, as amended by the Health Information Technology for Economic and Clinical Health Act of 2009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p>
      <w:pPr>
        <w:spacing w:after="0" w:line="70" w:lineRule="exact"/>
        <w:rPr>
          <w:rFonts w:ascii="Times New Roman" w:cs="Times New Roman" w:eastAsia="Times New Roman" w:hAnsi="Times New Roman"/>
          <w:sz w:val="17"/>
          <w:szCs w:val="17"/>
          <w:color w:val="auto"/>
        </w:rPr>
      </w:pPr>
    </w:p>
    <w:p>
      <w:pPr>
        <w:ind w:left="680" w:right="119" w:hanging="307"/>
        <w:spacing w:after="0" w:line="238" w:lineRule="auto"/>
        <w:tabs>
          <w:tab w:leader="none" w:pos="68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The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68" w:lineRule="exact"/>
        <w:rPr>
          <w:rFonts w:ascii="Times New Roman" w:cs="Times New Roman" w:eastAsia="Times New Roman" w:hAnsi="Times New Roman"/>
          <w:sz w:val="17"/>
          <w:szCs w:val="17"/>
          <w:color w:val="auto"/>
        </w:rPr>
      </w:pPr>
    </w:p>
    <w:p>
      <w:pPr>
        <w:ind w:left="680" w:right="119" w:hanging="307"/>
        <w:spacing w:after="0" w:line="236" w:lineRule="auto"/>
        <w:tabs>
          <w:tab w:leader="none" w:pos="68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state and foreign law equivalents of each of the above federal laws,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and regulations that require drug manufacturers to file reports relating to drug pricing and marketing information, and state and local laws that require the registration of pharmaceutical sales representatives; and</w:t>
      </w:r>
    </w:p>
    <w:p>
      <w:pPr>
        <w:spacing w:after="0" w:line="74" w:lineRule="exact"/>
        <w:rPr>
          <w:rFonts w:ascii="Times New Roman" w:cs="Times New Roman" w:eastAsia="Times New Roman" w:hAnsi="Times New Roman"/>
          <w:sz w:val="17"/>
          <w:szCs w:val="17"/>
          <w:color w:val="auto"/>
        </w:rPr>
      </w:pPr>
    </w:p>
    <w:p>
      <w:pPr>
        <w:ind w:left="680" w:right="219" w:hanging="307"/>
        <w:spacing w:after="0" w:line="248" w:lineRule="auto"/>
        <w:tabs>
          <w:tab w:leader="none" w:pos="680" w:val="left"/>
        </w:tabs>
        <w:numPr>
          <w:ilvl w:val="0"/>
          <w:numId w:val="46"/>
        </w:numPr>
        <w:rPr>
          <w:rFonts w:ascii="Times New Roman" w:cs="Times New Roman" w:eastAsia="Times New Roman" w:hAnsi="Times New Roman"/>
          <w:sz w:val="17"/>
          <w:szCs w:val="17"/>
          <w:color w:val="auto"/>
        </w:rPr>
      </w:pPr>
      <w:r>
        <w:rPr>
          <w:rFonts w:ascii="Arial" w:cs="Arial" w:eastAsia="Arial" w:hAnsi="Arial"/>
          <w:sz w:val="17"/>
          <w:szCs w:val="17"/>
          <w:color w:val="auto"/>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p>
      <w:pPr>
        <w:spacing w:after="0" w:line="163"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spacing w:after="0" w:line="168" w:lineRule="exact"/>
        <w:rPr>
          <w:sz w:val="20"/>
          <w:szCs w:val="20"/>
          <w:color w:val="auto"/>
        </w:rPr>
      </w:pPr>
    </w:p>
    <w:p>
      <w:pPr>
        <w:ind w:left="40" w:right="379"/>
        <w:spacing w:after="0" w:line="239"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Healthcare legislative reform measures may have a negative impact on our business and results of operations.</w:t>
      </w:r>
    </w:p>
    <w:p>
      <w:pPr>
        <w:spacing w:after="0" w:line="205" w:lineRule="exact"/>
        <w:rPr>
          <w:sz w:val="20"/>
          <w:szCs w:val="20"/>
          <w:color w:val="auto"/>
        </w:rPr>
      </w:pPr>
    </w:p>
    <w:p>
      <w:pPr>
        <w:ind w:left="40" w:right="339"/>
        <w:spacing w:after="0" w:line="243"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68" w:lineRule="exact"/>
        <w:rPr>
          <w:sz w:val="20"/>
          <w:szCs w:val="20"/>
          <w:color w:val="auto"/>
        </w:rPr>
      </w:pPr>
    </w:p>
    <w:p>
      <w:pPr>
        <w:ind w:left="40" w:right="139"/>
        <w:spacing w:after="0" w:line="238"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the government and private insurers, and significantly impacts the U.S. pharmaceutical industry.</w:t>
      </w:r>
    </w:p>
    <w:p>
      <w:pPr>
        <w:spacing w:after="0" w:line="170" w:lineRule="exact"/>
        <w:rPr>
          <w:sz w:val="20"/>
          <w:szCs w:val="20"/>
          <w:color w:val="auto"/>
        </w:rPr>
      </w:pPr>
    </w:p>
    <w:p>
      <w:pPr>
        <w:ind w:left="40" w:right="219"/>
        <w:spacing w:after="0" w:line="238" w:lineRule="auto"/>
        <w:rPr>
          <w:sz w:val="20"/>
          <w:szCs w:val="20"/>
          <w:color w:val="auto"/>
        </w:rPr>
      </w:pPr>
      <w:r>
        <w:rPr>
          <w:rFonts w:ascii="Arial" w:cs="Arial" w:eastAsia="Arial" w:hAnsi="Arial"/>
          <w:sz w:val="17"/>
          <w:szCs w:val="17"/>
          <w:color w:val="auto"/>
        </w:rPr>
        <w:t>Since its enactment, there have been judicial, Congressional and executive branch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the ACA will be subject to judicial or Congressional challenges and amendments in the future.</w:t>
      </w:r>
    </w:p>
    <w:p>
      <w:pPr>
        <w:spacing w:after="0" w:line="170"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the IRA, among other things, (1) directs the U.S. Department of Health and Human Services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effect progressively in fiscal year 2023. On August 15, 2024, HHS announced the agreed-upon reimbursement prices of the first ten drugs that were subject to price negotiations, although the Medicare Drug Price Negotiation Program is currently subject to legal challenges. HHS will select up to fifteen additional drugs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79" w:lineRule="exact"/>
        <w:rPr>
          <w:sz w:val="20"/>
          <w:szCs w:val="20"/>
          <w:color w:val="auto"/>
        </w:rPr>
      </w:pPr>
    </w:p>
    <w:p>
      <w:pPr>
        <w:ind w:left="40" w:right="359"/>
        <w:spacing w:after="0" w:line="248" w:lineRule="auto"/>
        <w:rPr>
          <w:sz w:val="20"/>
          <w:szCs w:val="20"/>
          <w:color w:val="auto"/>
        </w:rPr>
      </w:pPr>
      <w:r>
        <w:rPr>
          <w:rFonts w:ascii="Arial" w:cs="Arial" w:eastAsia="Arial" w:hAnsi="Arial"/>
          <w:sz w:val="17"/>
          <w:szCs w:val="17"/>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59"/>
        <w:spacing w:after="0" w:line="254" w:lineRule="auto"/>
        <w:rPr>
          <w:sz w:val="20"/>
          <w:szCs w:val="20"/>
          <w:color w:val="auto"/>
        </w:rPr>
      </w:pPr>
      <w:r>
        <w:rPr>
          <w:rFonts w:ascii="Arial" w:cs="Arial" w:eastAsia="Arial" w:hAnsi="Arial"/>
          <w:sz w:val="16"/>
          <w:szCs w:val="16"/>
          <w:color w:val="auto"/>
        </w:rPr>
        <w:t>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59" w:lineRule="exact"/>
        <w:rPr>
          <w:sz w:val="20"/>
          <w:szCs w:val="20"/>
          <w:color w:val="auto"/>
        </w:rPr>
      </w:pPr>
    </w:p>
    <w:p>
      <w:pPr>
        <w:ind w:left="40" w:right="139"/>
        <w:spacing w:after="0" w:line="238" w:lineRule="auto"/>
        <w:rPr>
          <w:sz w:val="20"/>
          <w:szCs w:val="20"/>
          <w:color w:val="auto"/>
        </w:rPr>
      </w:pPr>
      <w:r>
        <w:rPr>
          <w:rFonts w:ascii="Arial" w:cs="Arial" w:eastAsia="Arial" w:hAnsi="Arial"/>
          <w:sz w:val="17"/>
          <w:szCs w:val="17"/>
          <w:color w:val="auto"/>
        </w:rPr>
        <w:t>We cannot predict what healthcare reform initiatives may be adopted in the future, particularly in light of the recent U.S. presidential and Congressional elections.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2"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b w:val="1"/>
          <w:bCs w:val="1"/>
          <w:i w:val="1"/>
          <w:iCs w:val="1"/>
          <w:color w:val="auto"/>
        </w:rPr>
        <w:t>If we or our third-party manufacturers use hazardous and biological materials in a manner that causes injury or violates applicable law, we may be liable for damages.</w:t>
      </w:r>
    </w:p>
    <w:p>
      <w:pPr>
        <w:spacing w:after="0" w:line="136"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and results of operations.</w:t>
      </w:r>
    </w:p>
    <w:p>
      <w:pPr>
        <w:spacing w:after="0" w:line="177" w:lineRule="exact"/>
        <w:rPr>
          <w:sz w:val="20"/>
          <w:szCs w:val="20"/>
          <w:color w:val="auto"/>
        </w:rPr>
      </w:pPr>
    </w:p>
    <w:p>
      <w:pPr>
        <w:ind w:left="40" w:right="1259"/>
        <w:spacing w:after="0" w:line="272"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product candidate that we may develop.</w:t>
      </w:r>
    </w:p>
    <w:p>
      <w:pPr>
        <w:spacing w:after="0" w:line="136"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We face an inherent risk of product liability exposure related to the testing of our current and any future product candidates in clinical studies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168" w:lineRule="exact"/>
        <w:rPr>
          <w:sz w:val="20"/>
          <w:szCs w:val="20"/>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decreased demand for any product candidate that we may develop;</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trial participants or patients;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time and costs to defend the related litigation;</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 diversion of management’s time and our resources;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by regulators;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any product candidate that we may develop;</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injury to our reputation and significant negative media attention; and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a decline in our ADS price.</w:t>
      </w:r>
    </w:p>
    <w:p>
      <w:pPr>
        <w:spacing w:after="0" w:line="208"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We currently hold approximately $10.0 million in product liability insurance coverage in the aggregate. We may need to increase our insurance coverage as we expand our clinical studies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75" w:lineRule="exact"/>
        <w:rPr>
          <w:sz w:val="20"/>
          <w:szCs w:val="20"/>
          <w:color w:val="auto"/>
        </w:rPr>
      </w:pPr>
    </w:p>
    <w:p>
      <w:pPr>
        <w:ind w:left="40" w:right="259"/>
        <w:spacing w:after="0" w:line="26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 disruptions of our business operations; loss of revenue or profits; loss of customers or sales; or other adverse consequences.</w:t>
      </w:r>
    </w:p>
    <w:p>
      <w:pPr>
        <w:spacing w:after="0" w:line="146"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and third-party, cloud-based technologies, to operate our business. In the ordinary course of our business, we collect, store, process and transmit large amounts of sensitive information, including intellectual property, proprietary business information, personal information and other confidential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including by organized groups and individuals with a wide range of motives (including, but not limited to, industrial espionage) and expertise, including organized criminal groups, “hacktivists,” nation states and others. Further, many of our employees work remotely, which increases our vulnerability to cyberattacks. Cyberattacks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w:t>
      </w:r>
    </w:p>
    <w:p>
      <w:pPr>
        <w:spacing w:after="0" w:line="178"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Threat actors direct significant disruptions of, or cyber incidents at, our or our third-party vendors’ and/or business partners’ information technology systems that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programs and our business operations. For example, the loss of clinical trial data from completed or future clinical studies could result in delays in our marketing approval efforts and significantly increase our costs to recover or reproduce the data. Additionally, theft of our intellectual property or proprietary business information would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for which we are responsible may require us,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spacing w:after="0" w:line="170"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While we have implemented security measures intended to protect our information technology systems and infrastructure, such measures may not successfully prevent service interruptions or security incidents.</w:t>
      </w:r>
    </w:p>
    <w:p>
      <w:pPr>
        <w:spacing w:after="0" w:line="170" w:lineRule="exact"/>
        <w:rPr>
          <w:sz w:val="20"/>
          <w:szCs w:val="20"/>
          <w:color w:val="auto"/>
        </w:rPr>
      </w:pPr>
    </w:p>
    <w:p>
      <w:pPr>
        <w:ind w:left="40" w:right="419"/>
        <w:spacing w:after="0" w:line="243" w:lineRule="auto"/>
        <w:rPr>
          <w:sz w:val="20"/>
          <w:szCs w:val="20"/>
          <w:color w:val="auto"/>
        </w:rPr>
      </w:pPr>
      <w:r>
        <w:rPr>
          <w:rFonts w:ascii="Arial" w:cs="Arial" w:eastAsia="Arial" w:hAnsi="Arial"/>
          <w:sz w:val="17"/>
          <w:szCs w:val="17"/>
          <w:color w:val="auto"/>
        </w:rPr>
        <w:t>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w:t>
      </w:r>
    </w:p>
    <w:p>
      <w:pPr>
        <w:spacing w:after="0" w:line="168" w:lineRule="exact"/>
        <w:rPr>
          <w:sz w:val="20"/>
          <w:szCs w:val="20"/>
          <w:color w:val="auto"/>
        </w:rPr>
      </w:pPr>
    </w:p>
    <w:p>
      <w:pPr>
        <w:jc w:val="both"/>
        <w:ind w:left="40" w:right="119"/>
        <w:spacing w:after="0"/>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3" w:lineRule="exact"/>
        <w:rPr>
          <w:sz w:val="20"/>
          <w:szCs w:val="20"/>
          <w:color w:val="auto"/>
        </w:rPr>
      </w:pPr>
    </w:p>
    <w:p>
      <w:pPr>
        <w:jc w:val="both"/>
        <w:ind w:left="40" w:right="319"/>
        <w:spacing w:after="0" w:line="252" w:lineRule="auto"/>
        <w:rPr>
          <w:sz w:val="20"/>
          <w:szCs w:val="20"/>
          <w:color w:val="auto"/>
        </w:rPr>
      </w:pPr>
      <w:r>
        <w:rPr>
          <w:rFonts w:ascii="Arial" w:cs="Arial" w:eastAsia="Arial" w:hAnsi="Arial"/>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2"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studies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79"/>
        <w:spacing w:after="0" w:line="265" w:lineRule="auto"/>
        <w:rPr>
          <w:sz w:val="20"/>
          <w:szCs w:val="20"/>
          <w:color w:val="auto"/>
        </w:rPr>
      </w:pPr>
      <w:r>
        <w:rPr>
          <w:rFonts w:ascii="Arial" w:cs="Arial" w:eastAsia="Arial" w:hAnsi="Arial"/>
          <w:sz w:val="17"/>
          <w:szCs w:val="17"/>
          <w:color w:val="auto"/>
        </w:rPr>
        <w:t>impact on our business, financial condition, results of operations and prospects, including the imposition of significant fines or other sanctions.</w:t>
      </w:r>
    </w:p>
    <w:p>
      <w:pPr>
        <w:spacing w:after="0" w:line="151" w:lineRule="exact"/>
        <w:rPr>
          <w:sz w:val="20"/>
          <w:szCs w:val="20"/>
          <w:color w:val="auto"/>
        </w:rPr>
      </w:pPr>
    </w:p>
    <w:p>
      <w:pPr>
        <w:ind w:left="40" w:right="379"/>
        <w:spacing w:after="0" w:line="272" w:lineRule="auto"/>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13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72"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b w:val="1"/>
          <w:bCs w:val="1"/>
          <w:i w:val="1"/>
          <w:iCs w:val="1"/>
          <w:color w:val="auto"/>
        </w:rPr>
        <w:t>We are subject to stringent and evolving U.S. and foreign laws, regulations, rules, industry standards, contractual obligations, policies and other obligations related to data security and privacy. Our or the third parties with whom we work (including our suppliers) actual or perceived failure to comply with such obligations could lead to government enforcement actions, which could include civil, criminal or administrative penalties, litigation (including class claims) and arbitration demands, fines and penalties, disruptions of our business operations, reputational harm, adverse publicity, and other adverse business consequences, and could negatively affect our operating results and business, financial condition, results of operations, and prospects, and other adverse business consequences and could negatively affect our operating results and business, financial condition, results of operations and prospects.</w:t>
      </w:r>
    </w:p>
    <w:p>
      <w:pPr>
        <w:spacing w:after="0" w:line="167"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may collect about trial participants in connection with clinical studies, sensitive third-party data, business plans, transactions, and financial information.</w:t>
      </w:r>
    </w:p>
    <w:p>
      <w:pPr>
        <w:spacing w:after="0" w:line="171" w:lineRule="exact"/>
        <w:rPr>
          <w:sz w:val="20"/>
          <w:szCs w:val="20"/>
          <w:color w:val="auto"/>
        </w:rPr>
      </w:pPr>
    </w:p>
    <w:p>
      <w:pPr>
        <w:ind w:left="40" w:right="159"/>
        <w:spacing w:after="0" w:line="250" w:lineRule="auto"/>
        <w:rPr>
          <w:sz w:val="20"/>
          <w:szCs w:val="20"/>
          <w:color w:val="auto"/>
        </w:rPr>
      </w:pPr>
      <w:r>
        <w:rPr>
          <w:rFonts w:ascii="Arial" w:cs="Arial" w:eastAsia="Arial" w:hAnsi="Arial"/>
          <w:sz w:val="16"/>
          <w:szCs w:val="16"/>
          <w:color w:val="auto"/>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w:t>
      </w:r>
    </w:p>
    <w:p>
      <w:pPr>
        <w:spacing w:after="0" w:line="170"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$ 7,500 per intentional violation and allows private litigants affected by certain data breaches to recover significant statutory damages. Although the CCPA exempts some data processed in the context of clinical studies,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studies, these developments further complicate compliance efforts, and increase legal risk and compliance costs for us, the third parties upon whom we rely.</w:t>
      </w:r>
    </w:p>
    <w:p>
      <w:pPr>
        <w:spacing w:after="0" w:line="175" w:lineRule="exact"/>
        <w:rPr>
          <w:sz w:val="20"/>
          <w:szCs w:val="20"/>
          <w:color w:val="auto"/>
        </w:rPr>
      </w:pPr>
    </w:p>
    <w:p>
      <w:pPr>
        <w:ind w:left="40" w:right="159"/>
        <w:spacing w:after="0" w:line="238" w:lineRule="auto"/>
        <w:rPr>
          <w:sz w:val="20"/>
          <w:szCs w:val="20"/>
          <w:color w:val="auto"/>
        </w:rPr>
      </w:pPr>
      <w:r>
        <w:rPr>
          <w:rFonts w:ascii="Arial" w:cs="Arial" w:eastAsia="Arial" w:hAnsi="Arial"/>
          <w:sz w:val="17"/>
          <w:szCs w:val="17"/>
          <w:color w:val="auto"/>
        </w:rPr>
        <w:t>Outside the United States, an increasing number of laws, regulations, and industry standards may govern data privacy and security. For example, the EU GDPR, the United Kingdom’s GDPR, and the Personal Information Protection Act in South Korea, impose strict requirements for processing personal data. Under the EU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70"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Other jurisdictions may adopt similarly stringent interpretations of their data localization and cross-border data transfer laws. Although there are currently various mechanisms that may be used to transfer personal data from the European Economic Area (“EEA”) and United Kingdom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172"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73" w:lineRule="exact"/>
        <w:rPr>
          <w:sz w:val="20"/>
          <w:szCs w:val="20"/>
          <w:color w:val="auto"/>
        </w:rPr>
      </w:pPr>
    </w:p>
    <w:p>
      <w:pPr>
        <w:ind w:left="40" w:right="699"/>
        <w:spacing w:after="0" w:line="265" w:lineRule="auto"/>
        <w:rPr>
          <w:sz w:val="20"/>
          <w:szCs w:val="20"/>
          <w:color w:val="auto"/>
        </w:rPr>
      </w:pPr>
      <w:r>
        <w:rPr>
          <w:rFonts w:ascii="Arial" w:cs="Arial" w:eastAsia="Arial" w:hAnsi="Arial"/>
          <w:sz w:val="17"/>
          <w:szCs w:val="17"/>
          <w:color w:val="auto"/>
        </w:rPr>
        <w:t>The Cayman Islands Data Protection Act imposes obligations on data controllers in relation to the processing of personal data, and also introduced rights for data subjects (which may be subject to various exemptions),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59"/>
        <w:spacing w:after="0" w:line="257" w:lineRule="auto"/>
        <w:rPr>
          <w:sz w:val="20"/>
          <w:szCs w:val="20"/>
          <w:color w:val="auto"/>
        </w:rPr>
      </w:pPr>
      <w:r>
        <w:rPr>
          <w:rFonts w:ascii="Arial" w:cs="Arial" w:eastAsia="Arial" w:hAnsi="Arial"/>
          <w:sz w:val="16"/>
          <w:szCs w:val="16"/>
          <w:color w:val="auto"/>
        </w:rPr>
        <w:t>including, among others: (a) personal data must be processed fairly and on the basis of one of the grounds for processing as set out in the Data Protection Act; (b) personal data must be obtained for a specified lawful purpose;</w:t>
      </w:r>
    </w:p>
    <w:p>
      <w:pPr>
        <w:ind w:left="280" w:hanging="235"/>
        <w:spacing w:after="0" w:line="233" w:lineRule="auto"/>
        <w:tabs>
          <w:tab w:leader="none" w:pos="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personal data must be adequate, relevant and not excessive in relation to the purpose for which it was processed;</w:t>
      </w:r>
    </w:p>
    <w:p>
      <w:pPr>
        <w:ind w:left="40" w:right="59" w:firstLine="5"/>
        <w:spacing w:after="0" w:line="236" w:lineRule="auto"/>
        <w:tabs>
          <w:tab w:leader="none" w:pos="2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 prevent unauthorized or unlawful processing, accidental loss or destruction of personal data; and (h) the personal data may not be transferred to a country unless that country ensures an adequate level of protection for the rights and freedoms of data subjects.</w:t>
      </w:r>
    </w:p>
    <w:p>
      <w:pPr>
        <w:spacing w:after="0" w:line="172"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(“PIPL”) which became effective from November 1, 2021. The PIPL imposes a set of specific obligations on covered businesses in connection with their processing and transfer of personal data and imposes fines of up to RMB 50 million or 5% of the prior year’s total annual revenue of the violator. Under the PIPL,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spacing w:after="0" w:line="170" w:lineRule="exact"/>
        <w:rPr>
          <w:sz w:val="20"/>
          <w:szCs w:val="20"/>
          <w:color w:val="auto"/>
        </w:rPr>
      </w:pPr>
    </w:p>
    <w:p>
      <w:pPr>
        <w:ind w:left="40" w:right="159"/>
        <w:spacing w:after="0"/>
        <w:rPr>
          <w:sz w:val="20"/>
          <w:szCs w:val="20"/>
          <w:color w:val="auto"/>
        </w:rPr>
      </w:pPr>
      <w:r>
        <w:rPr>
          <w:rFonts w:ascii="Arial" w:cs="Arial" w:eastAsia="Arial" w:hAnsi="Arial"/>
          <w:sz w:val="17"/>
          <w:szCs w:val="17"/>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71" w:lineRule="exact"/>
        <w:rPr>
          <w:sz w:val="20"/>
          <w:szCs w:val="20"/>
          <w:color w:val="auto"/>
        </w:rPr>
      </w:pPr>
    </w:p>
    <w:p>
      <w:pPr>
        <w:ind w:left="40" w:right="99"/>
        <w:spacing w:after="0" w:line="250" w:lineRule="auto"/>
        <w:rPr>
          <w:sz w:val="20"/>
          <w:szCs w:val="20"/>
          <w:color w:val="auto"/>
        </w:rPr>
      </w:pPr>
      <w:r>
        <w:rPr>
          <w:rFonts w:ascii="Arial" w:cs="Arial" w:eastAsia="Arial" w:hAnsi="Arial"/>
          <w:sz w:val="16"/>
          <w:szCs w:val="16"/>
          <w:color w:val="auto"/>
        </w:rPr>
        <w:t>In addition to data privacy and security laws, we contractually are subject to industry standards adopted by industry groups and may become subject to such obligations in the future. We are also bound by contractual obligations related to data privacy and security, and our efforts to comply with such obligations may not be successful. In particular, 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threatened or actual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or our third-party service providers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69" w:lineRule="exact"/>
        <w:rPr>
          <w:sz w:val="20"/>
          <w:szCs w:val="20"/>
          <w:color w:val="auto"/>
        </w:rPr>
      </w:pPr>
    </w:p>
    <w:p>
      <w:pPr>
        <w:ind w:left="40" w:right="119"/>
        <w:spacing w:after="0" w:line="256" w:lineRule="auto"/>
        <w:rPr>
          <w:sz w:val="20"/>
          <w:szCs w:val="20"/>
          <w:color w:val="auto"/>
        </w:rPr>
      </w:pPr>
      <w:r>
        <w:rPr>
          <w:rFonts w:ascii="Arial" w:cs="Arial" w:eastAsia="Arial" w:hAnsi="Arial"/>
          <w:sz w:val="16"/>
          <w:szCs w:val="16"/>
          <w:color w:val="auto"/>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b w:val="1"/>
          <w:bCs w:val="1"/>
          <w:i w:val="1"/>
          <w:iCs w:val="1"/>
          <w:color w:val="auto"/>
        </w:rPr>
        <w:t>There is tax risk associated with the reporting of cross-border arrangements and activities between us and our subsidiaries.</w:t>
      </w:r>
    </w:p>
    <w:p>
      <w:pPr>
        <w:spacing w:after="0" w:line="136"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72"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70" w:lineRule="exact"/>
        <w:rPr>
          <w:sz w:val="20"/>
          <w:szCs w:val="20"/>
          <w:color w:val="auto"/>
        </w:rPr>
      </w:pPr>
    </w:p>
    <w:p>
      <w:pPr>
        <w:ind w:left="40" w:right="259"/>
        <w:spacing w:after="0" w:line="238" w:lineRule="auto"/>
        <w:rPr>
          <w:sz w:val="20"/>
          <w:szCs w:val="20"/>
          <w:color w:val="auto"/>
        </w:rPr>
      </w:pPr>
      <w:r>
        <w:rPr>
          <w:rFonts w:ascii="Arial" w:cs="Arial" w:eastAsia="Arial" w:hAnsi="Arial"/>
          <w:sz w:val="17"/>
          <w:szCs w:val="17"/>
          <w:color w:val="auto"/>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2" w:lineRule="exact"/>
        <w:rPr>
          <w:sz w:val="20"/>
          <w:szCs w:val="20"/>
          <w:color w:val="auto"/>
        </w:rPr>
      </w:pPr>
    </w:p>
    <w:p>
      <w:pPr>
        <w:ind w:left="40" w:right="279"/>
        <w:spacing w:after="0" w:line="272" w:lineRule="auto"/>
        <w:rPr>
          <w:sz w:val="20"/>
          <w:szCs w:val="20"/>
          <w:color w:val="auto"/>
        </w:rPr>
      </w:pPr>
      <w:r>
        <w:rPr>
          <w:rFonts w:ascii="Arial" w:cs="Arial" w:eastAsia="Arial" w:hAnsi="Arial"/>
          <w:sz w:val="17"/>
          <w:szCs w:val="17"/>
          <w:b w:val="1"/>
          <w:bCs w:val="1"/>
          <w:i w:val="1"/>
          <w:iCs w:val="1"/>
          <w:color w:val="auto"/>
        </w:rPr>
        <w:t>Tax authorities may disagree with our positions and conclusions regarding certain tax positions, resulting in unanticipated costs, taxes or non-realization of expected benefits.</w:t>
      </w:r>
    </w:p>
    <w:p>
      <w:pPr>
        <w:spacing w:after="0" w:line="136" w:lineRule="exact"/>
        <w:rPr>
          <w:sz w:val="20"/>
          <w:szCs w:val="20"/>
          <w:color w:val="auto"/>
        </w:rPr>
      </w:pPr>
    </w:p>
    <w:p>
      <w:pPr>
        <w:ind w:left="40" w:right="239"/>
        <w:spacing w:after="0" w:line="252"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65" w:lineRule="exact"/>
        <w:rPr>
          <w:sz w:val="20"/>
          <w:szCs w:val="20"/>
          <w:color w:val="auto"/>
        </w:rPr>
      </w:pPr>
    </w:p>
    <w:p>
      <w:pPr>
        <w:ind w:left="40" w:right="559"/>
        <w:spacing w:after="0" w:line="272" w:lineRule="auto"/>
        <w:rPr>
          <w:sz w:val="20"/>
          <w:szCs w:val="20"/>
          <w:color w:val="auto"/>
        </w:rPr>
      </w:pPr>
      <w:r>
        <w:rPr>
          <w:rFonts w:ascii="Arial" w:cs="Arial" w:eastAsia="Arial" w:hAnsi="Arial"/>
          <w:sz w:val="17"/>
          <w:szCs w:val="17"/>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36"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instance, the recently enacted IRA imposes, among other rules, a 15% minimum tax on the book income of certain large corporations and a 1% excise tax on certain corporate stock repurchases. The Tax Cuts and Jobs Act of 2017 (“TCJA”), as amended by the Coronavirus Aid, Relief, and Economic Security Act significantly reformed the United States Internal Revenue Code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3" w:lineRule="auto"/>
        <w:rPr>
          <w:sz w:val="20"/>
          <w:szCs w:val="20"/>
          <w:color w:val="auto"/>
        </w:rPr>
      </w:pPr>
      <w:r>
        <w:rPr>
          <w:rFonts w:ascii="Arial" w:cs="Arial" w:eastAsia="Arial" w:hAnsi="Arial"/>
          <w:sz w:val="16"/>
          <w:szCs w:val="16"/>
          <w:color w:val="auto"/>
        </w:rPr>
        <w:t>1986, as amended (the “Code”), by lowering U.S. federal corporate income tax rates, changing the utilization of future net operating loss carryforwards, permitting for the expensing of certain capital expenditures, eliminating the option to currently deduct research and development expenditures and requiring taxpayers to capitalize and amortize U.S.-based and non-U.S.-based research and development expenditures over five and fifteen years, respectively. and putting into effect significant changes to U.S. taxation of international business activities. Outside the U.S., various governments and organizations are increasingly focused on tax reform and other legislative or regulatory action to increase tax revenue, including the Organisation for Economic Co-operation and Development’s Base Erosion and Profit Shifting Project (“BEPS 2.0”). The IRA, TCJA, BEPS 2.0 or any future tax reform legislation could have a material impact on the value of our deferred tax assets, result in significant one-time charges, and increase our future tax expenses.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Doing Business in China and Our International Operations</w:t>
      </w:r>
    </w:p>
    <w:p>
      <w:pPr>
        <w:spacing w:after="0" w:line="198" w:lineRule="exact"/>
        <w:rPr>
          <w:sz w:val="20"/>
          <w:szCs w:val="20"/>
          <w:color w:val="auto"/>
        </w:rPr>
      </w:pPr>
    </w:p>
    <w:p>
      <w:pPr>
        <w:ind w:left="40" w:right="199"/>
        <w:spacing w:after="0" w:line="272" w:lineRule="auto"/>
        <w:rPr>
          <w:sz w:val="20"/>
          <w:szCs w:val="20"/>
          <w:color w:val="auto"/>
        </w:rPr>
      </w:pPr>
      <w:r>
        <w:rPr>
          <w:rFonts w:ascii="Arial" w:cs="Arial" w:eastAsia="Arial" w:hAnsi="Arial"/>
          <w:sz w:val="17"/>
          <w:szCs w:val="17"/>
          <w:b w:val="1"/>
          <w:bCs w:val="1"/>
          <w:i w:val="1"/>
          <w:iCs w:val="1"/>
          <w:color w:val="auto"/>
        </w:rPr>
        <w:t>Changes in the political and economic policies or in relations between China and the United States may affect our business, financial condition, results of operations and the market price of our ADSs.</w:t>
      </w:r>
    </w:p>
    <w:p>
      <w:pPr>
        <w:spacing w:after="0" w:line="136"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 Chinese government may intervene in or influence our operations, which could result in a change in our operations and impact the value of our ADSs. Any economic downturn, whether actual or perceived, further decrease in economic growth rates or an otherwise uncertain economic outlook could affect our business, financial condition and results of operations, as well as the market price of our ADSs. In addition, the global macroeconomic environment is facing challenges. It is unclear whether these challenges and uncertainties will be contained or resolved, and what effects they may have on the global political and economic conditions, and our business operations in the long term. There is significant uncertainty about the future relationship between the United States and China with respect to trade policies, treaties, government regulations and tariffs. The Chinese government has implemented various measures to encourage economic development and guide the allocation of resources. Some of these measures may benefit the overall Chinese economy, but may have a negative effect on us.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and geopolitical tensions between China and the United States increase, our business in China and United States, as well as the market price of our ADSs, may also be affected.</w:t>
      </w:r>
    </w:p>
    <w:p>
      <w:pPr>
        <w:spacing w:after="0" w:line="181" w:lineRule="exact"/>
        <w:rPr>
          <w:sz w:val="20"/>
          <w:szCs w:val="20"/>
          <w:color w:val="auto"/>
        </w:rPr>
      </w:pPr>
    </w:p>
    <w:p>
      <w:pPr>
        <w:ind w:left="40" w:right="299"/>
        <w:spacing w:after="0" w:line="272" w:lineRule="auto"/>
        <w:rPr>
          <w:sz w:val="20"/>
          <w:szCs w:val="20"/>
          <w:color w:val="auto"/>
        </w:rPr>
      </w:pPr>
      <w:r>
        <w:rPr>
          <w:rFonts w:ascii="Arial" w:cs="Arial" w:eastAsia="Arial" w:hAnsi="Arial"/>
          <w:sz w:val="17"/>
          <w:szCs w:val="17"/>
          <w:b w:val="1"/>
          <w:bCs w:val="1"/>
          <w:i w:val="1"/>
          <w:iCs w:val="1"/>
          <w:color w:val="auto"/>
        </w:rPr>
        <w:t>Changes in U.S. and Chinese regulations may impact our business, our operating results, our ability to raise capital and the market price of our ADSs.</w:t>
      </w:r>
    </w:p>
    <w:p>
      <w:pPr>
        <w:spacing w:after="0" w:line="136"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Chairman of the SEC, issued a Statement on Investor Protection Related to Recent Developments in China, pursuant to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99"/>
        <w:spacing w:after="0" w:line="239" w:lineRule="auto"/>
        <w:rPr>
          <w:sz w:val="20"/>
          <w:szCs w:val="20"/>
          <w:color w:val="auto"/>
        </w:rPr>
      </w:pPr>
      <w:r>
        <w:rPr>
          <w:rFonts w:ascii="Arial" w:cs="Arial" w:eastAsia="Arial" w:hAnsi="Arial"/>
          <w:sz w:val="17"/>
          <w:szCs w:val="17"/>
          <w:color w:val="auto"/>
        </w:rPr>
        <w:t>which Chairman Gensler stated that he has asked the SEC staff to engage in targeted additional reviews of filings for companies with certain operations based in China. The statement also addressed risks inherent in companies with variable interest entity (“VIE”) structures. We do not have a VIE structure and are not in an industry that is subject to foreign ownership limitations by China. However, it is possible that our periodic reports and other filings with the SEC may be subject to enhanced review by the SEC and this additional scrutiny could affect our ability to effectively raise capital in the United States.</w:t>
      </w:r>
    </w:p>
    <w:p>
      <w:pPr>
        <w:spacing w:after="0" w:line="170"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In response to the SEC’s July 30, 2021 statement, the China Securities Regulatory Commission (“CSRC”) announced on August 1, 2021, that “[i]t is our belief that Chinese and U.S. regulators shall continue to enhance communication with the principle of mutual respect and cooperation, and properly address the 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spacing w:after="0" w:line="172"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ADSs.</w:t>
      </w:r>
    </w:p>
    <w:p>
      <w:pPr>
        <w:spacing w:after="0" w:line="170" w:lineRule="exact"/>
        <w:rPr>
          <w:sz w:val="20"/>
          <w:szCs w:val="20"/>
          <w:color w:val="auto"/>
        </w:rPr>
      </w:pPr>
    </w:p>
    <w:p>
      <w:pPr>
        <w:ind w:left="40" w:right="239"/>
        <w:spacing w:after="0" w:line="245" w:lineRule="auto"/>
        <w:rPr>
          <w:sz w:val="20"/>
          <w:szCs w:val="20"/>
          <w:color w:val="auto"/>
        </w:rPr>
      </w:pPr>
      <w:r>
        <w:rPr>
          <w:rFonts w:ascii="Arial" w:cs="Arial" w:eastAsia="Arial" w:hAnsi="Arial"/>
          <w:sz w:val="17"/>
          <w:szCs w:val="17"/>
          <w:b w:val="1"/>
          <w:bCs w:val="1"/>
          <w:i w:val="1"/>
          <w:iCs w:val="1"/>
          <w:color w:val="auto"/>
        </w:rPr>
        <w:t>Compliance with China’s current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spacing w:after="0" w:line="159" w:lineRule="exact"/>
        <w:rPr>
          <w:sz w:val="20"/>
          <w:szCs w:val="20"/>
          <w:color w:val="auto"/>
        </w:rPr>
      </w:pPr>
    </w:p>
    <w:p>
      <w:pPr>
        <w:ind w:left="40" w:right="219"/>
        <w:spacing w:after="0"/>
        <w:rPr>
          <w:sz w:val="20"/>
          <w:szCs w:val="20"/>
          <w:color w:val="auto"/>
        </w:rPr>
      </w:pPr>
      <w:r>
        <w:rPr>
          <w:rFonts w:ascii="Arial" w:cs="Arial" w:eastAsia="Arial" w:hAnsi="Arial"/>
          <w:sz w:val="17"/>
          <w:szCs w:val="17"/>
          <w:color w:val="auto"/>
        </w:rPr>
        <w:t>China has implemented or will implement rules and is considering a number of additional proposals relating to data protection. China’s current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71"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Additionally, China’s Cyber Security Law, promulgated by the Standing Committee of the National People’s Congress (“SCNPC”) in November 2016 and came into effect in June 2017,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71" w:lineRule="exact"/>
        <w:rPr>
          <w:sz w:val="20"/>
          <w:szCs w:val="20"/>
          <w:color w:val="auto"/>
        </w:rPr>
      </w:pPr>
    </w:p>
    <w:p>
      <w:pPr>
        <w:ind w:left="40" w:right="479"/>
        <w:spacing w:after="0" w:line="243" w:lineRule="auto"/>
        <w:rPr>
          <w:sz w:val="20"/>
          <w:szCs w:val="20"/>
          <w:color w:val="auto"/>
        </w:rPr>
      </w:pPr>
      <w:r>
        <w:rPr>
          <w:rFonts w:ascii="Arial" w:cs="Arial" w:eastAsia="Arial" w:hAnsi="Arial"/>
          <w:sz w:val="17"/>
          <w:szCs w:val="17"/>
          <w:color w:val="auto"/>
        </w:rPr>
        <w:t>On July 10, 2021, the Cyberspace Administration of China (“CAC”) published a draft revision to the existing Cybersecurity Review Measures for public comment (the “Revised Draft CAC Measures”). On January 4, 2022, together with 12 other Chinese regulatory authorities, the CAC released the final version of the Revised Draft CAC Measures (the “Revised CAC Measures”), which came into effect on February 15, 2022. Pursuant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(the “Draft Management Regulations”) for public comment. On September 24, 2024, the State Council released the final version of the Draft Management Regulations (the “Management Regulations”), which came into effect on January 1, 2025. Under the Management Regulations, online data processors refer to individuals and organizations who determine the data processing activities in terms of the purpose and methods at their discretion. The Management Regulations reiterate that online data processors shall be subject to national security review pursuant to relevant provisions if they carry out data processing activities which affect or may affect national security.</w:t>
      </w:r>
    </w:p>
    <w:p>
      <w:pPr>
        <w:spacing w:after="0" w:line="177"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As of the date of this Annual Report, we have not received any notice from any Chinese regulatory authority identifying us as a “critical information infrastructure operator,” “online platform operator”, “online platform service provider” or “online data processor,” or requiring us to go through the cybersecurity review procedures pursuant to the Revised CAC Measures and the Management Regulations. Based on our understanding of the Revised CAC Measures and the Management Regulations,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 persons. However, there remains uncertainty as to how the Revised CAC Measures, and the Management Regulations when it comes into effect in January 2025, will be interpreted or implemented; for example, neither the Revised CAC Measures nor the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Management Regulations or other laws and regulations related to privacy, data protection and information security.</w:t>
      </w:r>
    </w:p>
    <w:p>
      <w:pPr>
        <w:spacing w:after="0" w:line="174" w:lineRule="exact"/>
        <w:rPr>
          <w:sz w:val="20"/>
          <w:szCs w:val="20"/>
          <w:color w:val="auto"/>
        </w:rPr>
      </w:pPr>
    </w:p>
    <w:p>
      <w:pPr>
        <w:ind w:left="40" w:right="239"/>
        <w:spacing w:after="0" w:line="235" w:lineRule="auto"/>
        <w:rPr>
          <w:sz w:val="20"/>
          <w:szCs w:val="20"/>
          <w:color w:val="auto"/>
        </w:rPr>
      </w:pPr>
      <w:r>
        <w:rPr>
          <w:rFonts w:ascii="Arial" w:cs="Arial" w:eastAsia="Arial" w:hAnsi="Arial"/>
          <w:sz w:val="17"/>
          <w:szCs w:val="17"/>
          <w:color w:val="auto"/>
        </w:rPr>
        <w:t>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spacing w:after="0" w:line="173" w:lineRule="exact"/>
        <w:rPr>
          <w:sz w:val="20"/>
          <w:szCs w:val="20"/>
          <w:color w:val="auto"/>
        </w:rPr>
      </w:pPr>
    </w:p>
    <w:p>
      <w:pPr>
        <w:ind w:left="40" w:right="239"/>
        <w:spacing w:after="0" w:line="243" w:lineRule="auto"/>
        <w:rPr>
          <w:sz w:val="20"/>
          <w:szCs w:val="20"/>
          <w:color w:val="auto"/>
        </w:rPr>
      </w:pPr>
      <w:r>
        <w:rPr>
          <w:rFonts w:ascii="Arial" w:cs="Arial" w:eastAsia="Arial" w:hAnsi="Arial"/>
          <w:sz w:val="17"/>
          <w:szCs w:val="17"/>
          <w:color w:val="auto"/>
        </w:rPr>
        <w:t>In addition, certain industry-specific laws and regulations affect the collection and transfer of data in the PRC. The Regulations on the Administration of Human Genetic Resources of the PRC (the “HGR Regulation”) was promulgated by the State Council in May 2019 and came into effect in July 2019, and was further revised in May 2024. It stipulates that foreign organizations, individuals, and the entities established or actually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studies after completion of requisite approval or filing formalities with competent governmental authorities, and (ii) China’s human genetic resources information being provided after required filing and information backup procedures have been gone through. In October 2020, the SCNPC promulgated the Biosecurity Law of the PRC, which came into effect in April 2021 and was further revised in April 2024. The Biosecurity Law of the PRC reaffirms the regulatory requirements stipulated by the HGR Regulation while potentially increasing the administrative sanctions where China’s human genetic resources are collected, preserved, exported or used in international cooperation in violation of applicable laws. In May 2023, the Ministry of Science and Technology published the Implementing Rules for the Regulations on the Administration of Human Genetic Resources (the “HGR Implementing Rules”) which came into effect in July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spacing w:after="0" w:line="355"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Interpretation, application and enforcement of these laws, rules and regulations evolve from time to time and their scope may continually change, through new legislation, amendments to existing legislation or changes in enforcement. Compliance with China’s current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w:t>
      </w:r>
    </w:p>
    <w:p>
      <w:pPr>
        <w:spacing w:after="0" w:line="180" w:lineRule="exact"/>
        <w:rPr>
          <w:sz w:val="20"/>
          <w:szCs w:val="20"/>
          <w:color w:val="auto"/>
        </w:rPr>
      </w:pPr>
    </w:p>
    <w:p>
      <w:pPr>
        <w:ind w:left="40" w:right="599"/>
        <w:spacing w:after="0" w:line="272" w:lineRule="auto"/>
        <w:rPr>
          <w:sz w:val="20"/>
          <w:szCs w:val="20"/>
          <w:color w:val="auto"/>
        </w:rPr>
      </w:pPr>
      <w:r>
        <w:rPr>
          <w:rFonts w:ascii="Arial" w:cs="Arial" w:eastAsia="Arial" w:hAnsi="Arial"/>
          <w:sz w:val="17"/>
          <w:szCs w:val="17"/>
          <w:b w:val="1"/>
          <w:bCs w:val="1"/>
          <w:i w:val="1"/>
          <w:iCs w:val="1"/>
          <w:color w:val="auto"/>
        </w:rPr>
        <w:t>The approval of, filing or other procedures with the CSRC or other Chinese regulatory authorities may be required in connection with issuing securities to foreign investors under Chinese law, and, if</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519"/>
        <w:spacing w:after="0" w:line="272" w:lineRule="auto"/>
        <w:rPr>
          <w:sz w:val="20"/>
          <w:szCs w:val="20"/>
          <w:color w:val="auto"/>
        </w:rPr>
      </w:pPr>
      <w:r>
        <w:rPr>
          <w:rFonts w:ascii="Arial" w:cs="Arial" w:eastAsia="Arial" w:hAnsi="Arial"/>
          <w:sz w:val="17"/>
          <w:szCs w:val="17"/>
          <w:b w:val="1"/>
          <w:bCs w:val="1"/>
          <w:i w:val="1"/>
          <w:iCs w:val="1"/>
          <w:color w:val="auto"/>
        </w:rPr>
        <w:t>required, we cannot predict whether we will be able, or how long it will take us, to obtain such approval or complete such filing or other procedures.</w:t>
      </w:r>
    </w:p>
    <w:p>
      <w:pPr>
        <w:spacing w:after="0" w:line="136"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The Regulations on Mergers and Acquisitions of Domestic Enterprises by Foreign Investors purport to require offshore special purpose vehicles that are controlled by Chinese companies or individuals and that have been formed for the purpose of seeking a public listing on an overseas stock exchange through acquisitions of Chinese domestic companies or assets in exchange for the shares of the offshore special purpose vehicles shall obtain CSRC approval prior to publicly listing their securities on an overseas stock exchange.</w:t>
      </w:r>
    </w:p>
    <w:p>
      <w:pPr>
        <w:spacing w:after="0" w:line="171" w:lineRule="exact"/>
        <w:rPr>
          <w:sz w:val="20"/>
          <w:szCs w:val="20"/>
          <w:color w:val="auto"/>
        </w:rPr>
      </w:pPr>
    </w:p>
    <w:p>
      <w:pPr>
        <w:ind w:left="40" w:right="179"/>
        <w:spacing w:after="0"/>
        <w:rPr>
          <w:sz w:val="20"/>
          <w:szCs w:val="20"/>
          <w:color w:val="auto"/>
        </w:rPr>
      </w:pPr>
      <w:r>
        <w:rPr>
          <w:rFonts w:ascii="Arial" w:cs="Arial" w:eastAsia="Arial" w:hAnsi="Arial"/>
          <w:sz w:val="17"/>
          <w:szCs w:val="17"/>
          <w:color w:val="auto"/>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spacing w:after="0" w:line="171" w:lineRule="exact"/>
        <w:rPr>
          <w:sz w:val="20"/>
          <w:szCs w:val="20"/>
          <w:color w:val="auto"/>
        </w:rPr>
      </w:pPr>
    </w:p>
    <w:p>
      <w:pPr>
        <w:ind w:left="40" w:right="259"/>
        <w:spacing w:after="0" w:line="238" w:lineRule="auto"/>
        <w:rPr>
          <w:sz w:val="20"/>
          <w:szCs w:val="20"/>
          <w:color w:val="auto"/>
        </w:rPr>
      </w:pPr>
      <w:r>
        <w:rPr>
          <w:rFonts w:ascii="Arial" w:cs="Arial" w:eastAsia="Arial" w:hAnsi="Arial"/>
          <w:sz w:val="17"/>
          <w:szCs w:val="17"/>
          <w:color w:val="auto"/>
        </w:rPr>
        <w:t>Furthermore, on February 17, 2023, the CSRC promulgated a new set of regulations that consists of the Trial Administrative Measures of Overseas Securities Offering and Listing by Domestic Companies (the “Trial Measures”) and five supporting guidelines which came into effect on March 31, 2023 to regulate overseas securities offering and listing activities by domestic companies either in direct or indirect form. According to the Trial Measures, we may be required to submit filings to the CSRC in connection with future issuances of our equity securities to foreign investors. For more details, see the Part I. Item 1. “Business—Regulation—Other Significant Chinese Regulation Affecting Our Business Activities in China” of this Annual Report.</w:t>
      </w:r>
    </w:p>
    <w:p>
      <w:pPr>
        <w:spacing w:after="0" w:line="170"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As of the date of this Annual Report, we have not received any inquiry, notice, warning or sanction regarding obtaining approval, completing filings or other procedures in connection with our previous issuances of securities to foreign investors from the CSRC or any other Chinese regulatory authorities that have jurisdiction over our operations. Based on the above and our understanding of the newly issued Trial Measures and the supporting guidelines, after they came into effect on March 31, 2023, we would not at once be required to submit an application to the CSRC for our previous issuances of securities to foreign investors, but if we intend to make any subsequent securities offering in the same overseas market which are determined as indirect overseas offering and listing by a domestic company under the Trial Measures, we may be required to submit filing with the CSRC within three working days after such subsequent securities offering is completed. However,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it is determined in the future that the approval of, filing or other procedure is required with the CSRC or any other regulatory authority for our previous issuances of securities to foreign investors, or if we are required to complete relevant procedures for our subsequent securities offering in the same overseas market, it is uncertain whether we will be able and how long it will take for us to obtain the approval or complete the filing or other procedure or obtain a waiver for such procedures, despite our best efforts.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securities offerings into China or take other actions that could have an adverse effect on our business, financial condition, results of operations and prospects, as well as the trading price of the ADSs. Any uncertainties and/or negative publicity regarding the aforementioned approval(s), filing or other procedure(s), the interpretation and implementation of existing laws and regulations, or any further laws, regulations or interpretations that may be released and enacted in the future could have a material adverse effect on the trading price of the ADSs.</w:t>
      </w:r>
    </w:p>
    <w:p>
      <w:pPr>
        <w:spacing w:after="0" w:line="174" w:lineRule="exact"/>
        <w:rPr>
          <w:sz w:val="20"/>
          <w:szCs w:val="20"/>
          <w:color w:val="auto"/>
        </w:rPr>
      </w:pPr>
    </w:p>
    <w:p>
      <w:pPr>
        <w:ind w:left="40" w:right="379"/>
        <w:spacing w:after="0" w:line="272" w:lineRule="auto"/>
        <w:rPr>
          <w:sz w:val="20"/>
          <w:szCs w:val="20"/>
          <w:color w:val="auto"/>
        </w:rPr>
      </w:pPr>
      <w:r>
        <w:rPr>
          <w:rFonts w:ascii="Arial" w:cs="Arial" w:eastAsia="Arial" w:hAnsi="Arial"/>
          <w:sz w:val="17"/>
          <w:szCs w:val="17"/>
          <w:b w:val="1"/>
          <w:bCs w:val="1"/>
          <w:i w:val="1"/>
          <w:iCs w:val="1"/>
          <w:color w:val="auto"/>
        </w:rPr>
        <w:t>Pharmaceutical companies operating in China are required to comply with extensive regulations and hold a number of permits and licenses to carry on their business. Our ability to obtain and maintain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b w:val="1"/>
          <w:bCs w:val="1"/>
          <w:i w:val="1"/>
          <w:iCs w:val="1"/>
          <w:color w:val="auto"/>
        </w:rPr>
        <w:t>these regulatory approvals is uncertain, and future government regulation may place additional burdens on our current and planned operations in China.</w:t>
      </w:r>
    </w:p>
    <w:p>
      <w:pPr>
        <w:spacing w:after="0" w:line="136" w:lineRule="exact"/>
        <w:rPr>
          <w:sz w:val="20"/>
          <w:szCs w:val="20"/>
          <w:color w:val="auto"/>
        </w:rPr>
      </w:pPr>
    </w:p>
    <w:p>
      <w:pPr>
        <w:ind w:left="40" w:right="79"/>
        <w:spacing w:after="0" w:line="234" w:lineRule="auto"/>
        <w:rPr>
          <w:sz w:val="20"/>
          <w:szCs w:val="20"/>
          <w:color w:val="auto"/>
        </w:rPr>
      </w:pPr>
      <w:r>
        <w:rPr>
          <w:rFonts w:ascii="Arial" w:cs="Arial" w:eastAsia="Arial" w:hAnsi="Arial"/>
          <w:sz w:val="17"/>
          <w:szCs w:val="17"/>
          <w:color w:val="auto"/>
        </w:rPr>
        <w:t>The pharmaceutical industry in China is subject to extensive government regulation and supervision. The regulatory framework addresses all aspects of operating in the pharmaceutical industry, including product development activities, clinical studies,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spacing w:after="0" w:line="183"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b w:val="1"/>
          <w:bCs w:val="1"/>
          <w:i w:val="1"/>
          <w:iCs w:val="1"/>
          <w:color w:val="auto"/>
        </w:rPr>
        <w:t>As a company with operations and business relationships outside of the United States, our business is subject to economic, political, regulatory and other risks associated with international operations.</w:t>
      </w:r>
    </w:p>
    <w:p>
      <w:pPr>
        <w:spacing w:after="0" w:line="136" w:lineRule="exact"/>
        <w:rPr>
          <w:sz w:val="20"/>
          <w:szCs w:val="20"/>
          <w:color w:val="auto"/>
        </w:rPr>
      </w:pPr>
    </w:p>
    <w:p>
      <w:pPr>
        <w:ind w:left="40" w:right="119"/>
        <w:spacing w:after="0" w:line="243" w:lineRule="auto"/>
        <w:rPr>
          <w:sz w:val="20"/>
          <w:szCs w:val="20"/>
          <w:color w:val="auto"/>
        </w:rPr>
      </w:pPr>
      <w:r>
        <w:rPr>
          <w:rFonts w:ascii="Arial" w:cs="Arial" w:eastAsia="Arial" w:hAnsi="Arial"/>
          <w:sz w:val="17"/>
          <w:szCs w:val="17"/>
          <w:color w:val="auto"/>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p>
      <w:pPr>
        <w:spacing w:after="0" w:line="168" w:lineRule="exact"/>
        <w:rPr>
          <w:sz w:val="20"/>
          <w:szCs w:val="20"/>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differing and changing regulatory requirements for product approvals;</w:t>
      </w:r>
    </w:p>
    <w:p>
      <w:pPr>
        <w:spacing w:after="0" w:line="106" w:lineRule="exact"/>
        <w:rPr>
          <w:rFonts w:ascii="Times New Roman" w:cs="Times New Roman" w:eastAsia="Times New Roman" w:hAnsi="Times New Roman"/>
          <w:sz w:val="17"/>
          <w:szCs w:val="17"/>
          <w:color w:val="auto"/>
        </w:rPr>
      </w:pPr>
    </w:p>
    <w:p>
      <w:pPr>
        <w:ind w:left="680" w:right="139" w:hanging="307"/>
        <w:spacing w:after="0" w:line="264" w:lineRule="auto"/>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differing jurisdictions could present different issues for securing, maintaining or obtaining freedom to operate in such jurisdictions;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potentially reduced protection for intellectual property rights;</w:t>
      </w:r>
    </w:p>
    <w:p>
      <w:pPr>
        <w:spacing w:after="0" w:line="106" w:lineRule="exact"/>
        <w:rPr>
          <w:rFonts w:ascii="Times New Roman" w:cs="Times New Roman" w:eastAsia="Times New Roman" w:hAnsi="Times New Roman"/>
          <w:sz w:val="17"/>
          <w:szCs w:val="17"/>
          <w:color w:val="auto"/>
        </w:rPr>
      </w:pPr>
    </w:p>
    <w:p>
      <w:pPr>
        <w:ind w:left="680" w:right="239" w:hanging="307"/>
        <w:spacing w:after="0" w:line="264" w:lineRule="auto"/>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difficulties in compliance with different, complex and changing laws, regulations and court systems of multiple jurisdictions and compliance with a wide variety of foreign laws, treaties and regulations;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non-U.S. regulations and customs, tariffs and trade barriers;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non-U.S. currency exchange rates of the RMB;</w:t>
      </w:r>
    </w:p>
    <w:p>
      <w:pPr>
        <w:spacing w:after="0" w:line="106" w:lineRule="exact"/>
        <w:rPr>
          <w:rFonts w:ascii="Times New Roman" w:cs="Times New Roman" w:eastAsia="Times New Roman" w:hAnsi="Times New Roman"/>
          <w:sz w:val="17"/>
          <w:szCs w:val="17"/>
          <w:color w:val="auto"/>
        </w:rPr>
      </w:pPr>
    </w:p>
    <w:p>
      <w:pPr>
        <w:ind w:left="680" w:right="379" w:hanging="307"/>
        <w:spacing w:after="0" w:line="248" w:lineRule="auto"/>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increasing geopolitical tensions between the U.S. and China and changes in a specific country’s or region’s political or economic environment especially with respect to a particular country’s treatment of or stance towards other countries;</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governments;</w:t>
      </w:r>
    </w:p>
    <w:p>
      <w:pPr>
        <w:spacing w:after="0" w:line="118" w:lineRule="exact"/>
        <w:rPr>
          <w:rFonts w:ascii="Times New Roman" w:cs="Times New Roman" w:eastAsia="Times New Roman" w:hAnsi="Times New Roman"/>
          <w:sz w:val="16"/>
          <w:szCs w:val="16"/>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differing reimbursement regimes and price controls in certain non-U.S. markets;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negative consequences from changes in tax 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variable tax treatment in different jurisdictions of options granted under our equity incentive plans;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workforce uncertainty in countries where labor unrest is more common than in the United States; and</w:t>
      </w:r>
    </w:p>
    <w:p>
      <w:pPr>
        <w:spacing w:after="0" w:line="106" w:lineRule="exact"/>
        <w:rPr>
          <w:rFonts w:ascii="Times New Roman" w:cs="Times New Roman" w:eastAsia="Times New Roman" w:hAnsi="Times New Roman"/>
          <w:sz w:val="17"/>
          <w:szCs w:val="17"/>
          <w:color w:val="auto"/>
        </w:rPr>
      </w:pPr>
    </w:p>
    <w:p>
      <w:pPr>
        <w:ind w:left="680" w:right="399" w:hanging="307"/>
        <w:spacing w:after="0" w:line="264" w:lineRule="auto"/>
        <w:tabs>
          <w:tab w:leader="none" w:pos="68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business interruptions resulting from geo-political actions, including war and terrorism, health epidemics, or natural disasters including earthquakes, typhoons, floods and fires.</w:t>
      </w:r>
    </w:p>
    <w:p>
      <w:pPr>
        <w:spacing w:after="0" w:line="152"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7"/>
          <w:szCs w:val="17"/>
          <w:b w:val="1"/>
          <w:bCs w:val="1"/>
          <w:i w:val="1"/>
          <w:iCs w:val="1"/>
          <w:color w:val="auto"/>
        </w:rPr>
        <w:t>If we fail to comply with Chinese environmental, health and safety laws and regulations, we could become subject to fines or penalties or incur costs that could have a material adverse effect on the success of our business.</w:t>
      </w:r>
    </w:p>
    <w:p>
      <w:pPr>
        <w:spacing w:after="0" w:line="152"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 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w:t>
      </w:r>
    </w:p>
    <w:p>
      <w:pPr>
        <w:spacing w:after="0" w:line="175" w:lineRule="exact"/>
        <w:rPr>
          <w:sz w:val="20"/>
          <w:szCs w:val="20"/>
          <w:color w:val="auto"/>
        </w:rPr>
      </w:pPr>
    </w:p>
    <w:p>
      <w:pPr>
        <w:ind w:left="40" w:right="99"/>
        <w:spacing w:after="0" w:line="251" w:lineRule="auto"/>
        <w:rPr>
          <w:sz w:val="20"/>
          <w:szCs w:val="20"/>
          <w:color w:val="auto"/>
        </w:rPr>
      </w:pPr>
      <w:r>
        <w:rPr>
          <w:rFonts w:ascii="Arial" w:cs="Arial" w:eastAsia="Arial" w:hAnsi="Arial"/>
          <w:sz w:val="16"/>
          <w:szCs w:val="16"/>
          <w:color w:val="auto"/>
        </w:rPr>
        <w:t>Although we maintain workers’ compensation insurance to cover costs and expenses incurred due to on -the-job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 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could be materially adversely affected.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Development in the Chinese legal system could materially and adversely affect us.</w:t>
      </w:r>
    </w:p>
    <w:p>
      <w:pPr>
        <w:spacing w:after="0" w:line="194"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Chinese laws and regulations govern our operations in China and the PRC legal system is a civil law system based on written statutes. Unlike the common law system, prior court decisions under the civil law system may be cited for reference but have limited precedential value. As the laws and regulations are relatively new and the PRC legal system continues to evolve, there may be room for discretion in the implementation of these laws and regulations. And as these laws and regulations are evolving in response to changing economic and other conditions, factors related to the application and implementation of these laws and regulations may affect our business and results of operations.</w:t>
      </w:r>
    </w:p>
    <w:p>
      <w:pPr>
        <w:spacing w:after="0" w:line="172" w:lineRule="exact"/>
        <w:rPr>
          <w:sz w:val="20"/>
          <w:szCs w:val="20"/>
          <w:color w:val="auto"/>
        </w:rPr>
      </w:pPr>
    </w:p>
    <w:p>
      <w:pPr>
        <w:ind w:left="40" w:right="279"/>
        <w:spacing w:after="0" w:line="245" w:lineRule="auto"/>
        <w:rPr>
          <w:sz w:val="20"/>
          <w:szCs w:val="20"/>
          <w:color w:val="auto"/>
        </w:rPr>
      </w:pPr>
      <w:r>
        <w:rPr>
          <w:rFonts w:ascii="Arial" w:cs="Arial" w:eastAsia="Arial" w:hAnsi="Arial"/>
          <w:sz w:val="17"/>
          <w:szCs w:val="17"/>
          <w:b w:val="1"/>
          <w:bCs w:val="1"/>
          <w:i w:val="1"/>
          <w:iCs w:val="1"/>
          <w:color w:val="auto"/>
        </w:rPr>
        <w:t>We may be exposed to liabilities under the U.S. Foreign Corrupt Practices Act (the “FCPA”), U.S. domestic bribery laws, and similar anti-corruption and anti-bribery laws of China and other countries in which we operate, as well as U.S. and certain foreign export controls, trade sanctions and import laws and regulations. Compliance with these legal requirements could limit our ability to compete in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299"/>
        <w:spacing w:after="0" w:line="272" w:lineRule="auto"/>
        <w:rPr>
          <w:sz w:val="20"/>
          <w:szCs w:val="20"/>
          <w:color w:val="auto"/>
        </w:rPr>
      </w:pPr>
      <w:r>
        <w:rPr>
          <w:rFonts w:ascii="Arial" w:cs="Arial" w:eastAsia="Arial" w:hAnsi="Arial"/>
          <w:sz w:val="17"/>
          <w:szCs w:val="17"/>
          <w:b w:val="1"/>
          <w:bCs w:val="1"/>
          <w:i w:val="1"/>
          <w:iCs w:val="1"/>
          <w:color w:val="auto"/>
        </w:rPr>
        <w:t>foreign markets and any determination that we have violated these laws could have a material adverse effect on our business or our reputation.</w:t>
      </w:r>
    </w:p>
    <w:p>
      <w:pPr>
        <w:spacing w:after="0" w:line="136"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Our operations are subject to the FCPA, U.S. domestic bribery laws,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U.S. and non-U.S. government officials for the purpose of obtaining or retaining business or other advantage. We may engage third parties for clinical studies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7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77"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b w:val="1"/>
          <w:bCs w:val="1"/>
          <w:i w:val="1"/>
          <w:iCs w:val="1"/>
          <w:color w:val="auto"/>
        </w:rPr>
        <w:t>Regulatory Requirements on currency exchange may limit our ability to receive and use effectively financing in foreign currencies.</w:t>
      </w:r>
    </w:p>
    <w:p>
      <w:pPr>
        <w:spacing w:after="0" w:line="136"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Our Chinese subsidiaries’ ability to obtain currency exchange is subject to certain foreign exchange regulations and, in the case of transactions under the capital account, requires the approval of and/or registration with Chinese government authorities, including the State Administration of Foreign Exchange (“SAFE”). In particular, if we finance our Chinese subsidiaries by means of foreign debt from us or other foreign lenders, the amount is not allowed to, among other things, exceed the statutory limits and such loans must be registered with the local branch of SAFE. If we finance our Chinese subsidiaries by means of additional capital contributions, these capital contributions are subject to registration with the State Administration for Market Regulation or its local branch, reporting of foreign investment information with the Ministry of Commerce of the People’s Republic of China, or its local branch or registration with other governmental authorities in China.</w:t>
      </w:r>
    </w:p>
    <w:p>
      <w:pPr>
        <w:spacing w:after="0" w:line="176" w:lineRule="exact"/>
        <w:rPr>
          <w:sz w:val="20"/>
          <w:szCs w:val="20"/>
          <w:color w:val="auto"/>
        </w:rPr>
      </w:pPr>
    </w:p>
    <w:p>
      <w:pPr>
        <w:ind w:left="40" w:right="159"/>
        <w:spacing w:after="0" w:line="239" w:lineRule="auto"/>
        <w:rPr>
          <w:sz w:val="20"/>
          <w:szCs w:val="20"/>
          <w:color w:val="auto"/>
        </w:rPr>
      </w:pPr>
      <w:r>
        <w:rPr>
          <w:rFonts w:ascii="Arial" w:cs="Arial" w:eastAsia="Arial" w:hAnsi="Arial"/>
          <w:sz w:val="17"/>
          <w:szCs w:val="17"/>
          <w:color w:val="auto"/>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use the proceeds we received from the IPO and to capitalize or otherwise fund our Chinese operations, including our technology development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79"/>
        <w:spacing w:after="0" w:line="265" w:lineRule="auto"/>
        <w:rPr>
          <w:sz w:val="20"/>
          <w:szCs w:val="20"/>
          <w:color w:val="auto"/>
        </w:rPr>
      </w:pPr>
      <w:r>
        <w:rPr>
          <w:rFonts w:ascii="Arial" w:cs="Arial" w:eastAsia="Arial" w:hAnsi="Arial"/>
          <w:sz w:val="17"/>
          <w:szCs w:val="17"/>
          <w:color w:val="auto"/>
        </w:rPr>
        <w:t>early discovery activities through Basecamp Bio, may be negatively affected, which could materially and adversely affect our ability to fund and expand our business.</w:t>
      </w:r>
    </w:p>
    <w:p>
      <w:pPr>
        <w:spacing w:after="0" w:line="151" w:lineRule="exact"/>
        <w:rPr>
          <w:sz w:val="20"/>
          <w:szCs w:val="20"/>
          <w:color w:val="auto"/>
        </w:rPr>
      </w:pPr>
    </w:p>
    <w:p>
      <w:pPr>
        <w:jc w:val="both"/>
        <w:ind w:left="40" w:right="99"/>
        <w:spacing w:after="0" w:line="245" w:lineRule="auto"/>
        <w:rPr>
          <w:sz w:val="20"/>
          <w:szCs w:val="20"/>
          <w:color w:val="auto"/>
        </w:rPr>
      </w:pPr>
      <w:r>
        <w:rPr>
          <w:rFonts w:ascii="Arial" w:cs="Arial" w:eastAsia="Arial" w:hAnsi="Arial"/>
          <w:sz w:val="17"/>
          <w:szCs w:val="17"/>
          <w:b w:val="1"/>
          <w:bCs w:val="1"/>
          <w:i w:val="1"/>
          <w:iCs w:val="1"/>
          <w:color w:val="auto"/>
        </w:rPr>
        <w:t>Chinese regulations relating to the establishment of offshore special purpose companies by residents in China may subject our China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spacing w:after="0" w:line="159" w:lineRule="exact"/>
        <w:rPr>
          <w:sz w:val="20"/>
          <w:szCs w:val="20"/>
          <w:color w:val="auto"/>
        </w:rPr>
      </w:pPr>
    </w:p>
    <w:p>
      <w:pPr>
        <w:ind w:left="40" w:right="159"/>
        <w:spacing w:after="0" w:line="250" w:lineRule="auto"/>
        <w:rPr>
          <w:sz w:val="20"/>
          <w:szCs w:val="20"/>
          <w:color w:val="auto"/>
        </w:rPr>
      </w:pPr>
      <w:r>
        <w:rPr>
          <w:rFonts w:ascii="Arial" w:cs="Arial" w:eastAsia="Arial" w:hAnsi="Arial"/>
          <w:sz w:val="16"/>
          <w:szCs w:val="16"/>
          <w:color w:val="auto"/>
        </w:rPr>
        <w:t>In 2014, SAFE promulgated the SAFE Circular 37, which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spacing w:after="0" w:line="165"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 requests to make or obtain any applicable registrations or comply with other requirements under SAFE Circular 37 or other related rules. The failure or inability of our China resident shareholders to 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make distributions to you could be materially and adversely affected.</w:t>
      </w:r>
    </w:p>
    <w:p>
      <w:pPr>
        <w:spacing w:after="0" w:line="175" w:lineRule="exact"/>
        <w:rPr>
          <w:sz w:val="20"/>
          <w:szCs w:val="20"/>
          <w:color w:val="auto"/>
        </w:rPr>
      </w:pPr>
    </w:p>
    <w:p>
      <w:pPr>
        <w:ind w:left="40" w:right="439"/>
        <w:spacing w:after="0" w:line="272" w:lineRule="auto"/>
        <w:rPr>
          <w:sz w:val="20"/>
          <w:szCs w:val="20"/>
          <w:color w:val="auto"/>
        </w:rPr>
      </w:pPr>
      <w:r>
        <w:rPr>
          <w:rFonts w:ascii="Arial" w:cs="Arial" w:eastAsia="Arial" w:hAnsi="Arial"/>
          <w:sz w:val="17"/>
          <w:szCs w:val="17"/>
          <w:b w:val="1"/>
          <w:bCs w:val="1"/>
          <w:i w:val="1"/>
          <w:iCs w:val="1"/>
          <w:color w:val="auto"/>
        </w:rPr>
        <w:t>If we are classified as a China resident enterprise for China income tax purposes, such classification could result in unfavorable tax consequences to us and our non-Chinese shareholders or ADS holders.</w:t>
      </w:r>
    </w:p>
    <w:p>
      <w:pPr>
        <w:spacing w:after="0" w:line="136"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as amended in April 2019,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50" w:lineRule="auto"/>
        <w:rPr>
          <w:sz w:val="20"/>
          <w:szCs w:val="20"/>
          <w:color w:val="auto"/>
        </w:rPr>
      </w:pPr>
      <w:r>
        <w:rPr>
          <w:rFonts w:ascii="Arial" w:cs="Arial" w:eastAsia="Arial" w:hAnsi="Arial"/>
          <w:sz w:val="16"/>
          <w:szCs w:val="16"/>
          <w:color w:val="auto"/>
        </w:rPr>
        <w:t>enterprise income tax (“EIT”), rate on its global income. The Notice Regarding the Determination of Chinese-Controlled Offshore-Incorporated Enterprises as Chinese Tax Resident Enterprises on the Basis of De Facto Management Bodies (“SAT Circular 82”), issued by the State Taxation Administration of the People’s Republic of China (“SAT”) on April 22,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 (i) 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spacing w:after="0" w:line="359" w:lineRule="exact"/>
        <w:rPr>
          <w:sz w:val="20"/>
          <w:szCs w:val="20"/>
          <w:color w:val="auto"/>
        </w:rPr>
      </w:pPr>
    </w:p>
    <w:p>
      <w:pPr>
        <w:ind w:left="40" w:right="259"/>
        <w:spacing w:after="0" w:line="256" w:lineRule="auto"/>
        <w:rPr>
          <w:sz w:val="20"/>
          <w:szCs w:val="20"/>
          <w:color w:val="auto"/>
        </w:rPr>
      </w:pPr>
      <w:r>
        <w:rPr>
          <w:rFonts w:ascii="Arial" w:cs="Arial" w:eastAsia="Arial" w:hAnsi="Arial"/>
          <w:sz w:val="16"/>
          <w:szCs w:val="16"/>
          <w:color w:val="auto"/>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spacing w:after="0" w:line="160"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 liability may vary under applicable tax treaties. However, it is unclear whether our non-China shareholders would be able to claim the benefits of any tax treaties between their country of tax residence and China in the event that we are treated as a China resident enterprise.</w:t>
      </w:r>
    </w:p>
    <w:p>
      <w:pPr>
        <w:spacing w:after="0" w:line="179" w:lineRule="exact"/>
        <w:rPr>
          <w:sz w:val="20"/>
          <w:szCs w:val="20"/>
          <w:color w:val="auto"/>
        </w:rPr>
      </w:pPr>
    </w:p>
    <w:p>
      <w:pPr>
        <w:ind w:left="40" w:right="419"/>
        <w:spacing w:after="0" w:line="272" w:lineRule="auto"/>
        <w:rPr>
          <w:sz w:val="20"/>
          <w:szCs w:val="20"/>
          <w:color w:val="auto"/>
        </w:rPr>
      </w:pPr>
      <w:r>
        <w:rPr>
          <w:rFonts w:ascii="Arial" w:cs="Arial" w:eastAsia="Arial" w:hAnsi="Arial"/>
          <w:sz w:val="17"/>
          <w:szCs w:val="17"/>
          <w:b w:val="1"/>
          <w:bCs w:val="1"/>
          <w:i w:val="1"/>
          <w:iCs w:val="1"/>
          <w:color w:val="auto"/>
        </w:rPr>
        <w:t>We and our shareholders face uncertainties in China with respect to indirect transfers of equity interests in China resident enterprises.</w:t>
      </w:r>
    </w:p>
    <w:p>
      <w:pPr>
        <w:spacing w:after="0" w:line="136"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indirect transfer of equity interests in China resident enterprises by a non-China resident enterprise (“Indirect Transfer”), is potentially subject to income tax in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comprised directly or indirectly of investments in China, or 90% or more of its income is derived directly or 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spacing w:after="0" w:line="177" w:lineRule="exact"/>
        <w:rPr>
          <w:sz w:val="20"/>
          <w:szCs w:val="20"/>
          <w:color w:val="auto"/>
        </w:rPr>
      </w:pPr>
    </w:p>
    <w:p>
      <w:pPr>
        <w:ind w:left="40" w:right="79"/>
        <w:spacing w:after="0" w:line="251" w:lineRule="auto"/>
        <w:rPr>
          <w:sz w:val="20"/>
          <w:szCs w:val="20"/>
          <w:color w:val="auto"/>
        </w:rPr>
      </w:pPr>
      <w:r>
        <w:rPr>
          <w:rFonts w:ascii="Arial" w:cs="Arial" w:eastAsia="Arial" w:hAnsi="Arial"/>
          <w:sz w:val="16"/>
          <w:szCs w:val="16"/>
          <w:color w:val="auto"/>
        </w:rPr>
        <w:t>We face uncertainties regarding the reporting required for and impact on future private equity financing transactions, share exchanges or other transactions involving the transfer of shares in our company by investors that are non-Chinese resident enterprises, or the sale or purchase of shares in other non-Chinese resident companies or other taxable assets by us. For example, the Chinese tax authorities may consider that a future securities offering involves an indirect change of shareholding in our Chinese subsidiaries and therefore it may be regarded as an Indirect Transfer under SAT Circular 7. Even if we believe no SAT Circular 7 reporting is required on the basis that such an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such an offering or other transactions, which may have an adverse effect on our and their financial condition and day-to-day operations.</w:t>
      </w:r>
    </w:p>
    <w:p>
      <w:pPr>
        <w:spacing w:after="0" w:line="170" w:lineRule="exact"/>
        <w:rPr>
          <w:sz w:val="20"/>
          <w:szCs w:val="20"/>
          <w:color w:val="auto"/>
        </w:rPr>
      </w:pPr>
    </w:p>
    <w:p>
      <w:pPr>
        <w:ind w:left="40" w:right="59"/>
        <w:spacing w:after="0" w:line="252" w:lineRule="auto"/>
        <w:rPr>
          <w:sz w:val="20"/>
          <w:szCs w:val="20"/>
          <w:color w:val="auto"/>
        </w:rPr>
      </w:pPr>
      <w:r>
        <w:rPr>
          <w:rFonts w:ascii="Arial" w:cs="Arial" w:eastAsia="Arial" w:hAnsi="Arial"/>
          <w:sz w:val="17"/>
          <w:szCs w:val="17"/>
          <w:b w:val="1"/>
          <w:bCs w:val="1"/>
          <w:i w:val="1"/>
          <w:iCs w:val="1"/>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152"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In February 2012, the SAFE promulgated the Notices on Issues Concerning the Foreign Exchange Administration for Domestic Individuals Participating in Stock Incentive Plans of Overseas Publicly Listed Companies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directors and employees under Chinese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98" w:lineRule="exact"/>
        <w:rPr>
          <w:sz w:val="20"/>
          <w:szCs w:val="20"/>
          <w:color w:val="auto"/>
        </w:rPr>
      </w:pPr>
    </w:p>
    <w:p>
      <w:pPr>
        <w:ind w:left="40" w:right="159"/>
        <w:spacing w:after="0" w:line="245"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59"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spacing w:after="0" w:line="170"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global pandemics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spacing w:after="0" w:line="171"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70" w:lineRule="exact"/>
        <w:rPr>
          <w:sz w:val="20"/>
          <w:szCs w:val="20"/>
          <w:color w:val="auto"/>
        </w:rPr>
      </w:pPr>
    </w:p>
    <w:p>
      <w:pPr>
        <w:jc w:val="both"/>
        <w:ind w:left="40" w:right="319"/>
        <w:spacing w:after="0"/>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for which many legal principles continue to change. In recent years, patent rights have been the subject of much litigation. As a result, the issuance, scope, validity, enforceability and commercial value of our patent rights are highly uncertain. Changes in either the patent laws or interpretation of the patent laws in the United States and other countries may diminish the value of our patents or narrow the scope of our patent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39"/>
        <w:spacing w:after="0" w:line="265" w:lineRule="auto"/>
        <w:rPr>
          <w:sz w:val="20"/>
          <w:szCs w:val="20"/>
          <w:color w:val="auto"/>
        </w:rPr>
      </w:pPr>
      <w:r>
        <w:rPr>
          <w:rFonts w:ascii="Arial" w:cs="Arial" w:eastAsia="Arial" w:hAnsi="Arial"/>
          <w:sz w:val="17"/>
          <w:szCs w:val="17"/>
          <w:color w:val="auto"/>
        </w:rPr>
        <w:t>protection. In addition, the laws of foreign countries may not protect our rights to the same extent as the laws of the United States, or vice versa.</w:t>
      </w:r>
    </w:p>
    <w:p>
      <w:pPr>
        <w:spacing w:after="0" w:line="151" w:lineRule="exact"/>
        <w:rPr>
          <w:sz w:val="20"/>
          <w:szCs w:val="20"/>
          <w:color w:val="auto"/>
        </w:rPr>
      </w:pPr>
    </w:p>
    <w:p>
      <w:pPr>
        <w:ind w:left="40" w:right="399"/>
        <w:spacing w:after="0" w:line="252" w:lineRule="auto"/>
        <w:rPr>
          <w:sz w:val="20"/>
          <w:szCs w:val="20"/>
          <w:color w:val="auto"/>
        </w:rPr>
      </w:pPr>
      <w:r>
        <w:rPr>
          <w:rFonts w:ascii="Arial" w:cs="Arial" w:eastAsia="Arial" w:hAnsi="Arial"/>
          <w:sz w:val="17"/>
          <w:szCs w:val="17"/>
          <w:b w:val="1"/>
          <w:bCs w:val="1"/>
          <w:i w:val="1"/>
          <w:iCs w:val="1"/>
          <w:color w:val="auto"/>
        </w:rPr>
        <w:t>We cannot ensure that patent rights relating to inventions described and claimed in our pending patent applications will issue or that patents based on our patent applications will not be challenged and rendered invalid and/or unenforceable.</w:t>
      </w:r>
    </w:p>
    <w:p>
      <w:pPr>
        <w:spacing w:after="0" w:line="152"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p>
      <w:pPr>
        <w:spacing w:after="0" w:line="177" w:lineRule="exact"/>
        <w:rPr>
          <w:sz w:val="20"/>
          <w:szCs w:val="20"/>
          <w:color w:val="auto"/>
        </w:rPr>
      </w:pPr>
    </w:p>
    <w:p>
      <w:pPr>
        <w:ind w:left="680" w:hanging="307"/>
        <w:spacing w:after="0"/>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if and when patents may issue based on our patent applications;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protection of any patent issuing based on our patent applications;</w:t>
      </w:r>
    </w:p>
    <w:p>
      <w:pPr>
        <w:spacing w:after="0" w:line="106" w:lineRule="exact"/>
        <w:rPr>
          <w:rFonts w:ascii="Times New Roman" w:cs="Times New Roman" w:eastAsia="Times New Roman" w:hAnsi="Times New Roman"/>
          <w:sz w:val="17"/>
          <w:szCs w:val="17"/>
          <w:color w:val="auto"/>
        </w:rPr>
      </w:pPr>
    </w:p>
    <w:p>
      <w:pPr>
        <w:ind w:left="680" w:right="619" w:hanging="307"/>
        <w:spacing w:after="0" w:line="264" w:lineRule="auto"/>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the claims of any patent issuing based on our patent applications will provide protection against competitors;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or not third parties will find ways to invalidate or circumvent our patent rights;</w:t>
      </w:r>
    </w:p>
    <w:p>
      <w:pPr>
        <w:spacing w:after="0" w:line="106" w:lineRule="exact"/>
        <w:rPr>
          <w:rFonts w:ascii="Times New Roman" w:cs="Times New Roman" w:eastAsia="Times New Roman" w:hAnsi="Times New Roman"/>
          <w:sz w:val="17"/>
          <w:szCs w:val="17"/>
          <w:color w:val="auto"/>
        </w:rPr>
      </w:pPr>
    </w:p>
    <w:p>
      <w:pPr>
        <w:ind w:left="680" w:right="299" w:hanging="307"/>
        <w:spacing w:after="0" w:line="264" w:lineRule="auto"/>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or not others will obtain patents claiming aspects similar to those covered by our patents and patent applications;</w:t>
      </w:r>
    </w:p>
    <w:p>
      <w:pPr>
        <w:spacing w:after="0" w:line="48" w:lineRule="exact"/>
        <w:rPr>
          <w:rFonts w:ascii="Times New Roman" w:cs="Times New Roman" w:eastAsia="Times New Roman" w:hAnsi="Times New Roman"/>
          <w:sz w:val="17"/>
          <w:szCs w:val="17"/>
          <w:color w:val="auto"/>
        </w:rPr>
      </w:pPr>
    </w:p>
    <w:p>
      <w:pPr>
        <w:ind w:left="680" w:right="479" w:hanging="307"/>
        <w:spacing w:after="0" w:line="264" w:lineRule="auto"/>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we will need to initiate litigation or administrative proceedings to enforce and/or defend our patent rights which will be costly whether we win or lose;</w:t>
      </w:r>
    </w:p>
    <w:p>
      <w:pPr>
        <w:spacing w:after="0" w:line="48" w:lineRule="exact"/>
        <w:rPr>
          <w:rFonts w:ascii="Times New Roman" w:cs="Times New Roman" w:eastAsia="Times New Roman" w:hAnsi="Times New Roman"/>
          <w:sz w:val="17"/>
          <w:szCs w:val="17"/>
          <w:color w:val="auto"/>
        </w:rPr>
      </w:pPr>
    </w:p>
    <w:p>
      <w:pPr>
        <w:ind w:left="680" w:right="119" w:hanging="307"/>
        <w:spacing w:after="0" w:line="264" w:lineRule="auto"/>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the patent applications that we own or in-license will result in issued patents with claims that cover our product candidates or uses thereof in the United States or in other foreign countries; and/or</w:t>
      </w:r>
    </w:p>
    <w:p>
      <w:pPr>
        <w:spacing w:after="0" w:line="48" w:lineRule="exact"/>
        <w:rPr>
          <w:rFonts w:ascii="Times New Roman" w:cs="Times New Roman" w:eastAsia="Times New Roman" w:hAnsi="Times New Roman"/>
          <w:sz w:val="17"/>
          <w:szCs w:val="17"/>
          <w:color w:val="auto"/>
        </w:rPr>
      </w:pPr>
    </w:p>
    <w:p>
      <w:pPr>
        <w:ind w:left="680" w:right="239" w:hanging="307"/>
        <w:spacing w:after="0" w:line="264" w:lineRule="auto"/>
        <w:tabs>
          <w:tab w:leader="none" w:pos="68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whether we may experience patent office interruption or delays to our ability to timely secure patent coverage to our product candidates.</w:t>
      </w:r>
    </w:p>
    <w:p>
      <w:pPr>
        <w:spacing w:after="0" w:line="150" w:lineRule="exact"/>
        <w:rPr>
          <w:sz w:val="20"/>
          <w:szCs w:val="20"/>
          <w:color w:val="auto"/>
        </w:rPr>
      </w:pPr>
    </w:p>
    <w:p>
      <w:pPr>
        <w:ind w:left="40" w:right="119"/>
        <w:spacing w:after="0" w:line="235" w:lineRule="auto"/>
        <w:rPr>
          <w:sz w:val="20"/>
          <w:szCs w:val="20"/>
          <w:color w:val="auto"/>
        </w:rPr>
      </w:pPr>
      <w:r>
        <w:rPr>
          <w:rFonts w:ascii="Arial" w:cs="Arial" w:eastAsia="Arial" w:hAnsi="Arial"/>
          <w:sz w:val="17"/>
          <w:szCs w:val="17"/>
          <w:color w:val="auto"/>
        </w:rPr>
        <w:t>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99"/>
        <w:spacing w:after="0" w:line="234" w:lineRule="auto"/>
        <w:rPr>
          <w:sz w:val="20"/>
          <w:szCs w:val="20"/>
          <w:color w:val="auto"/>
        </w:rPr>
      </w:pPr>
      <w:r>
        <w:rPr>
          <w:rFonts w:ascii="Arial" w:cs="Arial" w:eastAsia="Arial" w:hAnsi="Arial"/>
          <w:sz w:val="17"/>
          <w:szCs w:val="17"/>
          <w:color w:val="auto"/>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(“PGR”) proceedings, oppositions, derivations, reexaminations,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 candidates.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spacing w:after="0" w:line="184" w:lineRule="exact"/>
        <w:rPr>
          <w:sz w:val="20"/>
          <w:szCs w:val="20"/>
          <w:color w:val="auto"/>
        </w:rPr>
      </w:pPr>
    </w:p>
    <w:p>
      <w:pPr>
        <w:ind w:left="40" w:right="459"/>
        <w:spacing w:after="0" w:line="252" w:lineRule="auto"/>
        <w:rPr>
          <w:sz w:val="20"/>
          <w:szCs w:val="20"/>
          <w:color w:val="auto"/>
        </w:rPr>
      </w:pPr>
      <w:r>
        <w:rPr>
          <w:rFonts w:ascii="Arial" w:cs="Arial" w:eastAsia="Arial" w:hAnsi="Arial"/>
          <w:sz w:val="17"/>
          <w:szCs w:val="17"/>
          <w:b w:val="1"/>
          <w:bCs w:val="1"/>
          <w:i w:val="1"/>
          <w:iCs w:val="1"/>
          <w:color w:val="auto"/>
        </w:rPr>
        <w:t>We rely on trade secret and proprietary know-how which can be difficult to trace and enforce and, if we are unable to protect the confidentiality of our trade secrets, our business and competitive position would be harmed.</w:t>
      </w:r>
    </w:p>
    <w:p>
      <w:pPr>
        <w:spacing w:after="0" w:line="152"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third-party consultants and vendors or CROs that we engage to perform research, clinical studies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182" w:lineRule="exact"/>
        <w:rPr>
          <w:sz w:val="20"/>
          <w:szCs w:val="20"/>
          <w:color w:val="auto"/>
        </w:rPr>
      </w:pPr>
    </w:p>
    <w:p>
      <w:pPr>
        <w:ind w:left="40" w:right="139"/>
        <w:spacing w:after="0" w:line="235" w:lineRule="auto"/>
        <w:rPr>
          <w:sz w:val="20"/>
          <w:szCs w:val="20"/>
          <w:color w:val="auto"/>
        </w:rPr>
      </w:pPr>
      <w:r>
        <w:rPr>
          <w:rFonts w:ascii="Arial" w:cs="Arial" w:eastAsia="Arial" w:hAnsi="Arial"/>
          <w:sz w:val="17"/>
          <w:szCs w:val="17"/>
          <w:color w:val="auto"/>
        </w:rPr>
        <w:t>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179" w:lineRule="exact"/>
        <w:rPr>
          <w:sz w:val="20"/>
          <w:szCs w:val="20"/>
          <w:color w:val="auto"/>
        </w:rPr>
      </w:pPr>
    </w:p>
    <w:p>
      <w:pPr>
        <w:ind w:left="40" w:right="259"/>
        <w:spacing w:after="0" w:line="245" w:lineRule="auto"/>
        <w:rPr>
          <w:sz w:val="20"/>
          <w:szCs w:val="20"/>
          <w:color w:val="auto"/>
        </w:rPr>
      </w:pPr>
      <w:r>
        <w:rPr>
          <w:rFonts w:ascii="Arial" w:cs="Arial" w:eastAsia="Arial" w:hAnsi="Arial"/>
          <w:sz w:val="17"/>
          <w:szCs w:val="17"/>
          <w:b w:val="1"/>
          <w:bCs w:val="1"/>
          <w:i w:val="1"/>
          <w:iCs w:val="1"/>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159"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spacing w:after="0" w:line="171"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of us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spacing w:after="0" w:line="173"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9"/>
        <w:spacing w:after="0" w:line="265" w:lineRule="auto"/>
        <w:rPr>
          <w:sz w:val="20"/>
          <w:szCs w:val="20"/>
          <w:color w:val="auto"/>
        </w:rPr>
      </w:pPr>
      <w:r>
        <w:rPr>
          <w:rFonts w:ascii="Arial" w:cs="Arial" w:eastAsia="Arial" w:hAnsi="Arial"/>
          <w:sz w:val="17"/>
          <w:szCs w:val="17"/>
          <w:color w:val="auto"/>
        </w:rPr>
        <w:t>reasonable terms, or at all, which may impact our ability to continue to develop and commercialize our product candidates incorporating the relevant intellectual property.</w:t>
      </w:r>
    </w:p>
    <w:p>
      <w:pPr>
        <w:spacing w:after="0" w:line="149"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Moreover, disputes may arise with respect to our licensing or other upstream agreements, including:</w:t>
      </w:r>
    </w:p>
    <w:p>
      <w:pPr>
        <w:spacing w:after="0" w:line="196" w:lineRule="exact"/>
        <w:rPr>
          <w:sz w:val="20"/>
          <w:szCs w:val="20"/>
          <w:color w:val="auto"/>
        </w:rPr>
      </w:pPr>
    </w:p>
    <w:p>
      <w:pPr>
        <w:ind w:left="680" w:hanging="307"/>
        <w:spacing w:after="0"/>
        <w:tabs>
          <w:tab w:leader="none" w:pos="68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agreements and other interpretation-related issues;</w:t>
      </w:r>
    </w:p>
    <w:p>
      <w:pPr>
        <w:spacing w:after="0" w:line="106" w:lineRule="exact"/>
        <w:rPr>
          <w:rFonts w:ascii="Times New Roman" w:cs="Times New Roman" w:eastAsia="Times New Roman" w:hAnsi="Times New Roman"/>
          <w:sz w:val="17"/>
          <w:szCs w:val="17"/>
          <w:color w:val="auto"/>
        </w:rPr>
      </w:pPr>
    </w:p>
    <w:p>
      <w:pPr>
        <w:ind w:left="680" w:right="639" w:hanging="307"/>
        <w:spacing w:after="0" w:line="264" w:lineRule="auto"/>
        <w:tabs>
          <w:tab w:leader="none" w:pos="68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whether and the extent to which our systems and consumables, technologies and processes infringe on intellectual property of the licensor that is not subject to the licensing agreement;</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agreements and what activities satisfy those diligence obligations;</w:t>
      </w:r>
    </w:p>
    <w:p>
      <w:pPr>
        <w:spacing w:after="0" w:line="106" w:lineRule="exact"/>
        <w:rPr>
          <w:rFonts w:ascii="Times New Roman" w:cs="Times New Roman" w:eastAsia="Times New Roman" w:hAnsi="Times New Roman"/>
          <w:sz w:val="17"/>
          <w:szCs w:val="17"/>
          <w:color w:val="auto"/>
        </w:rPr>
      </w:pPr>
    </w:p>
    <w:p>
      <w:pPr>
        <w:ind w:left="680" w:right="839" w:hanging="307"/>
        <w:spacing w:after="0" w:line="264" w:lineRule="auto"/>
        <w:tabs>
          <w:tab w:leader="none" w:pos="68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208"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color w:val="auto"/>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intellectual property licensed from third parties may be subject to retained rights.</w:t>
      </w:r>
    </w:p>
    <w:p>
      <w:pPr>
        <w:spacing w:after="0" w:line="194"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71"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75" w:lineRule="exact"/>
        <w:rPr>
          <w:sz w:val="20"/>
          <w:szCs w:val="20"/>
          <w:color w:val="auto"/>
        </w:rPr>
      </w:pPr>
    </w:p>
    <w:p>
      <w:pPr>
        <w:ind w:left="40" w:right="319"/>
        <w:spacing w:after="0" w:line="252"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52"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abandoned or otherwise materially impaired.</w:t>
      </w:r>
    </w:p>
    <w:p>
      <w:pPr>
        <w:spacing w:after="0" w:line="160"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The USPTO and various non-U.S. government patent agencies require compliance with several procedural, documentary, and other similar provisions during the patent application process. For example, many 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359"/>
        <w:spacing w:after="0" w:line="265" w:lineRule="auto"/>
        <w:rPr>
          <w:sz w:val="20"/>
          <w:szCs w:val="20"/>
          <w:color w:val="auto"/>
        </w:rPr>
      </w:pPr>
      <w:r>
        <w:rPr>
          <w:rFonts w:ascii="Arial" w:cs="Arial" w:eastAsia="Arial" w:hAnsi="Arial"/>
          <w:sz w:val="17"/>
          <w:szCs w:val="17"/>
          <w:color w:val="auto"/>
        </w:rPr>
        <w:t>prescribed time limits, non-payment of fees and failure to properly legalize and submit formal documents. In such an event, potential competitors might be able to enter the market and this circumstance could harm our business.</w:t>
      </w:r>
    </w:p>
    <w:p>
      <w:pPr>
        <w:spacing w:after="0" w:line="151"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36" w:lineRule="exact"/>
        <w:rPr>
          <w:sz w:val="20"/>
          <w:szCs w:val="20"/>
          <w:color w:val="auto"/>
        </w:rPr>
      </w:pPr>
    </w:p>
    <w:p>
      <w:pPr>
        <w:ind w:left="40" w:right="159"/>
        <w:spacing w:after="0" w:line="237" w:lineRule="auto"/>
        <w:rPr>
          <w:sz w:val="20"/>
          <w:szCs w:val="20"/>
          <w:color w:val="auto"/>
        </w:rPr>
      </w:pPr>
      <w:r>
        <w:rPr>
          <w:rFonts w:ascii="Arial" w:cs="Arial" w:eastAsia="Arial" w:hAnsi="Arial"/>
          <w:sz w:val="17"/>
          <w:szCs w:val="17"/>
          <w:color w:val="auto"/>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spacing w:after="0" w:line="172"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Given the amount of time required for the development, testing and regulatory review of our new product candidates such as aleniglipron, ACCG-2671, ANPA-0073, LTSE-2578 and any of our future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studies by referencing our clinical and preclinical data and launch their product candidates earlier than might otherwise be the case.</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business.</w:t>
      </w:r>
    </w:p>
    <w:p>
      <w:pPr>
        <w:spacing w:after="0" w:line="194" w:lineRule="exact"/>
        <w:rPr>
          <w:sz w:val="20"/>
          <w:szCs w:val="20"/>
          <w:color w:val="auto"/>
        </w:rPr>
      </w:pPr>
    </w:p>
    <w:p>
      <w:pPr>
        <w:ind w:left="40" w:right="439"/>
        <w:spacing w:after="0" w:line="29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127" w:lineRule="exact"/>
        <w:rPr>
          <w:sz w:val="20"/>
          <w:szCs w:val="20"/>
          <w:color w:val="auto"/>
        </w:rPr>
      </w:pPr>
    </w:p>
    <w:p>
      <w:pPr>
        <w:ind w:left="680" w:right="199" w:hanging="307"/>
        <w:spacing w:after="0" w:line="264" w:lineRule="auto"/>
        <w:tabs>
          <w:tab w:leader="none" w:pos="68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compounds or formulations that are similar to our product candidates but that are not covered by the claims of any patents that we own or control;</w:t>
      </w:r>
    </w:p>
    <w:p>
      <w:pPr>
        <w:spacing w:after="0" w:line="48" w:lineRule="exact"/>
        <w:rPr>
          <w:rFonts w:ascii="Times New Roman" w:cs="Times New Roman" w:eastAsia="Times New Roman" w:hAnsi="Times New Roman"/>
          <w:sz w:val="17"/>
          <w:szCs w:val="17"/>
          <w:color w:val="auto"/>
        </w:rPr>
      </w:pPr>
    </w:p>
    <w:p>
      <w:pPr>
        <w:ind w:left="680" w:right="79" w:hanging="307"/>
        <w:spacing w:after="0" w:line="264" w:lineRule="auto"/>
        <w:tabs>
          <w:tab w:leader="none" w:pos="68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we or any strategic partners might not have been the first to make the inventions covered by the issued patents or pending patent applications that we own or control;</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we might not have been the first to file patent applications covering certain of the inventions we own or control;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539" w:hanging="307"/>
        <w:spacing w:after="0" w:line="264"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48" w:lineRule="exact"/>
        <w:rPr>
          <w:rFonts w:ascii="Times New Roman" w:cs="Times New Roman" w:eastAsia="Times New Roman" w:hAnsi="Times New Roman"/>
          <w:sz w:val="17"/>
          <w:szCs w:val="17"/>
          <w:color w:val="auto"/>
        </w:rPr>
      </w:pPr>
    </w:p>
    <w:p>
      <w:pPr>
        <w:ind w:left="680" w:right="99" w:hanging="307"/>
        <w:spacing w:after="0" w:line="243"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p>
      <w:pPr>
        <w:spacing w:after="0" w:line="65"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pending patent applications that we own or control may not lead to issued patents;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issued patents that we own or control may be held invalid or unenforceable as a result of legal challenges;</w:t>
      </w:r>
    </w:p>
    <w:p>
      <w:pPr>
        <w:spacing w:after="0" w:line="106" w:lineRule="exact"/>
        <w:rPr>
          <w:rFonts w:ascii="Times New Roman" w:cs="Times New Roman" w:eastAsia="Times New Roman" w:hAnsi="Times New Roman"/>
          <w:sz w:val="17"/>
          <w:szCs w:val="17"/>
          <w:color w:val="auto"/>
        </w:rPr>
      </w:pPr>
    </w:p>
    <w:p>
      <w:pPr>
        <w:ind w:left="680" w:right="119" w:hanging="307"/>
        <w:spacing w:after="0" w:line="243"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p>
      <w:pPr>
        <w:spacing w:after="0" w:line="65"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that are patentable;</w:t>
      </w:r>
    </w:p>
    <w:p>
      <w:pPr>
        <w:spacing w:after="0" w:line="106" w:lineRule="exact"/>
        <w:rPr>
          <w:rFonts w:ascii="Times New Roman" w:cs="Times New Roman" w:eastAsia="Times New Roman" w:hAnsi="Times New Roman"/>
          <w:sz w:val="17"/>
          <w:szCs w:val="17"/>
          <w:color w:val="auto"/>
        </w:rPr>
      </w:pPr>
    </w:p>
    <w:p>
      <w:pPr>
        <w:ind w:left="680" w:right="219" w:hanging="307"/>
        <w:spacing w:after="0" w:line="248"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p>
      <w:pPr>
        <w:spacing w:after="0" w:line="62" w:lineRule="exact"/>
        <w:rPr>
          <w:rFonts w:ascii="Times New Roman" w:cs="Times New Roman" w:eastAsia="Times New Roman" w:hAnsi="Times New Roman"/>
          <w:sz w:val="17"/>
          <w:szCs w:val="17"/>
          <w:color w:val="auto"/>
        </w:rPr>
      </w:pPr>
    </w:p>
    <w:p>
      <w:pPr>
        <w:ind w:left="680" w:right="339" w:hanging="307"/>
        <w:spacing w:after="0" w:line="248"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2" w:lineRule="exact"/>
        <w:rPr>
          <w:rFonts w:ascii="Times New Roman" w:cs="Times New Roman" w:eastAsia="Times New Roman" w:hAnsi="Times New Roman"/>
          <w:sz w:val="17"/>
          <w:szCs w:val="17"/>
          <w:color w:val="auto"/>
        </w:rPr>
      </w:pPr>
    </w:p>
    <w:p>
      <w:pPr>
        <w:ind w:left="680" w:right="339" w:hanging="307"/>
        <w:spacing w:after="0" w:line="248"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countries other than the United States may have patent laws that are less favorable to patentees than those upheld by U.S. courts, allowing foreign competitors a better opportunity to create, develop and market competing product candidates;</w:t>
      </w:r>
    </w:p>
    <w:p>
      <w:pPr>
        <w:spacing w:after="0" w:line="62" w:lineRule="exact"/>
        <w:rPr>
          <w:rFonts w:ascii="Times New Roman" w:cs="Times New Roman" w:eastAsia="Times New Roman" w:hAnsi="Times New Roman"/>
          <w:sz w:val="17"/>
          <w:szCs w:val="17"/>
          <w:color w:val="auto"/>
        </w:rPr>
      </w:pPr>
    </w:p>
    <w:p>
      <w:pPr>
        <w:ind w:left="680" w:right="899" w:hanging="307"/>
        <w:spacing w:after="0" w:line="264"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any patent issuing based on our patent applications may not provide protection against competitors or any competitive advantages, or may be challenged by third parties;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if enforced, a court may not hold that our patents are valid, enforceable and infringed;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that are patentable; and</w:t>
      </w:r>
    </w:p>
    <w:p>
      <w:pPr>
        <w:spacing w:after="0" w:line="106" w:lineRule="exact"/>
        <w:rPr>
          <w:rFonts w:ascii="Times New Roman" w:cs="Times New Roman" w:eastAsia="Times New Roman" w:hAnsi="Times New Roman"/>
          <w:sz w:val="17"/>
          <w:szCs w:val="17"/>
          <w:color w:val="auto"/>
        </w:rPr>
      </w:pPr>
    </w:p>
    <w:p>
      <w:pPr>
        <w:ind w:left="680" w:right="299" w:hanging="307"/>
        <w:spacing w:after="0" w:line="264" w:lineRule="auto"/>
        <w:tabs>
          <w:tab w:leader="none" w:pos="68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152" w:lineRule="exact"/>
        <w:rPr>
          <w:sz w:val="20"/>
          <w:szCs w:val="20"/>
          <w:color w:val="auto"/>
        </w:rPr>
      </w:pPr>
    </w:p>
    <w:p>
      <w:pPr>
        <w:ind w:left="40" w:right="159"/>
        <w:spacing w:after="0" w:line="252"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152"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59"/>
        <w:spacing w:after="0" w:line="265" w:lineRule="auto"/>
        <w:rPr>
          <w:sz w:val="20"/>
          <w:szCs w:val="20"/>
          <w:color w:val="auto"/>
        </w:rPr>
      </w:pPr>
      <w:r>
        <w:rPr>
          <w:rFonts w:ascii="Arial" w:cs="Arial" w:eastAsia="Arial" w:hAnsi="Arial"/>
          <w:sz w:val="17"/>
          <w:szCs w:val="17"/>
          <w:color w:val="auto"/>
        </w:rPr>
        <w:t>fields, there may be a risk that third parties may allege they have patent rights encompassing our product candidates, technologies or methods.</w:t>
      </w:r>
    </w:p>
    <w:p>
      <w:pPr>
        <w:spacing w:after="0" w:line="149"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54"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spacing w:after="0" w:line="171" w:lineRule="exact"/>
        <w:rPr>
          <w:sz w:val="20"/>
          <w:szCs w:val="20"/>
          <w:color w:val="auto"/>
        </w:rPr>
      </w:pPr>
    </w:p>
    <w:p>
      <w:pPr>
        <w:ind w:left="40" w:right="259"/>
        <w:spacing w:after="0" w:line="239" w:lineRule="auto"/>
        <w:rPr>
          <w:sz w:val="20"/>
          <w:szCs w:val="20"/>
          <w:color w:val="auto"/>
        </w:rPr>
      </w:pPr>
      <w:r>
        <w:rPr>
          <w:rFonts w:ascii="Arial" w:cs="Arial" w:eastAsia="Arial" w:hAnsi="Arial"/>
          <w:sz w:val="17"/>
          <w:szCs w:val="17"/>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70"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1" w:lineRule="exact"/>
        <w:rPr>
          <w:sz w:val="20"/>
          <w:szCs w:val="20"/>
          <w:color w:val="auto"/>
        </w:rPr>
      </w:pPr>
    </w:p>
    <w:p>
      <w:pPr>
        <w:ind w:left="40" w:right="699"/>
        <w:spacing w:after="0" w:line="265" w:lineRule="auto"/>
        <w:rPr>
          <w:sz w:val="20"/>
          <w:szCs w:val="20"/>
          <w:color w:val="auto"/>
        </w:rPr>
      </w:pPr>
      <w:r>
        <w:rPr>
          <w:rFonts w:ascii="Arial" w:cs="Arial" w:eastAsia="Arial" w:hAnsi="Arial"/>
          <w:sz w:val="17"/>
          <w:szCs w:val="17"/>
          <w:color w:val="auto"/>
        </w:rPr>
        <w:t>Additionally, during the course of any intellectual property litigation, there could be public announcements of the initiation of the litigation as well as results of hearings, rulings on motions and other interim proceedings in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spacing w:after="0" w:line="170" w:lineRule="exact"/>
        <w:rPr>
          <w:sz w:val="20"/>
          <w:szCs w:val="20"/>
          <w:color w:val="auto"/>
        </w:rPr>
      </w:pPr>
    </w:p>
    <w:p>
      <w:pPr>
        <w:ind w:left="40" w:right="459"/>
        <w:spacing w:after="0" w:line="272"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which could be expensive, time consuming and unsuccessful.</w:t>
      </w:r>
    </w:p>
    <w:p>
      <w:pPr>
        <w:spacing w:after="0" w:line="136"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ex parte reexaminations, IPR, or PGR, or oppositions or similar proceedings outside the United States, in parallel with litigation or even outside the context of litigation.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76"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 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w:t>
      </w:r>
    </w:p>
    <w:p>
      <w:pPr>
        <w:spacing w:after="0" w:line="182" w:lineRule="exact"/>
        <w:rPr>
          <w:sz w:val="20"/>
          <w:szCs w:val="20"/>
          <w:color w:val="auto"/>
        </w:rPr>
      </w:pPr>
    </w:p>
    <w:p>
      <w:pPr>
        <w:ind w:left="40" w:right="239"/>
        <w:spacing w:after="0" w:line="243"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9" w:lineRule="auto"/>
        <w:rPr>
          <w:sz w:val="20"/>
          <w:szCs w:val="20"/>
          <w:color w:val="auto"/>
        </w:rPr>
      </w:pPr>
      <w:r>
        <w:rPr>
          <w:rFonts w:ascii="Arial" w:cs="Arial" w:eastAsia="Arial" w:hAnsi="Arial"/>
          <w:sz w:val="17"/>
          <w:szCs w:val="17"/>
          <w:color w:val="auto"/>
        </w:rPr>
        <w:t>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0"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spacing w:after="0" w:line="172" w:lineRule="exact"/>
        <w:rPr>
          <w:sz w:val="20"/>
          <w:szCs w:val="20"/>
          <w:color w:val="auto"/>
        </w:rPr>
      </w:pPr>
    </w:p>
    <w:p>
      <w:pPr>
        <w:ind w:left="40" w:right="299"/>
        <w:spacing w:after="0" w:line="243" w:lineRule="auto"/>
        <w:rPr>
          <w:sz w:val="20"/>
          <w:szCs w:val="20"/>
          <w:color w:val="auto"/>
        </w:rPr>
      </w:pPr>
      <w:r>
        <w:rPr>
          <w:rFonts w:ascii="Arial" w:cs="Arial" w:eastAsia="Arial" w:hAnsi="Arial"/>
          <w:sz w:val="17"/>
          <w:szCs w:val="17"/>
          <w:color w:val="auto"/>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0" w:lineRule="exact"/>
        <w:rPr>
          <w:sz w:val="20"/>
          <w:szCs w:val="20"/>
          <w:color w:val="auto"/>
        </w:rPr>
      </w:pPr>
    </w:p>
    <w:p>
      <w:pPr>
        <w:ind w:left="40" w:right="419"/>
        <w:spacing w:after="0" w:line="272" w:lineRule="auto"/>
        <w:rPr>
          <w:sz w:val="20"/>
          <w:szCs w:val="20"/>
          <w:color w:val="auto"/>
        </w:rPr>
      </w:pPr>
      <w:r>
        <w:rPr>
          <w:rFonts w:ascii="Arial" w:cs="Arial" w:eastAsia="Arial" w:hAnsi="Arial"/>
          <w:sz w:val="17"/>
          <w:szCs w:val="17"/>
          <w:b w:val="1"/>
          <w:bCs w:val="1"/>
          <w:i w:val="1"/>
          <w:iCs w:val="1"/>
          <w:color w:val="auto"/>
        </w:rPr>
        <w:t>Because of the expense and uncertainty of litigation, we may not be in a position to enforce our intellectual property rights against third parties.</w:t>
      </w:r>
    </w:p>
    <w:p>
      <w:pPr>
        <w:spacing w:after="0" w:line="13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studies, continue our internal research programs, in-license needed technologies or other product candidates, or enter into development partnerships that would help us bring our product candidates to market.</w:t>
      </w:r>
    </w:p>
    <w:p>
      <w:pPr>
        <w:spacing w:after="0" w:line="172" w:lineRule="exact"/>
        <w:rPr>
          <w:sz w:val="20"/>
          <w:szCs w:val="20"/>
          <w:color w:val="auto"/>
        </w:rPr>
      </w:pPr>
    </w:p>
    <w:p>
      <w:pPr>
        <w:ind w:left="40" w:right="479"/>
        <w:spacing w:after="0" w:line="304" w:lineRule="auto"/>
        <w:rPr>
          <w:sz w:val="20"/>
          <w:szCs w:val="20"/>
          <w:color w:val="auto"/>
        </w:rPr>
      </w:pPr>
      <w:r>
        <w:rPr>
          <w:rFonts w:ascii="Arial" w:cs="Arial" w:eastAsia="Arial" w:hAnsi="Arial"/>
          <w:sz w:val="16"/>
          <w:szCs w:val="16"/>
          <w:b w:val="1"/>
          <w:bCs w:val="1"/>
          <w:i w:val="1"/>
          <w:i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113"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(the “Leahy-Smith Act”) was signed into law. When implemented, the Leahy-Smith Act included 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0"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w:t>
      </w:r>
    </w:p>
    <w:p>
      <w:pPr>
        <w:spacing w:after="0" w:line="2" w:lineRule="exact"/>
        <w:rPr>
          <w:sz w:val="20"/>
          <w:szCs w:val="20"/>
          <w:color w:val="auto"/>
        </w:rPr>
      </w:pPr>
    </w:p>
    <w:p>
      <w:pPr>
        <w:ind w:left="40" w:right="239" w:firstLine="5"/>
        <w:spacing w:after="0" w:line="237" w:lineRule="auto"/>
        <w:tabs>
          <w:tab w:leader="none" w:pos="273"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71"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The USPTO developed new regulations and procedures governing the administration of the Leahy-Smith Act, and many of the substantive changes to patent law associated with the Leahy-Smith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spacing w:after="0" w:line="170"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75" w:lineRule="exact"/>
        <w:rPr>
          <w:sz w:val="20"/>
          <w:szCs w:val="20"/>
          <w:color w:val="auto"/>
        </w:rPr>
      </w:pPr>
    </w:p>
    <w:p>
      <w:pPr>
        <w:ind w:left="40" w:right="419"/>
        <w:spacing w:after="0" w:line="272" w:lineRule="auto"/>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3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Filing, prosecuting and defending patents covering our current and any future product candidates throughout the world would be prohibitively expensive, and our intellectual property rights in some countries outside the 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5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spacing w:after="0" w:line="165" w:lineRule="exact"/>
        <w:rPr>
          <w:sz w:val="20"/>
          <w:szCs w:val="20"/>
          <w:color w:val="auto"/>
        </w:rPr>
      </w:pPr>
    </w:p>
    <w:p>
      <w:pPr>
        <w:ind w:left="40" w:right="159"/>
        <w:spacing w:after="0" w:line="236" w:lineRule="auto"/>
        <w:rPr>
          <w:sz w:val="20"/>
          <w:szCs w:val="20"/>
          <w:color w:val="auto"/>
        </w:rPr>
      </w:pPr>
      <w:r>
        <w:rPr>
          <w:rFonts w:ascii="Arial" w:cs="Arial" w:eastAsia="Arial" w:hAnsi="Arial"/>
          <w:sz w:val="17"/>
          <w:szCs w:val="17"/>
          <w:color w:val="auto"/>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8" w:lineRule="exact"/>
        <w:rPr>
          <w:sz w:val="20"/>
          <w:szCs w:val="20"/>
          <w:color w:val="auto"/>
        </w:rPr>
      </w:pPr>
    </w:p>
    <w:p>
      <w:pPr>
        <w:ind w:left="40" w:right="259"/>
        <w:spacing w:after="0" w:line="252"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spacing w:after="0" w:line="152" w:lineRule="exact"/>
        <w:rPr>
          <w:sz w:val="20"/>
          <w:szCs w:val="20"/>
          <w:color w:val="auto"/>
        </w:rPr>
      </w:pPr>
    </w:p>
    <w:p>
      <w:pPr>
        <w:jc w:val="both"/>
        <w:ind w:left="40" w:right="119"/>
        <w:spacing w:after="0" w:line="254" w:lineRule="auto"/>
        <w:rPr>
          <w:sz w:val="20"/>
          <w:szCs w:val="20"/>
          <w:color w:val="auto"/>
        </w:rPr>
      </w:pPr>
      <w:r>
        <w:rPr>
          <w:rFonts w:ascii="Arial" w:cs="Arial" w:eastAsia="Arial" w:hAnsi="Arial"/>
          <w:sz w:val="16"/>
          <w:szCs w:val="16"/>
          <w:color w:val="auto"/>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59" w:lineRule="exact"/>
        <w:rPr>
          <w:sz w:val="20"/>
          <w:szCs w:val="20"/>
          <w:color w:val="auto"/>
        </w:rPr>
      </w:pPr>
    </w:p>
    <w:p>
      <w:pPr>
        <w:ind w:left="40" w:right="159"/>
        <w:spacing w:after="0" w:line="235"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9"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spacing w:after="0" w:line="156" w:lineRule="exact"/>
        <w:rPr>
          <w:sz w:val="20"/>
          <w:szCs w:val="20"/>
          <w:color w:val="auto"/>
        </w:rPr>
      </w:pPr>
    </w:p>
    <w:p>
      <w:pPr>
        <w:ind w:left="40" w:right="199"/>
        <w:spacing w:after="0" w:line="255"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1" w:lineRule="exact"/>
        <w:rPr>
          <w:sz w:val="20"/>
          <w:szCs w:val="20"/>
          <w:color w:val="auto"/>
        </w:rPr>
      </w:pPr>
    </w:p>
    <w:p>
      <w:pPr>
        <w:ind w:left="40" w:right="159"/>
        <w:spacing w:after="0" w:line="304"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13" w:lineRule="exact"/>
        <w:rPr>
          <w:sz w:val="20"/>
          <w:szCs w:val="20"/>
          <w:color w:val="auto"/>
        </w:rPr>
      </w:pPr>
    </w:p>
    <w:p>
      <w:pPr>
        <w:ind w:left="40" w:right="79"/>
        <w:spacing w:after="0" w:line="251" w:lineRule="auto"/>
        <w:rPr>
          <w:sz w:val="20"/>
          <w:szCs w:val="20"/>
          <w:color w:val="auto"/>
        </w:rPr>
      </w:pPr>
      <w:r>
        <w:rPr>
          <w:rFonts w:ascii="Arial" w:cs="Arial" w:eastAsia="Arial" w:hAnsi="Arial"/>
          <w:sz w:val="16"/>
          <w:szCs w:val="16"/>
          <w:color w:val="auto"/>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 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68"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the claims of our patent applications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139"/>
        <w:spacing w:after="0" w:line="272"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36"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65"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Our ADSs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The price of our ADSs may be volatile, and you could lose all or part of your investment.</w:t>
      </w:r>
    </w:p>
    <w:p>
      <w:pPr>
        <w:spacing w:after="0" w:line="194" w:lineRule="exact"/>
        <w:rPr>
          <w:sz w:val="20"/>
          <w:szCs w:val="20"/>
          <w:color w:val="auto"/>
        </w:rPr>
      </w:pPr>
    </w:p>
    <w:p>
      <w:pPr>
        <w:ind w:left="40" w:right="519"/>
        <w:spacing w:after="0" w:line="248" w:lineRule="auto"/>
        <w:rPr>
          <w:sz w:val="20"/>
          <w:szCs w:val="20"/>
          <w:color w:val="auto"/>
        </w:rPr>
      </w:pPr>
      <w:r>
        <w:rPr>
          <w:rFonts w:ascii="Arial" w:cs="Arial" w:eastAsia="Arial" w:hAnsi="Arial"/>
          <w:sz w:val="17"/>
          <w:szCs w:val="17"/>
          <w:color w:val="auto"/>
        </w:rPr>
        <w:t>The trading price of our ADSs is likely to be highly volatile and could be subject to wide fluctuations in response to various factors, some of which are beyond our control, including limited trading volume. In addition to the factors discussed in this “Risk Factors” section and elsewhere in this Annual Report, these factors include:</w:t>
      </w:r>
    </w:p>
    <w:p>
      <w:pPr>
        <w:spacing w:after="0" w:line="164" w:lineRule="exact"/>
        <w:rPr>
          <w:sz w:val="20"/>
          <w:szCs w:val="20"/>
          <w:color w:val="auto"/>
        </w:rPr>
      </w:pPr>
    </w:p>
    <w:p>
      <w:pPr>
        <w:ind w:left="680" w:right="79" w:hanging="307"/>
        <w:spacing w:after="0" w:line="248" w:lineRule="auto"/>
        <w:tabs>
          <w:tab w:leader="none" w:pos="68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commencement, enrollment or results of our ongoing and planned preclinical studies and clinical studies, or any future preclinical studies or clinical studies, we may conduct of our current and any future product candidates, or changes in the development status of our current and any future product candidates;</w:t>
      </w:r>
    </w:p>
    <w:p>
      <w:pPr>
        <w:spacing w:after="0" w:line="62" w:lineRule="exact"/>
        <w:rPr>
          <w:rFonts w:ascii="Times New Roman" w:cs="Times New Roman" w:eastAsia="Times New Roman" w:hAnsi="Times New Roman"/>
          <w:sz w:val="17"/>
          <w:szCs w:val="17"/>
          <w:color w:val="auto"/>
        </w:rPr>
      </w:pPr>
    </w:p>
    <w:p>
      <w:pPr>
        <w:ind w:left="680" w:right="59" w:hanging="307"/>
        <w:spacing w:after="0" w:line="243" w:lineRule="auto"/>
        <w:tabs>
          <w:tab w:leader="none" w:pos="68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p>
      <w:pPr>
        <w:spacing w:after="0" w:line="65"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adverse results or delays in our preclinical studies and clinical studies;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06" w:lineRule="exact"/>
        <w:rPr>
          <w:rFonts w:ascii="Times New Roman" w:cs="Times New Roman" w:eastAsia="Times New Roman" w:hAnsi="Times New Roman"/>
          <w:sz w:val="17"/>
          <w:szCs w:val="17"/>
          <w:color w:val="auto"/>
        </w:rPr>
      </w:pPr>
    </w:p>
    <w:p>
      <w:pPr>
        <w:ind w:left="680" w:right="45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adverse regulatory decisions, including failure to receive marketing approval for our current and any future product candidates;</w:t>
      </w:r>
    </w:p>
    <w:p>
      <w:pPr>
        <w:spacing w:after="0" w:line="48" w:lineRule="exact"/>
        <w:rPr>
          <w:rFonts w:ascii="Times New Roman" w:cs="Times New Roman" w:eastAsia="Times New Roman" w:hAnsi="Times New Roman"/>
          <w:sz w:val="17"/>
          <w:szCs w:val="17"/>
          <w:color w:val="auto"/>
        </w:rPr>
      </w:pPr>
    </w:p>
    <w:p>
      <w:pPr>
        <w:ind w:left="680" w:right="31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laws or regulations applicable to our current and any future product candidates, including but not limited to clinical trial requirements for approvals;</w:t>
      </w:r>
    </w:p>
    <w:p>
      <w:pPr>
        <w:spacing w:after="0" w:line="48" w:lineRule="exact"/>
        <w:rPr>
          <w:rFonts w:ascii="Times New Roman" w:cs="Times New Roman" w:eastAsia="Times New Roman" w:hAnsi="Times New Roman"/>
          <w:sz w:val="17"/>
          <w:szCs w:val="17"/>
          <w:color w:val="auto"/>
        </w:rPr>
      </w:pPr>
    </w:p>
    <w:p>
      <w:pPr>
        <w:ind w:left="680" w:right="11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the failure to obtain coverage and adequate reimbursement of our current and any future product candidates, if approved;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changes on the structure of healthcare payment systems;</w:t>
      </w:r>
    </w:p>
    <w:p>
      <w:pPr>
        <w:spacing w:after="0" w:line="106" w:lineRule="exact"/>
        <w:rPr>
          <w:rFonts w:ascii="Times New Roman" w:cs="Times New Roman" w:eastAsia="Times New Roman" w:hAnsi="Times New Roman"/>
          <w:sz w:val="17"/>
          <w:szCs w:val="17"/>
          <w:color w:val="auto"/>
        </w:rPr>
      </w:pPr>
    </w:p>
    <w:p>
      <w:pPr>
        <w:ind w:left="680" w:right="53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any changes to our relationship with any manufacturers, suppliers, licensors, future collaborators or other strategic partners;</w:t>
      </w:r>
    </w:p>
    <w:p>
      <w:pPr>
        <w:spacing w:after="0" w:line="48" w:lineRule="exact"/>
        <w:rPr>
          <w:rFonts w:ascii="Times New Roman" w:cs="Times New Roman" w:eastAsia="Times New Roman" w:hAnsi="Times New Roman"/>
          <w:sz w:val="17"/>
          <w:szCs w:val="17"/>
          <w:color w:val="auto"/>
        </w:rPr>
      </w:pPr>
    </w:p>
    <w:p>
      <w:pPr>
        <w:ind w:left="680" w:right="11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obtain adequate product supply for any approved drug product or inability to do so at acceptable prices;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establish collaborations if needed;</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failure to commercialize our current and any future product candidates;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unanticipated serious safety concerns related to the use of our current and any future product candidates;</w:t>
      </w:r>
    </w:p>
    <w:p>
      <w:pPr>
        <w:spacing w:after="0" w:line="106" w:lineRule="exact"/>
        <w:rPr>
          <w:rFonts w:ascii="Times New Roman" w:cs="Times New Roman" w:eastAsia="Times New Roman" w:hAnsi="Times New Roman"/>
          <w:sz w:val="17"/>
          <w:szCs w:val="17"/>
          <w:color w:val="auto"/>
        </w:rPr>
      </w:pPr>
    </w:p>
    <w:p>
      <w:pPr>
        <w:ind w:left="680" w:right="59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introduction of new products or services offered by us or our competitors, or the release or publication of clinical trial results from competing product candidates;</w:t>
      </w:r>
    </w:p>
    <w:p>
      <w:pPr>
        <w:spacing w:after="0" w:line="48" w:lineRule="exact"/>
        <w:rPr>
          <w:rFonts w:ascii="Times New Roman" w:cs="Times New Roman" w:eastAsia="Times New Roman" w:hAnsi="Times New Roman"/>
          <w:sz w:val="17"/>
          <w:szCs w:val="17"/>
          <w:color w:val="auto"/>
        </w:rPr>
      </w:pPr>
    </w:p>
    <w:p>
      <w:pPr>
        <w:ind w:left="680" w:right="17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effectively manage our growth;</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variations in quarterly operating results;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cash position;</w:t>
      </w:r>
    </w:p>
    <w:p>
      <w:pPr>
        <w:spacing w:after="0" w:line="106" w:lineRule="exact"/>
        <w:rPr>
          <w:rFonts w:ascii="Times New Roman" w:cs="Times New Roman" w:eastAsia="Times New Roman" w:hAnsi="Times New Roman"/>
          <w:sz w:val="17"/>
          <w:szCs w:val="17"/>
          <w:color w:val="auto"/>
        </w:rPr>
      </w:pPr>
    </w:p>
    <w:p>
      <w:pPr>
        <w:ind w:left="680" w:right="63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48" w:lineRule="exact"/>
        <w:rPr>
          <w:rFonts w:ascii="Times New Roman" w:cs="Times New Roman" w:eastAsia="Times New Roman" w:hAnsi="Times New Roman"/>
          <w:sz w:val="17"/>
          <w:szCs w:val="17"/>
          <w:color w:val="auto"/>
        </w:rPr>
      </w:pPr>
    </w:p>
    <w:p>
      <w:pPr>
        <w:ind w:left="680" w:right="15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 securities analysts;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market valuations of similar companies;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overall performance of the equity markets;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issuances of debt or equity securities;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sales of our ADSs by us or our shareholders in the future, or the perception that such sales may occur;</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trading volume of our ADSs;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practices;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ineffectiveness of our internal controls;</w:t>
      </w:r>
    </w:p>
    <w:p>
      <w:pPr>
        <w:spacing w:after="0" w:line="106" w:lineRule="exact"/>
        <w:rPr>
          <w:rFonts w:ascii="Times New Roman" w:cs="Times New Roman" w:eastAsia="Times New Roman" w:hAnsi="Times New Roman"/>
          <w:sz w:val="17"/>
          <w:szCs w:val="17"/>
          <w:color w:val="auto"/>
        </w:rPr>
      </w:pPr>
    </w:p>
    <w:p>
      <w:pPr>
        <w:ind w:left="680" w:right="79" w:hanging="307"/>
        <w:spacing w:after="0" w:line="264" w:lineRule="auto"/>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lawsuits, including patent or shareholder litigation;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719" w:hanging="307"/>
        <w:spacing w:after="0" w:line="264" w:lineRule="auto"/>
        <w:tabs>
          <w:tab w:leader="none" w:pos="68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general geopolitical and macroeconomic conditions, including as a result of bank failures, tariffs, global pandemics, the Russia/Ukraine conflict or the Israel-Hamas war; and</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other events or factors, many of which are beyond our control.</w:t>
      </w:r>
    </w:p>
    <w:p>
      <w:pPr>
        <w:spacing w:after="0" w:line="208" w:lineRule="exact"/>
        <w:rPr>
          <w:sz w:val="20"/>
          <w:szCs w:val="20"/>
          <w:color w:val="auto"/>
        </w:rPr>
      </w:pPr>
    </w:p>
    <w:p>
      <w:pPr>
        <w:ind w:left="40" w:right="159"/>
        <w:spacing w:after="0" w:line="238" w:lineRule="auto"/>
        <w:rPr>
          <w:sz w:val="20"/>
          <w:szCs w:val="20"/>
          <w:color w:val="auto"/>
        </w:rPr>
      </w:pPr>
      <w:r>
        <w:rPr>
          <w:rFonts w:ascii="Arial" w:cs="Arial" w:eastAsia="Arial" w:hAnsi="Arial"/>
          <w:sz w:val="17"/>
          <w:szCs w:val="17"/>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72" w:lineRule="exact"/>
        <w:rPr>
          <w:sz w:val="20"/>
          <w:szCs w:val="20"/>
          <w:color w:val="auto"/>
        </w:rPr>
      </w:pPr>
    </w:p>
    <w:p>
      <w:pPr>
        <w:ind w:left="40" w:right="99"/>
        <w:spacing w:after="0" w:line="237" w:lineRule="auto"/>
        <w:rPr>
          <w:sz w:val="20"/>
          <w:szCs w:val="20"/>
          <w:color w:val="auto"/>
        </w:rPr>
      </w:pPr>
      <w:r>
        <w:rPr>
          <w:rFonts w:ascii="Arial" w:cs="Arial" w:eastAsia="Arial" w:hAnsi="Arial"/>
          <w:sz w:val="17"/>
          <w:szCs w:val="17"/>
          <w:b w:val="1"/>
          <w:bCs w:val="1"/>
          <w:i w:val="1"/>
          <w:iCs w:val="1"/>
          <w:color w:val="auto"/>
        </w:rPr>
        <w:t>Although our annual financial statements were audited and reported upon by auditors who are currently subject to inspection by the Public Company Accounting Oversight Board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(“HFCA Act”) or the Accelerating Holding Foreign Companies Accountable Act (“AHFCA Act”) if the SEC subsequently identifies that our audit work is performed by an auditor that the PCAOB is unable to inspect or investigate completely, and as a result, U.S. national securities exchanges, such as the Nasdaq, may delist our securities.</w:t>
      </w:r>
    </w:p>
    <w:p>
      <w:pPr>
        <w:spacing w:after="0" w:line="167"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As part of a continued regulatory focus in the United States on access to audit and other information, the United States passed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spacing w:after="0" w:line="170"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The HFCA Act also provides that if an auditor of a U.S. listed company’s financial statements is not subject for three consecutive “non-inspection years” after the HFCA Act becomes effective, the SEC must prohibit the securities of such issuer from being traded on a U.S. national securities exchange. However, in June 2021, the U.S. Senate passed the AHFCA Act which amends the HFCA Act and requires the SEC to prohibit an issuer’s securities from trading on any U.S. stock exchanges if its auditor is subject to two “non-inspection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 accounting firms headquartered in Mainland China and in Hong Kong. Also, in December 2021, the SEC adopted final amendments to its rules implementing the HFCA Act and established procedures to identify issuers and prohibit the trading of the securities of certain registrants as required by the HFCA Act.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In December 2022, the PCAOB vacated its determination that it was unable to inspect and investigate PCAOB-registered public accounting firms in Mainland China and Hong Kong. As a result, until such time as the PCAOB issues a new determination, the SEC has determined that there are no issuers currently at risk of having their securities subject to a trading prohibition under the HFCA Act. However, while vacating those determinations, the PCAOB noted that, should it encounter any impediment to conducting an inspection or investigation of auditors in Mainland China or Hong Kong as a result of a position taken by any authority there, the PCAOB would act to immediately issue a new determination.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2" w:lineRule="auto"/>
        <w:rPr>
          <w:sz w:val="20"/>
          <w:szCs w:val="20"/>
          <w:color w:val="auto"/>
        </w:rPr>
      </w:pPr>
      <w:r>
        <w:rPr>
          <w:rFonts w:ascii="Arial" w:cs="Arial" w:eastAsia="Arial" w:hAnsi="Arial"/>
          <w:sz w:val="16"/>
          <w:szCs w:val="16"/>
          <w:color w:val="auto"/>
        </w:rPr>
        <w:t>Ernst &amp; Young LLP, our independent registered public accounting firm is headquartered in the United States, is registered with the PCAOB and is an auditor of companies that are both registered with the SEC and publicly traded in the United States. As a result, the HFCA Act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the audit such as in our current situation. There are currently no such proposals.</w:t>
      </w:r>
    </w:p>
    <w:p>
      <w:pPr>
        <w:spacing w:after="0" w:line="163"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Further, while we understand that there has been dialogue among the CSRC, the SEC and the PCAOB regarding the inspection of PCAOB-registered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spacing w:after="0" w:line="172" w:lineRule="exact"/>
        <w:rPr>
          <w:sz w:val="20"/>
          <w:szCs w:val="20"/>
          <w:color w:val="auto"/>
        </w:rPr>
      </w:pPr>
    </w:p>
    <w:p>
      <w:pPr>
        <w:ind w:left="40" w:right="199"/>
        <w:spacing w:after="0" w:line="245"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in the past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159" w:lineRule="exact"/>
        <w:rPr>
          <w:sz w:val="20"/>
          <w:szCs w:val="20"/>
          <w:color w:val="auto"/>
        </w:rPr>
      </w:pPr>
    </w:p>
    <w:p>
      <w:pPr>
        <w:ind w:left="40" w:right="119"/>
        <w:spacing w:after="0" w:line="243" w:lineRule="auto"/>
        <w:rPr>
          <w:sz w:val="20"/>
          <w:szCs w:val="20"/>
          <w:color w:val="auto"/>
        </w:rPr>
      </w:pPr>
      <w:r>
        <w:rPr>
          <w:rFonts w:ascii="Arial" w:cs="Arial" w:eastAsia="Arial" w:hAnsi="Arial"/>
          <w:sz w:val="17"/>
          <w:szCs w:val="17"/>
          <w:color w:val="auto"/>
        </w:rPr>
        <w:t>We have previously identified material weaknesses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8" w:lineRule="exact"/>
        <w:rPr>
          <w:sz w:val="20"/>
          <w:szCs w:val="20"/>
          <w:color w:val="auto"/>
        </w:rPr>
      </w:pPr>
    </w:p>
    <w:p>
      <w:pPr>
        <w:ind w:left="40" w:right="339"/>
        <w:spacing w:after="0"/>
        <w:rPr>
          <w:sz w:val="20"/>
          <w:szCs w:val="20"/>
          <w:color w:val="auto"/>
        </w:rPr>
      </w:pPr>
      <w:r>
        <w:rPr>
          <w:rFonts w:ascii="Arial" w:cs="Arial" w:eastAsia="Arial" w:hAnsi="Arial"/>
          <w:sz w:val="17"/>
          <w:szCs w:val="17"/>
          <w:color w:val="auto"/>
        </w:rPr>
        <w:t>We previously reported a material weakness in that 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w:t>
      </w:r>
    </w:p>
    <w:p>
      <w:pPr>
        <w:spacing w:after="0" w:line="171" w:lineRule="exact"/>
        <w:rPr>
          <w:sz w:val="20"/>
          <w:szCs w:val="20"/>
          <w:color w:val="auto"/>
        </w:rPr>
      </w:pPr>
    </w:p>
    <w:p>
      <w:pPr>
        <w:ind w:left="40" w:right="59"/>
        <w:spacing w:after="0" w:line="243" w:lineRule="auto"/>
        <w:rPr>
          <w:sz w:val="20"/>
          <w:szCs w:val="20"/>
          <w:color w:val="auto"/>
        </w:rPr>
      </w:pPr>
      <w:r>
        <w:rPr>
          <w:rFonts w:ascii="Arial" w:cs="Arial" w:eastAsia="Arial" w:hAnsi="Arial"/>
          <w:sz w:val="17"/>
          <w:szCs w:val="17"/>
          <w:color w:val="auto"/>
        </w:rPr>
        <w:t>This material weakness did not result in any material misstatements to the consolidated financial statements. This material weakness could result in a misstatement of substantially all of our accounts or disclosures that would result in a material misstatement to the annual or interim consolidated financial statements that would not be prevented or detected. The material weakness was remediated as of June 30, 2024.</w:t>
      </w:r>
    </w:p>
    <w:p>
      <w:pPr>
        <w:spacing w:after="0" w:line="168"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In the future we may determine that we have additional material weaknesses. Our failure to identify and address any other material weaknesses that may be identified in the future could result in material misstatements to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securities.</w:t>
      </w:r>
    </w:p>
    <w:p>
      <w:pPr>
        <w:spacing w:after="0" w:line="173" w:lineRule="exact"/>
        <w:rPr>
          <w:sz w:val="20"/>
          <w:szCs w:val="20"/>
          <w:color w:val="auto"/>
        </w:rPr>
      </w:pPr>
    </w:p>
    <w:p>
      <w:pPr>
        <w:ind w:left="40" w:right="219"/>
        <w:spacing w:after="0" w:line="272" w:lineRule="auto"/>
        <w:rPr>
          <w:sz w:val="20"/>
          <w:szCs w:val="20"/>
          <w:color w:val="auto"/>
        </w:rPr>
      </w:pPr>
      <w:r>
        <w:rPr>
          <w:rFonts w:ascii="Arial" w:cs="Arial" w:eastAsia="Arial" w:hAnsi="Arial"/>
          <w:sz w:val="17"/>
          <w:szCs w:val="17"/>
          <w:b w:val="1"/>
          <w:bCs w:val="1"/>
          <w:i w:val="1"/>
          <w:iCs w:val="1"/>
          <w:color w:val="auto"/>
        </w:rPr>
        <w:t>Our principal shareholders and management own a significant percentage of our voting securities and will be able to exert significant control over matters subject to shareholder approval.</w:t>
      </w:r>
    </w:p>
    <w:p>
      <w:pPr>
        <w:spacing w:after="0" w:line="136" w:lineRule="exact"/>
        <w:rPr>
          <w:sz w:val="20"/>
          <w:szCs w:val="20"/>
          <w:color w:val="auto"/>
        </w:rPr>
      </w:pPr>
    </w:p>
    <w:p>
      <w:pPr>
        <w:jc w:val="both"/>
        <w:ind w:left="40" w:right="419"/>
        <w:spacing w:after="0" w:line="243" w:lineRule="auto"/>
        <w:rPr>
          <w:sz w:val="20"/>
          <w:szCs w:val="20"/>
          <w:color w:val="auto"/>
        </w:rPr>
      </w:pPr>
      <w:r>
        <w:rPr>
          <w:rFonts w:ascii="Arial" w:cs="Arial" w:eastAsia="Arial" w:hAnsi="Arial"/>
          <w:sz w:val="17"/>
          <w:szCs w:val="17"/>
          <w:color w:val="auto"/>
        </w:rPr>
        <w:t>As of December 31, 2024, our executive officers, directors, five percent shareholders and their affiliates beneficially owned approximately 48% of the voting power of our outstanding share capital (excluding the 18,000,000 ordinary shares issued to our depositary bank for bulk issances of ADSs reserved for future issuances upon the exercise or vesting of awards granted under our equity incentive plans). Therefore, these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54" w:lineRule="auto"/>
        <w:rPr>
          <w:sz w:val="20"/>
          <w:szCs w:val="20"/>
          <w:color w:val="auto"/>
        </w:rPr>
      </w:pPr>
      <w:r>
        <w:rPr>
          <w:rFonts w:ascii="Arial" w:cs="Arial" w:eastAsia="Arial" w:hAnsi="Arial"/>
          <w:sz w:val="16"/>
          <w:szCs w:val="16"/>
          <w:color w:val="auto"/>
        </w:rPr>
        <w:t>shareholders will have the ability to influence us through their ownership positions. These shareholders may be able to determine all matters requiring shareholder approval. For example, these shareholders, acting together, may be able to control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spacing w:after="0" w:line="16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b w:val="1"/>
          <w:bCs w:val="1"/>
          <w:i w:val="1"/>
          <w:iCs w:val="1"/>
          <w:color w:val="auto"/>
        </w:rPr>
        <w:t>Substantial future sales of our ADSs could cause the market price of our ADSs to drop significantly, even if our business is doing well.</w:t>
      </w:r>
    </w:p>
    <w:p>
      <w:pPr>
        <w:spacing w:after="0" w:line="136" w:lineRule="exact"/>
        <w:rPr>
          <w:sz w:val="20"/>
          <w:szCs w:val="20"/>
          <w:color w:val="auto"/>
        </w:rPr>
      </w:pPr>
    </w:p>
    <w:p>
      <w:pPr>
        <w:jc w:val="both"/>
        <w:ind w:left="40" w:right="119"/>
        <w:spacing w:after="0" w:line="248" w:lineRule="auto"/>
        <w:rPr>
          <w:sz w:val="20"/>
          <w:szCs w:val="20"/>
          <w:color w:val="auto"/>
        </w:rPr>
      </w:pPr>
      <w:r>
        <w:rPr>
          <w:rFonts w:ascii="Arial" w:cs="Arial" w:eastAsia="Arial" w:hAnsi="Arial"/>
          <w:sz w:val="17"/>
          <w:szCs w:val="17"/>
          <w:color w:val="auto"/>
        </w:rPr>
        <w:t>Sales of a substantial number of our ADSs in the public market could occur at any time. If our shareholders sell, or the market perceives that our shareholders intend to sell, substantial amounts of our ADSs in the public market, the market price of our ADSs could decline significantly.</w:t>
      </w:r>
    </w:p>
    <w:p>
      <w:pPr>
        <w:spacing w:after="0" w:line="164"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In the future we may issue ADSs or other securities if we need to raise additional capital and, in the event a large number of ADSs are sold in the public market, such sales could reduce the trading price of our ADSs. In addition, promptly following the completion of our IPO, we filed a registration statement registering the issuance of approximately 22,099,376 ordinary shares (which may be in the form of ADSs) subject to options or other equity awards issued or reserved for future issuance under our equity incentive plans. We also intend to file future registration statements on Form S-8 under the Securities Act registering the issuance of additional ordinary shares (or ADSs), including because the number of shares that may be issued under certain employee equity benefit plans automatically increase as a result of the operation of certain “evergreen” provisions in our equity plans. Shares (or ADSs) registered under these registration statements are available for sale in the public market subject to vesting arrangements and exercise of options and, in the case of our affiliates, the restrictions of Rule 144 under the Securities Act. If these additional shares or ADSs are sold, or if it is perceived that they will be sold, in the public market, the trading price of our ADSs could decline.</w:t>
      </w:r>
    </w:p>
    <w:p>
      <w:pPr>
        <w:spacing w:after="0" w:line="179" w:lineRule="exact"/>
        <w:rPr>
          <w:sz w:val="20"/>
          <w:szCs w:val="20"/>
          <w:color w:val="auto"/>
        </w:rPr>
      </w:pPr>
    </w:p>
    <w:p>
      <w:pPr>
        <w:ind w:left="40" w:right="179"/>
        <w:spacing w:after="0" w:line="272" w:lineRule="auto"/>
        <w:rPr>
          <w:sz w:val="20"/>
          <w:szCs w:val="20"/>
          <w:color w:val="auto"/>
        </w:rPr>
      </w:pPr>
      <w:r>
        <w:rPr>
          <w:rFonts w:ascii="Arial" w:cs="Arial" w:eastAsia="Arial" w:hAnsi="Arial"/>
          <w:sz w:val="17"/>
          <w:szCs w:val="17"/>
          <w:b w:val="1"/>
          <w:bCs w:val="1"/>
          <w:i w:val="1"/>
          <w:iCs w:val="1"/>
          <w:color w:val="auto"/>
        </w:rPr>
        <w:t>Holders of our ADSs have fewer rights than our shareholders and must act through the depositary to exercise their rights.</w:t>
      </w:r>
    </w:p>
    <w:p>
      <w:pPr>
        <w:spacing w:after="0" w:line="136"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77" w:lineRule="exact"/>
        <w:rPr>
          <w:sz w:val="20"/>
          <w:szCs w:val="20"/>
          <w:color w:val="auto"/>
        </w:rPr>
      </w:pPr>
    </w:p>
    <w:p>
      <w:pPr>
        <w:jc w:val="both"/>
        <w:ind w:left="40" w:right="519"/>
        <w:spacing w:after="0" w:line="272"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36" w:lineRule="exact"/>
        <w:rPr>
          <w:sz w:val="20"/>
          <w:szCs w:val="20"/>
          <w:color w:val="auto"/>
        </w:rPr>
      </w:pPr>
    </w:p>
    <w:p>
      <w:pPr>
        <w:jc w:val="both"/>
        <w:ind w:left="40" w:right="539"/>
        <w:spacing w:after="0" w:line="248" w:lineRule="auto"/>
        <w:rPr>
          <w:sz w:val="20"/>
          <w:szCs w:val="20"/>
          <w:color w:val="auto"/>
        </w:rPr>
      </w:pPr>
      <w:r>
        <w:rPr>
          <w:rFonts w:ascii="Arial" w:cs="Arial" w:eastAsia="Arial" w:hAnsi="Arial"/>
          <w:sz w:val="17"/>
          <w:szCs w:val="17"/>
          <w:color w:val="auto"/>
        </w:rPr>
        <w:t>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4" w:lineRule="auto"/>
        <w:rPr>
          <w:sz w:val="20"/>
          <w:szCs w:val="20"/>
          <w:color w:val="auto"/>
        </w:rPr>
      </w:pPr>
      <w:r>
        <w:rPr>
          <w:rFonts w:ascii="Arial" w:cs="Arial" w:eastAsia="Arial" w:hAnsi="Arial"/>
          <w:sz w:val="17"/>
          <w:szCs w:val="17"/>
          <w:color w:val="auto"/>
        </w:rPr>
        <w:t>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72"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3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Although we do not have any present plans to declare or pay any dividends on our ordinary shares,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72" w:lineRule="exact"/>
        <w:rPr>
          <w:sz w:val="20"/>
          <w:szCs w:val="20"/>
          <w:color w:val="auto"/>
        </w:rPr>
      </w:pPr>
    </w:p>
    <w:p>
      <w:pPr>
        <w:ind w:left="40" w:right="779"/>
        <w:spacing w:after="0" w:line="272" w:lineRule="auto"/>
        <w:rPr>
          <w:sz w:val="20"/>
          <w:szCs w:val="20"/>
          <w:color w:val="auto"/>
        </w:rPr>
      </w:pPr>
      <w:r>
        <w:rPr>
          <w:rFonts w:ascii="Arial" w:cs="Arial" w:eastAsia="Arial" w:hAnsi="Arial"/>
          <w:sz w:val="17"/>
          <w:szCs w:val="17"/>
          <w:b w:val="1"/>
          <w:bCs w:val="1"/>
          <w:i w:val="1"/>
          <w:iCs w:val="1"/>
          <w:color w:val="auto"/>
        </w:rPr>
        <w:t>Your right to participate in any future rights offerings may be limited, which may cause dilution to your holdings.</w:t>
      </w:r>
    </w:p>
    <w:p>
      <w:pPr>
        <w:spacing w:after="0" w:line="136" w:lineRule="exact"/>
        <w:rPr>
          <w:sz w:val="20"/>
          <w:szCs w:val="20"/>
          <w:color w:val="auto"/>
        </w:rPr>
      </w:pPr>
    </w:p>
    <w:p>
      <w:pPr>
        <w:ind w:left="40" w:right="99"/>
        <w:spacing w:after="0" w:line="237"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59"/>
        <w:spacing w:after="0" w:line="248" w:lineRule="auto"/>
        <w:rPr>
          <w:sz w:val="20"/>
          <w:szCs w:val="20"/>
          <w:color w:val="auto"/>
        </w:rPr>
      </w:pPr>
      <w:r>
        <w:rPr>
          <w:rFonts w:ascii="Arial" w:cs="Arial" w:eastAsia="Arial" w:hAnsi="Arial"/>
          <w:sz w:val="17"/>
          <w:szCs w:val="17"/>
          <w:color w:val="auto"/>
        </w:rPr>
        <w:t>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166" w:lineRule="exact"/>
        <w:rPr>
          <w:sz w:val="20"/>
          <w:szCs w:val="20"/>
          <w:color w:val="auto"/>
        </w:rPr>
      </w:pPr>
    </w:p>
    <w:p>
      <w:pPr>
        <w:ind w:left="40" w:right="239"/>
        <w:spacing w:after="0" w:line="304"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13" w:lineRule="exact"/>
        <w:rPr>
          <w:sz w:val="20"/>
          <w:szCs w:val="20"/>
          <w:color w:val="auto"/>
        </w:rPr>
      </w:pPr>
    </w:p>
    <w:p>
      <w:pPr>
        <w:ind w:left="40" w:right="119"/>
        <w:spacing w:after="0" w:line="251" w:lineRule="auto"/>
        <w:rPr>
          <w:sz w:val="20"/>
          <w:szCs w:val="20"/>
          <w:color w:val="auto"/>
        </w:rPr>
      </w:pPr>
      <w:r>
        <w:rPr>
          <w:rFonts w:ascii="Arial" w:cs="Arial" w:eastAsia="Arial" w:hAnsi="Arial"/>
          <w:sz w:val="16"/>
          <w:szCs w:val="16"/>
          <w:color w:val="auto"/>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 our inability to pay our debts as they fall due in the ordinary course of business. In addition, our shareholders may, subject to our amended and restated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are subject to tax in the Cayman Islands and the United States.</w:t>
      </w:r>
    </w:p>
    <w:p>
      <w:pPr>
        <w:spacing w:after="0" w:line="194"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We are a Cayman Islands corporation as of the date of this Annual Report. We are treated as an exempted company for Cayman Islands tax purposes. We are also treated as a U.S. corporation subject to U.S. federal income tax pursuant to Section 7874 of the Code, and are subject to U.S. federal income tax on our worldwide income. As a result, we are subject to tax both in the Cayman Islands and the United States, which could have a material adverse effect on our financial condition and results of operations.</w:t>
      </w:r>
    </w:p>
    <w:p>
      <w:pPr>
        <w:spacing w:after="0" w:line="171" w:lineRule="exact"/>
        <w:rPr>
          <w:sz w:val="20"/>
          <w:szCs w:val="20"/>
          <w:color w:val="auto"/>
        </w:rPr>
      </w:pPr>
    </w:p>
    <w:p>
      <w:pPr>
        <w:ind w:left="40" w:right="479"/>
        <w:spacing w:after="0" w:line="243" w:lineRule="auto"/>
        <w:rPr>
          <w:sz w:val="20"/>
          <w:szCs w:val="20"/>
          <w:color w:val="auto"/>
        </w:rPr>
      </w:pPr>
      <w:r>
        <w:rPr>
          <w:rFonts w:ascii="Arial" w:cs="Arial" w:eastAsia="Arial" w:hAnsi="Arial"/>
          <w:sz w:val="17"/>
          <w:szCs w:val="17"/>
          <w:color w:val="auto"/>
        </w:rPr>
        <w:t>It is unlikely that we will pay any dividends on our ordinary shares or ADSs in the foreseeable future. However, dividends received by “non-U.S. holders” will be subject to U.S. withholding tax. In addition, because the ordinary shares or ADSs are treated as shares of a U.S. domestic corporation, the U.S. gift, estate and generation-skipping transfer tax rules generally apply to a non-U.S. holder of ordinary shares or ADSs.</w:t>
      </w:r>
    </w:p>
    <w:p>
      <w:pPr>
        <w:spacing w:after="0" w:line="168" w:lineRule="exact"/>
        <w:rPr>
          <w:sz w:val="20"/>
          <w:szCs w:val="20"/>
          <w:color w:val="auto"/>
        </w:rPr>
      </w:pPr>
    </w:p>
    <w:p>
      <w:pPr>
        <w:ind w:left="40" w:right="499"/>
        <w:spacing w:after="0" w:line="265" w:lineRule="auto"/>
        <w:rPr>
          <w:sz w:val="20"/>
          <w:szCs w:val="20"/>
          <w:color w:val="auto"/>
        </w:rPr>
      </w:pPr>
      <w:r>
        <w:rPr>
          <w:rFonts w:ascii="Arial" w:cs="Arial" w:eastAsia="Arial" w:hAnsi="Arial"/>
          <w:sz w:val="17"/>
          <w:szCs w:val="17"/>
          <w:color w:val="auto"/>
        </w:rPr>
        <w:t>Each holder or prospective holder of our ordinary shares or ADSs should seek tax advice from an independent tax advisor based on such holder’s particular circumstances.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194"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As of December 31, 2024, we had $99.2 million and $147.8 million of U.S. federal and state net operating loss (“NOL”) carryforwards, respectively, available to offset future taxable income. Under U.S. federal income tax law, federal NOLs incurred in tax years beginning after December 31, 2017, may be carried forward indefinitely, but the deductibility of such federal NOLs is limited to 80% of taxable income for taxable years beginning after December 31, 2020. Any NOLs incurred in tax years beginning before December 31, 2017, may be used to offset up to 100% of future taxable income, but will begin to expire in varying amounts in 2036, unless previously utilized. Similar rules may apply under state tax laws. As of December 31, 2024, we also had aggregate U.S. federal and state R&amp;D credits of approximately $5.7 million and $ 1.3 million, respectively. U.S. federal R&amp;D credits carryforwards begin to expire in 2039 unless previously utilized. The state R&amp;D credit carryforwards do not expire. Our NOL carryforwards and R&amp;D credits are subject to review and possible adjustment by the U.S. and state tax authorities.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39"/>
        <w:spacing w:after="0" w:line="234" w:lineRule="auto"/>
        <w:rPr>
          <w:sz w:val="20"/>
          <w:szCs w:val="20"/>
          <w:color w:val="auto"/>
        </w:rPr>
      </w:pPr>
      <w:r>
        <w:rPr>
          <w:rFonts w:ascii="Arial" w:cs="Arial" w:eastAsia="Arial" w:hAnsi="Arial"/>
          <w:sz w:val="17"/>
          <w:szCs w:val="17"/>
          <w:color w:val="auto"/>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including as a result of our IPO. As a result, if we earn net taxable income, our ability to use our pre-change NOLs to offset U.S. federal taxable income may be subject to limitations, which could potentially result in increased future tax liability to us. At the state level, California has suspended the use of NOLs by certain taxpayers for tax years beginning on or after January 1, 2024, and before January 1, 2027. Other states may also suspend or otherwise place limitations on the use of NOLs, which could accelerate or permanently increase state taxes owed.</w:t>
      </w:r>
    </w:p>
    <w:p>
      <w:pPr>
        <w:spacing w:after="0" w:line="181" w:lineRule="exact"/>
        <w:rPr>
          <w:sz w:val="20"/>
          <w:szCs w:val="20"/>
          <w:color w:val="auto"/>
        </w:rPr>
      </w:pPr>
    </w:p>
    <w:p>
      <w:pPr>
        <w:ind w:left="40" w:right="99"/>
        <w:spacing w:after="0" w:line="252" w:lineRule="auto"/>
        <w:rPr>
          <w:sz w:val="20"/>
          <w:szCs w:val="20"/>
          <w:color w:val="auto"/>
        </w:rPr>
      </w:pPr>
      <w:r>
        <w:rPr>
          <w:rFonts w:ascii="Arial" w:cs="Arial" w:eastAsia="Arial" w:hAnsi="Arial"/>
          <w:sz w:val="17"/>
          <w:szCs w:val="17"/>
          <w:b w:val="1"/>
          <w:bCs w:val="1"/>
          <w:i w:val="1"/>
          <w:iCs w:val="1"/>
          <w:color w:val="auto"/>
        </w:rPr>
        <w:t>We will incur significantly increased costs as a result of operating as a company whose ADSs are publicly traded in the United States, and our management will be required to devote substantial time to new compliance initiatives.</w:t>
      </w:r>
    </w:p>
    <w:p>
      <w:pPr>
        <w:spacing w:after="0" w:line="152"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color w:val="auto"/>
        </w:rPr>
        <w:t>As a public company in the United States, we will incur significant legal, accounting and other expenses that we did not incur prior to our IPO. These expenses will likely be even more significant in the future since we no longer qualify as an emerging growth company as of December 31, 2024. We are subject to the reporting requirements of the Exchange Act, which require, among other things, that we file with the SEC annual, quarterly and current reports with respect to our business and financial condition. In addition, the Sarbanes-Oxley Act, the Dodd-Frank Wall Street Reform and Consumer Protection Act (the “Dodd-Frank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162"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8"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Pursuant to Section 404 of the Sarbanes-Oxley Act, we are required to furnish a report by our senior management on our internal control over financial reporting. As of June 30, 2024, the end of our second fiscal quarter and the date of assessment for our filer status, the market value of our ordinary shares held by non-affiliates exceeded $700.0 million. As a result, we are a large accelerated filer and ceased to be an emerging growth company effective December 31, 2024. Additionally, we will no longer qualify as a smaller reporting company beginning with our first Quarterly Report on Form 10-Q for the quarterly period ending March 31, 2025. As a result of this transition, we are required to include an attestation report on internal control over financial reporting issued by our independent registered public accounting firm with this Annual Report on Form 10-K for the fiscal year ended December 31, 2024. To prepare for compliance with Section 404, we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79"/>
        <w:spacing w:after="0" w:line="243" w:lineRule="auto"/>
        <w:rPr>
          <w:sz w:val="20"/>
          <w:szCs w:val="20"/>
          <w:color w:val="auto"/>
        </w:rPr>
      </w:pPr>
      <w:r>
        <w:rPr>
          <w:rFonts w:ascii="Arial" w:cs="Arial" w:eastAsia="Arial" w:hAnsi="Arial"/>
          <w:sz w:val="17"/>
          <w:szCs w:val="17"/>
          <w:color w:val="auto"/>
        </w:rPr>
        <w:t>engaged in a process to document and evaluate our internal control over financial reporting, which is both costly and challenging. In this regard, we have dedicated internal resources, engaged outside consultants and adopted a detailed work plan to assess and document the adequacy of internal control over financial reporting. We will continue to incur increasing costs with regards to compliance with Section 404 in the future.</w:t>
      </w:r>
    </w:p>
    <w:p>
      <w:pPr>
        <w:spacing w:after="0" w:line="170" w:lineRule="exact"/>
        <w:rPr>
          <w:sz w:val="20"/>
          <w:szCs w:val="20"/>
          <w:color w:val="auto"/>
        </w:rPr>
      </w:pPr>
    </w:p>
    <w:p>
      <w:pPr>
        <w:ind w:left="40" w:right="319"/>
        <w:spacing w:after="0" w:line="272" w:lineRule="auto"/>
        <w:rPr>
          <w:sz w:val="20"/>
          <w:szCs w:val="20"/>
          <w:color w:val="auto"/>
        </w:rPr>
      </w:pPr>
      <w:r>
        <w:rPr>
          <w:rFonts w:ascii="Arial" w:cs="Arial" w:eastAsia="Arial" w:hAnsi="Arial"/>
          <w:sz w:val="17"/>
          <w:szCs w:val="17"/>
          <w:b w:val="1"/>
          <w:bCs w:val="1"/>
          <w:i w:val="1"/>
          <w:iCs w:val="1"/>
          <w:color w:val="auto"/>
        </w:rPr>
        <w:t>Since shareholder rights under Cayman Islands law differ from those under U.S. law, you may have difficulty protecting your shareholder rights.</w:t>
      </w:r>
    </w:p>
    <w:p>
      <w:pPr>
        <w:spacing w:after="0" w:line="136" w:lineRule="exact"/>
        <w:rPr>
          <w:sz w:val="20"/>
          <w:szCs w:val="20"/>
          <w:color w:val="auto"/>
        </w:rPr>
      </w:pPr>
    </w:p>
    <w:p>
      <w:pPr>
        <w:ind w:left="40" w:right="79"/>
        <w:spacing w:after="0" w:line="235" w:lineRule="auto"/>
        <w:rPr>
          <w:sz w:val="20"/>
          <w:szCs w:val="20"/>
          <w:color w:val="auto"/>
        </w:rPr>
      </w:pPr>
      <w:r>
        <w:rPr>
          <w:rFonts w:ascii="Arial" w:cs="Arial" w:eastAsia="Arial" w:hAnsi="Arial"/>
          <w:sz w:val="17"/>
          <w:szCs w:val="17"/>
          <w:color w:val="auto"/>
        </w:rPr>
        <w:t>We are an exempted company limited by shares incorporated under the laws of the Cayman Islands. Our corporate affairs are governed by our amended and restated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5"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amended and restated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73" w:lineRule="exact"/>
        <w:rPr>
          <w:sz w:val="20"/>
          <w:szCs w:val="20"/>
          <w:color w:val="auto"/>
        </w:rPr>
      </w:pPr>
    </w:p>
    <w:p>
      <w:pPr>
        <w:ind w:left="40" w:right="219"/>
        <w:spacing w:after="0"/>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171" w:lineRule="exact"/>
        <w:rPr>
          <w:sz w:val="20"/>
          <w:szCs w:val="20"/>
          <w:color w:val="auto"/>
        </w:rPr>
      </w:pPr>
    </w:p>
    <w:p>
      <w:pPr>
        <w:ind w:left="40" w:right="259"/>
        <w:spacing w:after="0" w:line="24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66" w:lineRule="exact"/>
        <w:rPr>
          <w:sz w:val="20"/>
          <w:szCs w:val="20"/>
          <w:color w:val="auto"/>
        </w:rPr>
      </w:pPr>
    </w:p>
    <w:p>
      <w:pPr>
        <w:ind w:left="40" w:right="139"/>
        <w:spacing w:after="0" w:line="252" w:lineRule="auto"/>
        <w:rPr>
          <w:sz w:val="20"/>
          <w:szCs w:val="20"/>
          <w:color w:val="auto"/>
        </w:rPr>
      </w:pPr>
      <w:r>
        <w:rPr>
          <w:rFonts w:ascii="Arial" w:cs="Arial" w:eastAsia="Arial" w:hAnsi="Arial"/>
          <w:sz w:val="17"/>
          <w:szCs w:val="17"/>
          <w:b w:val="1"/>
          <w:bCs w:val="1"/>
          <w:i w:val="1"/>
          <w:iCs w:val="1"/>
          <w:color w:val="auto"/>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spacing w:after="0" w:line="152"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There are provisions in our amended and restated memorandum and articles of association that may make it difficult for a third party to acquire, or attempt to acquire, control of our company, even if a change of control was considered favorable by you and other shareholders. For example, as of the date of this Annual Report, our board of directors will have the authority to issue up to 100,000,000 shares of an additional class or classes of shares, which could include preference shares. The board of directors can fix the price, rights, preferences, privileges, and restrictions of the other classes of shares without any further vote or action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charter documents will also contain other provisions that could have an anti-takeover effect, including:</w:t>
      </w:r>
    </w:p>
    <w:p>
      <w:pPr>
        <w:spacing w:after="0" w:line="196" w:lineRule="exact"/>
        <w:rPr>
          <w:sz w:val="20"/>
          <w:szCs w:val="20"/>
          <w:color w:val="auto"/>
        </w:rPr>
      </w:pPr>
    </w:p>
    <w:p>
      <w:pPr>
        <w:ind w:left="680" w:hanging="307"/>
        <w:spacing w:after="0"/>
        <w:tabs>
          <w:tab w:leader="none" w:pos="68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only one of our three classes of directors will be elected each year;</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shareholders will be entitled to remove directors only for cause;</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shareholders will not be permitted to take actions by written consent; and</w:t>
      </w:r>
    </w:p>
    <w:p>
      <w:pPr>
        <w:spacing w:after="0" w:line="106" w:lineRule="exact"/>
        <w:rPr>
          <w:rFonts w:ascii="Times New Roman" w:cs="Times New Roman" w:eastAsia="Times New Roman" w:hAnsi="Times New Roman"/>
          <w:sz w:val="17"/>
          <w:szCs w:val="17"/>
          <w:color w:val="auto"/>
        </w:rPr>
      </w:pPr>
    </w:p>
    <w:p>
      <w:pPr>
        <w:ind w:left="680" w:right="259" w:hanging="307"/>
        <w:spacing w:after="0" w:line="264" w:lineRule="auto"/>
        <w:tabs>
          <w:tab w:leader="none" w:pos="68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shareholders must give advance notice to nominate directors or submit proposals for consideration at annual general meetings.</w:t>
      </w:r>
    </w:p>
    <w:p>
      <w:pPr>
        <w:spacing w:after="0" w:line="150" w:lineRule="exact"/>
        <w:rPr>
          <w:sz w:val="20"/>
          <w:szCs w:val="20"/>
          <w:color w:val="auto"/>
        </w:rPr>
      </w:pPr>
    </w:p>
    <w:p>
      <w:pPr>
        <w:ind w:left="40" w:right="59"/>
        <w:spacing w:after="0" w:line="243" w:lineRule="auto"/>
        <w:rPr>
          <w:sz w:val="20"/>
          <w:szCs w:val="20"/>
          <w:color w:val="auto"/>
        </w:rPr>
      </w:pPr>
      <w:r>
        <w:rPr>
          <w:rFonts w:ascii="Arial" w:cs="Arial" w:eastAsia="Arial" w:hAnsi="Arial"/>
          <w:sz w:val="17"/>
          <w:szCs w:val="17"/>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You may be subject to limitations on transfers of your ADSs.</w:t>
      </w:r>
    </w:p>
    <w:p>
      <w:pPr>
        <w:spacing w:after="0" w:line="194"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General Risk Factors</w:t>
      </w:r>
    </w:p>
    <w:p>
      <w:pPr>
        <w:spacing w:after="0" w:line="198" w:lineRule="exact"/>
        <w:rPr>
          <w:sz w:val="20"/>
          <w:szCs w:val="20"/>
          <w:color w:val="auto"/>
        </w:rPr>
      </w:pPr>
    </w:p>
    <w:p>
      <w:pPr>
        <w:ind w:left="40" w:right="139"/>
        <w:spacing w:after="0" w:line="304"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13" w:lineRule="exact"/>
        <w:rPr>
          <w:sz w:val="20"/>
          <w:szCs w:val="20"/>
          <w:color w:val="auto"/>
        </w:rPr>
      </w:pPr>
    </w:p>
    <w:p>
      <w:pPr>
        <w:ind w:left="40" w:right="99"/>
        <w:spacing w:after="0" w:line="251" w:lineRule="auto"/>
        <w:rPr>
          <w:sz w:val="20"/>
          <w:szCs w:val="20"/>
          <w:color w:val="auto"/>
        </w:rPr>
      </w:pPr>
      <w:r>
        <w:rPr>
          <w:rFonts w:ascii="Arial" w:cs="Arial" w:eastAsia="Arial" w:hAnsi="Arial"/>
          <w:sz w:val="16"/>
          <w:szCs w:val="16"/>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 over financial reporting to allow management to report on the effectiveness of our internal control over financial reporting in our annual report, as required by Section 404 of the Sarbanes-Oxley Act. Prior to our IPO, we had never been required to test our internal controls within a specified period and, as a result, we may experience difficulty in meeting these reporting requirements in a timely manner. In addition, our independent registered public accounting firm is required to attest to the effectiveness of our internal control over financial reporting beginning with this Annual Report on Form 10-K for the year ended December 31, 2024.</w:t>
      </w:r>
    </w:p>
    <w:p>
      <w:pPr>
        <w:spacing w:after="0" w:line="165" w:lineRule="exact"/>
        <w:rPr>
          <w:sz w:val="20"/>
          <w:szCs w:val="20"/>
          <w:color w:val="auto"/>
        </w:rPr>
      </w:pPr>
    </w:p>
    <w:p>
      <w:pPr>
        <w:ind w:left="40" w:right="219"/>
        <w:spacing w:after="0" w:line="239" w:lineRule="auto"/>
        <w:rPr>
          <w:sz w:val="20"/>
          <w:szCs w:val="20"/>
          <w:color w:val="auto"/>
        </w:rPr>
      </w:pPr>
      <w:r>
        <w:rPr>
          <w:rFonts w:ascii="Arial" w:cs="Arial" w:eastAsia="Arial" w:hAnsi="Arial"/>
          <w:sz w:val="17"/>
          <w:szCs w:val="17"/>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2"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2" w:lineRule="exact"/>
        <w:rPr>
          <w:sz w:val="20"/>
          <w:szCs w:val="20"/>
          <w:color w:val="auto"/>
        </w:rPr>
      </w:pPr>
    </w:p>
    <w:p>
      <w:pPr>
        <w:ind w:left="40" w:right="919"/>
        <w:spacing w:after="0" w:line="272" w:lineRule="auto"/>
        <w:rPr>
          <w:sz w:val="20"/>
          <w:szCs w:val="20"/>
          <w:color w:val="auto"/>
        </w:rPr>
      </w:pPr>
      <w:r>
        <w:rPr>
          <w:rFonts w:ascii="Arial" w:cs="Arial" w:eastAsia="Arial" w:hAnsi="Arial"/>
          <w:sz w:val="17"/>
          <w:szCs w:val="17"/>
          <w:b w:val="1"/>
          <w:bCs w:val="1"/>
          <w:i w:val="1"/>
          <w:iCs w:val="1"/>
          <w:color w:val="auto"/>
        </w:rPr>
        <w:t>If we are unable to maintain effective internal controls, our business, financial position and results of operations could be adversely affected.</w:t>
      </w:r>
    </w:p>
    <w:p>
      <w:pPr>
        <w:spacing w:after="0" w:line="136" w:lineRule="exact"/>
        <w:rPr>
          <w:sz w:val="20"/>
          <w:szCs w:val="20"/>
          <w:color w:val="auto"/>
        </w:rPr>
      </w:pPr>
    </w:p>
    <w:p>
      <w:pPr>
        <w:ind w:left="40" w:right="339"/>
        <w:spacing w:after="0" w:line="243" w:lineRule="auto"/>
        <w:rPr>
          <w:sz w:val="20"/>
          <w:szCs w:val="20"/>
          <w:color w:val="auto"/>
        </w:rPr>
      </w:pPr>
      <w:r>
        <w:rPr>
          <w:rFonts w:ascii="Arial" w:cs="Arial" w:eastAsia="Arial" w:hAnsi="Arial"/>
          <w:sz w:val="17"/>
          <w:szCs w:val="17"/>
          <w:color w:val="auto"/>
        </w:rPr>
        <w:t>As a public company, we are subject to the requirements of Section 404 of the Sarbanes-Oxley Act, which require annual management assessments of the effectiveness of our internal control over financial reporting. In addition, our independent registered public accounting firm is required to attest to the effectiveness of our internal control over financial reporting beginning with this Annual Report on Form 10-K for the year ended December 31, 2024.</w:t>
      </w:r>
    </w:p>
    <w:p>
      <w:pPr>
        <w:spacing w:after="0" w:line="168"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has in the past and may in the future identify material weaknesses or deficiencies. For example, we have previously identified material weaknesses in our internal control over financial reporting in the past, one of which we reported to have been remediated as of June 30, 2024. These reporting and other obligations place significant demands on our management and administrative and operational resources, including accounting resources.</w:t>
      </w:r>
    </w:p>
    <w:p>
      <w:pPr>
        <w:spacing w:after="0" w:line="170" w:lineRule="exact"/>
        <w:rPr>
          <w:sz w:val="20"/>
          <w:szCs w:val="20"/>
          <w:color w:val="auto"/>
        </w:rPr>
      </w:pPr>
    </w:p>
    <w:p>
      <w:pPr>
        <w:ind w:left="40" w:right="59"/>
        <w:spacing w:after="0" w:line="25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If we identify any future material weaknesses and are unable to remediate such material weakness and conclude that our internal control over financial reporting is effective, or if in the future our independent registered public accounting firm determines we have a material weakness in our internal control over financial reporting, this could have an adverse effect on our business, financial position and results of operations.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94"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99"/>
        <w:spacing w:after="0" w:line="239"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2" w:lineRule="exact"/>
        <w:rPr>
          <w:sz w:val="20"/>
          <w:szCs w:val="20"/>
          <w:color w:val="auto"/>
        </w:rPr>
      </w:pPr>
    </w:p>
    <w:p>
      <w:pPr>
        <w:ind w:left="40" w:right="399"/>
        <w:spacing w:after="0" w:line="272" w:lineRule="auto"/>
        <w:rPr>
          <w:sz w:val="20"/>
          <w:szCs w:val="20"/>
          <w:color w:val="auto"/>
        </w:rPr>
      </w:pPr>
      <w:r>
        <w:rPr>
          <w:rFonts w:ascii="Arial" w:cs="Arial" w:eastAsia="Arial" w:hAnsi="Arial"/>
          <w:sz w:val="17"/>
          <w:szCs w:val="17"/>
          <w:b w:val="1"/>
          <w:bCs w:val="1"/>
          <w:i w:val="1"/>
          <w:iCs w:val="1"/>
          <w:color w:val="auto"/>
        </w:rPr>
        <w:t>Future changes in financial accounting standards or practices may cause adverse and unexpected revenue fluctuations and adversely affect our reported results of operations.</w:t>
      </w:r>
    </w:p>
    <w:p>
      <w:pPr>
        <w:spacing w:after="0" w:line="136" w:lineRule="exact"/>
        <w:rPr>
          <w:sz w:val="20"/>
          <w:szCs w:val="20"/>
          <w:color w:val="auto"/>
        </w:rPr>
      </w:pPr>
    </w:p>
    <w:p>
      <w:pPr>
        <w:ind w:left="40" w:right="99"/>
        <w:spacing w:after="0" w:line="237"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w:t>
      </w:r>
    </w:p>
    <w:p>
      <w:pPr>
        <w:spacing w:after="0" w:line="174" w:lineRule="exact"/>
        <w:rPr>
          <w:sz w:val="20"/>
          <w:szCs w:val="20"/>
          <w:color w:val="auto"/>
        </w:rPr>
      </w:pPr>
    </w:p>
    <w:p>
      <w:pPr>
        <w:ind w:left="40" w:right="519"/>
        <w:spacing w:after="0" w:line="272"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136"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178" w:lineRule="exact"/>
        <w:rPr>
          <w:sz w:val="20"/>
          <w:szCs w:val="20"/>
          <w:color w:val="auto"/>
        </w:rPr>
      </w:pPr>
    </w:p>
    <w:p>
      <w:pPr>
        <w:ind w:left="40" w:right="579"/>
        <w:spacing w:after="0" w:line="272" w:lineRule="auto"/>
        <w:rPr>
          <w:sz w:val="20"/>
          <w:szCs w:val="20"/>
          <w:color w:val="auto"/>
        </w:rPr>
      </w:pPr>
      <w:r>
        <w:rPr>
          <w:rFonts w:ascii="Arial" w:cs="Arial" w:eastAsia="Arial" w:hAnsi="Arial"/>
          <w:sz w:val="17"/>
          <w:szCs w:val="17"/>
          <w:b w:val="1"/>
          <w:bCs w:val="1"/>
          <w:i w:val="1"/>
          <w:iCs w:val="1"/>
          <w:color w:val="auto"/>
        </w:rPr>
        <w:t>We could be subject to securities class action litigation or material legal proceedings which could have a negative impact on our reputation or business.</w:t>
      </w:r>
    </w:p>
    <w:p>
      <w:pPr>
        <w:spacing w:after="0" w:line="136"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In addition, from time to time, we are and may in the future be involved in legal and regulatory proceedings or investigations concerning matters that arise in the ordinary course of our business. Such proceedings could result in significant fines or penalties, have an adverse impact on our reputation, business and financial condition or results or operations and divert the attention of our management from the operation of our business.</w:t>
      </w:r>
    </w:p>
    <w:p>
      <w:pPr>
        <w:spacing w:after="0" w:line="174" w:lineRule="exact"/>
        <w:rPr>
          <w:sz w:val="20"/>
          <w:szCs w:val="20"/>
          <w:color w:val="auto"/>
        </w:rPr>
      </w:pPr>
    </w:p>
    <w:p>
      <w:pPr>
        <w:ind w:left="40" w:right="119"/>
        <w:spacing w:after="0" w:line="252"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52" w:lineRule="exact"/>
        <w:rPr>
          <w:sz w:val="20"/>
          <w:szCs w:val="20"/>
          <w:color w:val="auto"/>
        </w:rPr>
      </w:pPr>
    </w:p>
    <w:p>
      <w:pPr>
        <w:ind w:left="40" w:right="439"/>
        <w:spacing w:after="0" w:line="248" w:lineRule="auto"/>
        <w:rPr>
          <w:sz w:val="20"/>
          <w:szCs w:val="20"/>
          <w:color w:val="auto"/>
        </w:rPr>
      </w:pPr>
      <w:r>
        <w:rPr>
          <w:rFonts w:ascii="Arial" w:cs="Arial" w:eastAsia="Arial" w:hAnsi="Arial"/>
          <w:sz w:val="17"/>
          <w:szCs w:val="17"/>
          <w:color w:val="auto"/>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studies, our development plans and business.</w:t>
      </w:r>
    </w:p>
    <w:p>
      <w:pPr>
        <w:spacing w:after="0" w:line="174" w:lineRule="exact"/>
        <w:rPr>
          <w:sz w:val="20"/>
          <w:szCs w:val="20"/>
          <w:color w:val="auto"/>
        </w:rPr>
      </w:pPr>
    </w:p>
    <w:p>
      <w:pPr>
        <w:ind w:left="40" w:right="379"/>
        <w:spacing w:after="0" w:line="30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13"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76" w:lineRule="exact"/>
        <w:rPr>
          <w:sz w:val="20"/>
          <w:szCs w:val="20"/>
          <w:color w:val="auto"/>
        </w:rPr>
      </w:pPr>
    </w:p>
    <w:p>
      <w:pPr>
        <w:ind w:left="40" w:right="119"/>
        <w:spacing w:after="0" w:line="263"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3" w:lineRule="exact"/>
        <w:rPr>
          <w:sz w:val="20"/>
          <w:szCs w:val="20"/>
          <w:color w:val="auto"/>
        </w:rPr>
      </w:pPr>
    </w:p>
    <w:p>
      <w:pPr>
        <w:ind w:left="40" w:right="59"/>
        <w:spacing w:after="0" w:line="24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failure to meet Nasdaq’s continued listing requirements could result in a delisting of our ADSs.</w:t>
      </w:r>
    </w:p>
    <w:p>
      <w:pPr>
        <w:spacing w:after="0" w:line="194"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If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1B. Unresolved Staff Comments.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1C. Cybersecurity.</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Risk management and strategy</w:t>
      </w:r>
    </w:p>
    <w:p>
      <w:pPr>
        <w:spacing w:after="0" w:line="194" w:lineRule="exact"/>
        <w:rPr>
          <w:sz w:val="20"/>
          <w:szCs w:val="20"/>
          <w:color w:val="auto"/>
        </w:rPr>
      </w:pPr>
    </w:p>
    <w:p>
      <w:pPr>
        <w:ind w:left="40" w:right="159"/>
        <w:spacing w:after="0" w:line="239" w:lineRule="auto"/>
        <w:rPr>
          <w:sz w:val="20"/>
          <w:szCs w:val="20"/>
          <w:color w:val="auto"/>
        </w:rPr>
      </w:pPr>
      <w:r>
        <w:rPr>
          <w:rFonts w:ascii="Arial" w:cs="Arial" w:eastAsia="Arial" w:hAnsi="Arial"/>
          <w:sz w:val="17"/>
          <w:szCs w:val="17"/>
          <w:color w:val="auto"/>
        </w:rPr>
        <w:t>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trade secrets, data we may collect about trial participants in connection with clinical studies, sensitive third-party data, business plans, transactions, and financial information (“Information Systems and Data”).</w:t>
      </w:r>
    </w:p>
    <w:p>
      <w:pPr>
        <w:spacing w:after="0" w:line="170" w:lineRule="exact"/>
        <w:rPr>
          <w:sz w:val="20"/>
          <w:szCs w:val="20"/>
          <w:color w:val="auto"/>
        </w:rPr>
      </w:pPr>
    </w:p>
    <w:p>
      <w:pPr>
        <w:ind w:left="40" w:right="99"/>
        <w:spacing w:after="0" w:line="252" w:lineRule="auto"/>
        <w:rPr>
          <w:sz w:val="20"/>
          <w:szCs w:val="20"/>
          <w:color w:val="auto"/>
        </w:rPr>
      </w:pPr>
      <w:r>
        <w:rPr>
          <w:rFonts w:ascii="Arial" w:cs="Arial" w:eastAsia="Arial" w:hAnsi="Arial"/>
          <w:sz w:val="16"/>
          <w:szCs w:val="16"/>
          <w:color w:val="auto"/>
        </w:rPr>
        <w:t>The cybersecurity function within the Company helps identify, assess and manage the Company’s cybersecurity threats and risks. Our cybersecurity function identifies and assesses risks from cybersecurity threats by monitoring and evaluating our threat environment using various methods including, for example manual tools, internal or external audits, automated tools, subscribing to and analyzing reports and services that identify cybersecurity threats and threat actors, conducting vulnerability assessments to identify vulnerabilities, conducting scans of the threat environment, and evaluating threats reported to us. 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policy, incident detection and response, data encryption, network security controls, system monitoring, penetration testing, employee training, a dedicated cybersecurity staff member, and physical security mechanisms.</w:t>
      </w:r>
    </w:p>
    <w:p>
      <w:pPr>
        <w:spacing w:after="0" w:line="163"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Our assessment and management of material risks from cybersecurity threats are integrated into the Company’s overall risk management processes. For example, the cybersecurity function works with management to prioritize our risk management processes and mitigate cybersecurity threats that are more likely to lead to a material impact to our business.</w:t>
      </w:r>
    </w:p>
    <w:p>
      <w:pPr>
        <w:spacing w:after="0" w:line="168"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We use third-party service providers to assist us from time to time to identify, assess, and manage material risks from cybersecurity threats, including for example cybersecurity software providers, managed cybersecurity service providers, and penetration testing firms. We also use third-party service providers to perform a variety of functions throughout our business, such as application providers and hosting companies. We manage cybersecurity risks associated with our use of these providers by reviewing their security assessments and applicable reports.</w:t>
      </w:r>
    </w:p>
    <w:p>
      <w:pPr>
        <w:spacing w:after="0" w:line="171" w:lineRule="exact"/>
        <w:rPr>
          <w:sz w:val="20"/>
          <w:szCs w:val="20"/>
          <w:color w:val="auto"/>
        </w:rPr>
      </w:pPr>
    </w:p>
    <w:p>
      <w:pPr>
        <w:ind w:left="40" w:right="279"/>
        <w:spacing w:after="0" w:line="265" w:lineRule="auto"/>
        <w:rPr>
          <w:sz w:val="20"/>
          <w:szCs w:val="20"/>
          <w:color w:val="auto"/>
        </w:rPr>
      </w:pPr>
      <w:r>
        <w:rPr>
          <w:rFonts w:ascii="Arial" w:cs="Arial" w:eastAsia="Arial" w:hAnsi="Arial"/>
          <w:sz w:val="17"/>
          <w:szCs w:val="17"/>
          <w:color w:val="auto"/>
        </w:rPr>
        <w:t>For a description of the risks from cybersecurity threats that may materially affect the Company and how they may do so, see our risk factors under Part 1. Item 1A. Risk Factors in this Annual Report on Form 10-K, including:</w:t>
      </w:r>
    </w:p>
    <w:p>
      <w:pPr>
        <w:spacing w:after="0" w:line="149" w:lineRule="exact"/>
        <w:rPr>
          <w:sz w:val="20"/>
          <w:szCs w:val="20"/>
          <w:color w:val="auto"/>
        </w:rPr>
      </w:pPr>
    </w:p>
    <w:p>
      <w:pPr>
        <w:ind w:left="680" w:right="199" w:hanging="307"/>
        <w:spacing w:after="0" w:line="264" w:lineRule="auto"/>
        <w:tabs>
          <w:tab w:leader="none" w:pos="68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Confidentiality agreements with employees and third-parties may not prevent unauthorized disclosure of trade secrets and other proprietary information;</w:t>
      </w:r>
    </w:p>
    <w:p>
      <w:pPr>
        <w:spacing w:after="0" w:line="149" w:lineRule="exact"/>
        <w:rPr>
          <w:rFonts w:ascii="Times New Roman" w:cs="Times New Roman" w:eastAsia="Times New Roman" w:hAnsi="Times New Roman"/>
          <w:sz w:val="17"/>
          <w:szCs w:val="17"/>
          <w:color w:val="auto"/>
        </w:rPr>
      </w:pPr>
    </w:p>
    <w:p>
      <w:pPr>
        <w:jc w:val="both"/>
        <w:ind w:left="680" w:right="259" w:hanging="307"/>
        <w:spacing w:after="0" w:line="248" w:lineRule="auto"/>
        <w:tabs>
          <w:tab w:leader="none" w:pos="68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The adoption and deployment of AI in our, and any third-party collaborators’ operations, and in particular our and any third-party collaborators’ R&amp;D efforts to explore new targets and develop effective products, may not be effective and may expose us to risk;</w:t>
      </w:r>
    </w:p>
    <w:p>
      <w:pPr>
        <w:spacing w:after="0" w:line="163" w:lineRule="exact"/>
        <w:rPr>
          <w:rFonts w:ascii="Times New Roman" w:cs="Times New Roman" w:eastAsia="Times New Roman" w:hAnsi="Times New Roman"/>
          <w:sz w:val="17"/>
          <w:szCs w:val="17"/>
          <w:color w:val="auto"/>
        </w:rPr>
      </w:pPr>
    </w:p>
    <w:p>
      <w:pPr>
        <w:ind w:left="680" w:right="319" w:hanging="307"/>
        <w:spacing w:after="0" w:line="243" w:lineRule="auto"/>
        <w:tabs>
          <w:tab w:leader="none" w:pos="68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If our information technology systems or data, or those of third-parties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right="219"/>
        <w:spacing w:after="0" w:line="265" w:lineRule="auto"/>
        <w:rPr>
          <w:sz w:val="20"/>
          <w:szCs w:val="20"/>
          <w:color w:val="auto"/>
        </w:rPr>
      </w:pPr>
      <w:r>
        <w:rPr>
          <w:rFonts w:ascii="Arial" w:cs="Arial" w:eastAsia="Arial" w:hAnsi="Arial"/>
          <w:sz w:val="17"/>
          <w:szCs w:val="17"/>
          <w:color w:val="auto"/>
        </w:rPr>
        <w:t>disruptions of our business operations; loss of revenue or profits; loss of customers or sales; or other adverse consequences; and</w:t>
      </w:r>
    </w:p>
    <w:p>
      <w:pPr>
        <w:spacing w:after="0" w:line="149" w:lineRule="exact"/>
        <w:rPr>
          <w:sz w:val="20"/>
          <w:szCs w:val="20"/>
          <w:color w:val="auto"/>
        </w:rPr>
      </w:pPr>
    </w:p>
    <w:p>
      <w:pPr>
        <w:ind w:left="680" w:right="439" w:hanging="307"/>
        <w:spacing w:after="0" w:line="248" w:lineRule="auto"/>
        <w:tabs>
          <w:tab w:leader="none" w:pos="68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We rely on trade secret and proprietary know-how which can be difficult to trace and enforce and, if we are unable to protect the confidentiality of our trade secrets, our business and competitive position would be harmed.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Governance</w:t>
      </w:r>
    </w:p>
    <w:p>
      <w:pPr>
        <w:spacing w:after="0" w:line="194" w:lineRule="exact"/>
        <w:rPr>
          <w:sz w:val="20"/>
          <w:szCs w:val="20"/>
          <w:color w:val="auto"/>
        </w:rPr>
      </w:pPr>
    </w:p>
    <w:p>
      <w:pPr>
        <w:ind w:left="40" w:right="419"/>
        <w:spacing w:after="0" w:line="248" w:lineRule="auto"/>
        <w:rPr>
          <w:sz w:val="20"/>
          <w:szCs w:val="20"/>
          <w:color w:val="auto"/>
        </w:rPr>
      </w:pPr>
      <w:r>
        <w:rPr>
          <w:rFonts w:ascii="Arial" w:cs="Arial" w:eastAsia="Arial" w:hAnsi="Arial"/>
          <w:sz w:val="17"/>
          <w:szCs w:val="17"/>
          <w:color w:val="auto"/>
        </w:rPr>
        <w:t>Our board of directors addresses the Company’s cybersecurity risk management as part of its general oversight function. Our Audit Committee is responsible for overseeing Company’s cybersecurity risk management processes, including oversight of mitigation of risks from cybersecurity threats.</w:t>
      </w:r>
    </w:p>
    <w:p>
      <w:pPr>
        <w:spacing w:after="0" w:line="164" w:lineRule="exact"/>
        <w:rPr>
          <w:sz w:val="20"/>
          <w:szCs w:val="20"/>
          <w:color w:val="auto"/>
        </w:rPr>
      </w:pPr>
    </w:p>
    <w:p>
      <w:pPr>
        <w:ind w:left="40" w:right="199"/>
        <w:spacing w:after="0"/>
        <w:rPr>
          <w:sz w:val="20"/>
          <w:szCs w:val="20"/>
          <w:color w:val="auto"/>
        </w:rPr>
      </w:pPr>
      <w:r>
        <w:rPr>
          <w:rFonts w:ascii="Arial" w:cs="Arial" w:eastAsia="Arial" w:hAnsi="Arial"/>
          <w:sz w:val="17"/>
          <w:szCs w:val="17"/>
          <w:color w:val="auto"/>
        </w:rPr>
        <w:t>Our cybersecurity risk assessment and management processes are implemented and maintained by certain Company management, including our Senior Director of Internal Controls and SOX Compliance, who has over 20 years in the areas of internal controls and SOX compliance reporting; our Director of IT Security and Compliance, who has over 20 years of IT experience, the past four of which have been in security; and our CFO, who has over 20 years of business development experience.</w:t>
      </w:r>
    </w:p>
    <w:p>
      <w:pPr>
        <w:spacing w:after="0" w:line="171" w:lineRule="exact"/>
        <w:rPr>
          <w:sz w:val="20"/>
          <w:szCs w:val="20"/>
          <w:color w:val="auto"/>
        </w:rPr>
      </w:pPr>
    </w:p>
    <w:p>
      <w:pPr>
        <w:ind w:left="40" w:right="359"/>
        <w:spacing w:after="0"/>
        <w:rPr>
          <w:sz w:val="20"/>
          <w:szCs w:val="20"/>
          <w:color w:val="auto"/>
        </w:rPr>
      </w:pPr>
      <w:r>
        <w:rPr>
          <w:rFonts w:ascii="Arial" w:cs="Arial" w:eastAsia="Arial" w:hAnsi="Arial"/>
          <w:sz w:val="17"/>
          <w:szCs w:val="17"/>
          <w:color w:val="auto"/>
        </w:rPr>
        <w:t>Our cybersecurity function is responsible for hiring appropriate personnel, helping to integrate cybersecurity risk considerations into the Company’s overall risk management strategy, and communicating key priorities to relevant personnel. Our CFO and cybersecurity function are responsible for approving budgets, helping prepare for cybersecurity incidents, approving cybersecurity processes, and reviewing security assessments and other security-related reports.</w:t>
      </w:r>
    </w:p>
    <w:p>
      <w:pPr>
        <w:spacing w:after="0" w:line="171" w:lineRule="exact"/>
        <w:rPr>
          <w:sz w:val="20"/>
          <w:szCs w:val="20"/>
          <w:color w:val="auto"/>
        </w:rPr>
      </w:pPr>
    </w:p>
    <w:p>
      <w:pPr>
        <w:ind w:left="40" w:right="219"/>
        <w:spacing w:after="0" w:line="263" w:lineRule="auto"/>
        <w:rPr>
          <w:sz w:val="20"/>
          <w:szCs w:val="20"/>
          <w:color w:val="auto"/>
        </w:rPr>
      </w:pPr>
      <w:r>
        <w:rPr>
          <w:rFonts w:ascii="Arial" w:cs="Arial" w:eastAsia="Arial" w:hAnsi="Arial"/>
          <w:sz w:val="16"/>
          <w:szCs w:val="16"/>
          <w:color w:val="auto"/>
        </w:rPr>
        <w:t>Our response process to cybersecurity incidents is designed to escalate certain incidents to members of management depending on the circumstances, including the CFO. Our CFO and others work with the Company’s incident response team to help the Company mitigate and remediate cybersecurity incidents of which they are notified. In addition, the Company’s incident response policy includes reporting to the Audit Committee for certain cybersecurity incidents.</w:t>
      </w:r>
    </w:p>
    <w:p>
      <w:pPr>
        <w:spacing w:after="0" w:line="153"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The Audit Committee receives periodic reports from our cybersecurity function concerning the Company’s significant cybersecurity threats and risk and the processes the Company has implemented to address them. The Audit Committee also has access to various reports, summaries or presentations related to cybersecurity threats, risk and mitigation.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Properties.</w:t>
      </w:r>
    </w:p>
    <w:p>
      <w:pPr>
        <w:spacing w:after="0" w:line="196"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Our principal executive office is located in South San Francisco, California where we lease a total of approximately 11,800 square feet of office space that we use for our administrative and other activities. The lease commenced in July 2023 and will expire on August 31, 2027. We also have a development and operations office located in Shanghai, China where we lease a total of approximately 22,500 square feet of office space. This lease expires on December 31, 2026. We also lease a total of approximately 8,400 square feet of laboratory space located in Shanghai, China for our research and development activities. This lease expires on January 31, 2027. We believe that our facilities are sufficient to meet our current needs and that suitable additional space will be available as and when needed.</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Legal Proceedings.</w:t>
      </w:r>
    </w:p>
    <w:p>
      <w:pPr>
        <w:spacing w:after="0" w:line="196" w:lineRule="exact"/>
        <w:rPr>
          <w:sz w:val="20"/>
          <w:szCs w:val="20"/>
          <w:color w:val="auto"/>
        </w:rPr>
      </w:pPr>
    </w:p>
    <w:p>
      <w:pPr>
        <w:ind w:left="40" w:right="319"/>
        <w:spacing w:after="0" w:line="248" w:lineRule="auto"/>
        <w:rPr>
          <w:sz w:val="20"/>
          <w:szCs w:val="20"/>
          <w:color w:val="auto"/>
        </w:rPr>
      </w:pPr>
      <w:r>
        <w:rPr>
          <w:rFonts w:ascii="Arial" w:cs="Arial" w:eastAsia="Arial" w:hAnsi="Arial"/>
          <w:sz w:val="17"/>
          <w:szCs w:val="17"/>
          <w:color w:val="auto"/>
        </w:rPr>
        <w:t>To the best of our knowledge, we are not currently the subject of any material governmental investigation, private lawsuit or other legal proceeding. From time to time, we are and may in the future be involved in legal and regulatory proceedings or investigations concerning matters that arise in the ordinary course of our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79"/>
        <w:spacing w:after="0" w:line="248" w:lineRule="auto"/>
        <w:rPr>
          <w:sz w:val="20"/>
          <w:szCs w:val="20"/>
          <w:color w:val="auto"/>
        </w:rPr>
      </w:pPr>
      <w:r>
        <w:rPr>
          <w:rFonts w:ascii="Arial" w:cs="Arial" w:eastAsia="Arial" w:hAnsi="Arial"/>
          <w:sz w:val="17"/>
          <w:szCs w:val="17"/>
          <w:color w:val="auto"/>
        </w:rPr>
        <w:t>business and that could result in significant fines or penalties, have an adverse impact on our reputation, business and financial condition or results of operations and divert the attention of our management from the operation of our business.</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Mine Safety Disclosures.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196" w:lineRule="exact"/>
        <w:rPr>
          <w:sz w:val="20"/>
          <w:szCs w:val="20"/>
          <w:color w:val="auto"/>
        </w:rPr>
      </w:pPr>
    </w:p>
    <w:p>
      <w:pPr>
        <w:ind w:left="40" w:right="319"/>
        <w:spacing w:after="0" w:line="275"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Market Information</w:t>
      </w:r>
    </w:p>
    <w:p>
      <w:pPr>
        <w:spacing w:after="0" w:line="196" w:lineRule="exact"/>
        <w:rPr>
          <w:sz w:val="20"/>
          <w:szCs w:val="20"/>
          <w:color w:val="auto"/>
        </w:rPr>
      </w:pPr>
    </w:p>
    <w:p>
      <w:pPr>
        <w:ind w:left="40" w:right="319"/>
        <w:spacing w:after="0" w:line="265" w:lineRule="auto"/>
        <w:rPr>
          <w:sz w:val="20"/>
          <w:szCs w:val="20"/>
          <w:color w:val="auto"/>
        </w:rPr>
      </w:pPr>
      <w:r>
        <w:rPr>
          <w:rFonts w:ascii="Arial" w:cs="Arial" w:eastAsia="Arial" w:hAnsi="Arial"/>
          <w:sz w:val="17"/>
          <w:szCs w:val="17"/>
          <w:color w:val="auto"/>
        </w:rPr>
        <w:t>Our ADSs have been listed on the Nasdaq Global Market under the symbol “GPCR” since February 3, 2023. Prior to this date, there was no public market for our ADSs.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Holders of Ordinary Shares</w:t>
      </w:r>
    </w:p>
    <w:p>
      <w:pPr>
        <w:spacing w:after="0" w:line="196"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As of January 31, 2025, there were 24 holders of record of our ordinary shares. The actual number of beneficial owners of ordinary shares is greater than this number of record holders and includes persons who are beneficial owners but whose shares are held in street name by brokers and other nominees. JPMorgan Chase Bank, N.A. is the depositary for our ADSs.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Dividend Policy</w:t>
      </w:r>
    </w:p>
    <w:p>
      <w:pPr>
        <w:spacing w:after="0" w:line="196"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We have never declared or paid dividends on our ordinary shares. We currently expect to retain all future earnings for use in the operation and expansion of our business and do not anticipate paying cash dividends in the foreseeable future. The declaration, amount and payment of any dividends in the future will be determined by our board of directors, in its discretion, and will depend on a number of factors, including our earnings, capital requirements, overall financial condition and contractual, legal, tax and regulatory restrictions. In addition, our shareholders may, subject to our memorandum and articles of association, by ordinary resolution declare a dividend, but no dividend may exceed the amount recommended by our board of directors. If we elect to pay such dividends in the future, we may reduce or discontinue entirely the payment of such dividends at any time. If we pay any dividends, ADS holders will generally have the right to receive the dividends paid on the underlying ordinary shares, subject to the terms of the deposit agreement by and among us, the depositary and the holders and beneficial owners of ADSs, including the fees and expenses payable thereunder.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There were no unregistered sales of equity securities during the period covered by this Annual Report.</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Use of Proceeds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Purchases of Equity Securities by the Issuer</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Taxation</w:t>
      </w:r>
    </w:p>
    <w:p>
      <w:pPr>
        <w:spacing w:after="0" w:line="196" w:lineRule="exact"/>
        <w:rPr>
          <w:sz w:val="20"/>
          <w:szCs w:val="20"/>
          <w:color w:val="auto"/>
        </w:rPr>
      </w:pPr>
    </w:p>
    <w:p>
      <w:pPr>
        <w:ind w:left="40" w:right="59"/>
        <w:spacing w:after="0" w:line="243" w:lineRule="auto"/>
        <w:rPr>
          <w:sz w:val="20"/>
          <w:szCs w:val="20"/>
          <w:color w:val="auto"/>
        </w:rPr>
      </w:pPr>
      <w:r>
        <w:rPr>
          <w:rFonts w:ascii="Arial" w:cs="Arial" w:eastAsia="Arial" w:hAnsi="Arial"/>
          <w:sz w:val="17"/>
          <w:szCs w:val="17"/>
          <w:color w:val="auto"/>
        </w:rPr>
        <w:t>The following is a discussion of the material Cayman Islands, PRC and U.S. federal income tax considerations that may be relevant to an investment decision by a potential investor with respect to our ADSs or ordinary shares. This summary should not be considered a comprehensive description of all the tax considerations that may be relevant to the decisions to acquire ADSs or ordinary shares.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Material Cayman Islands Taxation</w:t>
      </w:r>
    </w:p>
    <w:p>
      <w:pPr>
        <w:spacing w:after="0" w:line="196"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Regardless of the application of Section 7874 of the Code (as discussed below), we are also treated as a Cayman Islands corporation for Cayman Islands tax purposes. However, we are not subject to income or capital gains tax under the current laws of the Cayman Islands. We believe there are no other taxes likely to be material to us levied by the government of the Cayman Islands. We are and are expected to continue to be a Cayman Islands corporation as of the date of this Annual Report. We are treated as an exempted company for Cayman Islands tax purposes.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Material PRC Taxation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are a holding company incorporated in the Cayman Islands.</w:t>
      </w:r>
    </w:p>
    <w:p>
      <w:pPr>
        <w:spacing w:after="0" w:line="196" w:lineRule="exact"/>
        <w:rPr>
          <w:sz w:val="20"/>
          <w:szCs w:val="20"/>
          <w:color w:val="auto"/>
        </w:rPr>
      </w:pPr>
    </w:p>
    <w:p>
      <w:pPr>
        <w:ind w:left="40" w:right="99"/>
        <w:spacing w:after="0" w:line="251" w:lineRule="auto"/>
        <w:rPr>
          <w:sz w:val="20"/>
          <w:szCs w:val="20"/>
          <w:color w:val="auto"/>
        </w:rPr>
      </w:pPr>
      <w:r>
        <w:rPr>
          <w:rFonts w:ascii="Arial" w:cs="Arial" w:eastAsia="Arial" w:hAnsi="Arial"/>
          <w:sz w:val="16"/>
          <w:szCs w:val="16"/>
          <w:color w:val="auto"/>
        </w:rPr>
        <w:t>Under the EIT Law and its implementation rules, an enterprise established outside of China with a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SAT Circular 82, which provides certain specific criteria for determining whether the “de facto management body” of a Chinese-controlled enterprise that is incorporated offshore is located in China. Although this circular only applies to offshore enterprises controlled by Chinese enterprises or Chinese enterprise groups, not those controlled by Chinese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all offshore enterprises controlled by a Chinese enterprise or a Chinese enterprise will be regarded as a Chinese tax resident by virtue of having its “de facto management body” in China only if all of the following conditions are met:</w:t>
      </w:r>
    </w:p>
    <w:p>
      <w:pPr>
        <w:spacing w:after="0" w:line="165" w:lineRule="exact"/>
        <w:rPr>
          <w:sz w:val="20"/>
          <w:szCs w:val="20"/>
          <w:color w:val="auto"/>
        </w:rPr>
      </w:pPr>
    </w:p>
    <w:p>
      <w:pPr>
        <w:ind w:left="680" w:hanging="307"/>
        <w:spacing w:after="0"/>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primary location of the day-to-day operational management is in China;</w:t>
      </w:r>
    </w:p>
    <w:p>
      <w:pPr>
        <w:spacing w:after="0" w:line="195" w:lineRule="exact"/>
        <w:rPr>
          <w:rFonts w:ascii="Arial" w:cs="Arial" w:eastAsia="Arial" w:hAnsi="Arial"/>
          <w:sz w:val="17"/>
          <w:szCs w:val="17"/>
          <w:color w:val="auto"/>
        </w:rPr>
      </w:pPr>
    </w:p>
    <w:p>
      <w:pPr>
        <w:ind w:left="680" w:right="99" w:hanging="307"/>
        <w:spacing w:after="0" w:line="265" w:lineRule="auto"/>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decisions relating to the enterprise’s financial and human resource matters are made or are subject to approval by organizations or personnel in China;</w:t>
      </w:r>
    </w:p>
    <w:p>
      <w:pPr>
        <w:spacing w:after="0" w:line="148" w:lineRule="exact"/>
        <w:rPr>
          <w:rFonts w:ascii="Arial" w:cs="Arial" w:eastAsia="Arial" w:hAnsi="Arial"/>
          <w:sz w:val="17"/>
          <w:szCs w:val="17"/>
          <w:color w:val="auto"/>
        </w:rPr>
      </w:pPr>
    </w:p>
    <w:p>
      <w:pPr>
        <w:ind w:left="680" w:right="379" w:hanging="307"/>
        <w:spacing w:after="0" w:line="265" w:lineRule="auto"/>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enterprise’s primary assets, accounting books and records, company seals, and board and shareholder resolutions, are located or maintained in China; and</w:t>
      </w:r>
    </w:p>
    <w:p>
      <w:pPr>
        <w:spacing w:after="0" w:line="148" w:lineRule="exact"/>
        <w:rPr>
          <w:rFonts w:ascii="Arial" w:cs="Arial" w:eastAsia="Arial" w:hAnsi="Arial"/>
          <w:sz w:val="17"/>
          <w:szCs w:val="17"/>
          <w:color w:val="auto"/>
        </w:rPr>
      </w:pPr>
    </w:p>
    <w:p>
      <w:pPr>
        <w:ind w:left="680" w:hanging="307"/>
        <w:spacing w:after="0"/>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at least 50% of voting board members or senior executives habitually reside in China.</w:t>
      </w:r>
    </w:p>
    <w:p>
      <w:pPr>
        <w:spacing w:after="0" w:line="196"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We believe that neither we nor any of its subsidiaries outside of China is a Chinese resident enterprise for Chinese tax purposes. We are not controlled by a Chinese enterprise or Chinese enterprise group, and we do not believe that we meet all of the conditions above. We are a company incorporated outside China. As a holding company, a majority of assets are located, and our records (including the resolutions of its board of directors and the resolutions of its shareholders) are maintained, outside China. For the same reasons, we believe our other subsidiaries outside of China are also not Chinese resident enterprises for Chinese tax purposes. However, the tax resident status of an enterprise is subject to determination by the Chinese tax authorities and uncertainties remain with respect to the interpretation of the term “de facto management body.”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5" w:lineRule="auto"/>
        <w:rPr>
          <w:sz w:val="20"/>
          <w:szCs w:val="20"/>
          <w:color w:val="auto"/>
        </w:rPr>
      </w:pPr>
      <w:r>
        <w:rPr>
          <w:rFonts w:ascii="Arial" w:cs="Arial" w:eastAsia="Arial" w:hAnsi="Arial"/>
          <w:sz w:val="17"/>
          <w:szCs w:val="17"/>
          <w:color w:val="auto"/>
        </w:rPr>
        <w:t>If the Chinese tax authorities determine that we are a Chinese resident enterprise for Enterprise Income Tax (“EIT”), purposes, we may be required to withhold tax at a rate of 10% on dividends we pay to our shareholders, including holders of our ADSs, that are non-resident enterprises. In addition, non-resident enterprise shareholders (including our ADS holders) may be subject to a 10% Chinese withholding tax on gains realized on the sale or other disposition of ordinary shares or ADSs, if such income is treated as sourced from within China. Furthermore, gains derived by our non-Chinese individual shareholders from the sale of our ordinary shares and ADSs may be subject to a 20% Chinese withholding tax. It is unclear whether our non-Chinese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dividends realized by non-Chinese individuals, it will generally apply at a rate of 20%. The Chinese tax liability may be reduced under applicable tax treaties. However, it is unclear whether our non-Chinese shareholders would be able to claim the benefits of any tax treaty between their country of tax residence and China in the event that we are treated as a Chinese resident enterprise.</w:t>
      </w:r>
    </w:p>
    <w:p>
      <w:pPr>
        <w:spacing w:after="0" w:line="175" w:lineRule="exact"/>
        <w:rPr>
          <w:sz w:val="20"/>
          <w:szCs w:val="20"/>
          <w:color w:val="auto"/>
        </w:rPr>
      </w:pPr>
    </w:p>
    <w:p>
      <w:pPr>
        <w:ind w:left="40" w:right="279"/>
        <w:spacing w:after="0" w:line="248" w:lineRule="auto"/>
        <w:rPr>
          <w:sz w:val="20"/>
          <w:szCs w:val="20"/>
          <w:color w:val="auto"/>
        </w:rPr>
      </w:pPr>
      <w:r>
        <w:rPr>
          <w:rFonts w:ascii="Arial" w:cs="Arial" w:eastAsia="Arial" w:hAnsi="Arial"/>
          <w:sz w:val="17"/>
          <w:szCs w:val="17"/>
          <w:color w:val="auto"/>
        </w:rPr>
        <w:t>See Part I, Item 1A. “Risk Factors – Risks Related to Doing Business in China and Our International Operations-If we are classified as a China resident enterprise for China income tax purposes, such classification could result in unfavorable tax consequences to us and our non-Chinese shareholders or ADS holders.”</w:t>
      </w:r>
    </w:p>
    <w:p>
      <w:pPr>
        <w:spacing w:after="0" w:line="164" w:lineRule="exact"/>
        <w:rPr>
          <w:sz w:val="20"/>
          <w:szCs w:val="20"/>
          <w:color w:val="auto"/>
        </w:rPr>
      </w:pPr>
    </w:p>
    <w:p>
      <w:pPr>
        <w:ind w:left="40" w:right="59"/>
        <w:spacing w:after="0" w:line="233" w:lineRule="auto"/>
        <w:rPr>
          <w:sz w:val="20"/>
          <w:szCs w:val="20"/>
          <w:color w:val="auto"/>
        </w:rPr>
      </w:pPr>
      <w:r>
        <w:rPr>
          <w:rFonts w:ascii="Arial" w:cs="Arial" w:eastAsia="Arial" w:hAnsi="Arial"/>
          <w:sz w:val="17"/>
          <w:szCs w:val="17"/>
          <w:color w:val="auto"/>
        </w:rPr>
        <w:t>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Chinese-sourced income at a rate of 10%. Pursuant to the Arrangement between Mainland China and the Hong Kong Special Administrative Region for the Avoidance of Double Taxation and Tax Evasion on Income, the tax rate in respect to dividends paid by a Chinese enterprise to a Hong Kong enterprise is reduced to 5% from a standard rate of 10% if the Hong Kong enterprise directly holds at least 25% of the Chinese enterprise. Pursuant to the Notice of the State Administration of Taxation on the Issues concerning the Application of the Dividend Clauses of Tax Agreements (“SAT Circular 81”), a Hong Kong resident enterprise must meet the following conditions, among others, in order to enjoy the reduced tax rate: (i) it must directly own the required percentage of equity interests and voting rights in the Chinese resident enterprise; and (ii) it must have directly owned such percentage in the Chinese resident enterprise throughout the 12 months prior to receiving the dividends. Additionally, China has started an anti-tax treaty shopping practice since the issuance of Circular 601 in 2009. On February 3, 2018, the State Administration of Taxation released the Announcement on Issues concerning the “Beneficial Owner” in Tax Treaties (“PN9”), which provides guidelines in determining a beneficial owner qualification under dividends, interest and royalty articles of tax treaties. Chinese tax authorities in general often scrutinize fact patterns case by case in determining foreign shareholders’ qualifications for a reduced treaty withholding tax rate, especially against foreign companies that are perceived as being conduits or lacking commercial substance. Furthermore, according to the Administrative Measures for Non-Resident Enterprises to Enjoy Treatments under Tax Treaties, which became effective in January 2020, where non-resident enterprises judge by themselves that they meet the conditions for entitlement to reduced tax rate according to tax treaties, they may enjoy such entitlement after reporting required information to competent tax authorities provided that they shall collect and retain relevant documents for future reference and inspections. Accordingly, our ShouTi Hong Kong Ltd. Subsidiary may be able to enjoy the 5% tax rate for the dividends it receives from its Chinese incorporated subsidiaries if they satisfy the conditions prescribed under SAT Circular 81, PN9 and other relevant tax rules and regulations and complete the necessary government formalities.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190"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If our Cayman Islands holding company, Structure Therapeutics Inc., is not deemed to be a Chinese resident enterprise, holders of our ordinary shares and ADSs who are not Chinese residents will not be subject to Chinese income tax on dividends distributed by us. With respect to gains realized from the sale or other disposition of the shares or ADSs, there is a possibility that a Chinese tax authority may impose an income tax under the indirect transfer rules set out under the Announcement of the State Administration of Taxation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40" w:right="279"/>
        <w:spacing w:after="0" w:line="263" w:lineRule="auto"/>
        <w:rPr>
          <w:sz w:val="20"/>
          <w:szCs w:val="20"/>
          <w:color w:val="auto"/>
        </w:rPr>
      </w:pPr>
      <w:r>
        <w:rPr>
          <w:rFonts w:ascii="Arial" w:cs="Arial" w:eastAsia="Arial" w:hAnsi="Arial"/>
          <w:sz w:val="16"/>
          <w:szCs w:val="16"/>
          <w:color w:val="auto"/>
        </w:rPr>
        <w:t>on Several Issues Concerning the Enterprise Income Tax on Indirect Property Transfer by Non-Resident Enterprises (“SAT Circular 7”), except that such transaction could fall under the safe harbor thereunder. See Part I, Item 1A. “Risk Factors – Risks Related to Doing Business in China and Our International Operations-We and our shareholders face uncertainties in China with respect to indirect transfers of equity interests in China resident enterprises.”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Material U.S. Federal Income Tax Consequences</w:t>
      </w:r>
    </w:p>
    <w:p>
      <w:pPr>
        <w:spacing w:after="0" w:line="196"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The following is a summary of the material U.S. federal income tax consequences to U.S. holders and non-U.S. holders (each, as defined below) of the acquisition, ownership and disposition of our ordinary shares or ADSs. This discussion is not a complete analysis of all potential U.S. federal income tax consequences relating thereto, and does not address the potential application of the Medicare contribution tax or the alternative minimum tax, the impact of special tax accounting rules under Section 451(b) of the Code,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U.S. Internal Revenue Service (the “IRS”), all as in effect as of the date of this Annual Report.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7" w:lineRule="exact"/>
        <w:rPr>
          <w:sz w:val="20"/>
          <w:szCs w:val="20"/>
          <w:color w:val="auto"/>
        </w:rPr>
      </w:pPr>
    </w:p>
    <w:p>
      <w:pPr>
        <w:ind w:left="40" w:right="359"/>
        <w:spacing w:after="0"/>
        <w:rPr>
          <w:sz w:val="20"/>
          <w:szCs w:val="20"/>
          <w:color w:val="auto"/>
        </w:rPr>
      </w:pPr>
      <w:r>
        <w:rPr>
          <w:rFonts w:ascii="Arial" w:cs="Arial" w:eastAsia="Arial" w:hAnsi="Arial"/>
          <w:sz w:val="17"/>
          <w:szCs w:val="17"/>
          <w:color w:val="auto"/>
        </w:rPr>
        <w:t>This discussion is limited to holders who hold our ordinary shares or ADSs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53" w:lineRule="exact"/>
        <w:rPr>
          <w:sz w:val="20"/>
          <w:szCs w:val="20"/>
          <w:color w:val="auto"/>
        </w:rPr>
      </w:pPr>
    </w:p>
    <w:p>
      <w:pPr>
        <w:jc w:val="both"/>
        <w:ind w:left="680" w:right="3419"/>
        <w:spacing w:after="0" w:line="495" w:lineRule="auto"/>
        <w:rPr>
          <w:sz w:val="20"/>
          <w:szCs w:val="20"/>
          <w:color w:val="auto"/>
        </w:rPr>
      </w:pPr>
      <w:r>
        <w:rPr>
          <w:rFonts w:ascii="Arial" w:cs="Arial" w:eastAsia="Arial" w:hAnsi="Arial"/>
          <w:sz w:val="17"/>
          <w:szCs w:val="17"/>
          <w:color w:val="auto"/>
        </w:rPr>
        <w:t>certain former citizens or long-term residents of the United States; partnerships or other pass-through entities (and investors therein); “controlled foreign corporations”;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“passive foreign investment companies”;</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corporations that accumulate earnings to avoid U.S. federal income tax;</w:t>
      </w:r>
    </w:p>
    <w:p>
      <w:pPr>
        <w:spacing w:after="0" w:line="208" w:lineRule="exact"/>
        <w:rPr>
          <w:sz w:val="20"/>
          <w:szCs w:val="20"/>
          <w:color w:val="auto"/>
        </w:rPr>
      </w:pPr>
    </w:p>
    <w:p>
      <w:pPr>
        <w:ind w:left="680" w:right="199"/>
        <w:spacing w:after="0" w:line="495" w:lineRule="auto"/>
        <w:rPr>
          <w:sz w:val="20"/>
          <w:szCs w:val="20"/>
          <w:color w:val="auto"/>
        </w:rPr>
      </w:pPr>
      <w:r>
        <w:rPr>
          <w:rFonts w:ascii="Arial" w:cs="Arial" w:eastAsia="Arial" w:hAnsi="Arial"/>
          <w:sz w:val="17"/>
          <w:szCs w:val="17"/>
          <w:color w:val="auto"/>
        </w:rPr>
        <w:t>banks, financial institutions, investment funds, insurance companies, brokers, dealers, or traders in securities; tax-exempt organizations and governmental organizations;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tax-qualified retirement plans;</w:t>
      </w:r>
    </w:p>
    <w:p>
      <w:pPr>
        <w:spacing w:after="0" w:line="208" w:lineRule="exact"/>
        <w:rPr>
          <w:sz w:val="20"/>
          <w:szCs w:val="20"/>
          <w:color w:val="auto"/>
        </w:rPr>
      </w:pPr>
    </w:p>
    <w:p>
      <w:pPr>
        <w:ind w:left="680" w:right="939"/>
        <w:spacing w:after="0" w:line="265" w:lineRule="auto"/>
        <w:rPr>
          <w:sz w:val="20"/>
          <w:szCs w:val="20"/>
          <w:color w:val="auto"/>
        </w:rPr>
      </w:pPr>
      <w:r>
        <w:rPr>
          <w:rFonts w:ascii="Arial" w:cs="Arial" w:eastAsia="Arial" w:hAnsi="Arial"/>
          <w:sz w:val="17"/>
          <w:szCs w:val="17"/>
          <w:color w:val="auto"/>
        </w:rPr>
        <w:t>persons who acquire our ordinary shares or ADSs through the exercise of an option or otherwise as compensation;</w:t>
      </w:r>
    </w:p>
    <w:p>
      <w:pPr>
        <w:spacing w:after="0" w:line="148" w:lineRule="exact"/>
        <w:rPr>
          <w:sz w:val="20"/>
          <w:szCs w:val="20"/>
          <w:color w:val="auto"/>
        </w:rPr>
      </w:pPr>
    </w:p>
    <w:p>
      <w:pPr>
        <w:ind w:left="680" w:right="399"/>
        <w:spacing w:after="0" w:line="495" w:lineRule="auto"/>
        <w:rPr>
          <w:sz w:val="20"/>
          <w:szCs w:val="20"/>
          <w:color w:val="auto"/>
        </w:rPr>
      </w:pPr>
      <w:r>
        <w:rPr>
          <w:rFonts w:ascii="Arial" w:cs="Arial" w:eastAsia="Arial" w:hAnsi="Arial"/>
          <w:sz w:val="17"/>
          <w:szCs w:val="17"/>
          <w:color w:val="auto"/>
        </w:rPr>
        <w:t>persons that own, or have owned, actually or constructively, more than 5% of our ordinary shares or ADSs; persons who have elected to mark securities to market;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U.S. expatriates; and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right="299"/>
        <w:spacing w:after="0" w:line="265" w:lineRule="auto"/>
        <w:rPr>
          <w:sz w:val="20"/>
          <w:szCs w:val="20"/>
          <w:color w:val="auto"/>
        </w:rPr>
      </w:pPr>
      <w:r>
        <w:rPr>
          <w:rFonts w:ascii="Arial" w:cs="Arial" w:eastAsia="Arial" w:hAnsi="Arial"/>
          <w:sz w:val="17"/>
          <w:szCs w:val="17"/>
          <w:color w:val="auto"/>
        </w:rPr>
        <w:t>persons holding our ordinary shares or ADSs as part of a hedging or conversion transaction or straddle, or a constructive sale, or other risk reduction strategy or integrated investment.</w:t>
      </w:r>
    </w:p>
    <w:p>
      <w:pPr>
        <w:spacing w:after="0" w:line="167"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THIS DISCUSSION IS FOR INFORMATIONAL PURPOSES ONLY AND IS NOT TAX ADVICE. PROSPECTIVE INVESTORS SHOULD CONSULT THEIR TAX ADVISORS REGARDING THE PARTICULAR U.S. FEDERAL INCOME TAX CONSEQUENCES TO THEM OF ACQUIRING, OWNING AND DISPOSING OF OUR ORDINARY SHARES OR ADSS, AS WELL AS ANY TAX CONSEQUENCES ARISING UNDER ANY STATE, LOCAL OR FOREIGN TAX LAWS AND ANY OTHER U.S. FEDERAL TAX LAWS.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Definition of U.S. Holder and Non-U.S. Holder</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U.S. holder is any U.S. person that is a beneficial owner of our ordinary shares or ADSs. A U.S. person, for U.S.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federal income tax purposes, is any of the following:</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individual citizen or resident of the United States;</w:t>
      </w:r>
    </w:p>
    <w:p>
      <w:pPr>
        <w:spacing w:after="0" w:line="208" w:lineRule="exact"/>
        <w:rPr>
          <w:sz w:val="20"/>
          <w:szCs w:val="20"/>
          <w:color w:val="auto"/>
        </w:rPr>
      </w:pPr>
    </w:p>
    <w:p>
      <w:pPr>
        <w:ind w:left="680" w:right="479"/>
        <w:spacing w:after="0" w:line="265" w:lineRule="auto"/>
        <w:rPr>
          <w:sz w:val="20"/>
          <w:szCs w:val="20"/>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estate, the income of which is subject to U.S. federal income tax regardless of its source; or</w:t>
      </w:r>
    </w:p>
    <w:p>
      <w:pPr>
        <w:spacing w:after="0" w:line="208" w:lineRule="exact"/>
        <w:rPr>
          <w:sz w:val="20"/>
          <w:szCs w:val="20"/>
          <w:color w:val="auto"/>
        </w:rPr>
      </w:pPr>
    </w:p>
    <w:p>
      <w:pPr>
        <w:ind w:left="680" w:right="139"/>
        <w:spacing w:after="0" w:line="248" w:lineRule="auto"/>
        <w:rPr>
          <w:sz w:val="20"/>
          <w:szCs w:val="20"/>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182" w:lineRule="exact"/>
        <w:rPr>
          <w:sz w:val="20"/>
          <w:szCs w:val="20"/>
          <w:color w:val="auto"/>
        </w:rPr>
      </w:pPr>
    </w:p>
    <w:p>
      <w:pPr>
        <w:jc w:val="both"/>
        <w:ind w:left="40" w:right="219"/>
        <w:spacing w:after="0" w:line="248" w:lineRule="auto"/>
        <w:rPr>
          <w:sz w:val="20"/>
          <w:szCs w:val="20"/>
          <w:color w:val="auto"/>
        </w:rPr>
      </w:pPr>
      <w:r>
        <w:rPr>
          <w:rFonts w:ascii="Arial" w:cs="Arial" w:eastAsia="Arial" w:hAnsi="Arial"/>
          <w:sz w:val="17"/>
          <w:szCs w:val="17"/>
          <w:color w:val="auto"/>
        </w:rPr>
        <w:t>For purposes of this discussion, a non-U.S. holder is any beneficial owner of our ordinary shares or ADSs that is not a “U.S. person” nor a partnership (including any entity or arrangement treated as a partnership) for U.S. federal income tax purposes.</w:t>
      </w:r>
    </w:p>
    <w:p>
      <w:pPr>
        <w:spacing w:after="0" w:line="164" w:lineRule="exact"/>
        <w:rPr>
          <w:sz w:val="20"/>
          <w:szCs w:val="20"/>
          <w:color w:val="auto"/>
        </w:rPr>
      </w:pPr>
    </w:p>
    <w:p>
      <w:pPr>
        <w:ind w:left="40" w:right="339"/>
        <w:spacing w:after="0"/>
        <w:rPr>
          <w:sz w:val="20"/>
          <w:szCs w:val="20"/>
          <w:color w:val="auto"/>
        </w:rPr>
      </w:pPr>
      <w:r>
        <w:rPr>
          <w:rFonts w:ascii="Arial" w:cs="Arial" w:eastAsia="Arial" w:hAnsi="Arial"/>
          <w:sz w:val="17"/>
          <w:szCs w:val="17"/>
          <w:color w:val="auto"/>
        </w:rPr>
        <w:t>If an entity or arrangement that is classified as a partnership for U.S. federal income tax purposes holds our ordinary shares or ADSs, the U.S. federal income tax treatment of a partner in the partnership will generally depend on the status of the partner and the activities of the partnership. Partnerships holding our ordinary shares or ADSs and the partners in such partnerships are urged to consult their tax advisors about the particular U.S. federal income tax consequences to them of holding and disposing of our ordinary shares or ADSs.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Tax Classification of the Company as a U.S. Domestic Corporation</w:t>
      </w:r>
    </w:p>
    <w:p>
      <w:pPr>
        <w:spacing w:after="0" w:line="194" w:lineRule="exact"/>
        <w:rPr>
          <w:sz w:val="20"/>
          <w:szCs w:val="20"/>
          <w:color w:val="auto"/>
        </w:rPr>
      </w:pPr>
    </w:p>
    <w:p>
      <w:pPr>
        <w:ind w:left="40" w:right="159"/>
        <w:spacing w:after="0" w:line="235" w:lineRule="auto"/>
        <w:rPr>
          <w:sz w:val="20"/>
          <w:szCs w:val="20"/>
          <w:color w:val="auto"/>
        </w:rPr>
      </w:pPr>
      <w:r>
        <w:rPr>
          <w:rFonts w:ascii="Arial" w:cs="Arial" w:eastAsia="Arial" w:hAnsi="Arial"/>
          <w:sz w:val="17"/>
          <w:szCs w:val="17"/>
          <w:color w:val="auto"/>
        </w:rPr>
        <w:t>For U.S. federal income tax purposes, a corporation is generally considered to be a tax resident in the jurisdiction of its organization or incorporation. Accordingly, under the generally applicable U.S. federal income tax rules, the Company, which is incorporated under the laws of the Cayman Islands, would be classified as a non-U.S. corporation (and, therefore, not a U.S. tax resident) for U.S. federal income tax purposes. However, Section 7874 of the Code provides an exception to this general rule, under which a non-U.S. incorporated entity may, in certain circumstances, be treated as a U.S. corporation for U.S. federal income tax purposes. These rules are complex and there is limited guidance regarding their application. A number of significant and complicated U.S. federal income tax consequences may result from such classification, and this summary does not attempt to describe all such U.S. federal income tax consequences. Section 7874 of the Code and the Treasury Regulations promulgated thereunder do not address all the possible tax consequences that arise from the Company being treated as a U.S. domestic corporation for U.S. federal income tax purposes. Accordingly, there may be additional or unforeseen U.S. federal income tax consequences to the Company that are not discussed in this summary.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Under such rules, even though the Company is organized as a Cayman Islands corporation, it will be treated as a U.S. domestic corporation for U.S. federal income tax purposes as a result of the Company’s prior acquisition of a United States target corporation and application of the so-called “inversion” rules under Section 7874 of the Code. As such, the Company will be subject to U.S. federal income tax as if it were organized under the laws of the United States or a state thereof, and its dividends will be treated as dividends from a U.S. corporation. In addition, the Company will be required to file a U.S. federal income tax return annually with the IRS. It is anticipated that such U.S. tax treatment will continue indefinitely and that our ordinary shares and ADSs will be treated indefinitely as shares in a U.S. domestic corporation for U.S. federal income tax purposes. The Company’s status as a domestic corporation for U.S. federal income tax purposes has implications for all shareholders, although only the application to U.S. Holders is discussed in this summary.</w:t>
      </w:r>
    </w:p>
    <w:p>
      <w:pPr>
        <w:spacing w:after="0" w:line="173" w:lineRule="exact"/>
        <w:rPr>
          <w:sz w:val="20"/>
          <w:szCs w:val="20"/>
          <w:color w:val="auto"/>
        </w:rPr>
      </w:pPr>
    </w:p>
    <w:p>
      <w:pPr>
        <w:ind w:left="40" w:right="419"/>
        <w:spacing w:after="0" w:line="296" w:lineRule="auto"/>
        <w:rPr>
          <w:sz w:val="20"/>
          <w:szCs w:val="20"/>
          <w:color w:val="auto"/>
        </w:rPr>
      </w:pPr>
      <w:r>
        <w:rPr>
          <w:rFonts w:ascii="Arial" w:cs="Arial" w:eastAsia="Arial" w:hAnsi="Arial"/>
          <w:sz w:val="16"/>
          <w:szCs w:val="16"/>
          <w:color w:val="auto"/>
        </w:rPr>
        <w:t>The remaining discussion contained in this section titled “Material U.S. Federal Income Tax Considerations” section assumes that the Company will be treated as a domestic corporation for all U.S. federal income tax purposes.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Tax Considerations for U.S. Holders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Distributions</w:t>
      </w:r>
    </w:p>
    <w:p>
      <w:pPr>
        <w:spacing w:after="0" w:line="196" w:lineRule="exact"/>
        <w:rPr>
          <w:sz w:val="20"/>
          <w:szCs w:val="20"/>
          <w:color w:val="auto"/>
        </w:rPr>
      </w:pPr>
    </w:p>
    <w:p>
      <w:pPr>
        <w:ind w:left="40" w:right="79"/>
        <w:spacing w:after="0" w:line="253" w:lineRule="auto"/>
        <w:rPr>
          <w:sz w:val="20"/>
          <w:szCs w:val="20"/>
          <w:color w:val="auto"/>
        </w:rPr>
      </w:pPr>
      <w:r>
        <w:rPr>
          <w:rFonts w:ascii="Arial" w:cs="Arial" w:eastAsia="Arial" w:hAnsi="Arial"/>
          <w:sz w:val="16"/>
          <w:szCs w:val="16"/>
          <w:color w:val="auto"/>
        </w:rPr>
        <w:t>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or ADSs, but not below zero. Any excess will be treated as gain realized on the sale or other disposition of our ordinary shares and will be treated as described under “-Sale or Redemption”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Sale or Redemption</w:t>
      </w:r>
    </w:p>
    <w:p>
      <w:pPr>
        <w:spacing w:after="0" w:line="196"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A U.S. holder will generally recognize capital gain or loss on a sale, exchange, redemption (other than a redemption that is treated as a distribution) or other disposition of our ordinary shares or ADSs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Foreign Currency</w:t>
      </w:r>
    </w:p>
    <w:p>
      <w:pPr>
        <w:spacing w:after="0" w:line="196"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The amount of any distribution paid to a U.S. holder in foreign currency, or the amount of proceeds paid in foreign currency on the sale, exchange or other taxable disposition of our ordinary shares or ADSs, generally 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Information Reporting and Backup Withholding</w:t>
      </w:r>
    </w:p>
    <w:p>
      <w:pPr>
        <w:spacing w:after="0" w:line="196"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ordinary shares or ADSs payable to a U.S. Holder. Certain U.S. holders may be subject to backup withholding with respect to the payment of dividends and certain payments of proceeds on the sale or redemption of ordinary shares or ADSs unless such U.S. holder provides proof of an applicable exemption or a correct taxpayer identification number (usually with an IRS Form W-9), and otherwise comply with applicable requirements of the backup withholding rules.</w:t>
      </w:r>
    </w:p>
    <w:p>
      <w:pPr>
        <w:spacing w:after="0" w:line="170"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Backup withholding is not an additional tax. 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Non-U.S. Holders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Distributions</w:t>
      </w:r>
    </w:p>
    <w:p>
      <w:pPr>
        <w:spacing w:after="0" w:line="196"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but not below zero. Any excess will be treated as gain realized on the sale or other disposition of our ordinary shares and will be treated as described under “-Gain On Sale or Redemption” below.</w:t>
      </w:r>
    </w:p>
    <w:p>
      <w:pPr>
        <w:spacing w:after="0" w:line="170"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Subject to the discussion below regarding effectively connected income, any dividend income paid to a non-U.S. holder of our ordinary shares or ADSs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73" w:lineRule="exact"/>
        <w:rPr>
          <w:sz w:val="20"/>
          <w:szCs w:val="20"/>
          <w:color w:val="auto"/>
        </w:rPr>
      </w:pPr>
    </w:p>
    <w:p>
      <w:pPr>
        <w:ind w:left="40" w:right="239"/>
        <w:spacing w:after="0" w:line="296" w:lineRule="auto"/>
        <w:rPr>
          <w:sz w:val="20"/>
          <w:szCs w:val="20"/>
          <w:color w:val="auto"/>
        </w:rPr>
      </w:pPr>
      <w:r>
        <w:rPr>
          <w:rFonts w:ascii="Arial" w:cs="Arial" w:eastAsia="Arial" w:hAnsi="Arial"/>
          <w:sz w:val="16"/>
          <w:szCs w:val="16"/>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27" w:lineRule="exact"/>
        <w:rPr>
          <w:sz w:val="20"/>
          <w:szCs w:val="20"/>
          <w:color w:val="auto"/>
        </w:rPr>
      </w:pPr>
    </w:p>
    <w:p>
      <w:pPr>
        <w:ind w:left="40" w:right="139"/>
        <w:spacing w:after="0" w:line="239" w:lineRule="auto"/>
        <w:rPr>
          <w:sz w:val="20"/>
          <w:szCs w:val="20"/>
          <w:color w:val="auto"/>
        </w:rPr>
      </w:pPr>
      <w:r>
        <w:rPr>
          <w:rFonts w:ascii="Arial" w:cs="Arial" w:eastAsia="Arial" w:hAnsi="Arial"/>
          <w:sz w:val="17"/>
          <w:szCs w:val="17"/>
          <w:color w:val="auto"/>
        </w:rPr>
        <w:t>If a non-U.S. holder holds our ordinary shares in connection with the conduct of a trade or business in the United States, and dividends paid on our ordinary shares or ADSs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70"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However, any such effectively connected dividends paid on our ordinary shares or ADSs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99"/>
        <w:spacing w:after="0" w:line="265" w:lineRule="auto"/>
        <w:rPr>
          <w:sz w:val="20"/>
          <w:szCs w:val="20"/>
          <w:color w:val="auto"/>
        </w:rPr>
      </w:pPr>
      <w:r>
        <w:rPr>
          <w:rFonts w:ascii="Arial" w:cs="Arial" w:eastAsia="Arial" w:hAnsi="Arial"/>
          <w:sz w:val="17"/>
          <w:szCs w:val="17"/>
          <w:color w:val="auto"/>
        </w:rPr>
        <w:t>adjusted for certain items. Non-U.S. holders should consult their tax advisors regarding these rules and any applicable income tax treaties that may provide for different rules.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Sale or Redemption</w:t>
      </w:r>
    </w:p>
    <w:p>
      <w:pPr>
        <w:spacing w:after="0" w:line="196" w:lineRule="exact"/>
        <w:rPr>
          <w:sz w:val="20"/>
          <w:szCs w:val="20"/>
          <w:color w:val="auto"/>
        </w:rPr>
      </w:pPr>
    </w:p>
    <w:p>
      <w:pPr>
        <w:ind w:left="40" w:right="59"/>
        <w:spacing w:after="0" w:line="248" w:lineRule="auto"/>
        <w:rPr>
          <w:sz w:val="20"/>
          <w:szCs w:val="20"/>
          <w:color w:val="auto"/>
        </w:rPr>
      </w:pPr>
      <w:r>
        <w:rPr>
          <w:rFonts w:ascii="Arial" w:cs="Arial" w:eastAsia="Arial" w:hAnsi="Arial"/>
          <w:sz w:val="17"/>
          <w:szCs w:val="17"/>
          <w:color w:val="auto"/>
        </w:rPr>
        <w:t>Subject to the discussion below regarding backup withholding and Sections 1471 to 1474 of the Code (“FATCA”), a non-U.S. holder generally will not be subject to U.S. federal income tax on any gain realized on the sale or other disposition of our ordinary shares or ADSs, unless:</w:t>
      </w:r>
    </w:p>
    <w:p>
      <w:pPr>
        <w:spacing w:after="0" w:line="146" w:lineRule="exact"/>
        <w:rPr>
          <w:sz w:val="20"/>
          <w:szCs w:val="20"/>
          <w:color w:val="auto"/>
        </w:rPr>
      </w:pPr>
    </w:p>
    <w:p>
      <w:pPr>
        <w:ind w:left="680" w:right="119"/>
        <w:spacing w:after="0" w:line="248" w:lineRule="auto"/>
        <w:rPr>
          <w:sz w:val="20"/>
          <w:szCs w:val="20"/>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63" w:lineRule="exact"/>
        <w:rPr>
          <w:sz w:val="20"/>
          <w:szCs w:val="20"/>
          <w:color w:val="auto"/>
        </w:rPr>
      </w:pPr>
    </w:p>
    <w:p>
      <w:pPr>
        <w:ind w:left="680" w:right="259"/>
        <w:spacing w:after="0" w:line="265" w:lineRule="auto"/>
        <w:rPr>
          <w:sz w:val="20"/>
          <w:szCs w:val="20"/>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148" w:lineRule="exact"/>
        <w:rPr>
          <w:sz w:val="20"/>
          <w:szCs w:val="20"/>
          <w:color w:val="auto"/>
        </w:rPr>
      </w:pPr>
    </w:p>
    <w:p>
      <w:pPr>
        <w:ind w:left="680" w:right="119"/>
        <w:spacing w:after="0"/>
        <w:rPr>
          <w:sz w:val="20"/>
          <w:szCs w:val="20"/>
          <w:color w:val="auto"/>
        </w:rPr>
      </w:pPr>
      <w:r>
        <w:rPr>
          <w:rFonts w:ascii="Arial" w:cs="Arial" w:eastAsia="Arial" w:hAnsi="Arial"/>
          <w:sz w:val="17"/>
          <w:szCs w:val="17"/>
          <w:color w:val="auto"/>
        </w:rPr>
        <w:t>our ordinary shares or ADSs constitute a “United States real property interest” by reason of our status as a United States real property holding corporation, for U.S. federal income tax purposes at any time within the shorter of the five-year period preceding the disposition or the non-U.S. holder’s holding period for our ordinary shares or ADSs, and our ordinary shares or ADSs, as applicable, are not regularly traded on an established securities market during the calendar year in which the sale or other disposition occurs.</w:t>
      </w:r>
    </w:p>
    <w:p>
      <w:pPr>
        <w:spacing w:after="0" w:line="189" w:lineRule="exact"/>
        <w:rPr>
          <w:sz w:val="20"/>
          <w:szCs w:val="20"/>
          <w:color w:val="auto"/>
        </w:rPr>
      </w:pPr>
    </w:p>
    <w:p>
      <w:pPr>
        <w:ind w:left="40" w:right="199"/>
        <w:spacing w:after="0"/>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40" w:right="179"/>
        <w:spacing w:after="0"/>
        <w:rPr>
          <w:sz w:val="20"/>
          <w:szCs w:val="20"/>
          <w:color w:val="auto"/>
        </w:rPr>
      </w:pPr>
      <w:r>
        <w:rPr>
          <w:rFonts w:ascii="Arial" w:cs="Arial" w:eastAsia="Arial" w:hAnsi="Arial"/>
          <w:sz w:val="17"/>
          <w:szCs w:val="17"/>
          <w:color w:val="auto"/>
        </w:rPr>
        <w:t>A non-U.S. holder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71" w:lineRule="exact"/>
        <w:rPr>
          <w:sz w:val="20"/>
          <w:szCs w:val="20"/>
          <w:color w:val="auto"/>
        </w:rPr>
      </w:pPr>
    </w:p>
    <w:p>
      <w:pPr>
        <w:ind w:left="40" w:right="59"/>
        <w:spacing w:after="0" w:line="234" w:lineRule="auto"/>
        <w:rPr>
          <w:sz w:val="20"/>
          <w:szCs w:val="20"/>
          <w:color w:val="auto"/>
        </w:rPr>
      </w:pPr>
      <w:r>
        <w:rPr>
          <w:rFonts w:ascii="Arial" w:cs="Arial" w:eastAsia="Arial" w:hAnsi="Arial"/>
          <w:sz w:val="17"/>
          <w:szCs w:val="17"/>
          <w:color w:val="auto"/>
        </w:rPr>
        <w:t>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our ordinary shares or ADSs will not be subject to U.S. federal income tax on transfers of United States real property holding corporation shares if the ordinary shares or ADSs are “regularly traded,” as defined by applicable Treasury Regulations, on an established securities market, and such non-U.S. holder owned, actually and constructively, 5% or less of the ordinary shares or ADSs, as applicable, throughout the shorter of, the five-year period ending on the date of the sale or other taxable disposition or, the Non-U.S. holder’s holding period. We do not expect that our ordinary shares will be treated as regularly traded on an established securities market, and there can be no assurance that our ADSs will qualify or continue to qualify as regularly traded on an established securities market. If any gain on a non-U.S. holder’s disposition is taxable because we are a United States real property holding corporation and our ordinary shares or ADSs are not treated as regularly traded on an established securities market, the non-U.S. holder will be taxed on such disposition generally in the same manner as gain that is effectively connected with the conduct of a U.S. trade or business (subject to the provisions under an applicable income tax treaty), except that the branch profits tax generally will not apply.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Information Reporting and Backup Withholding</w:t>
      </w:r>
    </w:p>
    <w:p>
      <w:pPr>
        <w:spacing w:after="0" w:line="196"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ordinary shares or ADSs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generally will not apply to payments to a non-U.S. holder of dividends on or the gross proceeds of a disposition of our ordinary shares or ADSs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70" w:lineRule="exact"/>
        <w:rPr>
          <w:sz w:val="20"/>
          <w:szCs w:val="20"/>
          <w:color w:val="auto"/>
        </w:rPr>
      </w:pPr>
    </w:p>
    <w:p>
      <w:pPr>
        <w:jc w:val="both"/>
        <w:ind w:left="40" w:right="99"/>
        <w:spacing w:after="0" w:line="248"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Withholding on Foreign Entities or Accounts</w:t>
      </w:r>
    </w:p>
    <w:p>
      <w:pPr>
        <w:spacing w:after="0" w:line="19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w:t>
      </w:r>
    </w:p>
    <w:p>
      <w:pPr>
        <w:spacing w:after="0" w:line="173" w:lineRule="exact"/>
        <w:rPr>
          <w:sz w:val="20"/>
          <w:szCs w:val="20"/>
          <w:color w:val="auto"/>
        </w:rPr>
      </w:pPr>
    </w:p>
    <w:p>
      <w:pPr>
        <w:ind w:left="40" w:right="239"/>
        <w:spacing w:after="0"/>
        <w:rPr>
          <w:sz w:val="20"/>
          <w:szCs w:val="20"/>
          <w:color w:val="auto"/>
        </w:rPr>
      </w:pPr>
      <w:r>
        <w:rPr>
          <w:rFonts w:ascii="Arial" w:cs="Arial" w:eastAsia="Arial" w:hAnsi="Arial"/>
          <w:sz w:val="17"/>
          <w:szCs w:val="17"/>
          <w:color w:val="auto"/>
        </w:rPr>
        <w:t>FATCA applies to dividends paid on our ordinary shares and ADSs. Proposed regulations issued by the Treasury Department (on which taxpayers are entitled to rely until final regulations are issued) eliminate the federal withholding tax of 30% imposed by FATCA to gross proceeds of a sale or other disposition of our ordinary shares or ADSs. Prospective investors are encouraged to consult with their own tax advisors regarding the possible implications of this FATCA on their investment in our ordinary shares or ADSs.</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98"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i w:val="1"/>
          <w:iCs w:val="1"/>
          <w:color w:val="auto"/>
        </w:rPr>
        <w:t>You should carefully read, consider, and evaluate the following discussion and analysis of our financial condition and results of operations together with our consolidated financial statements and the related notes included in Part II. Item 8 “Financial Statements and Supplementary Data” of this Annual Report on Form 10-K (“Annual Report”). This discussion and other parts of this Annual Report contain forward-looking statements that involve risks and uncertainties, such as statements of our plans, objectives, expectations and intentions, which are based on the beliefs of our management, as well as assumptions made by, and information currently available to, our management. Our actual results could differ materially from those discussed in these forward-looking statements. Please also see the section titled “Cautionary Note Regarding Forward-Looking Statements.” Factors that could cause or contribute to such differences include, but are not limited to, those discussed in Part I. Item 1A. “Risk Factors.”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96"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We are a clinical stage global biopharmaceutical company developing novel oral small molecule therapeutics to treat a wide range of chronic diseases with unmet medical need. Our differentiated technology platform leverages both structure-based drug discovery and our expertise in computational chemistry to discover and develop small molecule therapeutics against G-protein coupled receptors (“GPCRs”). These important receptors regulate numerous and diverse physiological and pathological processes. In fact, approximately one in every three marketed medicines targets GPCR-associated pathways for the treatment of various metabolic, cardiovascular and pulmonary disorders. By leveraging our world-class GPCR know-how, we are designing differentiated small molecule therapies to overcome the limitations of biologics and peptide therapies that target this family of receptors. For more information, please see section in Part 1. Item 1. “Business.”</w:t>
      </w:r>
    </w:p>
    <w:p>
      <w:pPr>
        <w:spacing w:after="0" w:line="176"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We have established a manufacturing plan in the United States and continue to contract in parallel with additional suppliers in the United States and other regions outside of China to diversify the manufacturing of our active pharmaceutical ingredient and drug product. As our development programs progress and we build new process efficiencies, we expect to continually evaluate this strategy with the objective of satisfying demand for registration studies and, if approved, the manufacture, sale and distribution of commercial products.</w:t>
      </w:r>
    </w:p>
    <w:p>
      <w:pPr>
        <w:spacing w:after="0" w:line="176" w:lineRule="exact"/>
        <w:rPr>
          <w:sz w:val="20"/>
          <w:szCs w:val="20"/>
          <w:color w:val="auto"/>
        </w:rPr>
      </w:pPr>
    </w:p>
    <w:p>
      <w:pPr>
        <w:ind w:left="40" w:right="139"/>
        <w:spacing w:after="0" w:line="236" w:lineRule="auto"/>
        <w:rPr>
          <w:sz w:val="20"/>
          <w:szCs w:val="20"/>
          <w:color w:val="auto"/>
        </w:rPr>
      </w:pPr>
      <w:r>
        <w:rPr>
          <w:rFonts w:ascii="Arial" w:cs="Arial" w:eastAsia="Arial" w:hAnsi="Arial"/>
          <w:sz w:val="17"/>
          <w:szCs w:val="17"/>
          <w:color w:val="auto"/>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$ 122.5 million and $89.6 million in the years ended December 31, 2024 and 2023, respectively. As of December 31, 2024, we had an accumulated deficit of $329.1 million. Historically, we have financed our operations primarily through the private placement of equity securities.</w:t>
      </w:r>
    </w:p>
    <w:p>
      <w:pPr>
        <w:spacing w:after="0" w:line="170" w:lineRule="exact"/>
        <w:rPr>
          <w:sz w:val="20"/>
          <w:szCs w:val="20"/>
          <w:color w:val="auto"/>
        </w:rPr>
      </w:pPr>
    </w:p>
    <w:p>
      <w:pPr>
        <w:ind w:left="40" w:right="179"/>
        <w:spacing w:after="0" w:line="239" w:lineRule="auto"/>
        <w:rPr>
          <w:sz w:val="20"/>
          <w:szCs w:val="20"/>
          <w:color w:val="auto"/>
        </w:rPr>
      </w:pPr>
      <w:r>
        <w:rPr>
          <w:rFonts w:ascii="Arial" w:cs="Arial" w:eastAsia="Arial" w:hAnsi="Arial"/>
          <w:sz w:val="17"/>
          <w:szCs w:val="17"/>
          <w:color w:val="auto"/>
        </w:rPr>
        <w:t>In February 2023, we completed our initial public offering (“IPO”) of our American depositary shares (“ADSs”), in which we issued and sold an aggregate of 12,351,000 ADSs (inclusive of 1,611,000 ADSs pursuant to the exercise by the underwriters of their option) at a price of $15.00 per ADS for net cash proceeds of approximately $166.7 million, net of underwriting discounts and commissions and estimated offering costs. Upon the closing of the IPO, all outstanding shares of redeemable convertible preferred shares automatically converted into 67,018,087 ordinary shares. Subsequent to the closing of the IPO, there were no shares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redeemable convertible preferred shares outstanding. In September 2023, we entered into a share purchase agreement with certain institutional investors (the “Purchasers”), pursuant to which we agreed to sell and issue to the Purchasers an aggregate of 21,617,295 ordinary shares and 2,401,920 newly designated non-voting ordinary shares at a purchase price of $12.49 per share (or the equivalent of $37.47 per ADS), the closing price of our ADS on the Nasdaq Global Market on September 28, 2023 (the “Private Placement”). We completed the Private Placement in October 2023 and received approximately $281.5 million in net proceeds after deducting placement agent fees and other private placement expenses. In June 2024, we issued and sold 10,427,017 ADSs, including the full exercise of the underwriters’ option to purchase additional shares, and received $512.7 million in net proceeds, after deducting the underwriting discounts and commissions and estimated offering expenses (the “Follow-On Offering”).</w:t>
      </w:r>
    </w:p>
    <w:p>
      <w:pPr>
        <w:spacing w:after="0" w:line="176"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As of December 31, 2024, we have cash, cash equivalents and short-term investments of $883.5 million. Based on our current business plan, we estimate that our existing cash, cash equivalents and short-term investments will be sufficient to fund our projected operations and key clinical milestones through at least 2027, including all aleniglipron studies for Phase 3 readiness but excluding Phase 3 registrational studies. We have based this estimate on assumptions that may prove to be wrong, and we may exhaust our available capital resources sooner than we expect.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Impact of Geopolitical and Macroeconomic Factors</w:t>
      </w:r>
    </w:p>
    <w:p>
      <w:pPr>
        <w:spacing w:after="0" w:line="196"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Although we did not see a significant financial impact to our business operations as a result of recent geopolitical and macroeconomic developments, such as recent and potential future disruptions in access to bank deposits or lending commitments due to bank failures, tariffs, global pandemics, geopolitical tensions between the U.S. and China, the ongoing Russia/Ukraine conflict and the Israel-Hamas war for the year ended December 31, 2024, there may be potential impacts to our business in the future that are highly uncertain and difficult to predict, including our ability to raise additional funds, disruptions to the supply chain and the manufacture or shipment of drug substances and finished drug products for our product candidates for use in our research, preclinical studies and clinical studies, impediments to our clinical trial initiation and recruitment, errors or omissions at our clinical sites and the ability of patients to continue in clinical studies, delays in the FDA’s review and approval processes, our ability to effectively operate across different geographies in which our offices are located, continued increases in interest rates and economic inflation, bank failures, the impact on the global economy due to the Russia/Ukraine conflict and Israel-Hamas war, higher prices of supplies, and changes in availability and cost of credit and our ability to access capital. The ultimate impact of these geopolitical and macroeconomic factors, as well as any lasting effects on the way we conduct our business, is highly uncertain and subject to continued change, and we recognize that they may continue to present unique challenges for us.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Research and Development</w:t>
      </w:r>
    </w:p>
    <w:p>
      <w:pPr>
        <w:spacing w:after="0" w:line="194" w:lineRule="exact"/>
        <w:rPr>
          <w:sz w:val="20"/>
          <w:szCs w:val="20"/>
          <w:color w:val="auto"/>
        </w:rPr>
      </w:pPr>
    </w:p>
    <w:p>
      <w:pPr>
        <w:ind w:left="40" w:right="219"/>
        <w:spacing w:after="0" w:line="259" w:lineRule="auto"/>
        <w:rPr>
          <w:sz w:val="20"/>
          <w:szCs w:val="20"/>
          <w:color w:val="auto"/>
        </w:rPr>
      </w:pPr>
      <w:r>
        <w:rPr>
          <w:rFonts w:ascii="Arial" w:cs="Arial" w:eastAsia="Arial" w:hAnsi="Arial"/>
          <w:sz w:val="16"/>
          <w:szCs w:val="16"/>
          <w:color w:val="auto"/>
        </w:rPr>
        <w:t>Our research and development activities primarily consist of discovery, engineering and research associated with our product candidates under development, including preclinical studies and clinical studies. Research and development expenses include personnel-related costs for our management, including salaries, bonuses, benefits and share-based compensation expenses, consulting services, clinical trial expenses, regulatory expenses, publications, and allocated overhead expenses, including rent, equipment, depreciation, information technology costs and utilities.</w:t>
      </w:r>
    </w:p>
    <w:p>
      <w:pPr>
        <w:spacing w:after="0" w:line="156" w:lineRule="exact"/>
        <w:rPr>
          <w:sz w:val="20"/>
          <w:szCs w:val="20"/>
          <w:color w:val="auto"/>
        </w:rPr>
      </w:pPr>
    </w:p>
    <w:p>
      <w:pPr>
        <w:ind w:left="40" w:right="299"/>
        <w:spacing w:after="0" w:line="265" w:lineRule="auto"/>
        <w:rPr>
          <w:sz w:val="20"/>
          <w:szCs w:val="20"/>
          <w:color w:val="auto"/>
        </w:rPr>
      </w:pPr>
      <w:r>
        <w:rPr>
          <w:rFonts w:ascii="Arial" w:cs="Arial" w:eastAsia="Arial" w:hAnsi="Arial"/>
          <w:sz w:val="17"/>
          <w:szCs w:val="17"/>
          <w:color w:val="auto"/>
        </w:rPr>
        <w:t>We are focusing substantially all of our resources on the development of our product candidates and the discovery of new product candidates through our structure-based drug discovery platform. At this time, we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79"/>
        <w:spacing w:after="0" w:line="265" w:lineRule="auto"/>
        <w:rPr>
          <w:sz w:val="20"/>
          <w:szCs w:val="20"/>
          <w:color w:val="auto"/>
        </w:rPr>
      </w:pPr>
      <w:r>
        <w:rPr>
          <w:rFonts w:ascii="Arial" w:cs="Arial" w:eastAsia="Arial" w:hAnsi="Arial"/>
          <w:sz w:val="17"/>
          <w:szCs w:val="17"/>
          <w:color w:val="auto"/>
        </w:rPr>
        <w:t>cannot reasonably estimate or know the nature, timing and estimated costs of the efforts that will be necessary to complete the development of our product candidates.</w:t>
      </w:r>
    </w:p>
    <w:p>
      <w:pPr>
        <w:spacing w:after="0" w:line="149" w:lineRule="exact"/>
        <w:rPr>
          <w:sz w:val="20"/>
          <w:szCs w:val="20"/>
          <w:color w:val="auto"/>
        </w:rPr>
      </w:pPr>
    </w:p>
    <w:p>
      <w:pPr>
        <w:ind w:left="40" w:right="239"/>
        <w:spacing w:after="0" w:line="239" w:lineRule="auto"/>
        <w:rPr>
          <w:sz w:val="20"/>
          <w:szCs w:val="20"/>
          <w:color w:val="auto"/>
        </w:rPr>
      </w:pPr>
      <w:r>
        <w:rPr>
          <w:rFonts w:ascii="Arial" w:cs="Arial" w:eastAsia="Arial" w:hAnsi="Arial"/>
          <w:sz w:val="17"/>
          <w:szCs w:val="17"/>
          <w:color w:val="auto"/>
        </w:rPr>
        <w:t>We expect our research and development expenses to continue to account for a significant portion of our operating expenses, and to increase substantially for the foreseeable future as we advance our product candidates into and through preclinical and clinical studies, identify new product candidates and potentially pursue regulatory approval of our product candidates. We anticipate that we will make determinations as to which product candidates to pursue and how much funding to direct to each product candidate on an ongoing basis in response to the results of ongoing and future preclinical and clinical studies, such as to conduct Phase 3 clinical studies of aleniglipron.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General and Administrative</w:t>
      </w:r>
    </w:p>
    <w:p>
      <w:pPr>
        <w:spacing w:after="0" w:line="194" w:lineRule="exact"/>
        <w:rPr>
          <w:sz w:val="20"/>
          <w:szCs w:val="20"/>
          <w:color w:val="auto"/>
        </w:rPr>
      </w:pPr>
    </w:p>
    <w:p>
      <w:pPr>
        <w:ind w:left="40" w:right="179"/>
        <w:spacing w:after="0"/>
        <w:rPr>
          <w:sz w:val="20"/>
          <w:szCs w:val="20"/>
          <w:color w:val="auto"/>
        </w:rPr>
      </w:pPr>
      <w:r>
        <w:rPr>
          <w:rFonts w:ascii="Arial" w:cs="Arial" w:eastAsia="Arial" w:hAnsi="Arial"/>
          <w:sz w:val="17"/>
          <w:szCs w:val="17"/>
          <w:color w:val="auto"/>
        </w:rPr>
        <w:t>Our general and administrative expenses consist primarily of personnel -related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spacing w:after="0" w:line="171" w:lineRule="exact"/>
        <w:rPr>
          <w:sz w:val="20"/>
          <w:szCs w:val="20"/>
          <w:color w:val="auto"/>
        </w:rPr>
      </w:pPr>
    </w:p>
    <w:p>
      <w:pPr>
        <w:ind w:left="40" w:right="279"/>
        <w:spacing w:after="0" w:line="239" w:lineRule="auto"/>
        <w:rPr>
          <w:sz w:val="20"/>
          <w:szCs w:val="20"/>
          <w:color w:val="auto"/>
        </w:rPr>
      </w:pPr>
      <w:r>
        <w:rPr>
          <w:rFonts w:ascii="Arial" w:cs="Arial" w:eastAsia="Arial" w:hAnsi="Arial"/>
          <w:sz w:val="17"/>
          <w:szCs w:val="17"/>
          <w:color w:val="auto"/>
        </w:rPr>
        <w:t>We expect our general and administrative expenses will increase during the next several years as we increase our headcount and expand our infrastructure to support our operations, particularly as a public company. In addition, as a public company, we have incurred and will continue to incur significant legal, accounting, investor relations and other expenses to comply with the reporting requirements of the Exchange Act, the listing standards of Nasdaq, the Sarbanes-Oxley Act, and other applicable securities rules and regulations. Our general and administrative expenses may fluctuate from period to period as we continue to grow.</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94" w:lineRule="exact"/>
        <w:rPr>
          <w:sz w:val="20"/>
          <w:szCs w:val="20"/>
          <w:color w:val="auto"/>
        </w:rPr>
      </w:pPr>
    </w:p>
    <w:p>
      <w:pPr>
        <w:ind w:left="40" w:right="59"/>
        <w:spacing w:after="0" w:line="271" w:lineRule="auto"/>
        <w:rPr>
          <w:sz w:val="20"/>
          <w:szCs w:val="20"/>
          <w:color w:val="auto"/>
        </w:rPr>
      </w:pPr>
      <w:r>
        <w:rPr>
          <w:rFonts w:ascii="Arial" w:cs="Arial" w:eastAsia="Arial" w:hAnsi="Arial"/>
          <w:sz w:val="16"/>
          <w:szCs w:val="16"/>
          <w:color w:val="auto"/>
        </w:rPr>
        <w:t>Interest and other income (expense), net primarily consists of interest income earned on our cash, cash equivalents and short-term investments, including amortization and accretion of premiums and discounts on short-term investments, foreign currency exchange gains and losses and interest expense for the amortization of debt issuance costs.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Comparison of the Years Ended December 31, 2024 and 2023</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our consolidated results of operations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142875</wp:posOffset>
            </wp:positionV>
            <wp:extent cx="56584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638"/>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6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8"/>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66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Operating expenses: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9"/>
        </w:trPr>
        <w:tc>
          <w:tcPr>
            <w:tcW w:w="6600" w:type="dxa"/>
            <w:vAlign w:val="bottom"/>
          </w:tcPr>
          <w:p>
            <w:pPr>
              <w:ind w:left="100"/>
              <w:spacing w:after="0" w:line="189" w:lineRule="exact"/>
              <w:rPr>
                <w:sz w:val="20"/>
                <w:szCs w:val="20"/>
                <w:color w:val="auto"/>
              </w:rPr>
            </w:pPr>
            <w:r>
              <w:rPr>
                <w:rFonts w:ascii="Arial" w:cs="Arial" w:eastAsia="Arial" w:hAnsi="Arial"/>
                <w:sz w:val="17"/>
                <w:szCs w:val="17"/>
                <w:color w:val="auto"/>
              </w:rPr>
              <w:t>Research and development</w:t>
            </w:r>
          </w:p>
        </w:tc>
        <w:tc>
          <w:tcPr>
            <w:tcW w:w="220" w:type="dxa"/>
            <w:vAlign w:val="bottom"/>
          </w:tcPr>
          <w:p>
            <w:pPr>
              <w:jc w:val="right"/>
              <w:ind w:right="36"/>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108,814</w:t>
            </w:r>
          </w:p>
        </w:tc>
        <w:tc>
          <w:tcPr>
            <w:tcW w:w="180" w:type="dxa"/>
            <w:vAlign w:val="bottom"/>
          </w:tcPr>
          <w:p>
            <w:pPr>
              <w:spacing w:after="0"/>
              <w:rPr>
                <w:sz w:val="16"/>
                <w:szCs w:val="16"/>
                <w:color w:val="auto"/>
              </w:rPr>
            </w:pPr>
          </w:p>
        </w:tc>
        <w:tc>
          <w:tcPr>
            <w:tcW w:w="220" w:type="dxa"/>
            <w:vAlign w:val="bottom"/>
          </w:tcPr>
          <w:p>
            <w:pPr>
              <w:jc w:val="right"/>
              <w:ind w:right="36"/>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70,103</w:t>
            </w:r>
          </w:p>
        </w:tc>
      </w:tr>
      <w:tr>
        <w:trPr>
          <w:trHeight w:val="189"/>
        </w:trPr>
        <w:tc>
          <w:tcPr>
            <w:tcW w:w="6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49,414</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32,672</w:t>
            </w:r>
          </w:p>
        </w:tc>
      </w:tr>
      <w:tr>
        <w:trPr>
          <w:trHeight w:val="182"/>
        </w:trPr>
        <w:tc>
          <w:tcPr>
            <w:tcW w:w="6600" w:type="dxa"/>
            <w:vAlign w:val="bottom"/>
            <w:tcBorders>
              <w:bottom w:val="single" w:sz="8" w:color="CCEEFF"/>
            </w:tcBorders>
          </w:tcPr>
          <w:p>
            <w:pPr>
              <w:spacing w:after="0" w:line="182" w:lineRule="exact"/>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158,228</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102,775</w:t>
            </w:r>
          </w:p>
        </w:tc>
      </w:tr>
      <w:tr>
        <w:trPr>
          <w:trHeight w:val="182"/>
        </w:trPr>
        <w:tc>
          <w:tcPr>
            <w:tcW w:w="66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(158,228)</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(102,775)</w:t>
            </w:r>
          </w:p>
        </w:tc>
      </w:tr>
      <w:tr>
        <w:trPr>
          <w:trHeight w:val="189"/>
        </w:trPr>
        <w:tc>
          <w:tcPr>
            <w:tcW w:w="660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Interest and other income, net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36,012</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13,391</w:t>
            </w:r>
          </w:p>
        </w:tc>
      </w:tr>
      <w:tr>
        <w:trPr>
          <w:trHeight w:val="182"/>
        </w:trPr>
        <w:tc>
          <w:tcPr>
            <w:tcW w:w="66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Loss before provision for income taxes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(122,216)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(89,384)</w:t>
            </w:r>
          </w:p>
        </w:tc>
      </w:tr>
      <w:tr>
        <w:trPr>
          <w:trHeight w:val="189"/>
        </w:trPr>
        <w:tc>
          <w:tcPr>
            <w:tcW w:w="660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Provision for income taxes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310</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236</w:t>
            </w:r>
          </w:p>
        </w:tc>
      </w:tr>
      <w:tr>
        <w:trPr>
          <w:trHeight w:val="182"/>
        </w:trPr>
        <w:tc>
          <w:tcPr>
            <w:tcW w:w="6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shd w:val="clear" w:color="auto" w:fill="CCEEFF"/>
          </w:tcPr>
          <w:p>
            <w:pPr>
              <w:jc w:val="right"/>
              <w:ind w:right="36"/>
              <w:spacing w:after="0" w:line="182"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(122,526)</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82"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(89,620)</w:t>
            </w: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7"/>
        </w:trPr>
        <w:tc>
          <w:tcPr>
            <w:tcW w:w="6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Research and Development Expenses</w:t>
      </w:r>
    </w:p>
    <w:p>
      <w:pPr>
        <w:spacing w:after="0" w:line="194"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Research and development expenses increased by $38.7 million, or 55%, to $108.8 million during the year ended December 31, 2024, compared to $70.1 million during the year ended December 31, 2023. The increase in research and development expenses was primarily due to increases related to increases in personnel-related expenses due to an increase in headcount, an increase in research and development expenses and consulting services to support the advancement of our GLP-1R franchise including alenigripron (GSBR-1290) and an increase in the allocation of facilities costs.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142875</wp:posOffset>
            </wp:positionV>
            <wp:extent cx="56584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700" w:type="dxa"/>
            <w:vAlign w:val="bottom"/>
          </w:tcPr>
          <w:p>
            <w:pPr>
              <w:spacing w:after="0"/>
              <w:rPr>
                <w:sz w:val="13"/>
                <w:szCs w:val="13"/>
                <w:color w:val="auto"/>
              </w:rPr>
            </w:pPr>
          </w:p>
        </w:tc>
      </w:tr>
      <w:tr>
        <w:trPr>
          <w:trHeight w:val="161"/>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66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1"/>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8"/>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662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Product candidate: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9"/>
        </w:trPr>
        <w:tc>
          <w:tcPr>
            <w:tcW w:w="6620" w:type="dxa"/>
            <w:vAlign w:val="bottom"/>
          </w:tcPr>
          <w:p>
            <w:pPr>
              <w:ind w:left="100"/>
              <w:spacing w:after="0" w:line="189" w:lineRule="exact"/>
              <w:rPr>
                <w:sz w:val="20"/>
                <w:szCs w:val="20"/>
                <w:color w:val="auto"/>
              </w:rPr>
            </w:pPr>
            <w:r>
              <w:rPr>
                <w:rFonts w:ascii="Arial" w:cs="Arial" w:eastAsia="Arial" w:hAnsi="Arial"/>
                <w:sz w:val="17"/>
                <w:szCs w:val="17"/>
                <w:color w:val="auto"/>
              </w:rPr>
              <w:t>ANPA</w:t>
            </w:r>
            <w:r>
              <w:rPr>
                <w:rFonts w:ascii="MS PGothic" w:cs="MS PGothic" w:eastAsia="MS PGothic" w:hAnsi="MS PGothic"/>
                <w:sz w:val="17"/>
                <w:szCs w:val="17"/>
                <w:color w:val="auto"/>
              </w:rPr>
              <w:t>‑</w:t>
            </w:r>
            <w:r>
              <w:rPr>
                <w:rFonts w:ascii="Arial" w:cs="Arial" w:eastAsia="Arial" w:hAnsi="Arial"/>
                <w:sz w:val="17"/>
                <w:szCs w:val="17"/>
                <w:color w:val="auto"/>
              </w:rPr>
              <w:t>0073</w:t>
            </w:r>
          </w:p>
        </w:tc>
        <w:tc>
          <w:tcPr>
            <w:tcW w:w="240" w:type="dxa"/>
            <w:vAlign w:val="bottom"/>
          </w:tcPr>
          <w:p>
            <w:pPr>
              <w:jc w:val="right"/>
              <w:ind w:right="56"/>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5,699</w:t>
            </w:r>
          </w:p>
        </w:tc>
        <w:tc>
          <w:tcPr>
            <w:tcW w:w="200" w:type="dxa"/>
            <w:vAlign w:val="bottom"/>
          </w:tcPr>
          <w:p>
            <w:pPr>
              <w:spacing w:after="0"/>
              <w:rPr>
                <w:sz w:val="16"/>
                <w:szCs w:val="16"/>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3,521</w:t>
            </w:r>
          </w:p>
        </w:tc>
      </w:tr>
      <w:tr>
        <w:trPr>
          <w:trHeight w:val="189"/>
        </w:trPr>
        <w:tc>
          <w:tcPr>
            <w:tcW w:w="66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Alenigripron (GSBR</w:t>
            </w:r>
            <w:r>
              <w:rPr>
                <w:rFonts w:ascii="MS PGothic" w:cs="MS PGothic" w:eastAsia="MS PGothic" w:hAnsi="MS PGothic"/>
                <w:sz w:val="17"/>
                <w:szCs w:val="17"/>
                <w:color w:val="auto"/>
              </w:rPr>
              <w:t>‑</w:t>
            </w:r>
            <w:r>
              <w:rPr>
                <w:rFonts w:ascii="Arial" w:cs="Arial" w:eastAsia="Arial" w:hAnsi="Arial"/>
                <w:sz w:val="17"/>
                <w:szCs w:val="17"/>
                <w:color w:val="auto"/>
              </w:rPr>
              <w:t>1290)</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49,249</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44,763</w:t>
            </w:r>
          </w:p>
        </w:tc>
      </w:tr>
      <w:tr>
        <w:trPr>
          <w:trHeight w:val="189"/>
        </w:trPr>
        <w:tc>
          <w:tcPr>
            <w:tcW w:w="6620" w:type="dxa"/>
            <w:vAlign w:val="bottom"/>
          </w:tcPr>
          <w:p>
            <w:pPr>
              <w:ind w:left="100"/>
              <w:spacing w:after="0" w:line="189" w:lineRule="exact"/>
              <w:rPr>
                <w:sz w:val="20"/>
                <w:szCs w:val="20"/>
                <w:color w:val="auto"/>
              </w:rPr>
            </w:pPr>
            <w:r>
              <w:rPr>
                <w:rFonts w:ascii="Arial" w:cs="Arial" w:eastAsia="Arial" w:hAnsi="Arial"/>
                <w:sz w:val="17"/>
                <w:szCs w:val="17"/>
                <w:color w:val="auto"/>
              </w:rPr>
              <w:t>LTSE</w:t>
            </w:r>
            <w:r>
              <w:rPr>
                <w:rFonts w:ascii="MS PGothic" w:cs="MS PGothic" w:eastAsia="MS PGothic" w:hAnsi="MS PGothic"/>
                <w:sz w:val="17"/>
                <w:szCs w:val="17"/>
                <w:color w:val="auto"/>
              </w:rPr>
              <w:t>‑</w:t>
            </w:r>
            <w:r>
              <w:rPr>
                <w:rFonts w:ascii="Arial" w:cs="Arial" w:eastAsia="Arial" w:hAnsi="Arial"/>
                <w:sz w:val="17"/>
                <w:szCs w:val="17"/>
                <w:color w:val="auto"/>
              </w:rPr>
              <w:t>2578</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8,908</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4,853</w:t>
            </w:r>
          </w:p>
        </w:tc>
      </w:tr>
      <w:tr>
        <w:trPr>
          <w:trHeight w:val="189"/>
        </w:trPr>
        <w:tc>
          <w:tcPr>
            <w:tcW w:w="66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ACCG-2671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15,694</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2,122</w:t>
            </w:r>
          </w:p>
        </w:tc>
      </w:tr>
      <w:tr>
        <w:trPr>
          <w:trHeight w:val="189"/>
        </w:trPr>
        <w:tc>
          <w:tcPr>
            <w:tcW w:w="662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29,264</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14,844</w:t>
            </w:r>
          </w:p>
        </w:tc>
      </w:tr>
      <w:tr>
        <w:trPr>
          <w:trHeight w:val="182"/>
        </w:trPr>
        <w:tc>
          <w:tcPr>
            <w:tcW w:w="6620" w:type="dxa"/>
            <w:vAlign w:val="bottom"/>
            <w:tcBorders>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7"/>
                <w:szCs w:val="17"/>
                <w:color w:val="auto"/>
              </w:rPr>
              <w:t>Total research and development expenses</w:t>
            </w:r>
          </w:p>
        </w:tc>
        <w:tc>
          <w:tcPr>
            <w:tcW w:w="240" w:type="dxa"/>
            <w:vAlign w:val="bottom"/>
            <w:tcBorders>
              <w:bottom w:val="single" w:sz="8" w:color="auto"/>
            </w:tcBorders>
            <w:shd w:val="clear" w:color="auto" w:fill="CCEEFF"/>
          </w:tcPr>
          <w:p>
            <w:pPr>
              <w:jc w:val="right"/>
              <w:ind w:right="56"/>
              <w:spacing w:after="0" w:line="182"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108,814</w:t>
            </w: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70,103</w:t>
            </w: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7"/>
        </w:trPr>
        <w:tc>
          <w:tcPr>
            <w:tcW w:w="6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94"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General and administrative expenses increased by $16.7 million, or 51%, to $49.4 million during the year ended December 31, 2024, compared to $32.7 million during the year ended December 31, 2023. The increase in general and administrative expenses was primarily due to increases in personnel-related expenses and professional services as we expanded our infrastructure to drive and support the growth in our operations as a publicly-traded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Interest and Other Income (Expense), Net</w:t>
      </w:r>
    </w:p>
    <w:p>
      <w:pPr>
        <w:spacing w:after="0" w:line="194" w:lineRule="exact"/>
        <w:rPr>
          <w:sz w:val="20"/>
          <w:szCs w:val="20"/>
          <w:color w:val="auto"/>
        </w:rPr>
      </w:pPr>
    </w:p>
    <w:p>
      <w:pPr>
        <w:ind w:left="40" w:right="319"/>
        <w:spacing w:after="0" w:line="243" w:lineRule="auto"/>
        <w:rPr>
          <w:sz w:val="20"/>
          <w:szCs w:val="20"/>
          <w:color w:val="auto"/>
        </w:rPr>
      </w:pPr>
      <w:r>
        <w:rPr>
          <w:rFonts w:ascii="Arial" w:cs="Arial" w:eastAsia="Arial" w:hAnsi="Arial"/>
          <w:sz w:val="17"/>
          <w:szCs w:val="17"/>
          <w:color w:val="auto"/>
        </w:rPr>
        <w:t>Interest and other income (expense), net, increased by $22.6 million to an income of $36.0 million during the year ended December 31, 2024, compared to an income of $13.4 million during the year ended December 31, 2023. The increase in interest and other income (expense), net, was primarily due to an increase in interest income from higher cash, cash equivalents and short-term investment balances.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From our reorganization as a Cayman Islands exempted company in February 2019 through immediately prior to</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completion of our IPO, we funded our operations primarily with an aggregate of $198.0 million in gross cash proceeds</w:t>
      </w:r>
    </w:p>
    <w:p>
      <w:pPr>
        <w:ind w:left="40"/>
        <w:spacing w:after="0" w:line="232" w:lineRule="auto"/>
        <w:rPr>
          <w:sz w:val="20"/>
          <w:szCs w:val="20"/>
          <w:color w:val="auto"/>
        </w:rPr>
      </w:pPr>
      <w:r>
        <w:rPr>
          <w:rFonts w:ascii="Arial" w:cs="Arial" w:eastAsia="Arial" w:hAnsi="Arial"/>
          <w:sz w:val="17"/>
          <w:szCs w:val="17"/>
          <w:color w:val="auto"/>
        </w:rPr>
        <w:t>from the sale of redeemable convertible preferred shares. In February 2023, we completed our IPO and received</w:t>
      </w:r>
    </w:p>
    <w:p>
      <w:pPr>
        <w:ind w:left="40"/>
        <w:spacing w:after="0"/>
        <w:rPr>
          <w:sz w:val="20"/>
          <w:szCs w:val="20"/>
          <w:color w:val="auto"/>
        </w:rPr>
      </w:pPr>
      <w:r>
        <w:rPr>
          <w:rFonts w:ascii="Arial" w:cs="Arial" w:eastAsia="Arial" w:hAnsi="Arial"/>
          <w:sz w:val="16"/>
          <w:szCs w:val="16"/>
          <w:color w:val="auto"/>
        </w:rPr>
        <w:t>$166.7 million in net proceeds after deducting underwriting discounts and commissions and estimated offering costs. In</w:t>
      </w:r>
    </w:p>
    <w:p>
      <w:pPr>
        <w:ind w:left="40"/>
        <w:spacing w:after="0"/>
        <w:rPr>
          <w:sz w:val="20"/>
          <w:szCs w:val="20"/>
          <w:color w:val="auto"/>
        </w:rPr>
      </w:pPr>
      <w:r>
        <w:rPr>
          <w:rFonts w:ascii="Arial" w:cs="Arial" w:eastAsia="Arial" w:hAnsi="Arial"/>
          <w:sz w:val="17"/>
          <w:szCs w:val="17"/>
          <w:color w:val="auto"/>
        </w:rPr>
        <w:t>October 2023, we completed our Private Placement and received $281.5 million in net proceeds after deducting</w:t>
      </w:r>
    </w:p>
    <w:p>
      <w:pPr>
        <w:ind w:left="40"/>
        <w:spacing w:after="0" w:line="232" w:lineRule="auto"/>
        <w:rPr>
          <w:sz w:val="20"/>
          <w:szCs w:val="20"/>
          <w:color w:val="auto"/>
        </w:rPr>
      </w:pPr>
      <w:r>
        <w:rPr>
          <w:rFonts w:ascii="Arial" w:cs="Arial" w:eastAsia="Arial" w:hAnsi="Arial"/>
          <w:sz w:val="17"/>
          <w:szCs w:val="17"/>
          <w:color w:val="auto"/>
        </w:rPr>
        <w:t>placement agent fees and other private placement expenses. In June 2024, we closed our Follow-On Offering and</w:t>
      </w:r>
    </w:p>
    <w:p>
      <w:pPr>
        <w:ind w:left="40"/>
        <w:spacing w:after="0" w:line="232" w:lineRule="auto"/>
        <w:rPr>
          <w:sz w:val="20"/>
          <w:szCs w:val="20"/>
          <w:color w:val="auto"/>
        </w:rPr>
      </w:pPr>
      <w:r>
        <w:rPr>
          <w:rFonts w:ascii="Arial" w:cs="Arial" w:eastAsia="Arial" w:hAnsi="Arial"/>
          <w:sz w:val="17"/>
          <w:szCs w:val="17"/>
          <w:color w:val="auto"/>
        </w:rPr>
        <w:t>received $512.7 million in net proceeds after deducting the underwriting discounts and commissions and estimated</w:t>
      </w:r>
    </w:p>
    <w:p>
      <w:pPr>
        <w:ind w:left="40"/>
        <w:spacing w:after="0" w:line="233" w:lineRule="auto"/>
        <w:rPr>
          <w:sz w:val="20"/>
          <w:szCs w:val="20"/>
          <w:color w:val="auto"/>
        </w:rPr>
      </w:pPr>
      <w:r>
        <w:rPr>
          <w:rFonts w:ascii="Arial" w:cs="Arial" w:eastAsia="Arial" w:hAnsi="Arial"/>
          <w:sz w:val="17"/>
          <w:szCs w:val="17"/>
          <w:color w:val="auto"/>
        </w:rPr>
        <w:t>offering expenses. As of December 31, 2024, we had cash, cash equivalents and short-term investments of</w:t>
      </w:r>
    </w:p>
    <w:p>
      <w:pPr>
        <w:ind w:left="40"/>
        <w:spacing w:after="0"/>
        <w:rPr>
          <w:sz w:val="20"/>
          <w:szCs w:val="20"/>
          <w:color w:val="auto"/>
        </w:rPr>
      </w:pPr>
      <w:r>
        <w:rPr>
          <w:rFonts w:ascii="Arial" w:cs="Arial" w:eastAsia="Arial" w:hAnsi="Arial"/>
          <w:sz w:val="17"/>
          <w:szCs w:val="17"/>
          <w:color w:val="auto"/>
        </w:rPr>
        <w:t>$883.5 million and an accumulated deficit of $329.1 million.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94"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Prior to our IPO, we financed our operations primarily through the private placement of equity securities and have received aggregate gross proceeds of approximately $198.0 million. Since our inception, we have incurred net operating losses and negative cash flows from operations. We had net losses of $122.5 million and $89.6 million in the years ended December 31, 2024 and 2023, respectively. As of December 31, 2024, we had an accumulated deficit of $329.1 million. In February 2023, we completed our IPO for net proceeds of $166.7 million. In October 2023, we completed our Private Placement and received $281.5 million in net proceeds after deducting placement agent fees and other private placement expenses. In June 2024, we closed our Follow-On Offering and received $512.7 million in net proceeds after deducting the underwriting discounts and commissions and estimated offering expenses.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spacing w:after="0" w:line="177" w:lineRule="exact"/>
        <w:rPr>
          <w:sz w:val="20"/>
          <w:szCs w:val="20"/>
          <w:color w:val="auto"/>
        </w:rPr>
      </w:pPr>
    </w:p>
    <w:p>
      <w:pPr>
        <w:ind w:left="40" w:right="199"/>
        <w:spacing w:after="0"/>
        <w:rPr>
          <w:sz w:val="20"/>
          <w:szCs w:val="20"/>
          <w:color w:val="auto"/>
        </w:rPr>
      </w:pPr>
      <w:r>
        <w:rPr>
          <w:rFonts w:ascii="Arial" w:cs="Arial" w:eastAsia="Arial" w:hAnsi="Arial"/>
          <w:sz w:val="17"/>
          <w:szCs w:val="17"/>
          <w:color w:val="auto"/>
        </w:rPr>
        <w:t>As of December 31, 2024, we had cash, cash equivalents and short-term investments of $883.5 million. Based on our current business plan, we believe that our existing cash, cash equivalents and short-term investments will be sufficient to fund our projected operations for at least the next 12 months from the date of the issuance of our consolidated financial statements. We have based this estimate on assumptions that may prove to be wrong, and we may exhaust our available capital resources sooner than we expect.</w:t>
      </w:r>
    </w:p>
    <w:p>
      <w:pPr>
        <w:spacing w:after="0" w:line="171"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color w:val="auto"/>
        </w:rPr>
        <w:t>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 increasing expenses and operating losses for the foreseeable future, particularly if and as we continue to invest in our research and development activities and initiate additional clinical studies, expand our product pipeline, hire additional personnel and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acquisitions or investments. We are subject to the risks typically related to the development of new product candidates, and we may encounter unforeseen expenses, difficulties, complications, delays and other unknown factors that may adversely affect our business.</w:t>
      </w:r>
    </w:p>
    <w:p>
      <w:pPr>
        <w:spacing w:after="0" w:line="164" w:lineRule="exact"/>
        <w:rPr>
          <w:sz w:val="20"/>
          <w:szCs w:val="20"/>
          <w:color w:val="auto"/>
        </w:rPr>
      </w:pPr>
    </w:p>
    <w:p>
      <w:pPr>
        <w:ind w:left="40" w:right="299"/>
        <w:spacing w:after="0" w:line="265" w:lineRule="auto"/>
        <w:rPr>
          <w:sz w:val="20"/>
          <w:szCs w:val="20"/>
          <w:color w:val="auto"/>
        </w:rPr>
      </w:pPr>
      <w:r>
        <w:rPr>
          <w:rFonts w:ascii="Arial" w:cs="Arial" w:eastAsia="Arial" w:hAnsi="Arial"/>
          <w:sz w:val="17"/>
          <w:szCs w:val="17"/>
          <w:color w:val="auto"/>
        </w:rPr>
        <w:t>We will need substantial additional capital to develop our product candidates and fund operations for the foreseeable future. Our future capital requirements will depend on many factors, including:</w:t>
      </w:r>
    </w:p>
    <w:p>
      <w:pPr>
        <w:spacing w:after="0" w:line="149" w:lineRule="exact"/>
        <w:rPr>
          <w:sz w:val="20"/>
          <w:szCs w:val="20"/>
          <w:color w:val="auto"/>
        </w:rPr>
      </w:pPr>
    </w:p>
    <w:p>
      <w:pPr>
        <w:ind w:left="680" w:right="339" w:hanging="307"/>
        <w:spacing w:after="0" w:line="264" w:lineRule="auto"/>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timing, rate of progress and costs of our preclinical development activities, laboratory testing and clinical studies for our product candidates, including to fund Phase 3 clinical studies of aleniglipron;</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number and scope of clinical programs we decide to pursue;</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cost, timing and outcome of preparing for and undergoing regulatory review of our product candidates;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cost and timing of manufacturing our product candidates;</w:t>
      </w:r>
    </w:p>
    <w:p>
      <w:pPr>
        <w:spacing w:after="0" w:line="106"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associated with commercializing our product candidates, if they receive marketing approval;</w:t>
      </w:r>
    </w:p>
    <w:p>
      <w:pPr>
        <w:spacing w:after="0" w:line="118" w:lineRule="exact"/>
        <w:rPr>
          <w:rFonts w:ascii="Times New Roman" w:cs="Times New Roman" w:eastAsia="Times New Roman" w:hAnsi="Times New Roman"/>
          <w:sz w:val="16"/>
          <w:szCs w:val="16"/>
          <w:color w:val="auto"/>
        </w:rPr>
      </w:pPr>
    </w:p>
    <w:p>
      <w:pPr>
        <w:ind w:left="680" w:hanging="307"/>
        <w:spacing w:after="0"/>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06" w:lineRule="exact"/>
        <w:rPr>
          <w:rFonts w:ascii="Times New Roman" w:cs="Times New Roman" w:eastAsia="Times New Roman" w:hAnsi="Times New Roman"/>
          <w:sz w:val="17"/>
          <w:szCs w:val="17"/>
          <w:color w:val="auto"/>
        </w:rPr>
      </w:pPr>
    </w:p>
    <w:p>
      <w:pPr>
        <w:ind w:left="680" w:right="439" w:hanging="307"/>
        <w:spacing w:after="0" w:line="264" w:lineRule="auto"/>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48"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06" w:lineRule="exact"/>
        <w:rPr>
          <w:rFonts w:ascii="Times New Roman" w:cs="Times New Roman" w:eastAsia="Times New Roman" w:hAnsi="Times New Roman"/>
          <w:sz w:val="17"/>
          <w:szCs w:val="17"/>
          <w:color w:val="auto"/>
        </w:rPr>
      </w:pPr>
    </w:p>
    <w:p>
      <w:pPr>
        <w:ind w:left="680" w:right="579" w:hanging="307"/>
        <w:spacing w:after="0" w:line="248" w:lineRule="auto"/>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62" w:lineRule="exact"/>
        <w:rPr>
          <w:rFonts w:ascii="Times New Roman" w:cs="Times New Roman" w:eastAsia="Times New Roman" w:hAnsi="Times New Roman"/>
          <w:sz w:val="17"/>
          <w:szCs w:val="17"/>
          <w:color w:val="auto"/>
        </w:rPr>
      </w:pPr>
    </w:p>
    <w:p>
      <w:pPr>
        <w:ind w:left="680" w:hanging="307"/>
        <w:spacing w:after="0"/>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our implementation of operational, financial and management systems; and</w:t>
      </w:r>
    </w:p>
    <w:p>
      <w:pPr>
        <w:spacing w:after="0" w:line="106" w:lineRule="exact"/>
        <w:rPr>
          <w:rFonts w:ascii="Times New Roman" w:cs="Times New Roman" w:eastAsia="Times New Roman" w:hAnsi="Times New Roman"/>
          <w:sz w:val="17"/>
          <w:szCs w:val="17"/>
          <w:color w:val="auto"/>
        </w:rPr>
      </w:pPr>
    </w:p>
    <w:p>
      <w:pPr>
        <w:ind w:left="680" w:right="79" w:hanging="307"/>
        <w:spacing w:after="0" w:line="243" w:lineRule="auto"/>
        <w:tabs>
          <w:tab w:leader="none" w:pos="68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geopolitical and macroeconomic events, including future bank failures, tariffs, increased geopolitical tensions between the U.S. and China, the Russia/Ukraine conflict, the Israel-Hamas war and global pandemics on U.S. and global economic conditions that may impact our ability to access capital on acceptable terms, if at all.</w:t>
      </w:r>
    </w:p>
    <w:p>
      <w:pPr>
        <w:spacing w:after="0" w:line="167" w:lineRule="exact"/>
        <w:rPr>
          <w:sz w:val="20"/>
          <w:szCs w:val="20"/>
          <w:color w:val="auto"/>
        </w:rPr>
      </w:pPr>
    </w:p>
    <w:p>
      <w:pPr>
        <w:ind w:left="40" w:right="59"/>
        <w:spacing w:after="0" w:line="243" w:lineRule="auto"/>
        <w:rPr>
          <w:sz w:val="20"/>
          <w:szCs w:val="20"/>
          <w:color w:val="auto"/>
        </w:rPr>
      </w:pPr>
      <w:r>
        <w:rPr>
          <w:rFonts w:ascii="Arial" w:cs="Arial" w:eastAsia="Arial" w:hAnsi="Arial"/>
          <w:sz w:val="17"/>
          <w:szCs w:val="17"/>
          <w:color w:val="auto"/>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spacing w:after="0" w:line="168" w:lineRule="exact"/>
        <w:rPr>
          <w:sz w:val="20"/>
          <w:szCs w:val="20"/>
          <w:color w:val="auto"/>
        </w:rPr>
      </w:pPr>
    </w:p>
    <w:p>
      <w:pPr>
        <w:jc w:val="both"/>
        <w:ind w:left="40" w:right="139"/>
        <w:spacing w:after="0" w:line="248"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w:t>
      </w:r>
    </w:p>
    <w:p>
      <w:pPr>
        <w:spacing w:after="0" w:line="164"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If we are unable 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 Because of the numerous risks and uncertainties associated with product development, we cannot predict the timing or amount of increased expenses or when or if we will be able to achieve or maintain profitability.</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Summary Statements of Cash Flows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sets forth the primary sources and uses of cash for the periods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4"/>
          </w:tcPr>
          <w:p>
            <w:pPr>
              <w:jc w:val="right"/>
              <w:ind w:right="619"/>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3"/>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20" w:type="dxa"/>
            <w:vAlign w:val="bottom"/>
          </w:tcPr>
          <w:p>
            <w:pPr>
              <w:spacing w:after="0"/>
              <w:rPr>
                <w:sz w:val="15"/>
                <w:szCs w:val="15"/>
                <w:color w:val="auto"/>
              </w:rPr>
            </w:pPr>
          </w:p>
        </w:tc>
        <w:tc>
          <w:tcPr>
            <w:tcW w:w="49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Net cash (used in) provided by:</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980" w:type="dxa"/>
            <w:vAlign w:val="bottom"/>
          </w:tcPr>
          <w:p>
            <w:pPr>
              <w:ind w:left="80"/>
              <w:spacing w:after="0" w:line="189" w:lineRule="exact"/>
              <w:rPr>
                <w:sz w:val="20"/>
                <w:szCs w:val="20"/>
                <w:color w:val="auto"/>
              </w:rPr>
            </w:pPr>
            <w:r>
              <w:rPr>
                <w:rFonts w:ascii="Arial" w:cs="Arial" w:eastAsia="Arial" w:hAnsi="Arial"/>
                <w:sz w:val="17"/>
                <w:szCs w:val="17"/>
                <w:color w:val="auto"/>
              </w:rPr>
              <w:t>Operating activities</w:t>
            </w:r>
          </w:p>
        </w:tc>
        <w:tc>
          <w:tcPr>
            <w:tcW w:w="1840" w:type="dxa"/>
            <w:vAlign w:val="bottom"/>
            <w:gridSpan w:val="2"/>
          </w:tcPr>
          <w:p>
            <w:pPr>
              <w:jc w:val="right"/>
              <w:ind w:right="36"/>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(116,636)</w:t>
            </w:r>
          </w:p>
        </w:tc>
        <w:tc>
          <w:tcPr>
            <w:tcW w:w="400" w:type="dxa"/>
            <w:vAlign w:val="bottom"/>
            <w:gridSpan w:val="2"/>
          </w:tcPr>
          <w:p>
            <w:pPr>
              <w:jc w:val="right"/>
              <w:ind w:right="46"/>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(79,488)</w:t>
            </w:r>
          </w:p>
        </w:tc>
      </w:tr>
      <w:tr>
        <w:trPr>
          <w:trHeight w:val="189"/>
        </w:trPr>
        <w:tc>
          <w:tcPr>
            <w:tcW w:w="20" w:type="dxa"/>
            <w:vAlign w:val="bottom"/>
          </w:tcPr>
          <w:p>
            <w:pPr>
              <w:spacing w:after="0"/>
              <w:rPr>
                <w:sz w:val="16"/>
                <w:szCs w:val="16"/>
                <w:color w:val="auto"/>
              </w:rPr>
            </w:pPr>
          </w:p>
        </w:tc>
        <w:tc>
          <w:tcPr>
            <w:tcW w:w="49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Investing activities</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(358,909)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(268,342)</w:t>
            </w:r>
          </w:p>
        </w:tc>
      </w:tr>
      <w:tr>
        <w:trPr>
          <w:trHeight w:val="189"/>
        </w:trPr>
        <w:tc>
          <w:tcPr>
            <w:tcW w:w="20" w:type="dxa"/>
            <w:vAlign w:val="bottom"/>
          </w:tcPr>
          <w:p>
            <w:pPr>
              <w:spacing w:after="0"/>
              <w:rPr>
                <w:sz w:val="16"/>
                <w:szCs w:val="16"/>
                <w:color w:val="auto"/>
              </w:rPr>
            </w:pPr>
          </w:p>
        </w:tc>
        <w:tc>
          <w:tcPr>
            <w:tcW w:w="498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Financing activities</w:t>
            </w:r>
          </w:p>
        </w:tc>
        <w:tc>
          <w:tcPr>
            <w:tcW w:w="1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
              <w:spacing w:after="0" w:line="189" w:lineRule="exact"/>
              <w:rPr>
                <w:sz w:val="20"/>
                <w:szCs w:val="20"/>
                <w:color w:val="auto"/>
              </w:rPr>
            </w:pPr>
            <w:r>
              <w:rPr>
                <w:rFonts w:ascii="Arial" w:cs="Arial" w:eastAsia="Arial" w:hAnsi="Arial"/>
                <w:sz w:val="17"/>
                <w:szCs w:val="17"/>
                <w:color w:val="auto"/>
              </w:rPr>
              <w:t>515,263</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451,531</w:t>
            </w:r>
          </w:p>
        </w:tc>
      </w:tr>
      <w:tr>
        <w:trPr>
          <w:trHeight w:val="182"/>
        </w:trPr>
        <w:tc>
          <w:tcPr>
            <w:tcW w:w="20" w:type="dxa"/>
            <w:vAlign w:val="bottom"/>
          </w:tcPr>
          <w:p>
            <w:pPr>
              <w:spacing w:after="0"/>
              <w:rPr>
                <w:sz w:val="15"/>
                <w:szCs w:val="15"/>
                <w:color w:val="auto"/>
              </w:rPr>
            </w:pPr>
          </w:p>
        </w:tc>
        <w:tc>
          <w:tcPr>
            <w:tcW w:w="4980" w:type="dxa"/>
            <w:vAlign w:val="bottom"/>
            <w:tcBorders>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7"/>
                <w:szCs w:val="17"/>
                <w:color w:val="auto"/>
              </w:rPr>
              <w:t>Net increase in cash and cash equivalents</w:t>
            </w:r>
          </w:p>
        </w:tc>
        <w:tc>
          <w:tcPr>
            <w:tcW w:w="16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82"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3"/>
              <w:spacing w:after="0" w:line="182" w:lineRule="exact"/>
              <w:rPr>
                <w:sz w:val="20"/>
                <w:szCs w:val="20"/>
                <w:color w:val="auto"/>
              </w:rPr>
            </w:pPr>
            <w:r>
              <w:rPr>
                <w:rFonts w:ascii="Arial" w:cs="Arial" w:eastAsia="Arial" w:hAnsi="Arial"/>
                <w:sz w:val="17"/>
                <w:szCs w:val="17"/>
                <w:color w:val="auto"/>
              </w:rPr>
              <w:t>39,718</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103,701</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Cash Flows Used in Operating Activities</w:t>
      </w:r>
    </w:p>
    <w:p>
      <w:pPr>
        <w:spacing w:after="0" w:line="194" w:lineRule="exact"/>
        <w:rPr>
          <w:sz w:val="20"/>
          <w:szCs w:val="20"/>
          <w:color w:val="auto"/>
        </w:rPr>
      </w:pPr>
    </w:p>
    <w:p>
      <w:pPr>
        <w:ind w:left="40" w:right="59"/>
        <w:spacing w:after="0" w:line="254" w:lineRule="auto"/>
        <w:rPr>
          <w:sz w:val="20"/>
          <w:szCs w:val="20"/>
          <w:color w:val="auto"/>
        </w:rPr>
      </w:pPr>
      <w:r>
        <w:rPr>
          <w:rFonts w:ascii="Arial" w:cs="Arial" w:eastAsia="Arial" w:hAnsi="Arial"/>
          <w:sz w:val="16"/>
          <w:szCs w:val="16"/>
          <w:color w:val="auto"/>
        </w:rPr>
        <w:t>During the year ended December 31, 2024, net cash used in operating activities was $116.6 million, consisting primarily of a net loss of $122.5 million, partially offset by non-cash charges of $2.9 million and a decrease in net operating assets of $3.0 million. The increase in net loss was primarily due to the increase in operating expenses as we invest in our research and development efforts and operate as a publicly-traded company. Non-cash charges consisted primarily of share-based compensation, non-cash lease expense and depreciation expense, partially offset by net gain from accretion of net investment discounts. The decrease in net operating assets was primarily due to an increase in accrued expenses and other current liabilities and accounts payable, partially offset by an increase in prepaid expenses and other current assets, an increase in other non-current assets and a decrease in operating lease liabilities.</w:t>
      </w:r>
    </w:p>
    <w:p>
      <w:pPr>
        <w:spacing w:after="0" w:line="159"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During the year ended December 31, 2023, net cash used in operating activities was $79.5 million, consisting primarily of a net loss of $89.6 million, partially offset by non-cash charges of $3.2 million and a decrease in net operating assets of $7.0 million. The increase in net loss was primarily due to the increase in operating expenses as we invest in our research and development efforts and operate as a publicly-traded company. Non-cash charges consisted primarily of share-based compensation, partially offset by net gain from accretion of net investment discounts. The decrease in net operating assets was primarily due to an increase in accrued expenses and other current liabilities, partially offset by an increase in prepaid expenses and other current assets.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194"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During the year ended December 31, 2024, net cash used in investing activities was $358.9 million, consisting primarily of net purchases of short-term investments.</w:t>
      </w:r>
    </w:p>
    <w:p>
      <w:pPr>
        <w:spacing w:after="0" w:line="149"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During the year ended December 31, 2023, net cash used in investing activities was $268.3 million, consisting primarily of net purchases of short-term investments.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Cash Flows Provided by Financing Activities</w:t>
      </w:r>
    </w:p>
    <w:p>
      <w:pPr>
        <w:spacing w:after="0" w:line="194" w:lineRule="exact"/>
        <w:rPr>
          <w:sz w:val="20"/>
          <w:szCs w:val="20"/>
          <w:color w:val="auto"/>
        </w:rPr>
      </w:pPr>
    </w:p>
    <w:p>
      <w:pPr>
        <w:ind w:left="40" w:right="379"/>
        <w:spacing w:after="0" w:line="296" w:lineRule="auto"/>
        <w:rPr>
          <w:sz w:val="20"/>
          <w:szCs w:val="20"/>
          <w:color w:val="auto"/>
        </w:rPr>
      </w:pPr>
      <w:r>
        <w:rPr>
          <w:rFonts w:ascii="Arial" w:cs="Arial" w:eastAsia="Arial" w:hAnsi="Arial"/>
          <w:sz w:val="16"/>
          <w:szCs w:val="16"/>
          <w:color w:val="auto"/>
        </w:rPr>
        <w:t>During the year ended December 31, 2024, net cash provided by financing activities was $515.3 million, consisting primarily of proceeds from our Follow-On Offering of $514.6 million, net of underwriting discounts and commissions.</w:t>
      </w:r>
    </w:p>
    <w:p>
      <w:pPr>
        <w:spacing w:after="0" w:line="127" w:lineRule="exact"/>
        <w:rPr>
          <w:sz w:val="20"/>
          <w:szCs w:val="20"/>
          <w:color w:val="auto"/>
        </w:rPr>
      </w:pPr>
    </w:p>
    <w:p>
      <w:pPr>
        <w:ind w:left="40" w:right="339"/>
        <w:spacing w:after="0" w:line="271" w:lineRule="auto"/>
        <w:rPr>
          <w:sz w:val="20"/>
          <w:szCs w:val="20"/>
          <w:color w:val="auto"/>
        </w:rPr>
      </w:pPr>
      <w:r>
        <w:rPr>
          <w:rFonts w:ascii="Arial" w:cs="Arial" w:eastAsia="Arial" w:hAnsi="Arial"/>
          <w:sz w:val="16"/>
          <w:szCs w:val="16"/>
          <w:color w:val="auto"/>
        </w:rPr>
        <w:t>During the year ended December 31, 2023, net cash provided by financing activities was $451.5 million, consisting primarily of proceeds from our IPO of $172.3 million, net of underwriting discounts and commissions, and gross proceeds from our Private Placement of $300.0 million, partially offset by payments of offering costs of $21.6 million.</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As of December 31, 2024, our contractual obligations consist of facilities lease payments totaling $4.2 million, with $1.9 million expected to be paid within the next 12 months.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Policies</w:t>
      </w:r>
    </w:p>
    <w:p>
      <w:pPr>
        <w:spacing w:after="0" w:line="196"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(“GAAP”). The preparation of our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 We believe that the accounting policies discussed below are critical to understanding our historical and future performance. For more detail on our significant accounting policies, refer to Note 2 to our consolidated financial statements included in Part II. Item 8 “Financial Statements and Supplementary Data” of this Annual Report.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194" w:lineRule="exact"/>
        <w:rPr>
          <w:sz w:val="20"/>
          <w:szCs w:val="20"/>
          <w:color w:val="auto"/>
        </w:rPr>
      </w:pPr>
    </w:p>
    <w:p>
      <w:pPr>
        <w:ind w:left="40" w:right="179"/>
        <w:spacing w:after="0" w:line="237" w:lineRule="auto"/>
        <w:rPr>
          <w:sz w:val="20"/>
          <w:szCs w:val="20"/>
          <w:color w:val="auto"/>
        </w:rPr>
      </w:pPr>
      <w:r>
        <w:rPr>
          <w:rFonts w:ascii="Arial" w:cs="Arial" w:eastAsia="Arial" w:hAnsi="Arial"/>
          <w:sz w:val="17"/>
          <w:szCs w:val="17"/>
          <w:color w:val="auto"/>
        </w:rPr>
        <w:t>We have entered into various agreements with contract manufacturing organizations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balance sheets.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on the balance sheets until the services are rendered. To date, our estimated accruals have not differed materially from the actual costs.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Accounting Pronouncements</w:t>
      </w:r>
    </w:p>
    <w:p>
      <w:pPr>
        <w:spacing w:after="0" w:line="196" w:lineRule="exact"/>
        <w:rPr>
          <w:sz w:val="20"/>
          <w:szCs w:val="20"/>
          <w:color w:val="auto"/>
        </w:rPr>
      </w:pPr>
    </w:p>
    <w:p>
      <w:pPr>
        <w:ind w:left="40" w:right="159"/>
        <w:spacing w:after="0" w:line="265" w:lineRule="auto"/>
        <w:rPr>
          <w:sz w:val="20"/>
          <w:szCs w:val="20"/>
          <w:color w:val="auto"/>
        </w:rPr>
      </w:pPr>
      <w:r>
        <w:rPr>
          <w:rFonts w:ascii="Arial" w:cs="Arial" w:eastAsia="Arial" w:hAnsi="Arial"/>
          <w:sz w:val="17"/>
          <w:szCs w:val="17"/>
          <w:color w:val="auto"/>
        </w:rPr>
        <w:t>See “Recent Accounting Pronouncements” in Note 2 to our consolidated financial statements included in Part II. Item 8 “Financial Statements and Supplementary Data” of this Annual Report for additional information.</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194" w:lineRule="exact"/>
        <w:rPr>
          <w:sz w:val="20"/>
          <w:szCs w:val="20"/>
          <w:color w:val="auto"/>
        </w:rPr>
      </w:pPr>
    </w:p>
    <w:p>
      <w:pPr>
        <w:ind w:left="40" w:right="339"/>
        <w:spacing w:after="0" w:line="265"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December 31, 2024, we had cash, cash equivalents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short-term investments of $883.5 million, consisting of interest-bearing money market funds, U.S. government bonds, U.S. government agency bonds and corporate debt securities, for which the fair value would be affected by changes in the general level of U.S. interest rates. However, due to the short-term maturities and the low-risk profile of our cash equivalents, we do not believe that a hypothetical 10% increase or decrease in the relative value of interest rates would have a material effect on our consolidated financial statements included in Part II, Item 8 “Financial Statements and Supplementary Data” of this Annual Report.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94"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Our business is primarily conducted in U.S. dollars. Transactions conducted in foreign currencies have not had, and are not expected to have, a material effect on our results of operations, financial position or cash flows.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effect on our consolidated financial statements included in Part II, Item 8 “Financial Statements and Supplementary Data” of this Annual Report. We do not currently maintain a program to hedge exposures to non-U.S. dollar currencies.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Credit Risk</w:t>
      </w:r>
    </w:p>
    <w:p>
      <w:pPr>
        <w:spacing w:after="0" w:line="194" w:lineRule="exact"/>
        <w:rPr>
          <w:sz w:val="20"/>
          <w:szCs w:val="20"/>
          <w:color w:val="auto"/>
        </w:rPr>
      </w:pPr>
    </w:p>
    <w:p>
      <w:pPr>
        <w:ind w:left="40" w:right="299"/>
        <w:spacing w:after="0" w:line="263" w:lineRule="auto"/>
        <w:rPr>
          <w:sz w:val="20"/>
          <w:szCs w:val="20"/>
          <w:color w:val="auto"/>
        </w:rPr>
      </w:pPr>
      <w:r>
        <w:rPr>
          <w:rFonts w:ascii="Arial" w:cs="Arial" w:eastAsia="Arial" w:hAnsi="Arial"/>
          <w:sz w:val="16"/>
          <w:szCs w:val="16"/>
          <w:color w:val="auto"/>
        </w:rPr>
        <w:t>We maintain our cash, cash equivalents and short-term investments with several financial institutions, primarily in the United States, and our current deposits are in excess of insured limits. We believe these institutions have sufficient assets and liquidity to conduct their operations in the ordinary course of business with little or no credit risk to us. We have not experienced any losses on our deposits of cash, cash equivalents and short-term investments to date.</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194" w:lineRule="exact"/>
        <w:rPr>
          <w:sz w:val="20"/>
          <w:szCs w:val="20"/>
          <w:color w:val="auto"/>
        </w:rPr>
      </w:pPr>
    </w:p>
    <w:p>
      <w:pPr>
        <w:ind w:left="40" w:right="299"/>
        <w:spacing w:after="0" w:line="248" w:lineRule="auto"/>
        <w:rPr>
          <w:sz w:val="20"/>
          <w:szCs w:val="20"/>
          <w:color w:val="auto"/>
        </w:rPr>
      </w:pPr>
      <w:r>
        <w:rPr>
          <w:rFonts w:ascii="Arial" w:cs="Arial" w:eastAsia="Arial" w:hAnsi="Arial"/>
          <w:sz w:val="17"/>
          <w:szCs w:val="17"/>
          <w:color w:val="auto"/>
        </w:rPr>
        <w:t>Inflation generally affects us by increasing our cost of labor and in the future our clinical trial costs. We do not believe that inflation has had a material effect on our consolidated financial statements included elsewhere in this Annual Report.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83"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FINANCIAL STATEMENTS</w:t>
      </w:r>
    </w:p>
    <w:p>
      <w:pPr>
        <w:jc w:val="center"/>
        <w:ind w:right="19"/>
        <w:spacing w:after="0"/>
        <w:rPr>
          <w:sz w:val="20"/>
          <w:szCs w:val="20"/>
          <w:color w:val="auto"/>
        </w:rPr>
      </w:pPr>
      <w:r>
        <w:rPr>
          <w:rFonts w:ascii="Arial" w:cs="Arial" w:eastAsia="Arial" w:hAnsi="Arial"/>
          <w:sz w:val="17"/>
          <w:szCs w:val="17"/>
          <w:b w:val="1"/>
          <w:bCs w:val="1"/>
          <w:color w:val="auto"/>
        </w:rPr>
        <w:t>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132715</wp:posOffset>
            </wp:positionV>
            <wp:extent cx="56584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838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57"/>
        </w:trPr>
        <w:tc>
          <w:tcPr>
            <w:tcW w:w="8380" w:type="dxa"/>
            <w:vAlign w:val="bottom"/>
            <w:gridSpan w:val="8"/>
            <w:vMerge w:val="continue"/>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Borders>
              <w:top w:val="single" w:sz="8" w:color="0000FF"/>
            </w:tcBorders>
            <w:gridSpan w:val="4"/>
          </w:tcPr>
          <w:p>
            <w:pPr>
              <w:spacing w:after="0" w:line="178" w:lineRule="exact"/>
              <w:rPr>
                <w:sz w:val="20"/>
                <w:szCs w:val="20"/>
                <w:color w:val="auto"/>
              </w:rPr>
            </w:pPr>
            <w:r>
              <w:rPr>
                <w:rFonts w:ascii="Arial" w:cs="Arial" w:eastAsia="Arial" w:hAnsi="Arial"/>
                <w:sz w:val="17"/>
                <w:szCs w:val="17"/>
                <w:b w:val="1"/>
                <w:bCs w:val="1"/>
                <w:color w:val="auto"/>
              </w:rPr>
              <w:t>Consolidated Financial Statements</w:t>
            </w:r>
          </w:p>
        </w:tc>
        <w:tc>
          <w:tcPr>
            <w:tcW w:w="6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80" w:type="dxa"/>
            <w:vAlign w:val="bottom"/>
            <w:gridSpan w:val="8"/>
          </w:tcPr>
          <w:p>
            <w:pPr>
              <w:spacing w:after="0" w:line="181" w:lineRule="exact"/>
              <w:rPr>
                <w:sz w:val="20"/>
                <w:szCs w:val="20"/>
                <w:color w:val="auto"/>
              </w:rPr>
            </w:pPr>
            <w:r>
              <w:rPr>
                <w:rFonts w:ascii="Arial" w:cs="Arial" w:eastAsia="Arial" w:hAnsi="Arial"/>
                <w:sz w:val="17"/>
                <w:szCs w:val="17"/>
                <w:color w:val="0000FF"/>
              </w:rPr>
              <w:t>Consolidated Balance Sheets</w:t>
            </w:r>
          </w:p>
        </w:tc>
        <w:tc>
          <w:tcPr>
            <w:tcW w:w="540" w:type="dxa"/>
            <w:vAlign w:val="bottom"/>
          </w:tcPr>
          <w:p>
            <w:pPr>
              <w:jc w:val="right"/>
              <w:spacing w:after="0" w:line="181" w:lineRule="exact"/>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169"/>
        </w:trPr>
        <w:tc>
          <w:tcPr>
            <w:tcW w:w="222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7"/>
                <w:szCs w:val="17"/>
                <w:color w:val="0000FF"/>
              </w:rPr>
              <w:t>Consolidated Statements of</w:t>
            </w:r>
          </w:p>
        </w:tc>
        <w:tc>
          <w:tcPr>
            <w:tcW w:w="6160" w:type="dxa"/>
            <w:vAlign w:val="bottom"/>
            <w:gridSpan w:val="6"/>
          </w:tcPr>
          <w:p>
            <w:pPr>
              <w:spacing w:after="0" w:line="169" w:lineRule="exact"/>
              <w:rPr>
                <w:sz w:val="20"/>
                <w:szCs w:val="20"/>
                <w:color w:val="auto"/>
              </w:rPr>
            </w:pPr>
            <w:r>
              <w:rPr>
                <w:rFonts w:ascii="Arial" w:cs="Arial" w:eastAsia="Arial" w:hAnsi="Arial"/>
                <w:sz w:val="17"/>
                <w:szCs w:val="17"/>
                <w:color w:val="0000FF"/>
              </w:rPr>
              <w:t>Operations and Comprehensive Loss</w:t>
            </w:r>
          </w:p>
        </w:tc>
        <w:tc>
          <w:tcPr>
            <w:tcW w:w="540" w:type="dxa"/>
            <w:vAlign w:val="bottom"/>
          </w:tcPr>
          <w:p>
            <w:pPr>
              <w:jc w:val="right"/>
              <w:spacing w:after="0" w:line="169"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69"/>
        </w:trPr>
        <w:tc>
          <w:tcPr>
            <w:tcW w:w="49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7"/>
                <w:szCs w:val="17"/>
                <w:color w:val="0000FF"/>
              </w:rPr>
              <w:t>Consolidated Statements of Redeemable Convertible Preferred</w:t>
            </w:r>
          </w:p>
        </w:tc>
        <w:tc>
          <w:tcPr>
            <w:tcW w:w="3480" w:type="dxa"/>
            <w:vAlign w:val="bottom"/>
            <w:gridSpan w:val="2"/>
          </w:tcPr>
          <w:p>
            <w:pPr>
              <w:spacing w:after="0" w:line="169" w:lineRule="exact"/>
              <w:rPr>
                <w:sz w:val="20"/>
                <w:szCs w:val="20"/>
                <w:color w:val="auto"/>
              </w:rPr>
            </w:pPr>
            <w:r>
              <w:rPr>
                <w:rFonts w:ascii="Arial" w:cs="Arial" w:eastAsia="Arial" w:hAnsi="Arial"/>
                <w:sz w:val="17"/>
                <w:szCs w:val="17"/>
                <w:color w:val="0000FF"/>
              </w:rPr>
              <w:t>Shares and Shareholders’ Equity (Deficit)</w:t>
            </w:r>
          </w:p>
        </w:tc>
        <w:tc>
          <w:tcPr>
            <w:tcW w:w="540" w:type="dxa"/>
            <w:vAlign w:val="bottom"/>
          </w:tcPr>
          <w:p>
            <w:pPr>
              <w:jc w:val="right"/>
              <w:spacing w:after="0" w:line="169"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69"/>
        </w:trPr>
        <w:tc>
          <w:tcPr>
            <w:tcW w:w="78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7"/>
                <w:szCs w:val="17"/>
                <w:color w:val="0000FF"/>
              </w:rPr>
              <w:t>Consolidated Statements of Cash Flows</w:t>
            </w:r>
          </w:p>
        </w:tc>
        <w:tc>
          <w:tcPr>
            <w:tcW w:w="52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30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54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line="20" w:lineRule="exact"/>
              <w:rPr>
                <w:sz w:val="1"/>
                <w:szCs w:val="1"/>
                <w:color w:val="auto"/>
              </w:rPr>
            </w:pPr>
          </w:p>
        </w:tc>
      </w:tr>
      <w:tr>
        <w:trPr>
          <w:trHeight w:val="169"/>
        </w:trPr>
        <w:tc>
          <w:tcPr>
            <w:tcW w:w="8380" w:type="dxa"/>
            <w:vAlign w:val="bottom"/>
            <w:gridSpan w:val="8"/>
          </w:tcPr>
          <w:p>
            <w:pPr>
              <w:spacing w:after="0" w:line="169" w:lineRule="exact"/>
              <w:rPr>
                <w:sz w:val="20"/>
                <w:szCs w:val="20"/>
                <w:color w:val="auto"/>
              </w:rPr>
            </w:pPr>
            <w:r>
              <w:rPr>
                <w:rFonts w:ascii="Arial" w:cs="Arial" w:eastAsia="Arial" w:hAnsi="Arial"/>
                <w:sz w:val="17"/>
                <w:szCs w:val="17"/>
                <w:color w:val="0000FF"/>
              </w:rPr>
              <w:t>Notes to Consolidated Financial Statements</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2200" w:type="dxa"/>
            <w:vAlign w:val="bottom"/>
            <w:tcBorders>
              <w:top w:val="single" w:sz="8" w:color="0000FF"/>
              <w:bottom w:val="single" w:sz="8" w:color="auto"/>
            </w:tcBorders>
          </w:tcPr>
          <w:p>
            <w:pPr>
              <w:spacing w:after="0"/>
              <w:rPr>
                <w:sz w:val="16"/>
                <w:szCs w:val="16"/>
                <w:color w:val="auto"/>
              </w:rPr>
            </w:pPr>
          </w:p>
        </w:tc>
        <w:tc>
          <w:tcPr>
            <w:tcW w:w="780" w:type="dxa"/>
            <w:vAlign w:val="bottom"/>
            <w:tcBorders>
              <w:top w:val="single" w:sz="8" w:color="0000FF"/>
              <w:bottom w:val="single" w:sz="8" w:color="auto"/>
            </w:tcBorders>
          </w:tcPr>
          <w:p>
            <w:pPr>
              <w:spacing w:after="0"/>
              <w:rPr>
                <w:sz w:val="16"/>
                <w:szCs w:val="16"/>
                <w:color w:val="auto"/>
              </w:rPr>
            </w:pPr>
          </w:p>
        </w:tc>
        <w:tc>
          <w:tcPr>
            <w:tcW w:w="280" w:type="dxa"/>
            <w:vAlign w:val="bottom"/>
            <w:tcBorders>
              <w:top w:val="single" w:sz="8" w:color="0000FF"/>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Shareholders and the Board of Directors of Structure Therapeutics Inc.</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94" w:lineRule="exact"/>
        <w:rPr>
          <w:sz w:val="20"/>
          <w:szCs w:val="20"/>
          <w:color w:val="auto"/>
        </w:rPr>
      </w:pPr>
    </w:p>
    <w:p>
      <w:pPr>
        <w:ind w:left="40" w:right="99"/>
        <w:spacing w:after="0" w:line="255" w:lineRule="auto"/>
        <w:rPr>
          <w:sz w:val="20"/>
          <w:szCs w:val="20"/>
          <w:color w:val="auto"/>
        </w:rPr>
      </w:pPr>
      <w:r>
        <w:rPr>
          <w:rFonts w:ascii="Arial" w:cs="Arial" w:eastAsia="Arial" w:hAnsi="Arial"/>
          <w:sz w:val="16"/>
          <w:szCs w:val="16"/>
          <w:color w:val="auto"/>
        </w:rPr>
        <w:t>We have audited the accompanying consolidated balance sheets of Structure Therapeutics Inc. (the Company) as of December 31, 2024 and 2023, the related consolidated statements of operations and comprehensive loss, redeemable convertible preferred shares and shareholders' equity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59" w:lineRule="exact"/>
        <w:rPr>
          <w:sz w:val="20"/>
          <w:szCs w:val="20"/>
          <w:color w:val="auto"/>
        </w:rPr>
      </w:pPr>
    </w:p>
    <w:p>
      <w:pPr>
        <w:jc w:val="both"/>
        <w:ind w:left="40" w:right="319"/>
        <w:spacing w:after="0"/>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94"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left="40" w:right="199"/>
        <w:spacing w:after="0" w:line="23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94"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Accrued clinical expenses</w:t>
      </w:r>
    </w:p>
    <w:p>
      <w:pPr>
        <w:spacing w:after="0" w:line="320" w:lineRule="exact"/>
        <w:rPr>
          <w:sz w:val="20"/>
          <w:szCs w:val="20"/>
          <w:color w:val="auto"/>
        </w:rPr>
      </w:pPr>
    </w:p>
    <w:p>
      <w:pPr>
        <w:jc w:val="both"/>
        <w:ind w:left="2100" w:right="259" w:hanging="2019"/>
        <w:spacing w:after="0" w:line="248" w:lineRule="auto"/>
        <w:tabs>
          <w:tab w:leader="none" w:pos="2080" w:val="left"/>
        </w:tabs>
        <w:rPr>
          <w:sz w:val="20"/>
          <w:szCs w:val="20"/>
          <w:color w:val="auto"/>
        </w:rPr>
      </w:pPr>
      <w:r>
        <w:rPr>
          <w:rFonts w:ascii="Arial" w:cs="Arial" w:eastAsia="Arial" w:hAnsi="Arial"/>
          <w:sz w:val="17"/>
          <w:szCs w:val="17"/>
          <w:i w:val="1"/>
          <w:iCs w:val="1"/>
          <w:color w:val="auto"/>
        </w:rPr>
        <w:t>Description of the Matter</w:t>
      </w:r>
      <w:r>
        <w:rPr>
          <w:sz w:val="20"/>
          <w:szCs w:val="20"/>
          <w:color w:val="auto"/>
        </w:rPr>
        <w:tab/>
      </w:r>
      <w:r>
        <w:rPr>
          <w:rFonts w:ascii="Arial" w:cs="Arial" w:eastAsia="Arial" w:hAnsi="Arial"/>
          <w:sz w:val="17"/>
          <w:szCs w:val="17"/>
          <w:color w:val="auto"/>
        </w:rPr>
        <w:t>At December 31, 2024, the Company has accrued $7.0 million of clinical expenses. As described in Note 2 to the Consolidated Financial Statements, the Company recognizes accruals for clinical expenses based on the level of services performed,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100" w:right="259"/>
        <w:spacing w:after="0" w:line="243" w:lineRule="auto"/>
        <w:rPr>
          <w:sz w:val="20"/>
          <w:szCs w:val="20"/>
          <w:color w:val="auto"/>
        </w:rPr>
      </w:pPr>
      <w:r>
        <w:rPr>
          <w:rFonts w:ascii="Arial" w:cs="Arial" w:eastAsia="Arial" w:hAnsi="Arial"/>
          <w:sz w:val="17"/>
          <w:szCs w:val="17"/>
          <w:color w:val="auto"/>
        </w:rPr>
        <w:t>progress of the studies, including the phase or completion of events, and contracted costs with contract research organizations. The Company records the estimated costs of clinical services provided but not yet invoiced, and adjusts the accruals based on the actual timing and the level of effort of the performance of services accordingly.</w:t>
      </w:r>
    </w:p>
    <w:p>
      <w:pPr>
        <w:spacing w:after="0" w:line="155" w:lineRule="exact"/>
        <w:rPr>
          <w:sz w:val="20"/>
          <w:szCs w:val="20"/>
          <w:color w:val="auto"/>
        </w:rPr>
      </w:pPr>
    </w:p>
    <w:p>
      <w:pPr>
        <w:jc w:val="both"/>
        <w:ind w:left="2100" w:right="259"/>
        <w:spacing w:after="0" w:line="265" w:lineRule="auto"/>
        <w:rPr>
          <w:sz w:val="20"/>
          <w:szCs w:val="20"/>
          <w:color w:val="auto"/>
        </w:rPr>
      </w:pPr>
      <w:r>
        <w:rPr>
          <w:rFonts w:ascii="Arial" w:cs="Arial" w:eastAsia="Arial" w:hAnsi="Arial"/>
          <w:sz w:val="17"/>
          <w:szCs w:val="17"/>
          <w:color w:val="auto"/>
        </w:rPr>
        <w:t>Auditing accrued clinical expenses was complex due to the analysis of extensive data in determining the expenses incurred but not invoiced.</w:t>
      </w:r>
    </w:p>
    <w:p>
      <w:pPr>
        <w:spacing w:after="0" w:line="23" w:lineRule="exact"/>
        <w:rPr>
          <w:sz w:val="20"/>
          <w:szCs w:val="20"/>
          <w:color w:val="auto"/>
        </w:rPr>
      </w:pPr>
    </w:p>
    <w:p>
      <w:pPr>
        <w:ind w:left="80"/>
        <w:spacing w:after="0"/>
        <w:tabs>
          <w:tab w:leader="none" w:pos="2080" w:val="left"/>
        </w:tabs>
        <w:rPr>
          <w:sz w:val="20"/>
          <w:szCs w:val="20"/>
          <w:color w:val="auto"/>
        </w:rPr>
      </w:pPr>
      <w:r>
        <w:rPr>
          <w:rFonts w:ascii="Arial" w:cs="Arial" w:eastAsia="Arial" w:hAnsi="Arial"/>
          <w:sz w:val="17"/>
          <w:szCs w:val="17"/>
          <w:i w:val="1"/>
          <w:iCs w:val="1"/>
          <w:color w:val="auto"/>
        </w:rPr>
        <w:t>How We Addressed the</w:t>
      </w:r>
      <w:r>
        <w:rPr>
          <w:sz w:val="20"/>
          <w:szCs w:val="20"/>
          <w:color w:val="auto"/>
        </w:rPr>
        <w:tab/>
      </w:r>
      <w:r>
        <w:rPr>
          <w:rFonts w:ascii="Arial" w:cs="Arial" w:eastAsia="Arial" w:hAnsi="Arial"/>
          <w:sz w:val="17"/>
          <w:szCs w:val="17"/>
          <w:color w:val="auto"/>
        </w:rPr>
        <w:t>Our audit procedures included understanding the process and testing the accuracy and</w:t>
      </w:r>
    </w:p>
    <w:p>
      <w:pPr>
        <w:spacing w:after="0" w:line="10" w:lineRule="exact"/>
        <w:rPr>
          <w:sz w:val="20"/>
          <w:szCs w:val="20"/>
          <w:color w:val="auto"/>
        </w:rPr>
      </w:pPr>
    </w:p>
    <w:p>
      <w:pPr>
        <w:jc w:val="both"/>
        <w:ind w:left="2100" w:right="259" w:hanging="2019"/>
        <w:spacing w:after="0" w:line="237" w:lineRule="auto"/>
        <w:tabs>
          <w:tab w:leader="none" w:pos="2080" w:val="left"/>
        </w:tabs>
        <w:rPr>
          <w:sz w:val="20"/>
          <w:szCs w:val="20"/>
          <w:color w:val="auto"/>
        </w:rPr>
      </w:pPr>
      <w:r>
        <w:rPr>
          <w:rFonts w:ascii="Arial" w:cs="Arial" w:eastAsia="Arial" w:hAnsi="Arial"/>
          <w:sz w:val="17"/>
          <w:szCs w:val="17"/>
          <w:i w:val="1"/>
          <w:iCs w:val="1"/>
          <w:color w:val="auto"/>
        </w:rPr>
        <w:t>Matter in Our Audit</w:t>
      </w:r>
      <w:r>
        <w:rPr>
          <w:sz w:val="20"/>
          <w:szCs w:val="20"/>
          <w:color w:val="auto"/>
        </w:rPr>
        <w:tab/>
      </w:r>
      <w:r>
        <w:rPr>
          <w:rFonts w:ascii="Arial" w:cs="Arial" w:eastAsia="Arial" w:hAnsi="Arial"/>
          <w:sz w:val="17"/>
          <w:szCs w:val="17"/>
          <w:color w:val="auto"/>
        </w:rPr>
        <w:t>completeness of the inputs used in management’s analysis to determine expenses incurred but not invoiced and making inquiries of the Company's personnel that oversee the clinical trials. Further, we verified the accrued expenses incurred but not invoiced to the underlying agreements and the information provided by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Ernst &amp; Young LLP</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have served as the Company’s auditor since 2023.</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San Mateo, California</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STRUCTURE THERAPEUTICS INC.</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108585</wp:posOffset>
            </wp:positionV>
            <wp:extent cx="56584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3"/>
                <w:szCs w:val="13"/>
                <w:b w:val="1"/>
                <w:bCs w:val="1"/>
                <w:color w:val="auto"/>
              </w:rPr>
              <w:t>DECEMBER 31,</w:t>
            </w:r>
          </w:p>
        </w:tc>
      </w:tr>
      <w:tr>
        <w:trPr>
          <w:trHeight w:val="157"/>
        </w:trPr>
        <w:tc>
          <w:tcPr>
            <w:tcW w:w="20" w:type="dxa"/>
            <w:vAlign w:val="bottom"/>
          </w:tcPr>
          <w:p>
            <w:pPr>
              <w:spacing w:after="0"/>
              <w:rPr>
                <w:sz w:val="13"/>
                <w:szCs w:val="13"/>
                <w:color w:val="auto"/>
              </w:rPr>
            </w:pPr>
          </w:p>
        </w:tc>
        <w:tc>
          <w:tcPr>
            <w:tcW w:w="64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2023</w:t>
            </w: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Cash and cash equivalents</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169,510</w:t>
            </w:r>
          </w:p>
        </w:tc>
        <w:tc>
          <w:tcPr>
            <w:tcW w:w="4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129,792</w:t>
            </w:r>
          </w:p>
        </w:tc>
      </w:tr>
      <w:tr>
        <w:trPr>
          <w:trHeight w:val="177"/>
        </w:trPr>
        <w:tc>
          <w:tcPr>
            <w:tcW w:w="20" w:type="dxa"/>
            <w:vAlign w:val="bottom"/>
          </w:tcPr>
          <w:p>
            <w:pPr>
              <w:spacing w:after="0"/>
              <w:rPr>
                <w:sz w:val="15"/>
                <w:szCs w:val="15"/>
                <w:color w:val="auto"/>
              </w:rPr>
            </w:pPr>
          </w:p>
        </w:tc>
        <w:tc>
          <w:tcPr>
            <w:tcW w:w="6480" w:type="dxa"/>
            <w:vAlign w:val="bottom"/>
          </w:tcPr>
          <w:p>
            <w:pPr>
              <w:ind w:left="80"/>
              <w:spacing w:after="0"/>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714,008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337,531</w:t>
            </w: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7,693</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6,285</w:t>
            </w:r>
          </w:p>
        </w:tc>
      </w:tr>
      <w:tr>
        <w:trPr>
          <w:trHeight w:val="169"/>
        </w:trPr>
        <w:tc>
          <w:tcPr>
            <w:tcW w:w="20" w:type="dxa"/>
            <w:vAlign w:val="bottom"/>
          </w:tcPr>
          <w:p>
            <w:pPr>
              <w:spacing w:after="0"/>
              <w:rPr>
                <w:sz w:val="14"/>
                <w:szCs w:val="14"/>
                <w:color w:val="auto"/>
              </w:rPr>
            </w:pPr>
          </w:p>
        </w:tc>
        <w:tc>
          <w:tcPr>
            <w:tcW w:w="6480" w:type="dxa"/>
            <w:vAlign w:val="bottom"/>
          </w:tcPr>
          <w:p>
            <w:pPr>
              <w:ind w:left="200"/>
              <w:spacing w:after="0" w:line="169" w:lineRule="exact"/>
              <w:rPr>
                <w:sz w:val="20"/>
                <w:szCs w:val="20"/>
                <w:color w:val="auto"/>
              </w:rPr>
            </w:pPr>
            <w:r>
              <w:rPr>
                <w:rFonts w:ascii="Arial" w:cs="Arial" w:eastAsia="Arial" w:hAnsi="Arial"/>
                <w:sz w:val="15"/>
                <w:szCs w:val="15"/>
                <w:color w:val="auto"/>
              </w:rPr>
              <w:t>Total current assets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891,211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473,608</w:t>
            </w: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3,478</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3,228</w:t>
            </w:r>
          </w:p>
        </w:tc>
      </w:tr>
      <w:tr>
        <w:trPr>
          <w:trHeight w:val="177"/>
        </w:trPr>
        <w:tc>
          <w:tcPr>
            <w:tcW w:w="20" w:type="dxa"/>
            <w:vAlign w:val="bottom"/>
          </w:tcPr>
          <w:p>
            <w:pPr>
              <w:spacing w:after="0"/>
              <w:rPr>
                <w:sz w:val="15"/>
                <w:szCs w:val="15"/>
                <w:color w:val="auto"/>
              </w:rPr>
            </w:pPr>
          </w:p>
        </w:tc>
        <w:tc>
          <w:tcPr>
            <w:tcW w:w="6480" w:type="dxa"/>
            <w:vAlign w:val="bottom"/>
          </w:tcPr>
          <w:p>
            <w:pPr>
              <w:ind w:left="80"/>
              <w:spacing w:after="0"/>
              <w:rPr>
                <w:sz w:val="20"/>
                <w:szCs w:val="20"/>
                <w:color w:val="auto"/>
              </w:rPr>
            </w:pPr>
            <w:r>
              <w:rPr>
                <w:rFonts w:ascii="Arial" w:cs="Arial" w:eastAsia="Arial" w:hAnsi="Arial"/>
                <w:sz w:val="15"/>
                <w:szCs w:val="15"/>
                <w:color w:val="auto"/>
              </w:rPr>
              <w:t>Operating right-of-use 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3,535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5,136</w:t>
            </w: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 non-current assets</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5,106</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200"/>
              <w:spacing w:after="0" w:line="169" w:lineRule="exact"/>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903,330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482,017</w:t>
            </w:r>
          </w:p>
        </w:tc>
      </w:tr>
      <w:tr>
        <w:trPr>
          <w:trHeight w:val="155"/>
        </w:trPr>
        <w:tc>
          <w:tcPr>
            <w:tcW w:w="20" w:type="dxa"/>
            <w:vAlign w:val="bottom"/>
          </w:tcPr>
          <w:p>
            <w:pPr>
              <w:spacing w:after="0"/>
              <w:rPr>
                <w:sz w:val="13"/>
                <w:szCs w:val="13"/>
                <w:color w:val="auto"/>
              </w:rPr>
            </w:pPr>
          </w:p>
        </w:tc>
        <w:tc>
          <w:tcPr>
            <w:tcW w:w="6480" w:type="dxa"/>
            <w:vAlign w:val="bottom"/>
            <w:shd w:val="clear" w:color="auto" w:fill="CCEEFF"/>
          </w:tcPr>
          <w:p>
            <w:pPr>
              <w:spacing w:after="0" w:line="155" w:lineRule="exact"/>
              <w:rPr>
                <w:sz w:val="20"/>
                <w:szCs w:val="20"/>
                <w:color w:val="auto"/>
              </w:rPr>
            </w:pPr>
            <w:r>
              <w:rPr>
                <w:rFonts w:ascii="Arial" w:cs="Arial" w:eastAsia="Arial" w:hAnsi="Arial"/>
                <w:sz w:val="15"/>
                <w:szCs w:val="15"/>
                <w:b w:val="1"/>
                <w:bCs w:val="1"/>
                <w:color w:val="auto"/>
              </w:rPr>
              <w:t>Liabilities and shareholders’ equity</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Arial" w:cs="Arial" w:eastAsia="Arial" w:hAnsi="Arial"/>
                <w:sz w:val="15"/>
                <w:szCs w:val="15"/>
                <w:color w:val="auto"/>
              </w:rPr>
              <w:t>Current liabilities: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Accounts payable</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8,024</w:t>
            </w:r>
          </w:p>
        </w:tc>
        <w:tc>
          <w:tcPr>
            <w:tcW w:w="4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4,742</w:t>
            </w:r>
          </w:p>
        </w:tc>
      </w:tr>
      <w:tr>
        <w:trPr>
          <w:trHeight w:val="177"/>
        </w:trPr>
        <w:tc>
          <w:tcPr>
            <w:tcW w:w="20" w:type="dxa"/>
            <w:vAlign w:val="bottom"/>
          </w:tcPr>
          <w:p>
            <w:pPr>
              <w:spacing w:after="0"/>
              <w:rPr>
                <w:sz w:val="15"/>
                <w:szCs w:val="15"/>
                <w:color w:val="auto"/>
              </w:rPr>
            </w:pPr>
          </w:p>
        </w:tc>
        <w:tc>
          <w:tcPr>
            <w:tcW w:w="6480" w:type="dxa"/>
            <w:vAlign w:val="bottom"/>
          </w:tcPr>
          <w:p>
            <w:pPr>
              <w:ind w:left="80"/>
              <w:spacing w:after="0"/>
              <w:rPr>
                <w:sz w:val="20"/>
                <w:szCs w:val="20"/>
                <w:color w:val="auto"/>
              </w:rPr>
            </w:pPr>
            <w:r>
              <w:rPr>
                <w:rFonts w:ascii="Arial" w:cs="Arial" w:eastAsia="Arial" w:hAnsi="Arial"/>
                <w:sz w:val="15"/>
                <w:szCs w:val="15"/>
                <w:color w:val="auto"/>
              </w:rPr>
              <w:t>Accrued expenses and other current liabilities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26,299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18,558</w:t>
            </w: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Operating lease liabilities, current portion</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1,698</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1,440</w:t>
            </w:r>
          </w:p>
        </w:tc>
      </w:tr>
      <w:tr>
        <w:trPr>
          <w:trHeight w:val="169"/>
        </w:trPr>
        <w:tc>
          <w:tcPr>
            <w:tcW w:w="20" w:type="dxa"/>
            <w:vAlign w:val="bottom"/>
          </w:tcPr>
          <w:p>
            <w:pPr>
              <w:spacing w:after="0"/>
              <w:rPr>
                <w:sz w:val="14"/>
                <w:szCs w:val="14"/>
                <w:color w:val="auto"/>
              </w:rPr>
            </w:pPr>
          </w:p>
        </w:tc>
        <w:tc>
          <w:tcPr>
            <w:tcW w:w="6480" w:type="dxa"/>
            <w:vAlign w:val="bottom"/>
          </w:tcPr>
          <w:p>
            <w:pPr>
              <w:ind w:left="200"/>
              <w:spacing w:after="0" w:line="169" w:lineRule="exact"/>
              <w:rPr>
                <w:sz w:val="20"/>
                <w:szCs w:val="20"/>
                <w:color w:val="auto"/>
              </w:rPr>
            </w:pPr>
            <w:r>
              <w:rPr>
                <w:rFonts w:ascii="Arial" w:cs="Arial" w:eastAsia="Arial" w:hAnsi="Arial"/>
                <w:sz w:val="15"/>
                <w:szCs w:val="15"/>
                <w:color w:val="auto"/>
              </w:rPr>
              <w:t>Total current liabilities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36,021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24,740</w:t>
            </w: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Operating lease liabilities, net of current portion</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4,013</w:t>
            </w:r>
          </w:p>
        </w:tc>
      </w:tr>
      <w:tr>
        <w:trPr>
          <w:trHeight w:val="177"/>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Other non-current liabilities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w:t>
            </w: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00"/>
              <w:spacing w:after="0" w:line="169" w:lineRule="exact"/>
              <w:rPr>
                <w:sz w:val="20"/>
                <w:szCs w:val="20"/>
                <w:color w:val="auto"/>
              </w:rPr>
            </w:pPr>
            <w:r>
              <w:rPr>
                <w:rFonts w:ascii="Arial" w:cs="Arial" w:eastAsia="Arial" w:hAnsi="Arial"/>
                <w:sz w:val="15"/>
                <w:szCs w:val="15"/>
                <w:color w:val="auto"/>
              </w:rPr>
              <w:t>Total liabilities</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38,487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29,051</w:t>
            </w:r>
          </w:p>
        </w:tc>
      </w:tr>
      <w:tr>
        <w:trPr>
          <w:trHeight w:val="177"/>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Arial" w:cs="Arial" w:eastAsia="Arial" w:hAnsi="Arial"/>
                <w:sz w:val="15"/>
                <w:szCs w:val="15"/>
                <w:color w:val="auto"/>
              </w:rPr>
              <w:t>Commitments and contingencies (Note 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480" w:type="dxa"/>
            <w:vAlign w:val="bottom"/>
          </w:tcPr>
          <w:p>
            <w:pPr>
              <w:spacing w:after="0" w:line="164" w:lineRule="exact"/>
              <w:rPr>
                <w:sz w:val="20"/>
                <w:szCs w:val="20"/>
                <w:color w:val="auto"/>
              </w:rPr>
            </w:pPr>
            <w:r>
              <w:rPr>
                <w:rFonts w:ascii="Arial" w:cs="Arial" w:eastAsia="Arial" w:hAnsi="Arial"/>
                <w:sz w:val="15"/>
                <w:szCs w:val="15"/>
                <w:color w:val="auto"/>
              </w:rPr>
              <w:t>Undesignated shares – $0.0001 par value; 100,000 shares authorized as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6500" w:type="dxa"/>
            <w:vAlign w:val="bottom"/>
            <w:gridSpan w:val="2"/>
          </w:tcPr>
          <w:p>
            <w:pPr>
              <w:spacing w:after="0"/>
              <w:rPr>
                <w:sz w:val="20"/>
                <w:szCs w:val="20"/>
                <w:color w:val="auto"/>
              </w:rPr>
            </w:pPr>
            <w:r>
              <w:rPr>
                <w:rFonts w:ascii="Arial" w:cs="Arial" w:eastAsia="Arial" w:hAnsi="Arial"/>
                <w:sz w:val="15"/>
                <w:szCs w:val="15"/>
                <w:color w:val="auto"/>
              </w:rPr>
              <w:t>December 31, 2024 and December 31,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64"/>
        </w:trPr>
        <w:tc>
          <w:tcPr>
            <w:tcW w:w="20" w:type="dxa"/>
            <w:vAlign w:val="bottom"/>
          </w:tcPr>
          <w:p>
            <w:pPr>
              <w:spacing w:after="0"/>
              <w:rPr>
                <w:sz w:val="14"/>
                <w:szCs w:val="14"/>
                <w:color w:val="auto"/>
              </w:rPr>
            </w:pPr>
          </w:p>
        </w:tc>
        <w:tc>
          <w:tcPr>
            <w:tcW w:w="648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Ordinary shares – $0.0001 par value; 500,000 shares authorized as of December 31, 2024 and</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2023; 171,860 and 139,220 shares issued and outstanding as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2024 and December 31, 2023, respectively</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r>
      <w:tr>
        <w:trPr>
          <w:trHeight w:val="177"/>
        </w:trPr>
        <w:tc>
          <w:tcPr>
            <w:tcW w:w="20" w:type="dxa"/>
            <w:vAlign w:val="bottom"/>
          </w:tcPr>
          <w:p>
            <w:pPr>
              <w:spacing w:after="0"/>
              <w:rPr>
                <w:sz w:val="15"/>
                <w:szCs w:val="15"/>
                <w:color w:val="auto"/>
              </w:rPr>
            </w:pPr>
          </w:p>
        </w:tc>
        <w:tc>
          <w:tcPr>
            <w:tcW w:w="6480" w:type="dxa"/>
            <w:vAlign w:val="bottom"/>
          </w:tcPr>
          <w:p>
            <w:pPr>
              <w:ind w:left="80"/>
              <w:spacing w:after="0"/>
              <w:rPr>
                <w:sz w:val="20"/>
                <w:szCs w:val="20"/>
                <w:color w:val="auto"/>
              </w:rPr>
            </w:pPr>
            <w:r>
              <w:rPr>
                <w:rFonts w:ascii="Arial" w:cs="Arial" w:eastAsia="Arial" w:hAnsi="Arial"/>
                <w:sz w:val="15"/>
                <w:szCs w:val="15"/>
                <w:color w:val="auto"/>
              </w:rPr>
              <w:t>Additional paid-in capital</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1,193,010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659,003</w:t>
            </w:r>
          </w:p>
        </w:tc>
      </w:tr>
      <w:tr>
        <w:trPr>
          <w:trHeight w:val="177"/>
        </w:trPr>
        <w:tc>
          <w:tcPr>
            <w:tcW w:w="20" w:type="dxa"/>
            <w:vAlign w:val="bottom"/>
          </w:tcPr>
          <w:p>
            <w:pPr>
              <w:spacing w:after="0"/>
              <w:rPr>
                <w:sz w:val="15"/>
                <w:szCs w:val="15"/>
                <w:color w:val="auto"/>
              </w:rPr>
            </w:pPr>
          </w:p>
        </w:tc>
        <w:tc>
          <w:tcPr>
            <w:tcW w:w="6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Accumulated other comprehensive income</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r>
      <w:tr>
        <w:trPr>
          <w:trHeight w:val="177"/>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Accumulated deficit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(329,098)</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(206,572)</w:t>
            </w: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ind w:left="200"/>
              <w:spacing w:after="0" w:line="169" w:lineRule="exact"/>
              <w:rPr>
                <w:sz w:val="20"/>
                <w:szCs w:val="20"/>
                <w:color w:val="auto"/>
              </w:rPr>
            </w:pPr>
            <w:r>
              <w:rPr>
                <w:rFonts w:ascii="Arial" w:cs="Arial" w:eastAsia="Arial" w:hAnsi="Arial"/>
                <w:sz w:val="15"/>
                <w:szCs w:val="15"/>
                <w:color w:val="auto"/>
              </w:rPr>
              <w:t>Total shareholders’ equity</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864,843</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452,966</w:t>
            </w: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CEEFF"/>
            </w:tcBorders>
          </w:tcPr>
          <w:p>
            <w:pPr>
              <w:ind w:left="2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903,330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482,017</w:t>
            </w:r>
          </w:p>
        </w:tc>
      </w:tr>
      <w:tr>
        <w:trPr>
          <w:trHeight w:val="155"/>
        </w:trPr>
        <w:tc>
          <w:tcPr>
            <w:tcW w:w="20" w:type="dxa"/>
            <w:vAlign w:val="bottom"/>
          </w:tcPr>
          <w:p>
            <w:pPr>
              <w:spacing w:after="0"/>
              <w:rPr>
                <w:sz w:val="13"/>
                <w:szCs w:val="13"/>
                <w:color w:val="auto"/>
              </w:rPr>
            </w:pPr>
          </w:p>
        </w:tc>
        <w:tc>
          <w:tcPr>
            <w:tcW w:w="64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r>
    </w:tbl>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STRUCTURE THERAPEUTICS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132715</wp:posOffset>
            </wp:positionV>
            <wp:extent cx="56584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right"/>
              <w:ind w:right="418"/>
              <w:spacing w:after="0" w:line="14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7"/>
              <w:spacing w:after="0" w:line="144"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ind w:left="80"/>
              <w:spacing w:after="0" w:line="189" w:lineRule="exact"/>
              <w:rPr>
                <w:sz w:val="20"/>
                <w:szCs w:val="20"/>
                <w:color w:val="auto"/>
              </w:rPr>
            </w:pPr>
            <w:r>
              <w:rPr>
                <w:rFonts w:ascii="Arial" w:cs="Arial" w:eastAsia="Arial" w:hAnsi="Arial"/>
                <w:sz w:val="17"/>
                <w:szCs w:val="17"/>
                <w:color w:val="auto"/>
              </w:rPr>
              <w:t>Research and development</w:t>
            </w:r>
          </w:p>
        </w:tc>
        <w:tc>
          <w:tcPr>
            <w:tcW w:w="4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108,814</w:t>
            </w:r>
          </w:p>
        </w:tc>
        <w:tc>
          <w:tcPr>
            <w:tcW w:w="460" w:type="dxa"/>
            <w:vAlign w:val="bottom"/>
            <w:gridSpan w:val="2"/>
          </w:tcPr>
          <w:p>
            <w:pPr>
              <w:jc w:val="right"/>
              <w:ind w:right="126"/>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70,103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49,414</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32,672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Pr>
          <w:p>
            <w:pPr>
              <w:spacing w:after="0" w:line="182" w:lineRule="exact"/>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7"/>
                <w:szCs w:val="17"/>
                <w:color w:val="auto"/>
              </w:rPr>
              <w:t>158,228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7"/>
                <w:szCs w:val="17"/>
                <w:color w:val="auto"/>
              </w:rPr>
              <w:t>102,775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(158,228)</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(102,775)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Interest and other income, net</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36,012</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13,391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Loss before provision for income taxes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(122,216)</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(89,384)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310</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Net loss attributable to ordinary shareholders</w:t>
            </w: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(122,526)</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(89,620)</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color w:val="auto"/>
              </w:rPr>
              <w:t>Net loss per share attributable to ordinary shareholders, basic and diluted</w:t>
            </w:r>
          </w:p>
        </w:tc>
        <w:tc>
          <w:tcPr>
            <w:tcW w:w="3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(0.78)</w:t>
            </w:r>
          </w:p>
        </w:tc>
        <w:tc>
          <w:tcPr>
            <w:tcW w:w="18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6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Weighted-average ordinary shares used in computing net loss per share</w:t>
            </w: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157,922</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110,198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attributable to ordinary shareholders, basic and diluted</w:t>
            </w: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7"/>
                <w:szCs w:val="17"/>
                <w:color w:val="auto"/>
              </w:rPr>
              <w:t>Other comprehensive gain:</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Unrealized gain on investments, net</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393</w:t>
            </w:r>
          </w:p>
        </w:tc>
        <w:tc>
          <w:tcPr>
            <w:tcW w:w="1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bottom w:val="single" w:sz="8" w:color="CCEEFF"/>
            </w:tcBorders>
          </w:tcPr>
          <w:p>
            <w:pPr>
              <w:spacing w:after="0" w:line="182" w:lineRule="exact"/>
              <w:rPr>
                <w:sz w:val="20"/>
                <w:szCs w:val="20"/>
                <w:color w:val="auto"/>
              </w:rPr>
            </w:pPr>
            <w:r>
              <w:rPr>
                <w:rFonts w:ascii="Arial" w:cs="Arial" w:eastAsia="Arial" w:hAnsi="Arial"/>
                <w:sz w:val="17"/>
                <w:szCs w:val="17"/>
                <w:color w:val="auto"/>
              </w:rPr>
              <w:t>Total other comprehensive gain</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393</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Comprehensive loss</w:t>
            </w: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(122,133)</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(88,989)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STRUCTURE THERAPEUTICS INC.</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CONSOLIDATED STATEMENTS OF REDEEMABLE CONVERTIBLE PREFERRED SHARES AND SHAREHOLDERS’</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EQUITY (DEFICIT)</w:t>
      </w:r>
    </w:p>
    <w:p>
      <w:pPr>
        <w:ind w:left="4020"/>
        <w:spacing w:after="0"/>
        <w:rPr>
          <w:sz w:val="20"/>
          <w:szCs w:val="20"/>
          <w:color w:val="auto"/>
        </w:rPr>
      </w:pPr>
      <w:r>
        <w:rPr>
          <w:rFonts w:ascii="Arial" w:cs="Arial" w:eastAsia="Arial" w:hAnsi="Arial"/>
          <w:sz w:val="17"/>
          <w:szCs w:val="17"/>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66313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31305"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12"/>
          </w:tcPr>
          <w:p>
            <w:pPr>
              <w:jc w:val="right"/>
              <w:spacing w:after="0"/>
              <w:rPr>
                <w:sz w:val="20"/>
                <w:szCs w:val="20"/>
                <w:color w:val="auto"/>
              </w:rPr>
            </w:pPr>
            <w:r>
              <w:rPr>
                <w:rFonts w:ascii="Arial" w:cs="Arial" w:eastAsia="Arial" w:hAnsi="Arial"/>
                <w:sz w:val="9"/>
                <w:szCs w:val="9"/>
                <w:b w:val="1"/>
                <w:bCs w:val="1"/>
                <w:color w:val="auto"/>
              </w:rPr>
              <w:t>REDEEMABLE CONVERTIBLE PREFERRED SHARES</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ind w:left="200"/>
              <w:spacing w:after="0"/>
              <w:rPr>
                <w:sz w:val="20"/>
                <w:szCs w:val="20"/>
                <w:color w:val="auto"/>
              </w:rPr>
            </w:pPr>
            <w:r>
              <w:rPr>
                <w:rFonts w:ascii="Arial" w:cs="Arial" w:eastAsia="Arial" w:hAnsi="Arial"/>
                <w:sz w:val="9"/>
                <w:szCs w:val="9"/>
                <w:b w:val="1"/>
                <w:bCs w:val="1"/>
                <w:color w:val="auto"/>
              </w:rPr>
              <w:t>ORDINARY</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160"/>
              <w:spacing w:after="0"/>
              <w:rPr>
                <w:sz w:val="20"/>
                <w:szCs w:val="20"/>
                <w:color w:val="auto"/>
              </w:rPr>
            </w:pPr>
            <w:r>
              <w:rPr>
                <w:rFonts w:ascii="Arial" w:cs="Arial" w:eastAsia="Arial" w:hAnsi="Arial"/>
                <w:sz w:val="9"/>
                <w:szCs w:val="9"/>
                <w:b w:val="1"/>
                <w:bCs w:val="1"/>
                <w:color w:val="auto"/>
              </w:rPr>
              <w:t>NON-VOTING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spacing w:after="0"/>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10"/>
                <w:szCs w:val="1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OTHER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34"/>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1040" w:type="dxa"/>
            <w:vAlign w:val="bottom"/>
            <w:gridSpan w:val="5"/>
          </w:tcPr>
          <w:p>
            <w:pPr>
              <w:jc w:val="right"/>
              <w:ind w:right="360"/>
              <w:spacing w:after="0"/>
              <w:rPr>
                <w:sz w:val="20"/>
                <w:szCs w:val="20"/>
                <w:color w:val="auto"/>
              </w:rPr>
            </w:pPr>
            <w:r>
              <w:rPr>
                <w:rFonts w:ascii="Arial" w:cs="Arial" w:eastAsia="Arial" w:hAnsi="Arial"/>
                <w:sz w:val="9"/>
                <w:szCs w:val="9"/>
                <w:b w:val="1"/>
                <w:bCs w:val="1"/>
                <w:color w:val="auto"/>
              </w:rPr>
              <w:t>SERIES A</w:t>
            </w:r>
          </w:p>
        </w:tc>
        <w:tc>
          <w:tcPr>
            <w:tcW w:w="1080" w:type="dxa"/>
            <w:vAlign w:val="bottom"/>
            <w:gridSpan w:val="5"/>
          </w:tcPr>
          <w:p>
            <w:pPr>
              <w:ind w:left="240"/>
              <w:spacing w:after="0"/>
              <w:rPr>
                <w:sz w:val="20"/>
                <w:szCs w:val="20"/>
                <w:color w:val="auto"/>
              </w:rPr>
            </w:pPr>
            <w:r>
              <w:rPr>
                <w:rFonts w:ascii="Arial" w:cs="Arial" w:eastAsia="Arial" w:hAnsi="Arial"/>
                <w:sz w:val="9"/>
                <w:szCs w:val="9"/>
                <w:b w:val="1"/>
                <w:bCs w:val="1"/>
                <w:color w:val="auto"/>
              </w:rPr>
              <w:t>SERIES A+</w:t>
            </w:r>
          </w:p>
        </w:tc>
        <w:tc>
          <w:tcPr>
            <w:tcW w:w="114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SERIES B</w:t>
            </w:r>
          </w:p>
        </w:tc>
        <w:tc>
          <w:tcPr>
            <w:tcW w:w="920" w:type="dxa"/>
            <w:vAlign w:val="bottom"/>
            <w:gridSpan w:val="4"/>
          </w:tcPr>
          <w:p>
            <w:pPr>
              <w:jc w:val="right"/>
              <w:ind w:right="154"/>
              <w:spacing w:after="0"/>
              <w:rPr>
                <w:sz w:val="20"/>
                <w:szCs w:val="20"/>
                <w:color w:val="auto"/>
              </w:rPr>
            </w:pPr>
            <w:r>
              <w:rPr>
                <w:rFonts w:ascii="Arial" w:cs="Arial" w:eastAsia="Arial" w:hAnsi="Arial"/>
                <w:sz w:val="9"/>
                <w:szCs w:val="9"/>
                <w:b w:val="1"/>
                <w:bCs w:val="1"/>
                <w:color w:val="auto"/>
              </w:rPr>
              <w:t>SERIES B-1</w:t>
            </w:r>
          </w:p>
        </w:tc>
        <w:tc>
          <w:tcPr>
            <w:tcW w:w="120" w:type="dxa"/>
            <w:vAlign w:val="bottom"/>
          </w:tcPr>
          <w:p>
            <w:pPr>
              <w:spacing w:after="0"/>
              <w:rPr>
                <w:sz w:val="9"/>
                <w:szCs w:val="9"/>
                <w:color w:val="auto"/>
              </w:rPr>
            </w:pPr>
          </w:p>
        </w:tc>
        <w:tc>
          <w:tcPr>
            <w:tcW w:w="740" w:type="dxa"/>
            <w:vAlign w:val="bottom"/>
            <w:gridSpan w:val="3"/>
          </w:tcPr>
          <w:p>
            <w:pPr>
              <w:ind w:left="28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5"/>
          </w:tcPr>
          <w:p>
            <w:pPr>
              <w:spacing w:after="0"/>
              <w:rPr>
                <w:sz w:val="20"/>
                <w:szCs w:val="20"/>
                <w:color w:val="auto"/>
              </w:rPr>
            </w:pPr>
            <w:r>
              <w:rPr>
                <w:rFonts w:ascii="Arial" w:cs="Arial" w:eastAsia="Arial" w:hAnsi="Arial"/>
                <w:sz w:val="9"/>
                <w:szCs w:val="9"/>
                <w:b w:val="1"/>
                <w:bCs w:val="1"/>
                <w:color w:val="auto"/>
              </w:rPr>
              <w:t>ORDINARY SHARES</w:t>
            </w:r>
          </w:p>
        </w:tc>
        <w:tc>
          <w:tcPr>
            <w:tcW w:w="80" w:type="dxa"/>
            <w:vAlign w:val="bottom"/>
          </w:tcPr>
          <w:p>
            <w:pPr>
              <w:spacing w:after="0"/>
              <w:rPr>
                <w:sz w:val="9"/>
                <w:szCs w:val="9"/>
                <w:color w:val="auto"/>
              </w:rPr>
            </w:pPr>
          </w:p>
        </w:tc>
        <w:tc>
          <w:tcPr>
            <w:tcW w:w="600" w:type="dxa"/>
            <w:vAlign w:val="bottom"/>
            <w:gridSpan w:val="2"/>
          </w:tcPr>
          <w:p>
            <w:pPr>
              <w:ind w:left="20"/>
              <w:spacing w:after="0"/>
              <w:rPr>
                <w:sz w:val="20"/>
                <w:szCs w:val="20"/>
                <w:color w:val="auto"/>
              </w:rPr>
            </w:pPr>
            <w:r>
              <w:rPr>
                <w:rFonts w:ascii="Arial" w:cs="Arial" w:eastAsia="Arial" w:hAnsi="Arial"/>
                <w:sz w:val="9"/>
                <w:szCs w:val="9"/>
                <w:b w:val="1"/>
                <w:bCs w:val="1"/>
                <w:color w:val="auto"/>
              </w:rPr>
              <w:t>PAID-IN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COMPREHENSIVE</w:t>
            </w:r>
          </w:p>
        </w:tc>
        <w:tc>
          <w:tcPr>
            <w:tcW w:w="820" w:type="dxa"/>
            <w:vAlign w:val="bottom"/>
            <w:gridSpan w:val="3"/>
          </w:tcPr>
          <w:p>
            <w:pPr>
              <w:spacing w:after="0"/>
              <w:rPr>
                <w:sz w:val="20"/>
                <w:szCs w:val="20"/>
                <w:color w:val="auto"/>
              </w:rPr>
            </w:pPr>
            <w:r>
              <w:rPr>
                <w:rFonts w:ascii="Arial" w:cs="Arial" w:eastAsia="Arial" w:hAnsi="Arial"/>
                <w:sz w:val="9"/>
                <w:szCs w:val="9"/>
                <w:b w:val="1"/>
                <w:bCs w:val="1"/>
                <w:color w:val="auto"/>
              </w:rPr>
              <w:t>ACCUMULATED</w:t>
            </w:r>
          </w:p>
        </w:tc>
        <w:tc>
          <w:tcPr>
            <w:tcW w:w="740" w:type="dxa"/>
            <w:vAlign w:val="bottom"/>
            <w:gridSpan w:val="2"/>
          </w:tcPr>
          <w:p>
            <w:pPr>
              <w:spacing w:after="0"/>
              <w:rPr>
                <w:sz w:val="20"/>
                <w:szCs w:val="20"/>
                <w:color w:val="auto"/>
              </w:rPr>
            </w:pPr>
            <w:r>
              <w:rPr>
                <w:rFonts w:ascii="Arial" w:cs="Arial" w:eastAsia="Arial" w:hAnsi="Arial"/>
                <w:sz w:val="9"/>
                <w:szCs w:val="9"/>
                <w:b w:val="1"/>
                <w:bCs w:val="1"/>
                <w:color w:val="auto"/>
              </w:rPr>
              <w:t>SHAREHOLDER</w:t>
            </w: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500" w:type="dxa"/>
            <w:vAlign w:val="bottom"/>
            <w:tcBorders>
              <w:top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SHARES</w:t>
            </w: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6"/>
              </w:rPr>
              <w:t>AMOUNT</w:t>
            </w:r>
          </w:p>
        </w:tc>
        <w:tc>
          <w:tcPr>
            <w:tcW w:w="12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rPr>
              <w:t>SHARES</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9"/>
                <w:szCs w:val="9"/>
                <w:color w:val="auto"/>
              </w:rPr>
            </w:pPr>
          </w:p>
        </w:tc>
        <w:tc>
          <w:tcPr>
            <w:tcW w:w="500" w:type="dxa"/>
            <w:vAlign w:val="bottom"/>
            <w:tcBorders>
              <w:top w:val="single" w:sz="8" w:color="auto"/>
            </w:tcBorders>
            <w:gridSpan w:val="2"/>
          </w:tcPr>
          <w:p>
            <w:pPr>
              <w:ind w:left="20"/>
              <w:spacing w:after="0"/>
              <w:rPr>
                <w:sz w:val="20"/>
                <w:szCs w:val="20"/>
                <w:color w:val="auto"/>
              </w:rPr>
            </w:pPr>
            <w:r>
              <w:rPr>
                <w:rFonts w:ascii="Arial" w:cs="Arial" w:eastAsia="Arial" w:hAnsi="Arial"/>
                <w:sz w:val="9"/>
                <w:szCs w:val="9"/>
                <w:b w:val="1"/>
                <w:bCs w:val="1"/>
                <w:color w:val="auto"/>
              </w:rPr>
              <w:t>SHARES</w:t>
            </w: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rPr>
              <w:t>SHARES</w:t>
            </w: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96"/>
              </w:rPr>
              <w:t>AMOUNT</w:t>
            </w:r>
          </w:p>
        </w:tc>
        <w:tc>
          <w:tcPr>
            <w:tcW w:w="120" w:type="dxa"/>
            <w:vAlign w:val="bottom"/>
          </w:tcPr>
          <w:p>
            <w:pPr>
              <w:spacing w:after="0"/>
              <w:rPr>
                <w:sz w:val="9"/>
                <w:szCs w:val="9"/>
                <w:color w:val="auto"/>
              </w:rPr>
            </w:pPr>
          </w:p>
        </w:tc>
        <w:tc>
          <w:tcPr>
            <w:tcW w:w="5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9"/>
                <w:szCs w:val="9"/>
                <w:b w:val="1"/>
                <w:bCs w:val="1"/>
                <w:color w:val="auto"/>
                <w:w w:val="95"/>
              </w:rPr>
              <w:t>SHARES</w:t>
            </w: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w w:val="96"/>
              </w:rPr>
              <w:t>AMOUNT</w:t>
            </w:r>
          </w:p>
        </w:tc>
        <w:tc>
          <w:tcPr>
            <w:tcW w:w="120" w:type="dxa"/>
            <w:vAlign w:val="bottom"/>
          </w:tcPr>
          <w:p>
            <w:pPr>
              <w:spacing w:after="0"/>
              <w:rPr>
                <w:sz w:val="9"/>
                <w:szCs w:val="9"/>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9"/>
                <w:szCs w:val="9"/>
                <w:b w:val="1"/>
                <w:bCs w:val="1"/>
                <w:color w:val="auto"/>
                <w:w w:val="96"/>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
              <w:spacing w:after="0"/>
              <w:rPr>
                <w:sz w:val="20"/>
                <w:szCs w:val="20"/>
                <w:color w:val="auto"/>
              </w:rPr>
            </w:pPr>
            <w:r>
              <w:rPr>
                <w:rFonts w:ascii="Arial" w:cs="Arial" w:eastAsia="Arial" w:hAnsi="Arial"/>
                <w:sz w:val="9"/>
                <w:szCs w:val="9"/>
                <w:b w:val="1"/>
                <w:bCs w:val="1"/>
                <w:color w:val="auto"/>
              </w:rPr>
              <w:t>CAPITAL</w:t>
            </w:r>
          </w:p>
        </w:tc>
        <w:tc>
          <w:tcPr>
            <w:tcW w:w="60" w:type="dxa"/>
            <w:vAlign w:val="bottom"/>
          </w:tcPr>
          <w:p>
            <w:pPr>
              <w:spacing w:after="0"/>
              <w:rPr>
                <w:sz w:val="9"/>
                <w:szCs w:val="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8"/>
              </w:rPr>
              <w:t>INCOME (LOSS)</w:t>
            </w:r>
          </w:p>
        </w:tc>
        <w:tc>
          <w:tcPr>
            <w:tcW w:w="120" w:type="dxa"/>
            <w:vAlign w:val="bottom"/>
          </w:tcPr>
          <w:p>
            <w:pPr>
              <w:spacing w:after="0"/>
              <w:rPr>
                <w:sz w:val="9"/>
                <w:szCs w:val="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DEFICIT</w:t>
            </w:r>
          </w:p>
        </w:tc>
        <w:tc>
          <w:tcPr>
            <w:tcW w:w="740" w:type="dxa"/>
            <w:vAlign w:val="bottom"/>
            <w:gridSpan w:val="2"/>
          </w:tcPr>
          <w:p>
            <w:pPr>
              <w:spacing w:after="0"/>
              <w:rPr>
                <w:sz w:val="20"/>
                <w:szCs w:val="20"/>
                <w:color w:val="auto"/>
              </w:rPr>
            </w:pPr>
            <w:r>
              <w:rPr>
                <w:rFonts w:ascii="Arial" w:cs="Arial" w:eastAsia="Arial" w:hAnsi="Arial"/>
                <w:sz w:val="9"/>
                <w:szCs w:val="9"/>
                <w:b w:val="1"/>
                <w:bCs w:val="1"/>
                <w:color w:val="auto"/>
              </w:rPr>
              <w:t>EQUITY (DEFICI</w:t>
            </w:r>
          </w:p>
        </w:tc>
        <w:tc>
          <w:tcPr>
            <w:tcW w:w="0" w:type="dxa"/>
            <w:vAlign w:val="bottom"/>
          </w:tcPr>
          <w:p>
            <w:pPr>
              <w:spacing w:after="0"/>
              <w:rPr>
                <w:sz w:val="1"/>
                <w:szCs w:val="1"/>
                <w:color w:val="auto"/>
              </w:rPr>
            </w:pPr>
          </w:p>
        </w:tc>
      </w:tr>
      <w:tr>
        <w:trPr>
          <w:trHeight w:val="90"/>
        </w:trPr>
        <w:tc>
          <w:tcPr>
            <w:tcW w:w="94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9"/>
                <w:szCs w:val="9"/>
                <w:b w:val="1"/>
                <w:bCs w:val="1"/>
                <w:color w:val="auto"/>
              </w:rPr>
              <w:t>Balance at</w:t>
            </w: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December 31, 2022</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32,001</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12,800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26,000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32,857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133,015</w:t>
            </w: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2,161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8,959</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10,527</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(110)</w:t>
            </w:r>
          </w:p>
        </w:tc>
        <w:tc>
          <w:tcPr>
            <w:tcW w:w="12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(116,952)</w:t>
            </w:r>
          </w:p>
        </w:tc>
        <w:tc>
          <w:tcPr>
            <w:tcW w:w="16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(115,14</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Conversion of</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redeemable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convertible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preferred shares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into ordinary shares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upon initial public</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offering</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(19,200)</w:t>
            </w:r>
          </w:p>
        </w:tc>
        <w:tc>
          <w:tcPr>
            <w:tcW w:w="8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w w:val="95"/>
              </w:rPr>
              <w:t>(32,001)</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(12,800)</w:t>
            </w:r>
          </w:p>
        </w:tc>
        <w:tc>
          <w:tcPr>
            <w:tcW w:w="10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(26,000)</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(32,857)</w:t>
            </w:r>
          </w:p>
        </w:tc>
        <w:tc>
          <w:tcPr>
            <w:tcW w:w="6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(133,015)</w:t>
            </w: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(2,161)</w:t>
            </w:r>
          </w:p>
        </w:tc>
        <w:tc>
          <w:tcPr>
            <w:tcW w:w="10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9"/>
                <w:szCs w:val="9"/>
                <w:color w:val="auto"/>
              </w:rPr>
              <w:t>(8,959)</w:t>
            </w:r>
          </w:p>
        </w:tc>
        <w:tc>
          <w:tcPr>
            <w:tcW w:w="380" w:type="dxa"/>
            <w:vAlign w:val="bottom"/>
          </w:tcPr>
          <w:p>
            <w:pPr>
              <w:jc w:val="right"/>
              <w:spacing w:after="0"/>
              <w:rPr>
                <w:sz w:val="20"/>
                <w:szCs w:val="20"/>
                <w:color w:val="auto"/>
              </w:rPr>
            </w:pPr>
            <w:r>
              <w:rPr>
                <w:rFonts w:ascii="Arial" w:cs="Arial" w:eastAsia="Arial" w:hAnsi="Arial"/>
                <w:sz w:val="9"/>
                <w:szCs w:val="9"/>
                <w:color w:val="auto"/>
              </w:rPr>
              <w:t>67,018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7</w:t>
            </w:r>
          </w:p>
        </w:tc>
        <w:tc>
          <w:tcPr>
            <w:tcW w:w="12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199,968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199,97</w:t>
            </w:r>
          </w:p>
        </w:tc>
        <w:tc>
          <w:tcPr>
            <w:tcW w:w="0" w:type="dxa"/>
            <w:vAlign w:val="bottom"/>
          </w:tcPr>
          <w:p>
            <w:pPr>
              <w:spacing w:after="0"/>
              <w:rPr>
                <w:sz w:val="1"/>
                <w:szCs w:val="1"/>
                <w:color w:val="auto"/>
              </w:rPr>
            </w:pPr>
          </w:p>
        </w:tc>
      </w:tr>
      <w:tr>
        <w:trPr>
          <w:trHeight w:val="110"/>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Issuance of ordinary</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shares upon initial</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public offering, net</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of issuance costs</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and underwriting</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discount of $18,586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37,053</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3</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166,667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166,67</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Net exercise of</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ordinary share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warrants</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106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Exchange of</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ordinary shares to</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non-voting ordinary</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(7,411)</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7,411</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Issuance of ordinary</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shares and non-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voting ordinary</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shares in private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placement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financing, net of</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issuance costs and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underwriting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discount of $18,538</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21,617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2,401</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281,457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281,45</w:t>
            </w:r>
          </w:p>
        </w:tc>
        <w:tc>
          <w:tcPr>
            <w:tcW w:w="0" w:type="dxa"/>
            <w:vAlign w:val="bottom"/>
          </w:tcPr>
          <w:p>
            <w:pPr>
              <w:spacing w:after="0"/>
              <w:rPr>
                <w:sz w:val="1"/>
                <w:szCs w:val="1"/>
                <w:color w:val="auto"/>
              </w:rPr>
            </w:pPr>
          </w:p>
        </w:tc>
      </w:tr>
      <w:tr>
        <w:trPr>
          <w:trHeight w:val="110"/>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Issuance of ordinary</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shares upon</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exercise of vested</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 options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799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80</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Conversion of non-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voting ordinary</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shares into ordinary</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shares</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9,812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0"/>
                <w:szCs w:val="1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9"/>
                <w:szCs w:val="9"/>
                <w:color w:val="auto"/>
              </w:rPr>
              <w:t>(9,812)</w:t>
            </w:r>
          </w:p>
        </w:tc>
        <w:tc>
          <w:tcPr>
            <w:tcW w:w="260" w:type="dxa"/>
            <w:vAlign w:val="bottom"/>
          </w:tcPr>
          <w:p>
            <w:pPr>
              <w:spacing w:after="0"/>
              <w:rPr>
                <w:sz w:val="10"/>
                <w:szCs w:val="1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Share-based</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compensation</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expense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8,191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8,19</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Unrealized gain 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investments, net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631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63</w:t>
            </w: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Net loss</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(89,620)</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(89,62</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9"/>
                <w:szCs w:val="9"/>
                <w:b w:val="1"/>
                <w:bCs w:val="1"/>
                <w:color w:val="auto"/>
              </w:rPr>
              <w:t>Balance at</w:t>
            </w: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940" w:type="dxa"/>
            <w:vAlign w:val="bottom"/>
            <w:vMerge w:val="continue"/>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9"/>
                <w:szCs w:val="9"/>
                <w:color w:val="auto"/>
                <w:w w:val="78"/>
              </w:rPr>
              <w:t>$</w:t>
            </w: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60" w:type="dxa"/>
            <w:vAlign w:val="bottom"/>
            <w:vMerge w:val="restart"/>
          </w:tcPr>
          <w:p>
            <w:pPr>
              <w:jc w:val="center"/>
              <w:spacing w:after="0"/>
              <w:rPr>
                <w:sz w:val="20"/>
                <w:szCs w:val="20"/>
                <w:color w:val="auto"/>
              </w:rPr>
            </w:pPr>
            <w:r>
              <w:rPr>
                <w:rFonts w:ascii="Arial" w:cs="Arial" w:eastAsia="Arial" w:hAnsi="Arial"/>
                <w:sz w:val="9"/>
                <w:szCs w:val="9"/>
                <w:color w:val="auto"/>
                <w:w w:val="78"/>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9"/>
                <w:szCs w:val="9"/>
                <w:color w:val="auto"/>
              </w:rPr>
              <w:t>$</w:t>
            </w:r>
          </w:p>
        </w:tc>
        <w:tc>
          <w:tcPr>
            <w:tcW w:w="3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139,220</w:t>
            </w:r>
          </w:p>
        </w:tc>
        <w:tc>
          <w:tcPr>
            <w:tcW w:w="120" w:type="dxa"/>
            <w:vAlign w:val="bottom"/>
          </w:tcPr>
          <w:p>
            <w:pPr>
              <w:spacing w:after="0"/>
              <w:rPr>
                <w:sz w:val="7"/>
                <w:szCs w:val="7"/>
                <w:color w:val="auto"/>
              </w:rPr>
            </w:pPr>
          </w:p>
        </w:tc>
        <w:tc>
          <w:tcPr>
            <w:tcW w:w="240" w:type="dxa"/>
            <w:vAlign w:val="bottom"/>
            <w:vMerge w:val="restart"/>
          </w:tcPr>
          <w:p>
            <w:pPr>
              <w:spacing w:after="0"/>
              <w:rPr>
                <w:sz w:val="20"/>
                <w:szCs w:val="20"/>
                <w:color w:val="auto"/>
              </w:rPr>
            </w:pPr>
            <w:r>
              <w:rPr>
                <w:rFonts w:ascii="Arial" w:cs="Arial" w:eastAsia="Arial" w:hAnsi="Arial"/>
                <w:sz w:val="9"/>
                <w:szCs w:val="9"/>
                <w:color w:val="auto"/>
              </w:rPr>
              <w:t>$</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14</w:t>
            </w:r>
          </w:p>
        </w:tc>
        <w:tc>
          <w:tcPr>
            <w:tcW w:w="12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9"/>
                <w:szCs w:val="9"/>
                <w:color w:val="auto"/>
              </w:rPr>
              <w:t>$</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659,003</w:t>
            </w:r>
          </w:p>
        </w:tc>
        <w:tc>
          <w:tcPr>
            <w:tcW w:w="1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9"/>
                <w:szCs w:val="9"/>
                <w:color w:val="auto"/>
                <w:w w:val="78"/>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521</w:t>
            </w:r>
          </w:p>
        </w:tc>
        <w:tc>
          <w:tcPr>
            <w:tcW w:w="12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(206,572)</w:t>
            </w:r>
          </w:p>
        </w:tc>
        <w:tc>
          <w:tcPr>
            <w:tcW w:w="160" w:type="dxa"/>
            <w:vAlign w:val="bottom"/>
            <w:vMerge w:val="restart"/>
          </w:tcPr>
          <w:p>
            <w:pPr>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452,96</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9"/>
                <w:szCs w:val="9"/>
                <w:b w:val="1"/>
                <w:bCs w:val="1"/>
                <w:color w:val="auto"/>
              </w:rPr>
              <w:t>December 31, 2023</w:t>
            </w: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940" w:type="dxa"/>
            <w:vAlign w:val="bottom"/>
            <w:tcBorders>
              <w:top w:val="single" w:sz="8" w:color="CCEEFF"/>
            </w:tcBorders>
            <w:shd w:val="clear" w:color="auto" w:fill="CCEEFF"/>
          </w:tcPr>
          <w:p>
            <w:pPr>
              <w:spacing w:after="0" w:line="63" w:lineRule="exact"/>
              <w:rPr>
                <w:sz w:val="20"/>
                <w:szCs w:val="20"/>
                <w:color w:val="auto"/>
              </w:rPr>
            </w:pPr>
            <w:r>
              <w:rPr>
                <w:rFonts w:ascii="Arial" w:cs="Arial" w:eastAsia="Arial" w:hAnsi="Arial"/>
                <w:sz w:val="7"/>
                <w:szCs w:val="7"/>
                <w:color w:val="auto"/>
              </w:rPr>
              <w:t>Issuance of ordinary</w:t>
            </w: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shares upon Follow-</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On Offering, net of</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issuance costs and</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underwriting</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discounts of</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$34,688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31,281</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3</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512,727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512,73</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Issuance of ordinary</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shares upon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exercise of vested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share options</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1,283</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1,854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1,85</w:t>
            </w:r>
          </w:p>
        </w:tc>
        <w:tc>
          <w:tcPr>
            <w:tcW w:w="0" w:type="dxa"/>
            <w:vAlign w:val="bottom"/>
          </w:tcPr>
          <w:p>
            <w:pPr>
              <w:spacing w:after="0"/>
              <w:rPr>
                <w:sz w:val="1"/>
                <w:szCs w:val="1"/>
                <w:color w:val="auto"/>
              </w:rPr>
            </w:pPr>
          </w:p>
        </w:tc>
      </w:tr>
      <w:tr>
        <w:trPr>
          <w:trHeight w:val="110"/>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Issuance of ordinary</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shares pursuant to</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employee share</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purchase plan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69</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632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63</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Issuance of ordinary</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shares upon vesting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Arial" w:cs="Arial" w:eastAsia="Arial" w:hAnsi="Arial"/>
                <w:sz w:val="9"/>
                <w:szCs w:val="9"/>
                <w:color w:val="auto"/>
              </w:rPr>
              <w:t>of restricted share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units</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80" w:type="dxa"/>
            <w:vAlign w:val="bottom"/>
          </w:tcPr>
          <w:p>
            <w:pPr>
              <w:jc w:val="right"/>
              <w:spacing w:after="0"/>
              <w:rPr>
                <w:sz w:val="20"/>
                <w:szCs w:val="20"/>
                <w:color w:val="auto"/>
              </w:rPr>
            </w:pPr>
            <w:r>
              <w:rPr>
                <w:rFonts w:ascii="Arial" w:cs="Arial" w:eastAsia="Arial" w:hAnsi="Arial"/>
                <w:sz w:val="9"/>
                <w:szCs w:val="9"/>
                <w:color w:val="auto"/>
              </w:rPr>
              <w:t>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Share-based</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compensation</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expense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18,794</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18,79</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20"/>
                <w:szCs w:val="20"/>
                <w:color w:val="auto"/>
              </w:rPr>
            </w:pPr>
            <w:r>
              <w:rPr>
                <w:rFonts w:ascii="Arial" w:cs="Arial" w:eastAsia="Arial" w:hAnsi="Arial"/>
                <w:sz w:val="9"/>
                <w:szCs w:val="9"/>
                <w:color w:val="auto"/>
              </w:rPr>
              <w:t>Unrealized gain on</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40" w:type="dxa"/>
            <w:vAlign w:val="bottom"/>
          </w:tcPr>
          <w:p>
            <w:pPr>
              <w:spacing w:after="0"/>
              <w:rPr>
                <w:sz w:val="20"/>
                <w:szCs w:val="20"/>
                <w:color w:val="auto"/>
              </w:rPr>
            </w:pPr>
            <w:r>
              <w:rPr>
                <w:rFonts w:ascii="Arial" w:cs="Arial" w:eastAsia="Arial" w:hAnsi="Arial"/>
                <w:sz w:val="9"/>
                <w:szCs w:val="9"/>
                <w:color w:val="auto"/>
              </w:rPr>
              <w:t>investments, net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60" w:type="dxa"/>
            <w:vAlign w:val="bottom"/>
          </w:tcPr>
          <w:p>
            <w:pPr>
              <w:spacing w:after="0"/>
              <w:rPr>
                <w:sz w:val="10"/>
                <w:szCs w:val="10"/>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39</w:t>
            </w:r>
          </w:p>
        </w:tc>
        <w:tc>
          <w:tcPr>
            <w:tcW w:w="0" w:type="dxa"/>
            <w:vAlign w:val="bottom"/>
          </w:tcPr>
          <w:p>
            <w:pPr>
              <w:spacing w:after="0"/>
              <w:rPr>
                <w:sz w:val="1"/>
                <w:szCs w:val="1"/>
                <w:color w:val="auto"/>
              </w:rPr>
            </w:pPr>
          </w:p>
        </w:tc>
      </w:tr>
      <w:tr>
        <w:trPr>
          <w:trHeight w:val="114"/>
        </w:trPr>
        <w:tc>
          <w:tcPr>
            <w:tcW w:w="940" w:type="dxa"/>
            <w:vAlign w:val="bottom"/>
            <w:shd w:val="clear" w:color="auto" w:fill="CCEEFF"/>
          </w:tcPr>
          <w:p>
            <w:pPr>
              <w:spacing w:after="0"/>
              <w:rPr>
                <w:sz w:val="20"/>
                <w:szCs w:val="20"/>
                <w:color w:val="auto"/>
              </w:rPr>
            </w:pPr>
            <w:r>
              <w:rPr>
                <w:rFonts w:ascii="Arial" w:cs="Arial" w:eastAsia="Arial" w:hAnsi="Arial"/>
                <w:sz w:val="9"/>
                <w:szCs w:val="9"/>
                <w:color w:val="auto"/>
              </w:rPr>
              <w:t>Net loss</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(122,526)</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(122,52</w:t>
            </w: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9"/>
                <w:szCs w:val="9"/>
                <w:b w:val="1"/>
                <w:bCs w:val="1"/>
                <w:color w:val="auto"/>
              </w:rPr>
              <w:t>Balance at</w:t>
            </w: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940" w:type="dxa"/>
            <w:vAlign w:val="bottom"/>
            <w:vMerge w:val="continue"/>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9"/>
                <w:szCs w:val="9"/>
                <w:color w:val="auto"/>
                <w:w w:val="78"/>
              </w:rPr>
              <w:t>$</w:t>
            </w:r>
          </w:p>
        </w:tc>
        <w:tc>
          <w:tcPr>
            <w:tcW w:w="3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60" w:type="dxa"/>
            <w:vAlign w:val="bottom"/>
            <w:vMerge w:val="restart"/>
          </w:tcPr>
          <w:p>
            <w:pPr>
              <w:jc w:val="center"/>
              <w:spacing w:after="0"/>
              <w:rPr>
                <w:sz w:val="20"/>
                <w:szCs w:val="20"/>
                <w:color w:val="auto"/>
              </w:rPr>
            </w:pPr>
            <w:r>
              <w:rPr>
                <w:rFonts w:ascii="Arial" w:cs="Arial" w:eastAsia="Arial" w:hAnsi="Arial"/>
                <w:sz w:val="9"/>
                <w:szCs w:val="9"/>
                <w:color w:val="auto"/>
                <w:w w:val="78"/>
              </w:rPr>
              <w:t>$</w:t>
            </w:r>
          </w:p>
        </w:tc>
        <w:tc>
          <w:tcPr>
            <w:tcW w:w="4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00" w:type="dxa"/>
            <w:vAlign w:val="bottom"/>
            <w:vMerge w:val="restart"/>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9"/>
                <w:szCs w:val="9"/>
                <w:color w:val="auto"/>
              </w:rPr>
              <w:t>$</w:t>
            </w:r>
          </w:p>
        </w:tc>
        <w:tc>
          <w:tcPr>
            <w:tcW w:w="3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171,860</w:t>
            </w:r>
          </w:p>
        </w:tc>
        <w:tc>
          <w:tcPr>
            <w:tcW w:w="120" w:type="dxa"/>
            <w:vAlign w:val="bottom"/>
          </w:tcPr>
          <w:p>
            <w:pPr>
              <w:spacing w:after="0"/>
              <w:rPr>
                <w:sz w:val="7"/>
                <w:szCs w:val="7"/>
                <w:color w:val="auto"/>
              </w:rPr>
            </w:pPr>
          </w:p>
        </w:tc>
        <w:tc>
          <w:tcPr>
            <w:tcW w:w="240" w:type="dxa"/>
            <w:vAlign w:val="bottom"/>
            <w:vMerge w:val="restart"/>
          </w:tcPr>
          <w:p>
            <w:pPr>
              <w:spacing w:after="0"/>
              <w:rPr>
                <w:sz w:val="20"/>
                <w:szCs w:val="20"/>
                <w:color w:val="auto"/>
              </w:rPr>
            </w:pPr>
            <w:r>
              <w:rPr>
                <w:rFonts w:ascii="Arial" w:cs="Arial" w:eastAsia="Arial" w:hAnsi="Arial"/>
                <w:sz w:val="9"/>
                <w:szCs w:val="9"/>
                <w:color w:val="auto"/>
              </w:rPr>
              <w:t>$</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17</w:t>
            </w:r>
          </w:p>
        </w:tc>
        <w:tc>
          <w:tcPr>
            <w:tcW w:w="12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9"/>
                <w:szCs w:val="9"/>
                <w:color w:val="auto"/>
              </w:rPr>
              <w:t>$</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1,193,010</w:t>
            </w:r>
          </w:p>
        </w:tc>
        <w:tc>
          <w:tcPr>
            <w:tcW w:w="1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9"/>
                <w:szCs w:val="9"/>
                <w:color w:val="auto"/>
                <w:w w:val="78"/>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914</w:t>
            </w:r>
          </w:p>
        </w:tc>
        <w:tc>
          <w:tcPr>
            <w:tcW w:w="120" w:type="dxa"/>
            <w:vAlign w:val="bottom"/>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9"/>
                <w:szCs w:val="9"/>
                <w:color w:val="auto"/>
              </w:rPr>
              <w:t>(329,098)</w:t>
            </w:r>
          </w:p>
        </w:tc>
        <w:tc>
          <w:tcPr>
            <w:tcW w:w="160" w:type="dxa"/>
            <w:vAlign w:val="bottom"/>
            <w:vMerge w:val="restart"/>
          </w:tcPr>
          <w:p>
            <w:pPr>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864,84</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9"/>
                <w:szCs w:val="9"/>
                <w:b w:val="1"/>
                <w:bCs w:val="1"/>
                <w:color w:val="auto"/>
              </w:rPr>
              <w:t>December 31, 2024</w:t>
            </w: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94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34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38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spacing w:after="0"/>
              <w:rPr>
                <w:sz w:val="7"/>
                <w:szCs w:val="7"/>
                <w:color w:val="auto"/>
              </w:rPr>
            </w:pPr>
          </w:p>
        </w:tc>
        <w:tc>
          <w:tcPr>
            <w:tcW w:w="46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40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bottom w:val="single" w:sz="8" w:color="auto"/>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32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38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260" w:type="dxa"/>
            <w:vAlign w:val="bottom"/>
            <w:tcBorders>
              <w:top w:val="single" w:sz="8" w:color="auto"/>
              <w:bottom w:val="single" w:sz="8" w:color="auto"/>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48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spacing w:after="0"/>
              <w:rPr>
                <w:sz w:val="7"/>
                <w:szCs w:val="7"/>
                <w:color w:val="auto"/>
              </w:rPr>
            </w:pPr>
          </w:p>
        </w:tc>
        <w:tc>
          <w:tcPr>
            <w:tcW w:w="74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spacing w:after="0"/>
              <w:rPr>
                <w:sz w:val="7"/>
                <w:szCs w:val="7"/>
                <w:color w:val="auto"/>
              </w:rPr>
            </w:pPr>
          </w:p>
        </w:tc>
        <w:tc>
          <w:tcPr>
            <w:tcW w:w="120" w:type="dxa"/>
            <w:vAlign w:val="bottom"/>
            <w:tcBorders>
              <w:top w:val="single" w:sz="8" w:color="CCEEFF"/>
              <w:bottom w:val="single" w:sz="8" w:color="auto"/>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003290"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03290" cy="24130"/>
                    </a:xfrm>
                    <a:prstGeom prst="rect">
                      <a:avLst/>
                    </a:prstGeom>
                    <a:noFill/>
                  </pic:spPr>
                </pic:pic>
              </a:graphicData>
            </a:graphic>
          </wp:anchor>
        </w:drawing>
      </w:r>
    </w:p>
    <w:p>
      <w:pPr>
        <w:sectPr>
          <w:pgSz w:w="11900" w:h="16838" w:orient="portrait"/>
          <w:cols w:equalWidth="0" w:num="1">
            <w:col w:w="10440"/>
          </w:cols>
          <w:pgMar w:left="1220" w:top="489" w:right="239" w:bottom="1440" w:gutter="0" w:footer="0" w:header="0"/>
        </w:sectPr>
      </w:pPr>
    </w:p>
    <w:bookmarkStart w:id="164" w:name="page165"/>
    <w:bookmarkEnd w:id="16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STRUCTURE THERAPEUTICS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132715</wp:posOffset>
            </wp:positionV>
            <wp:extent cx="56584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5"/>
              <w:spacing w:after="0" w:line="144" w:lineRule="exact"/>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5"/>
              <w:spacing w:after="0" w:line="144"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Net loss</w:t>
            </w:r>
          </w:p>
        </w:tc>
        <w:tc>
          <w:tcPr>
            <w:tcW w:w="42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(122,526)</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(89,620)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ind w:left="80"/>
              <w:spacing w:after="0"/>
              <w:rPr>
                <w:sz w:val="20"/>
                <w:szCs w:val="20"/>
                <w:color w:val="auto"/>
              </w:rPr>
            </w:pPr>
            <w:r>
              <w:rPr>
                <w:rFonts w:ascii="Arial" w:cs="Arial" w:eastAsia="Arial" w:hAnsi="Arial"/>
                <w:sz w:val="15"/>
                <w:szCs w:val="15"/>
                <w:color w:val="auto"/>
              </w:rPr>
              <w:t>Share-based compensation expense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18,794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8,191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Depreciation expense</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ind w:left="80"/>
              <w:spacing w:after="0"/>
              <w:rPr>
                <w:sz w:val="20"/>
                <w:szCs w:val="20"/>
                <w:color w:val="auto"/>
              </w:rPr>
            </w:pPr>
            <w:r>
              <w:rPr>
                <w:rFonts w:ascii="Arial" w:cs="Arial" w:eastAsia="Arial" w:hAnsi="Arial"/>
                <w:sz w:val="15"/>
                <w:szCs w:val="15"/>
                <w:color w:val="auto"/>
              </w:rPr>
              <w:t>Accretion of asset retirement obligation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5"/>
                <w:szCs w:val="15"/>
                <w:color w:val="auto"/>
              </w:rPr>
              <w:t>Non-cash lease expense</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ind w:left="80"/>
              <w:spacing w:after="0"/>
              <w:rPr>
                <w:sz w:val="20"/>
                <w:szCs w:val="20"/>
                <w:color w:val="auto"/>
              </w:rPr>
            </w:pPr>
            <w:r>
              <w:rPr>
                <w:rFonts w:ascii="Arial" w:cs="Arial" w:eastAsia="Arial" w:hAnsi="Arial"/>
                <w:sz w:val="15"/>
                <w:szCs w:val="15"/>
                <w:color w:val="auto"/>
              </w:rPr>
              <w:t>Accretion of net investment discounts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(18,465)</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(1,408)</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(4,037)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non-current assets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3,307</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Operating lease liabilities</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(1,591)</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Net cash used in operating activities</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(116,636)</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(79,488)</w:t>
            </w:r>
          </w:p>
        </w:tc>
        <w:tc>
          <w:tcPr>
            <w:tcW w:w="0" w:type="dxa"/>
            <w:vAlign w:val="bottom"/>
          </w:tcPr>
          <w:p>
            <w:pPr>
              <w:spacing w:after="0"/>
              <w:rPr>
                <w:sz w:val="1"/>
                <w:szCs w:val="1"/>
                <w:color w:val="auto"/>
              </w:rPr>
            </w:pPr>
          </w:p>
        </w:tc>
      </w:tr>
      <w:tr>
        <w:trPr>
          <w:trHeight w:val="169"/>
        </w:trPr>
        <w:tc>
          <w:tcPr>
            <w:tcW w:w="60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Purchases of short-term investments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(702,519)</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(417,356)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Proceeds from maturities of short-term investments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344,900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151,181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and equipment</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(1,290)</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300"/>
              <w:spacing w:after="0" w:line="169" w:lineRule="exact"/>
              <w:rPr>
                <w:sz w:val="20"/>
                <w:szCs w:val="20"/>
                <w:color w:val="auto"/>
              </w:rPr>
            </w:pPr>
            <w:r>
              <w:rPr>
                <w:rFonts w:ascii="Arial" w:cs="Arial" w:eastAsia="Arial" w:hAnsi="Arial"/>
                <w:sz w:val="15"/>
                <w:szCs w:val="15"/>
                <w:color w:val="auto"/>
              </w:rPr>
              <w:t>Net cash used in investing activities</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(358,909)</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(268,342)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0" w:type="dxa"/>
            <w:vAlign w:val="bottom"/>
          </w:tcPr>
          <w:p>
            <w:pPr>
              <w:spacing w:after="0" w:line="164" w:lineRule="exact"/>
              <w:rPr>
                <w:sz w:val="20"/>
                <w:szCs w:val="20"/>
                <w:color w:val="auto"/>
              </w:rPr>
            </w:pPr>
            <w:r>
              <w:rPr>
                <w:rFonts w:ascii="Arial" w:cs="Arial" w:eastAsia="Arial" w:hAnsi="Arial"/>
                <w:sz w:val="15"/>
                <w:szCs w:val="15"/>
                <w:color w:val="auto"/>
              </w:rPr>
              <w:t>Proceeds from issuance of ordinary shares in Follow-On Offering, net of underwriting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20" w:type="dxa"/>
            <w:vAlign w:val="bottom"/>
            <w:gridSpan w:val="2"/>
          </w:tcPr>
          <w:p>
            <w:pPr>
              <w:spacing w:after="0"/>
              <w:rPr>
                <w:sz w:val="20"/>
                <w:szCs w:val="20"/>
                <w:color w:val="auto"/>
              </w:rPr>
            </w:pPr>
            <w:r>
              <w:rPr>
                <w:rFonts w:ascii="Arial" w:cs="Arial" w:eastAsia="Arial" w:hAnsi="Arial"/>
                <w:sz w:val="15"/>
                <w:szCs w:val="15"/>
                <w:color w:val="auto"/>
              </w:rPr>
              <w:t>discounts and commissions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514,573</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Proceeds from issuance of ordinary shares in initial public offering, net of underwriting</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discounts and commissions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Proceeds from private placement financing, gross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300,000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Payments of offering costs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(1,796)</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Proceeds from issuance of ordinary shares under employee share purchase plan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Proceeds from exercise of share options</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1,854</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bottom w:val="single" w:sz="8" w:color="CCEEFF"/>
            </w:tcBorders>
          </w:tcPr>
          <w:p>
            <w:pPr>
              <w:ind w:left="3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515,263</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451,531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change in cash and cash equivalents</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39,718</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103,701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b w:val="1"/>
                <w:bCs w:val="1"/>
                <w:color w:val="auto"/>
              </w:rPr>
              <w:t>Cash and cash equivalents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Beginning of the period</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129,792</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200"/>
              <w:spacing w:after="0" w:line="169" w:lineRule="exact"/>
              <w:rPr>
                <w:sz w:val="20"/>
                <w:szCs w:val="20"/>
                <w:color w:val="auto"/>
              </w:rPr>
            </w:pPr>
            <w:r>
              <w:rPr>
                <w:rFonts w:ascii="Arial" w:cs="Arial" w:eastAsia="Arial" w:hAnsi="Arial"/>
                <w:sz w:val="15"/>
                <w:szCs w:val="15"/>
                <w:color w:val="auto"/>
              </w:rPr>
              <w:t>End of the period</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169,510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129,792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shd w:val="clear" w:color="auto" w:fill="CCEEFF"/>
          </w:tcPr>
          <w:p>
            <w:pPr>
              <w:spacing w:after="0" w:line="155" w:lineRule="exact"/>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0" w:type="dxa"/>
            <w:vAlign w:val="bottom"/>
          </w:tcPr>
          <w:p>
            <w:pPr>
              <w:spacing w:after="0" w:line="164" w:lineRule="exact"/>
              <w:rPr>
                <w:sz w:val="20"/>
                <w:szCs w:val="20"/>
                <w:color w:val="auto"/>
              </w:rPr>
            </w:pPr>
            <w:r>
              <w:rPr>
                <w:rFonts w:ascii="Arial" w:cs="Arial" w:eastAsia="Arial" w:hAnsi="Arial"/>
                <w:sz w:val="15"/>
                <w:szCs w:val="15"/>
                <w:color w:val="auto"/>
              </w:rPr>
              <w:t>Offering costs included in accounts payable and accrued expenses and other current</w:t>
            </w:r>
          </w:p>
        </w:tc>
        <w:tc>
          <w:tcPr>
            <w:tcW w:w="42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100</w:t>
            </w:r>
          </w:p>
        </w:tc>
        <w:tc>
          <w:tcPr>
            <w:tcW w:w="44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96"/>
        </w:trPr>
        <w:tc>
          <w:tcPr>
            <w:tcW w:w="6020" w:type="dxa"/>
            <w:vAlign w:val="bottom"/>
            <w:gridSpan w:val="2"/>
          </w:tcPr>
          <w:p>
            <w:pPr>
              <w:spacing w:after="0"/>
              <w:rPr>
                <w:sz w:val="20"/>
                <w:szCs w:val="20"/>
                <w:color w:val="auto"/>
              </w:rPr>
            </w:pPr>
            <w:r>
              <w:rPr>
                <w:rFonts w:ascii="Arial" w:cs="Arial" w:eastAsia="Arial" w:hAnsi="Arial"/>
                <w:sz w:val="15"/>
                <w:szCs w:val="15"/>
                <w:color w:val="auto"/>
              </w:rPr>
              <w:t>liabilities</w:t>
            </w:r>
          </w:p>
        </w:tc>
        <w:tc>
          <w:tcPr>
            <w:tcW w:w="4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vMerge w:val="restart"/>
            <w:shd w:val="clear" w:color="auto" w:fill="CCEEFF"/>
          </w:tcPr>
          <w:p>
            <w:pPr>
              <w:spacing w:after="0" w:line="137" w:lineRule="exact"/>
              <w:rPr>
                <w:sz w:val="20"/>
                <w:szCs w:val="20"/>
                <w:color w:val="auto"/>
              </w:rPr>
            </w:pPr>
            <w:r>
              <w:rPr>
                <w:rFonts w:ascii="Arial" w:cs="Arial" w:eastAsia="Arial" w:hAnsi="Arial"/>
                <w:sz w:val="15"/>
                <w:szCs w:val="15"/>
                <w:color w:val="auto"/>
              </w:rPr>
              <w:t>Conversion of redeemable convertible preferred shares into ordinary shares upon initial</w:t>
            </w: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vMerge w:val="continue"/>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199,975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w:t>
            </w:r>
          </w:p>
        </w:tc>
        <w:tc>
          <w:tcPr>
            <w:tcW w:w="420" w:type="dxa"/>
            <w:vAlign w:val="bottom"/>
            <w:gridSpan w:val="2"/>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spacing w:after="0" w:line="157" w:lineRule="exact"/>
              <w:rPr>
                <w:sz w:val="20"/>
                <w:szCs w:val="20"/>
                <w:color w:val="auto"/>
              </w:rPr>
            </w:pPr>
            <w:r>
              <w:rPr>
                <w:rFonts w:ascii="Arial" w:cs="Arial" w:eastAsia="Arial" w:hAnsi="Arial"/>
                <w:sz w:val="15"/>
                <w:szCs w:val="15"/>
                <w:color w:val="auto"/>
              </w:rPr>
              <w:t>Purchases of property and equipment in accounts payable and accrued expenses and</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vMerge w:val="continue"/>
          </w:tcPr>
          <w:p>
            <w:pPr>
              <w:spacing w:after="0"/>
              <w:rPr>
                <w:sz w:val="10"/>
                <w:szCs w:val="10"/>
                <w:color w:val="auto"/>
              </w:rPr>
            </w:pPr>
          </w:p>
        </w:tc>
        <w:tc>
          <w:tcPr>
            <w:tcW w:w="42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40" w:type="dxa"/>
            <w:vAlign w:val="bottom"/>
            <w:gridSpan w:val="2"/>
            <w:vMerge w:val="restart"/>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5"/>
                <w:szCs w:val="15"/>
                <w:color w:val="auto"/>
              </w:rPr>
              <w:t>other current liabilities</w:t>
            </w:r>
          </w:p>
        </w:tc>
        <w:tc>
          <w:tcPr>
            <w:tcW w:w="42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5"/>
                <w:szCs w:val="15"/>
                <w:color w:val="auto"/>
              </w:rPr>
              <w:t>Operating lease right-of-use assets obtained in exchange for new lease liabilities</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4"/>
              <w:spacing w:after="0" w:line="155"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4"/>
              <w:spacing w:after="0" w:line="155"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5,508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5"/>
                <w:szCs w:val="15"/>
                <w:color w:val="auto"/>
              </w:rPr>
              <w:t>Recognition of asset retirement obligation</w:t>
            </w: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4"/>
              <w:spacing w:after="0" w:line="155"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5"/>
                <w:szCs w:val="15"/>
                <w:color w:val="auto"/>
              </w:rPr>
              <w:t>Conversion of non-voting ordinary shares into ordinary shares</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4"/>
              <w:spacing w:after="0" w:line="155"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4"/>
              <w:spacing w:after="0" w:line="155"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5"/>
                <w:szCs w:val="15"/>
                <w:color w:val="auto"/>
              </w:rPr>
              <w:t>Exchange of ordinary shares to non-voting ordinary shares</w:t>
            </w: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4"/>
              <w:spacing w:after="0" w:line="155"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00" w:type="dxa"/>
            <w:vAlign w:val="bottom"/>
            <w:tcBorders>
              <w:top w:val="single" w:sz="8" w:color="CCEEFF"/>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CCEEFF"/>
              <w:bottom w:val="single" w:sz="8" w:color="auto"/>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1.Organization and Nature of the Business</w:t>
      </w:r>
    </w:p>
    <w:p>
      <w:pPr>
        <w:spacing w:after="0" w:line="196" w:lineRule="exact"/>
        <w:rPr>
          <w:sz w:val="20"/>
          <w:szCs w:val="20"/>
          <w:color w:val="auto"/>
        </w:rPr>
      </w:pPr>
    </w:p>
    <w:p>
      <w:pPr>
        <w:jc w:val="both"/>
        <w:ind w:left="40" w:right="219"/>
        <w:spacing w:after="0" w:line="243" w:lineRule="auto"/>
        <w:rPr>
          <w:sz w:val="20"/>
          <w:szCs w:val="20"/>
          <w:color w:val="auto"/>
        </w:rPr>
      </w:pPr>
      <w:r>
        <w:rPr>
          <w:rFonts w:ascii="Arial" w:cs="Arial" w:eastAsia="Arial" w:hAnsi="Arial"/>
          <w:sz w:val="17"/>
          <w:szCs w:val="17"/>
          <w:color w:val="auto"/>
        </w:rPr>
        <w:t>Structure Therapeutics Inc. (the “Company”) is a clinical stage global biopharmaceutical company aiming to develop and deliver novel oral therapeutics to treat a wide range of chronic diseases with unmet medical need. The Company was incorporated in February 2019 in the Cayman Islands, with operating subsidiaries in the United States and China. In June 2022, the Company changed its name from ShouTi Inc. to Structure Therapeutics Inc.</w:t>
      </w:r>
    </w:p>
    <w:p>
      <w:pPr>
        <w:spacing w:after="0" w:line="168" w:lineRule="exact"/>
        <w:rPr>
          <w:sz w:val="20"/>
          <w:szCs w:val="20"/>
          <w:color w:val="auto"/>
        </w:rPr>
      </w:pPr>
    </w:p>
    <w:p>
      <w:pPr>
        <w:ind w:left="40" w:right="459"/>
        <w:spacing w:after="0" w:line="259" w:lineRule="auto"/>
        <w:rPr>
          <w:sz w:val="20"/>
          <w:szCs w:val="20"/>
          <w:color w:val="auto"/>
        </w:rPr>
      </w:pPr>
      <w:r>
        <w:rPr>
          <w:rFonts w:ascii="Arial" w:cs="Arial" w:eastAsia="Arial" w:hAnsi="Arial"/>
          <w:sz w:val="16"/>
          <w:szCs w:val="16"/>
          <w:color w:val="auto"/>
        </w:rPr>
        <w:t>Prior to the formation of the Company, the operating activities were carried out by the subsidiaries of the Company. Structure Therapeutics USA Inc., a Delaware corporation (“StructureTx US”), was incorporated on June 6, 2016 (previously known as ShouTi Inc.). On January 20, 2017, StructureTx US was reorganized as a limited liability company. Annapurna Bio, Inc. (“Annapurna”), a Delaware corporation, was incorporated on January 26, 2017, and Gasherbrum Bio, Inc. (“Gasherbrum”), a Delaware corporation, was incorporated on April 19, 2017.</w:t>
      </w:r>
    </w:p>
    <w:p>
      <w:pPr>
        <w:spacing w:after="0" w:line="156"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On April 18, 2019, Annapurna, Gasherbrum, StructureTx US and the Company entered into a share exchange agreement (the “Share Exchange Agreement”). As a result of the Share Exchange Agreement, StructureTx US, Annapurna and Gasherbrum became wholly-owned subsidiaries of the Company. At the closing of the Share Exchange Agreement on April 18, 2019, the Company issued to the shareholders of Annapurna, Gasherbrum, and StructureTx US an aggregate of 10,766,250 ordinary shares (the “Share Exchange”). On April 19, 2019, ShouTi LLC was converted into ShouTi Inc., a Delaware corporation, which subsequently changed its name to Structure Therapeutics USA Inc. The Share Exchange was accounted for as a capital transaction.</w:t>
      </w:r>
    </w:p>
    <w:p>
      <w:pPr>
        <w:spacing w:after="0" w:line="170" w:lineRule="exact"/>
        <w:rPr>
          <w:sz w:val="20"/>
          <w:szCs w:val="20"/>
          <w:color w:val="auto"/>
        </w:rPr>
      </w:pPr>
    </w:p>
    <w:p>
      <w:pPr>
        <w:ind w:left="40" w:right="139"/>
        <w:spacing w:after="0" w:line="243" w:lineRule="auto"/>
        <w:rPr>
          <w:sz w:val="20"/>
          <w:szCs w:val="20"/>
          <w:color w:val="auto"/>
        </w:rPr>
      </w:pPr>
      <w:r>
        <w:rPr>
          <w:rFonts w:ascii="Arial" w:cs="Arial" w:eastAsia="Arial" w:hAnsi="Arial"/>
          <w:sz w:val="17"/>
          <w:szCs w:val="17"/>
          <w:color w:val="auto"/>
        </w:rPr>
        <w:t>On June 28, 2019, ShouTi Hong Kong Ltd (“ShouTi Hong Kong”) was incorporated as a wholly-owned subsidiary of the Company. On July 26, 2019, Shanghai ShouTi Biotechnology Co., Ltd (“Shanghai ShouTi”) was incorporated as a wholly-owned subsidiary of ShouTi Hong Kong. On April 1, 2020, Lhotse Bio, Inc. (“Lhotse”) was incorporated as a wholly-owned subsidiary of the Company.</w:t>
      </w:r>
    </w:p>
    <w:p>
      <w:pPr>
        <w:spacing w:after="0" w:line="168" w:lineRule="exact"/>
        <w:rPr>
          <w:sz w:val="20"/>
          <w:szCs w:val="20"/>
          <w:color w:val="auto"/>
        </w:rPr>
      </w:pPr>
    </w:p>
    <w:p>
      <w:pPr>
        <w:ind w:left="40" w:right="159"/>
        <w:spacing w:after="0" w:line="263" w:lineRule="auto"/>
        <w:rPr>
          <w:sz w:val="20"/>
          <w:szCs w:val="20"/>
          <w:color w:val="auto"/>
        </w:rPr>
      </w:pPr>
      <w:r>
        <w:rPr>
          <w:rFonts w:ascii="Arial" w:cs="Arial" w:eastAsia="Arial" w:hAnsi="Arial"/>
          <w:sz w:val="16"/>
          <w:szCs w:val="16"/>
          <w:color w:val="auto"/>
        </w:rPr>
        <w:t>On February 10, 2021, the Company incorporated Basecamp Bio Inc. (“Basecamp Bio”) in the Cayman Islands with a wholly owned subsidiary, Basecamp Bio Hong Kong Limited (“Basecamp HK”) in Hong Kong. Shanghai Basecamp Biotechnology Co., Ltd., a wholly owned subsidiary of Basecamp HK, was established on March 26, 2021 in Shanghai, China. The purpose of Basecamp Bio is to develop certain of the Company’s technologies in Mainland China.</w:t>
      </w:r>
    </w:p>
    <w:p>
      <w:pPr>
        <w:spacing w:after="0" w:line="153" w:lineRule="exact"/>
        <w:rPr>
          <w:sz w:val="20"/>
          <w:szCs w:val="20"/>
          <w:color w:val="auto"/>
        </w:rPr>
      </w:pPr>
    </w:p>
    <w:p>
      <w:pPr>
        <w:ind w:left="40" w:right="539"/>
        <w:spacing w:after="0" w:line="265" w:lineRule="auto"/>
        <w:rPr>
          <w:sz w:val="20"/>
          <w:szCs w:val="20"/>
          <w:color w:val="auto"/>
        </w:rPr>
      </w:pPr>
      <w:r>
        <w:rPr>
          <w:rFonts w:ascii="Arial" w:cs="Arial" w:eastAsia="Arial" w:hAnsi="Arial"/>
          <w:sz w:val="17"/>
          <w:szCs w:val="17"/>
          <w:color w:val="auto"/>
        </w:rPr>
        <w:t>On July 11, 2023, Aconcagua Bio, Inc. (“Aconcagua”) and Gimigela Bio, Inc. (“Gimigela”) were incorporated in the United States as wholly-owned subsidiaries of the Company.</w:t>
      </w:r>
    </w:p>
    <w:p>
      <w:pPr>
        <w:spacing w:after="0" w:line="149" w:lineRule="exact"/>
        <w:rPr>
          <w:sz w:val="20"/>
          <w:szCs w:val="20"/>
          <w:color w:val="auto"/>
        </w:rPr>
      </w:pPr>
    </w:p>
    <w:p>
      <w:pPr>
        <w:ind w:left="40" w:right="599"/>
        <w:spacing w:after="0" w:line="265"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94" w:lineRule="exact"/>
        <w:rPr>
          <w:sz w:val="20"/>
          <w:szCs w:val="20"/>
          <w:color w:val="auto"/>
        </w:rPr>
      </w:pPr>
    </w:p>
    <w:p>
      <w:pPr>
        <w:ind w:left="40" w:right="219"/>
        <w:spacing w:after="0" w:line="248" w:lineRule="auto"/>
        <w:rPr>
          <w:sz w:val="20"/>
          <w:szCs w:val="20"/>
          <w:color w:val="auto"/>
        </w:rPr>
      </w:pPr>
      <w:r>
        <w:rPr>
          <w:rFonts w:ascii="Arial" w:cs="Arial" w:eastAsia="Arial" w:hAnsi="Arial"/>
          <w:sz w:val="17"/>
          <w:szCs w:val="17"/>
          <w:color w:val="auto"/>
        </w:rPr>
        <w:t>In February 2023, the Company closed its initial public offering (“IPO”) of American Depositary Shares (“ADSs”). Each ADS represents three ordinary shares. The net proceeds from the IPO were approximately $166.7 million after deducting underwriting discounts and commissions and estimated offering costs.</w:t>
      </w:r>
    </w:p>
    <w:p>
      <w:pPr>
        <w:spacing w:after="0" w:line="164" w:lineRule="exact"/>
        <w:rPr>
          <w:sz w:val="20"/>
          <w:szCs w:val="20"/>
          <w:color w:val="auto"/>
        </w:rPr>
      </w:pPr>
    </w:p>
    <w:p>
      <w:pPr>
        <w:ind w:left="40" w:right="199"/>
        <w:spacing w:after="0" w:line="243" w:lineRule="auto"/>
        <w:rPr>
          <w:sz w:val="20"/>
          <w:szCs w:val="20"/>
          <w:color w:val="auto"/>
        </w:rPr>
      </w:pPr>
      <w:r>
        <w:rPr>
          <w:rFonts w:ascii="Arial" w:cs="Arial" w:eastAsia="Arial" w:hAnsi="Arial"/>
          <w:sz w:val="17"/>
          <w:szCs w:val="17"/>
          <w:color w:val="auto"/>
        </w:rPr>
        <w:t>Upon the closing of the IPO, all outstanding shares of the Company’s redeemable convertible preferred shares converted into 67,018,087 ordinary shares. In connection with the completion of its IPO, the Company’s memorandum of association was amended and restated to provide for 500,000,000 authorized ordinary shares with a par value of $0.0001 per share and 100,000,000 authorized undesignated shares with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59"/>
        <w:spacing w:after="0" w:line="265" w:lineRule="auto"/>
        <w:rPr>
          <w:sz w:val="20"/>
          <w:szCs w:val="20"/>
          <w:color w:val="auto"/>
        </w:rPr>
      </w:pPr>
      <w:r>
        <w:rPr>
          <w:rFonts w:ascii="Arial" w:cs="Arial" w:eastAsia="Arial" w:hAnsi="Arial"/>
          <w:sz w:val="17"/>
          <w:szCs w:val="17"/>
          <w:color w:val="auto"/>
        </w:rPr>
        <w:t>a par value of $0.0001 per share, of such class or classes as may be designated by the Company’s board of directors in accordance with the Company’s amended and restated memorandum and articles of association.</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Private Placement</w:t>
      </w:r>
    </w:p>
    <w:p>
      <w:pPr>
        <w:spacing w:after="0" w:line="194" w:lineRule="exact"/>
        <w:rPr>
          <w:sz w:val="20"/>
          <w:szCs w:val="20"/>
          <w:color w:val="auto"/>
        </w:rPr>
      </w:pPr>
    </w:p>
    <w:p>
      <w:pPr>
        <w:ind w:left="40" w:right="79"/>
        <w:spacing w:after="0" w:line="236" w:lineRule="auto"/>
        <w:rPr>
          <w:sz w:val="20"/>
          <w:szCs w:val="20"/>
          <w:color w:val="auto"/>
        </w:rPr>
      </w:pPr>
      <w:r>
        <w:rPr>
          <w:rFonts w:ascii="Arial" w:cs="Arial" w:eastAsia="Arial" w:hAnsi="Arial"/>
          <w:sz w:val="17"/>
          <w:szCs w:val="17"/>
          <w:color w:val="auto"/>
        </w:rPr>
        <w:t>On September 29, 2023, the Company entered into a share purchase agreement with certain institutional investors (the “Purchasers”), pursuant to which the Company agreed to sell and issue to the Purchasers an aggregate of 21,617,295 ordinary shares and 2,401,920 newly designated non-voting ordinary shares at a purchase price of $12.49 per share (or the equivalent of $37.47 per ADS), the closing price of its ADS on the Nasdaq Global Market on September 28, 2023 (the “Private Placement”). Each holder of non-voting ordinary shares had the right to convert each non-voting ordinary share held by such holder into one ordinary share, subject to certain beneficial ownership limitations. The Private Placement closed on October 3, 2023, and the Company received $281.5 million in net proceeds after deducting placement agent fees and other private placement expenses. As of December 31, 2023, all outstanding non-voting ordinary shares had been converted into ordinary shares.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Follow-On Offering</w:t>
      </w:r>
    </w:p>
    <w:p>
      <w:pPr>
        <w:spacing w:after="0" w:line="194" w:lineRule="exact"/>
        <w:rPr>
          <w:sz w:val="20"/>
          <w:szCs w:val="20"/>
          <w:color w:val="auto"/>
        </w:rPr>
      </w:pPr>
    </w:p>
    <w:p>
      <w:pPr>
        <w:ind w:left="40" w:right="219"/>
        <w:spacing w:after="0" w:line="236" w:lineRule="auto"/>
        <w:rPr>
          <w:sz w:val="20"/>
          <w:szCs w:val="20"/>
          <w:color w:val="auto"/>
        </w:rPr>
      </w:pPr>
      <w:r>
        <w:rPr>
          <w:rFonts w:ascii="Arial" w:cs="Arial" w:eastAsia="Arial" w:hAnsi="Arial"/>
          <w:sz w:val="17"/>
          <w:szCs w:val="17"/>
          <w:color w:val="auto"/>
        </w:rPr>
        <w:t>On June 5, 2024, the Company entered into an underwriting agreement with Goldman Sachs &amp; Co. LLC, Morgan Stanley &amp; Co. LLC, Jefferies LLC and Leerink Partners LLC, as representatives of the underwriters named therein (collectively, the “Underwriters”), pursuant to which the Company proposed to issue and sell to the Underwriters an aggregate of 9,066,972 ADSs, each representing three ordinary shares of the Company, and granted the underwriters an option (the “Underwriters’ Option”) to purchase up to an aggregate of 1,360,045 additional ADSs (the “Follow-On Offering”). The Follow-On Offering closed on June 7, 2024, at which time the Company issued 10,427,017 ADSs, including the issuance of 1,360,045 ADSs in connection with the full exercise of the Underwriters’ Option, at a price of $52.50 per ADS. The net proceeds from the Follow-On Offering were approximately $512.7 million after deducting underwriting discounts and commissions and estimated offering costs.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94"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The Company has incurred significant net operating losses and negative cash flows from operations since inception and had an accumulated deficit of $329.1 million as of December 31, 2024. Prior to completion of its IPO, the Company has financed its operations primarily through the private placement of equity securities. In February 2023, the Company completed its IPO for net proceeds of approximately $166.7 million. In October 2023, the Company closed its Private Placement for net proceeds of approximately $281.5 million. In June 2024, the Company closed its Follow-On Offering, for net proceeds of approximately $512.7 million.</w:t>
      </w:r>
    </w:p>
    <w:p>
      <w:pPr>
        <w:spacing w:after="0" w:line="170" w:lineRule="exact"/>
        <w:rPr>
          <w:sz w:val="20"/>
          <w:szCs w:val="20"/>
          <w:color w:val="auto"/>
        </w:rPr>
      </w:pPr>
    </w:p>
    <w:p>
      <w:pPr>
        <w:ind w:left="40" w:right="439"/>
        <w:spacing w:after="0" w:line="243" w:lineRule="auto"/>
        <w:rPr>
          <w:sz w:val="20"/>
          <w:szCs w:val="20"/>
          <w:color w:val="auto"/>
        </w:rPr>
      </w:pPr>
      <w:r>
        <w:rPr>
          <w:rFonts w:ascii="Arial" w:cs="Arial" w:eastAsia="Arial" w:hAnsi="Arial"/>
          <w:sz w:val="17"/>
          <w:szCs w:val="17"/>
          <w:color w:val="auto"/>
        </w:rPr>
        <w:t>As of December 31, 2024, the Company had cash, cash equivalents and short-term investments of $883.5 million. Based on its current business plan, the Company believes that its current cash, cash equivalents and short-term investments will be sufficient to fund its projected operations for at least 12 months from the date of the issuance of these consolidated financial statements.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94"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The consolidated financial statements and related disclosures have been prepared in conformity with accounting principles generally accepted in the United States of America (“GAAP”). The consolidated financial statements include the accounts of the Company and its wholly-owned subsidiaries. All intercompany accounts and transactions have been eliminated in consolidation. The functional and reporting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7" w:name="page168"/>
    <w:bookmarkEnd w:id="16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219"/>
        <w:spacing w:after="0" w:line="265" w:lineRule="auto"/>
        <w:rPr>
          <w:sz w:val="20"/>
          <w:szCs w:val="20"/>
          <w:color w:val="auto"/>
        </w:rPr>
      </w:pPr>
      <w:r>
        <w:rPr>
          <w:rFonts w:ascii="Arial" w:cs="Arial" w:eastAsia="Arial" w:hAnsi="Arial"/>
          <w:sz w:val="17"/>
          <w:szCs w:val="17"/>
          <w:color w:val="auto"/>
        </w:rPr>
        <w:t>currency of the Company and its subsidiaries is the U.S. dollar. The aggregate foreign currency transaction gain (loss) included in determining net loss was not material for the periods presented.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94"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share-based compensation and certain other accrued liabilities. Actual results could differ from those estimates.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Segments</w:t>
      </w:r>
    </w:p>
    <w:p>
      <w:pPr>
        <w:spacing w:after="0" w:line="194" w:lineRule="exact"/>
        <w:rPr>
          <w:sz w:val="20"/>
          <w:szCs w:val="20"/>
          <w:color w:val="auto"/>
        </w:rPr>
      </w:pPr>
    </w:p>
    <w:p>
      <w:pPr>
        <w:ind w:left="40" w:right="239"/>
        <w:spacing w:after="0" w:line="259" w:lineRule="auto"/>
        <w:rPr>
          <w:sz w:val="20"/>
          <w:szCs w:val="20"/>
          <w:color w:val="auto"/>
        </w:rPr>
      </w:pPr>
      <w:r>
        <w:rPr>
          <w:rFonts w:ascii="Arial" w:cs="Arial" w:eastAsia="Arial" w:hAnsi="Arial"/>
          <w:sz w:val="16"/>
          <w:szCs w:val="16"/>
          <w:color w:val="auto"/>
        </w:rPr>
        <w:t>The Company operates and manages its business as one reportable and operating segment, which is the business of research and development of medicines that target chronic diseases with unmet medical need. The Company’s Chief Executive Officer, who is the chief operating decision maker, reviews consolidated financial statements and decides how to allocate resources and evaluate segment performance based on net loss reported in the consolidated statements of operations and comprehensive loss. The Company’s long-lived assets are primarily in China.</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table below is a summary of the segment net loss, including significant segment expenses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142875</wp:posOffset>
            </wp:positionV>
            <wp:extent cx="56584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3"/>
                <w:szCs w:val="13"/>
                <w:b w:val="1"/>
                <w:bCs w:val="1"/>
                <w:color w:val="auto"/>
              </w:rPr>
              <w:t>YEAR ENDED DECEMBER 31,</w:t>
            </w:r>
          </w:p>
        </w:tc>
      </w:tr>
      <w:tr>
        <w:trPr>
          <w:trHeight w:val="144"/>
        </w:trPr>
        <w:tc>
          <w:tcPr>
            <w:tcW w:w="5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399"/>
              <w:spacing w:after="0" w:line="144" w:lineRule="exact"/>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8"/>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5980" w:type="dxa"/>
            <w:vAlign w:val="bottom"/>
          </w:tcPr>
          <w:p>
            <w:pPr>
              <w:ind w:left="100"/>
              <w:spacing w:after="0" w:line="189" w:lineRule="exact"/>
              <w:rPr>
                <w:sz w:val="20"/>
                <w:szCs w:val="20"/>
                <w:color w:val="auto"/>
              </w:rPr>
            </w:pPr>
            <w:r>
              <w:rPr>
                <w:rFonts w:ascii="Arial" w:cs="Arial" w:eastAsia="Arial" w:hAnsi="Arial"/>
                <w:sz w:val="17"/>
                <w:szCs w:val="17"/>
                <w:color w:val="auto"/>
              </w:rPr>
              <w:t>Discovery 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64,548</w:t>
            </w:r>
          </w:p>
        </w:tc>
        <w:tc>
          <w:tcPr>
            <w:tcW w:w="160" w:type="dxa"/>
            <w:vAlign w:val="bottom"/>
          </w:tcPr>
          <w:p>
            <w:pPr>
              <w:spacing w:after="0"/>
              <w:rPr>
                <w:sz w:val="16"/>
                <w:szCs w:val="16"/>
                <w:color w:val="auto"/>
              </w:rPr>
            </w:pPr>
          </w:p>
        </w:tc>
        <w:tc>
          <w:tcPr>
            <w:tcW w:w="320" w:type="dxa"/>
            <w:vAlign w:val="bottom"/>
          </w:tcPr>
          <w:p>
            <w:pPr>
              <w:jc w:val="right"/>
              <w:ind w:right="136"/>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37,512</w:t>
            </w:r>
          </w:p>
        </w:tc>
      </w:tr>
      <w:tr>
        <w:trPr>
          <w:trHeight w:val="189"/>
        </w:trPr>
        <w:tc>
          <w:tcPr>
            <w:tcW w:w="59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Clinical research and development</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44,266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32,591</w:t>
            </w:r>
          </w:p>
        </w:tc>
      </w:tr>
      <w:tr>
        <w:trPr>
          <w:trHeight w:val="189"/>
        </w:trPr>
        <w:tc>
          <w:tcPr>
            <w:tcW w:w="598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49,414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32,672</w:t>
            </w: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158,228</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102,775</w:t>
            </w: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tcPr>
          <w:p>
            <w:pPr>
              <w:spacing w:after="0"/>
              <w:rPr>
                <w:sz w:val="16"/>
                <w:szCs w:val="16"/>
                <w:color w:val="auto"/>
              </w:rPr>
            </w:pPr>
          </w:p>
        </w:tc>
        <w:tc>
          <w:tcPr>
            <w:tcW w:w="14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(158,228)</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(102,775)</w:t>
            </w: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and other income, net</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36,012</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13,391</w:t>
            </w:r>
          </w:p>
        </w:tc>
      </w:tr>
      <w:tr>
        <w:trPr>
          <w:trHeight w:val="182"/>
        </w:trPr>
        <w:tc>
          <w:tcPr>
            <w:tcW w:w="5980" w:type="dxa"/>
            <w:vAlign w:val="bottom"/>
          </w:tcPr>
          <w:p>
            <w:pPr>
              <w:spacing w:after="0" w:line="182" w:lineRule="exact"/>
              <w:rPr>
                <w:sz w:val="20"/>
                <w:szCs w:val="20"/>
                <w:color w:val="auto"/>
              </w:rPr>
            </w:pPr>
            <w:r>
              <w:rPr>
                <w:rFonts w:ascii="Arial" w:cs="Arial" w:eastAsia="Arial" w:hAnsi="Arial"/>
                <w:sz w:val="17"/>
                <w:szCs w:val="17"/>
                <w:color w:val="auto"/>
              </w:rPr>
              <w:t>Loss before provision for income taxes</w:t>
            </w:r>
          </w:p>
        </w:tc>
        <w:tc>
          <w:tcPr>
            <w:tcW w:w="10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Arial" w:cs="Arial" w:eastAsia="Arial" w:hAnsi="Arial"/>
                <w:sz w:val="17"/>
                <w:szCs w:val="17"/>
                <w:color w:val="auto"/>
              </w:rPr>
              <w:t>(122,216)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7"/>
                <w:szCs w:val="17"/>
                <w:color w:val="auto"/>
              </w:rPr>
              <w:t>(89,384)</w:t>
            </w: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310</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236</w:t>
            </w:r>
          </w:p>
        </w:tc>
      </w:tr>
      <w:tr>
        <w:trPr>
          <w:trHeight w:val="222"/>
        </w:trPr>
        <w:tc>
          <w:tcPr>
            <w:tcW w:w="5980" w:type="dxa"/>
            <w:vAlign w:val="bottom"/>
            <w:tcBorders>
              <w:bottom w:val="single" w:sz="8" w:color="CCEEFF"/>
            </w:tcBorders>
          </w:tcPr>
          <w:p>
            <w:pPr>
              <w:spacing w:after="0" w:line="182" w:lineRule="exact"/>
              <w:rPr>
                <w:sz w:val="20"/>
                <w:szCs w:val="20"/>
                <w:color w:val="auto"/>
              </w:rPr>
            </w:pPr>
            <w:r>
              <w:rPr>
                <w:rFonts w:ascii="Arial" w:cs="Arial" w:eastAsia="Arial" w:hAnsi="Arial"/>
                <w:sz w:val="17"/>
                <w:szCs w:val="17"/>
                <w:color w:val="auto"/>
              </w:rPr>
              <w:t>Segment net loss and net loss attributable to ordinary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(122,526)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6"/>
              <w:spacing w:after="0" w:line="182"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(89,620)</w:t>
            </w:r>
          </w:p>
        </w:tc>
      </w:tr>
      <w:tr>
        <w:trPr>
          <w:trHeight w:val="129"/>
        </w:trPr>
        <w:tc>
          <w:tcPr>
            <w:tcW w:w="59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94"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short-term investments by investing in investment-grade securities and using banks and institutions it believes are creditworthy.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8" w:name="page169"/>
    <w:bookmarkEnd w:id="16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94" w:lineRule="exact"/>
        <w:rPr>
          <w:sz w:val="20"/>
          <w:szCs w:val="20"/>
          <w:color w:val="auto"/>
        </w:rPr>
      </w:pPr>
    </w:p>
    <w:p>
      <w:pPr>
        <w:ind w:left="40" w:right="79"/>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studies and regulatory approval prior to commercialization. These efforts require significant amounts of additional resources, adequate personnel, infrastructure and extensive compliance and reporting.</w:t>
      </w:r>
    </w:p>
    <w:p>
      <w:pPr>
        <w:spacing w:after="0" w:line="170"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The Company relies and expects to continue to rely on a small number of vendors to manufacture supplies and materials for use in its clinical trial programs. These programs could be adversely affected by a significant interruption in these manufacturing services.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94"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The Company considers all highly-liquid investments purchased with maturities of 90 days or less from the original date of purchase to be cash equivalents. As of December 31, 2024 and 2023, the Company’s cash and cash equivalents consist of cash deposited with banks and investments in money market funds.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94" w:lineRule="exact"/>
        <w:rPr>
          <w:sz w:val="20"/>
          <w:szCs w:val="20"/>
          <w:color w:val="auto"/>
        </w:rPr>
      </w:pPr>
    </w:p>
    <w:p>
      <w:pPr>
        <w:ind w:left="40" w:right="219"/>
        <w:spacing w:after="0" w:line="239" w:lineRule="auto"/>
        <w:rPr>
          <w:sz w:val="20"/>
          <w:szCs w:val="20"/>
          <w:color w:val="auto"/>
        </w:rPr>
      </w:pPr>
      <w:r>
        <w:rPr>
          <w:rFonts w:ascii="Arial" w:cs="Arial" w:eastAsia="Arial" w:hAnsi="Arial"/>
          <w:sz w:val="17"/>
          <w:szCs w:val="17"/>
          <w:color w:val="auto"/>
        </w:rPr>
        <w:t>The Company classifies its investments as available-for-sale and records them at fair value based upon market prices at period end. Unrealized gains and losses that are deemed temporary in nature are recorded in accumulated other comprehensive income as a separate component of shareholders’ equity (deficit). Dividend and interest income are recognized when earned. Realized gains and losses are included in earnings and are derived using the specific identification method for determining the cost of investments sold. The Company may sell these securities at any time for use in current operations.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Credit Losses</w:t>
      </w:r>
    </w:p>
    <w:p>
      <w:pPr>
        <w:spacing w:after="0" w:line="194" w:lineRule="exact"/>
        <w:rPr>
          <w:sz w:val="20"/>
          <w:szCs w:val="20"/>
          <w:color w:val="auto"/>
        </w:rPr>
      </w:pPr>
    </w:p>
    <w:p>
      <w:pPr>
        <w:ind w:left="40" w:right="439"/>
        <w:spacing w:after="0" w:line="248" w:lineRule="auto"/>
        <w:rPr>
          <w:sz w:val="20"/>
          <w:szCs w:val="20"/>
          <w:color w:val="auto"/>
        </w:rPr>
      </w:pPr>
      <w:r>
        <w:rPr>
          <w:rFonts w:ascii="Arial" w:cs="Arial" w:eastAsia="Arial" w:hAnsi="Arial"/>
          <w:sz w:val="17"/>
          <w:szCs w:val="17"/>
          <w:color w:val="auto"/>
        </w:rPr>
        <w:t>For short-term investments in an unrealized loss position, the Company periodically assesses its portfolio for impairment. The assessment first considers the intent or requirement to sell the available-for-sale debt securities. If either of these criteria are met, the amortized cost basis is written down to fair value through earnings.</w:t>
      </w:r>
    </w:p>
    <w:p>
      <w:pPr>
        <w:spacing w:after="0" w:line="164" w:lineRule="exact"/>
        <w:rPr>
          <w:sz w:val="20"/>
          <w:szCs w:val="20"/>
          <w:color w:val="auto"/>
        </w:rPr>
      </w:pPr>
    </w:p>
    <w:p>
      <w:pPr>
        <w:ind w:left="40" w:right="59"/>
        <w:spacing w:after="0" w:line="235" w:lineRule="auto"/>
        <w:rPr>
          <w:sz w:val="20"/>
          <w:szCs w:val="20"/>
          <w:color w:val="auto"/>
        </w:rPr>
      </w:pPr>
      <w:r>
        <w:rPr>
          <w:rFonts w:ascii="Arial" w:cs="Arial" w:eastAsia="Arial" w:hAnsi="Arial"/>
          <w:sz w:val="17"/>
          <w:szCs w:val="17"/>
          <w:color w:val="auto"/>
        </w:rPr>
        <w:t>If not met, the Company evaluates whether the decline resulted from credit losses or other factors by considering the extent to which fair value is less than amortized cost, any changes to the rating of the short-term investments by a rating agency, and any adverse conditions specifically related to the short-term investments, among other factors. If this assessment indicates that a credit loss exists, the present value of cash flows expected to be collected from the short-term investments is compared to the amortized cost basis of the short-term investments. If the present value of cash flows expected to be collected is less than the amortized cost basis, a credit loss exists and an allowance for credit losses is recorded, with a corresponding adjustment to interest and other income, net, limited by the amount that the fair value is less than the amortized cost basis. The Company has elected to exclude accrued interest from both the fair value and the amortized cost basis of the available-for-sale debt securities for the purposes of identifying and measuring an impairment. The Company writes off accrued interest as a reduction of interest income when an issuer has defaulted on interest payments due on a security. Any impairment that has not been recorded through an allowance for credit losses is recognized in other comprehensive loss. At December 31, 2024 and 2023,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69" w:name="page170"/>
    <w:bookmarkEnd w:id="16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399"/>
        <w:spacing w:after="0" w:line="265" w:lineRule="auto"/>
        <w:rPr>
          <w:sz w:val="20"/>
          <w:szCs w:val="20"/>
          <w:color w:val="auto"/>
        </w:rPr>
      </w:pPr>
      <w:r>
        <w:rPr>
          <w:rFonts w:ascii="Arial" w:cs="Arial" w:eastAsia="Arial" w:hAnsi="Arial"/>
          <w:sz w:val="17"/>
          <w:szCs w:val="17"/>
          <w:color w:val="auto"/>
        </w:rPr>
        <w:t>gross unrealized losses on the Company’s available-for-sale securities were not material and, accordingly, no credit loss reserves were recognized.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94" w:lineRule="exact"/>
        <w:rPr>
          <w:sz w:val="20"/>
          <w:szCs w:val="20"/>
          <w:color w:val="auto"/>
        </w:rPr>
      </w:pPr>
    </w:p>
    <w:p>
      <w:pPr>
        <w:ind w:left="40" w:right="279"/>
        <w:spacing w:after="0" w:line="248" w:lineRule="auto"/>
        <w:rPr>
          <w:sz w:val="20"/>
          <w:szCs w:val="20"/>
          <w:color w:val="auto"/>
        </w:rPr>
      </w:pPr>
      <w:r>
        <w:rPr>
          <w:rFonts w:ascii="Arial" w:cs="Arial" w:eastAsia="Arial" w:hAnsi="Arial"/>
          <w:sz w:val="17"/>
          <w:szCs w:val="17"/>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164"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The carrying value of cash and cash equivalents, accounts payable and accrued liabilities approximate fair value due to their relatively short maturities. The Company determines the fair value of financial and non-financial assets and liabilities using the fair value hierarchy which establishes three levels of inputs that may be used to measure fair value (see Note 4).</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94"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Property and equipment, net is stated at cost less accumulated depreciation. Depreciation is calculated using the straight-line method over the estimated useful lives of the assets, generally two to five years. Leasehold improvements are amortized using the straight-line method over the shorter of the assets’ estimated useful lives or the remaining term of the lease. When assets are retired or otherwise disposed of, the cost and accumulated depreciation are removed from the balance sheet, and any resulting gain or loss is reflected in operating expenses in the period realized. Maintenance and repairs are charged to operating expenses as incurred.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94"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Long-lived assets consist primarily of property and equipment, net and right-of-use assets,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During the years ended December 31, 2024 and 2023, the Company did not recognize any such impairment charges.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94"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The Company capitalizes, within other non-current assets, certain legal, accounting and other third-party fees that are directly related to the Company’s in-process equity financings, including its IPO, Private Placement and Follow-On Offering, until such financings are consummated. After consummation of the equity financing, these costs are recorded as a reduction of the proceeds received as a result of the equity financing. Should a planned equity financing be abandoned, terminated or significantly delayed, the deferred offering costs will be immediately written off to general and administrative expenses. Upon closing the IPO, Private Placement and Follow-On Offering, all deferred offering costs were charged against the proceeds from the IPO, Private Placement and Follow-On Offering and recorded in shareholders’ equity as a reduction of additional paid-in capital. As of December 31, 2024 and 2023, there were no deferred offering costs recorded on the consolidated balance sheets.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0" w:name="page171"/>
    <w:bookmarkEnd w:id="17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194"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The Company has entered into various agreements with contract manufacturing organizations (“CMOs”) and contract research organizations (“CROs”).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consolidated balance sheets. If the actual timing of the performance of services or the level of effort varies from the original estimates, the Company will adjust the accrual accordingly. Payments made to CMOs and CROs under these arrangements in advance of the performance of the related services are recorded as prepaid expenses and other current assets on the consolidated balance sheets until the services are rendered.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Leases</w:t>
      </w:r>
    </w:p>
    <w:p>
      <w:pPr>
        <w:spacing w:after="0" w:line="194"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The Company determines if an arrangement is, or contains, a lease at inception and then classifies the lease as operating or financing based on the underlying terms and conditions of the contract. Operating leases with terms greater than one year are initially recognized on the consolidated balance sheets as right-of-use assets and lease liabilities based on the present value of lease payments over the expected lease term. The Company has also elected to not apply the recognition requirement to any leases within its existing classes of assets with a term of 12 months or less and does not include any options to purchase the underlying asset that the Company is reasonably certain to exercise. As most of the Company’s leases do not provide an implicit rate, the Company uses its incremental borrowing rate based on the information available at commencement date in determining the present value of future payments. Lease expense for lease payments is recognized on a straight-line basis over the lease term. Variable lease payments are excluded from the right-of-use assets and operating lease liabilities and are recognized in the period in which the obligation for those payments is incurred. The Company elected the practical expedient not to separate non-lease components from lease components for the Company’s facility leases and to account for the lease and non-lease components as a single lease component.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94" w:lineRule="exact"/>
        <w:rPr>
          <w:sz w:val="20"/>
          <w:szCs w:val="20"/>
          <w:color w:val="auto"/>
        </w:rPr>
      </w:pPr>
    </w:p>
    <w:p>
      <w:pPr>
        <w:ind w:left="40" w:right="339"/>
        <w:spacing w:after="0"/>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payroll and related expenses, costs for CMOs, costs for CROs, materials, supplies, consulting costs, and the allocated portions of facility costs, such as rent, utilities, insurance, information technology costs and general support services. Research and development costs are expensed within the consolidated statements of operations and comprehensive loss as incurred.</w:t>
      </w:r>
    </w:p>
    <w:p>
      <w:pPr>
        <w:spacing w:after="0" w:line="171" w:lineRule="exact"/>
        <w:rPr>
          <w:sz w:val="20"/>
          <w:szCs w:val="20"/>
          <w:color w:val="auto"/>
        </w:rPr>
      </w:pPr>
    </w:p>
    <w:p>
      <w:pPr>
        <w:ind w:left="40" w:right="139"/>
        <w:spacing w:after="0" w:line="238" w:lineRule="auto"/>
        <w:rPr>
          <w:sz w:val="20"/>
          <w:szCs w:val="20"/>
          <w:color w:val="auto"/>
        </w:rPr>
      </w:pPr>
      <w:r>
        <w:rPr>
          <w:rFonts w:ascii="Arial" w:cs="Arial" w:eastAsia="Arial" w:hAnsi="Arial"/>
          <w:sz w:val="17"/>
          <w:szCs w:val="17"/>
          <w:color w:val="auto"/>
        </w:rPr>
        <w:t>The Company estimates research and development accruals based on the level of services performed, progress of the studies, including the phase or completion of events, and contracted costs. The estimated costs of research and development provided, but not yet invoiced, are included in accrued expenses and other current liabilities on the consolidated balance sheets. If the actual timing of the performance of services or the level of effort varies from the original estimates, the Company adjusts the accrual accordingly. Payments made to CMOs and CROs under these arrangements in advance of the performance of the related services are recorded as prepaid expenses and other current assets on the consolidated balance sheets until the services are rendered.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94" w:lineRule="exact"/>
        <w:rPr>
          <w:sz w:val="20"/>
          <w:szCs w:val="20"/>
          <w:color w:val="auto"/>
        </w:rPr>
      </w:pPr>
    </w:p>
    <w:p>
      <w:pPr>
        <w:ind w:left="40" w:right="199"/>
        <w:spacing w:after="0" w:line="248" w:lineRule="auto"/>
        <w:rPr>
          <w:sz w:val="20"/>
          <w:szCs w:val="20"/>
          <w:color w:val="auto"/>
        </w:rPr>
      </w:pPr>
      <w:r>
        <w:rPr>
          <w:rFonts w:ascii="Arial" w:cs="Arial" w:eastAsia="Arial" w:hAnsi="Arial"/>
          <w:sz w:val="17"/>
          <w:szCs w:val="17"/>
          <w:color w:val="auto"/>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1" w:name="page172"/>
    <w:bookmarkEnd w:id="17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219"/>
        <w:spacing w:after="0"/>
        <w:rPr>
          <w:sz w:val="20"/>
          <w:szCs w:val="20"/>
          <w:color w:val="auto"/>
        </w:rPr>
      </w:pPr>
      <w:r>
        <w:rPr>
          <w:rFonts w:ascii="Arial" w:cs="Arial" w:eastAsia="Arial" w:hAnsi="Arial"/>
          <w:sz w:val="17"/>
          <w:szCs w:val="17"/>
          <w:color w:val="auto"/>
        </w:rPr>
        <w:t>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 Option valuation models, including the Black-Scholes option-pricing model, require the input of several assumptions. The assumptions are as follows:</w:t>
      </w:r>
    </w:p>
    <w:p>
      <w:pPr>
        <w:spacing w:after="0" w:line="171" w:lineRule="exact"/>
        <w:rPr>
          <w:sz w:val="20"/>
          <w:szCs w:val="20"/>
          <w:color w:val="auto"/>
        </w:rPr>
      </w:pPr>
    </w:p>
    <w:p>
      <w:pPr>
        <w:ind w:left="680" w:right="159" w:hanging="307"/>
        <w:spacing w:after="0" w:line="239" w:lineRule="auto"/>
        <w:tabs>
          <w:tab w:leader="none" w:pos="68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xml:space="preserve">  The expected term represents the period that the share-based awards are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w:t>
      </w:r>
    </w:p>
    <w:p>
      <w:pPr>
        <w:spacing w:after="0" w:line="68" w:lineRule="exact"/>
        <w:rPr>
          <w:rFonts w:ascii="Times New Roman" w:cs="Times New Roman" w:eastAsia="Times New Roman" w:hAnsi="Times New Roman"/>
          <w:sz w:val="17"/>
          <w:szCs w:val="17"/>
          <w:color w:val="auto"/>
        </w:rPr>
      </w:pPr>
    </w:p>
    <w:p>
      <w:pPr>
        <w:ind w:left="680" w:right="199" w:hanging="307"/>
        <w:spacing w:after="0" w:line="239" w:lineRule="auto"/>
        <w:tabs>
          <w:tab w:leader="none" w:pos="68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xml:space="preserve">  The Company estimated the volatility data based on a study of publicly traded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peer companies as it did not have any trading history for its ordinary shares.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share price becomes available.</w:t>
      </w:r>
    </w:p>
    <w:p>
      <w:pPr>
        <w:spacing w:after="0" w:line="68" w:lineRule="exact"/>
        <w:rPr>
          <w:rFonts w:ascii="Times New Roman" w:cs="Times New Roman" w:eastAsia="Times New Roman" w:hAnsi="Times New Roman"/>
          <w:sz w:val="17"/>
          <w:szCs w:val="17"/>
          <w:color w:val="auto"/>
        </w:rPr>
      </w:pPr>
    </w:p>
    <w:p>
      <w:pPr>
        <w:jc w:val="both"/>
        <w:ind w:left="680" w:right="339" w:hanging="307"/>
        <w:spacing w:after="0" w:line="295" w:lineRule="auto"/>
        <w:tabs>
          <w:tab w:leader="none" w:pos="6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 xml:space="preserve">  The risk-free interest rate is based on the U.S. Treasury yield in effect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for zero-coupon U.S. Treasury notes with remaining terms similar to the expected term of the options.</w:t>
      </w:r>
    </w:p>
    <w:p>
      <w:pPr>
        <w:spacing w:after="0" w:line="26" w:lineRule="exact"/>
        <w:rPr>
          <w:rFonts w:ascii="Times New Roman" w:cs="Times New Roman" w:eastAsia="Times New Roman" w:hAnsi="Times New Roman"/>
          <w:sz w:val="16"/>
          <w:szCs w:val="16"/>
          <w:color w:val="auto"/>
        </w:rPr>
      </w:pPr>
    </w:p>
    <w:p>
      <w:pPr>
        <w:ind w:left="680" w:right="519" w:hanging="307"/>
        <w:spacing w:after="0" w:line="264" w:lineRule="auto"/>
        <w:tabs>
          <w:tab w:leader="none" w:pos="68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xml:space="preserve">  The expected dividend is assumed to be zero as the Company has never paid</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and has no current plans to do so.</w:t>
      </w:r>
    </w:p>
    <w:p>
      <w:pPr>
        <w:spacing w:after="0" w:line="150" w:lineRule="exact"/>
        <w:rPr>
          <w:sz w:val="20"/>
          <w:szCs w:val="20"/>
          <w:color w:val="auto"/>
        </w:rPr>
      </w:pPr>
    </w:p>
    <w:p>
      <w:pPr>
        <w:ind w:left="40" w:right="179"/>
        <w:spacing w:after="0" w:line="263" w:lineRule="auto"/>
        <w:rPr>
          <w:sz w:val="20"/>
          <w:szCs w:val="20"/>
          <w:color w:val="auto"/>
        </w:rPr>
      </w:pPr>
      <w:r>
        <w:rPr>
          <w:rFonts w:ascii="Arial" w:cs="Arial" w:eastAsia="Arial" w:hAnsi="Arial"/>
          <w:sz w:val="16"/>
          <w:szCs w:val="16"/>
          <w:color w:val="auto"/>
        </w:rPr>
        <w:t>The Company has granted share options to employees based in China. The exercise of share options granted to such employees was conditioned on a liquidity event, such as an IPO or change in control, which was not considered probable until consummated. The liquidity event condition was satisfied upon the closing of the IPO, and the Company recognized cumulative share-based compensation expense for share options granted to employees based in China.</w:t>
      </w:r>
    </w:p>
    <w:p>
      <w:pPr>
        <w:spacing w:after="0" w:line="153" w:lineRule="exact"/>
        <w:rPr>
          <w:sz w:val="20"/>
          <w:szCs w:val="20"/>
          <w:color w:val="auto"/>
        </w:rPr>
      </w:pPr>
    </w:p>
    <w:p>
      <w:pPr>
        <w:ind w:left="40" w:right="99"/>
        <w:spacing w:after="0" w:line="259" w:lineRule="auto"/>
        <w:rPr>
          <w:sz w:val="20"/>
          <w:szCs w:val="20"/>
          <w:color w:val="auto"/>
        </w:rPr>
      </w:pPr>
      <w:r>
        <w:rPr>
          <w:rFonts w:ascii="Arial" w:cs="Arial" w:eastAsia="Arial" w:hAnsi="Arial"/>
          <w:sz w:val="16"/>
          <w:szCs w:val="16"/>
          <w:color w:val="auto"/>
        </w:rPr>
        <w:t>The Company has granted restricted share units with service and performance conditions to certain employees. The awards are divided into three equal tranches, and the vesting of each tranche is contingent on the occurrence of certain milestone events and fulfilment of service condition. As a result, the related compensation cost is recognized as an expense when achievement of the milestones is considered probable. The expense to be recognized for these awards is based on the grant date fair value of the Company’s ordinary shares multiplied by the number of units granted.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Income Taxes</w:t>
      </w:r>
    </w:p>
    <w:p>
      <w:pPr>
        <w:spacing w:after="0" w:line="194" w:lineRule="exact"/>
        <w:rPr>
          <w:sz w:val="20"/>
          <w:szCs w:val="20"/>
          <w:color w:val="auto"/>
        </w:rPr>
      </w:pPr>
    </w:p>
    <w:p>
      <w:pPr>
        <w:ind w:left="40" w:right="219"/>
        <w:spacing w:after="0" w:line="236" w:lineRule="auto"/>
        <w:rPr>
          <w:sz w:val="20"/>
          <w:szCs w:val="20"/>
          <w:color w:val="auto"/>
        </w:rPr>
      </w:pPr>
      <w:r>
        <w:rPr>
          <w:rFonts w:ascii="Arial" w:cs="Arial" w:eastAsia="Arial" w:hAnsi="Arial"/>
          <w:sz w:val="17"/>
          <w:szCs w:val="17"/>
          <w:color w:val="auto"/>
        </w:rPr>
        <w:t>The Company uses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The Company measures deferred tax assets and liabilities using enacted tax rates expected to apply to taxable income in the years in which those temporary differences are expected to be reversed. The Company recognizes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 In determining the need for a valuation allowance, we consider future growth, forecasted earnings, future taxable income, the mix 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2" w:name="page173"/>
    <w:bookmarkEnd w:id="17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159"/>
        <w:spacing w:after="0" w:line="237" w:lineRule="auto"/>
        <w:rPr>
          <w:sz w:val="20"/>
          <w:szCs w:val="20"/>
          <w:color w:val="auto"/>
        </w:rPr>
      </w:pPr>
      <w:r>
        <w:rPr>
          <w:rFonts w:ascii="Arial" w:cs="Arial" w:eastAsia="Arial" w:hAnsi="Arial"/>
          <w:sz w:val="17"/>
          <w:szCs w:val="17"/>
          <w:color w:val="auto"/>
        </w:rPr>
        <w:t>earnings in the jurisdictions in which the Company operates, historical earnings, taxable income in prior years, if carryback is permitted under the law, carryforward periods and prudent and feasible tax planning strategies. Due to cumulative losses over recent years and based on all available positive and negative evidence, the Company has determined that it is more likely than not that its U.S. and certain foreign deferred tax assets will not be realizable as of December 31, 2024. To the extent sufficient positive evidence becomes available, the Company may release a portion, or all, of its valuation allowance in one or more future periods. A release of the valuation allowance, if any, would result in the recognition of certain deferred tax assets and a potentially material income tax benefit for the period in which such release is recorded.</w:t>
      </w:r>
    </w:p>
    <w:p>
      <w:pPr>
        <w:spacing w:after="0" w:line="172"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The Company’s tax positions are subject to income tax audits by multiple tax jurisdictions throughout the world. The Company recognizes the tax benefit of an uncertain tax position only if it is more likely than not the position is sustainable upon examination by the taxing authority, based on the technical merits. The Company measures the tax benefit recognized as the largest amount of benefit which is more likely than not to be realized upon settlement with the taxing authority. Significant judgment is required to evaluate uncertain tax positions. The Company’s evaluations are based upon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73"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The Company calculates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management’s assessment of relevant risks, facts and circumstances existing at that time. To the extent the assessment of such tax position changes, we record the change in estimate in the period in which we make the determination.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Net Loss Per Share Attributable to Ordinary Shareholders</w:t>
      </w:r>
    </w:p>
    <w:p>
      <w:pPr>
        <w:spacing w:after="0" w:line="194" w:lineRule="exact"/>
        <w:rPr>
          <w:sz w:val="20"/>
          <w:szCs w:val="20"/>
          <w:color w:val="auto"/>
        </w:rPr>
      </w:pPr>
    </w:p>
    <w:p>
      <w:pPr>
        <w:ind w:left="40" w:right="119"/>
        <w:spacing w:after="0" w:line="236" w:lineRule="auto"/>
        <w:rPr>
          <w:sz w:val="20"/>
          <w:szCs w:val="20"/>
          <w:color w:val="auto"/>
        </w:rPr>
      </w:pPr>
      <w:r>
        <w:rPr>
          <w:rFonts w:ascii="Arial" w:cs="Arial" w:eastAsia="Arial" w:hAnsi="Arial"/>
          <w:sz w:val="17"/>
          <w:szCs w:val="17"/>
          <w:color w:val="auto"/>
        </w:rPr>
        <w:t>Basic net loss per ordinary share is calculated by dividing the net loss attributable to ordinary shareholders by the weighted-average number of ordinary shares, including non-voting ordinary shares, outstanding during the period, without consideration of potentially dilutive securities. Diluted net loss per share is computed by dividing the net loss attributable to ordinary shareholders by the weighted-average number of ordinary shares, including non-voting ordinary shares, and potentially dilutive securities outstanding for the period. For purposes of the diluted net loss per share calculation, the unvested restricted share units, ordinary shares committed under the employee share purchase plan and share options are considered to be potentially dilutive securities. Because the Company has reported a net loss for all periods presented, diluted net loss per ordinary share is the same as basic net loss per ordinary share for those periods.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94" w:lineRule="exact"/>
        <w:rPr>
          <w:sz w:val="20"/>
          <w:szCs w:val="20"/>
          <w:color w:val="auto"/>
        </w:rPr>
      </w:pPr>
    </w:p>
    <w:p>
      <w:pPr>
        <w:ind w:left="40" w:right="239"/>
        <w:spacing w:after="0" w:line="271" w:lineRule="auto"/>
        <w:rPr>
          <w:sz w:val="20"/>
          <w:szCs w:val="20"/>
          <w:color w:val="auto"/>
        </w:rPr>
      </w:pPr>
      <w:r>
        <w:rPr>
          <w:rFonts w:ascii="Arial" w:cs="Arial" w:eastAsia="Arial" w:hAnsi="Arial"/>
          <w:sz w:val="16"/>
          <w:szCs w:val="16"/>
          <w:color w:val="auto"/>
        </w:rPr>
        <w:t>Comprehensive income (loss) is defined as a change in equity of a business enterprise during a period, resulting from transactions from non-owner sources. Other comprehensive income (loss) represents unrealized gains or losses on short-term investments that are reported as a component of shareholders’ equity on the consolidated balance sheets.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3" w:name="page174"/>
    <w:bookmarkEnd w:id="17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94" w:lineRule="exact"/>
        <w:rPr>
          <w:sz w:val="20"/>
          <w:szCs w:val="20"/>
          <w:color w:val="auto"/>
        </w:rPr>
      </w:pPr>
    </w:p>
    <w:p>
      <w:pPr>
        <w:ind w:left="40" w:right="79"/>
        <w:spacing w:after="0" w:line="250" w:lineRule="auto"/>
        <w:rPr>
          <w:sz w:val="20"/>
          <w:szCs w:val="20"/>
          <w:color w:val="auto"/>
        </w:rPr>
      </w:pPr>
      <w:r>
        <w:rPr>
          <w:rFonts w:ascii="Arial" w:cs="Arial" w:eastAsia="Arial" w:hAnsi="Arial"/>
          <w:sz w:val="16"/>
          <w:szCs w:val="16"/>
          <w:color w:val="auto"/>
        </w:rPr>
        <w:t xml:space="preserve">In November 2023, the Financial Accounting Standards Board (“FASB”) issued Account Standards Update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amendments in this ASU should be applied retrospectively to all prior periods presented in the financial statements. This ASU is applicable to the Company beginning with its Annual Report on Form 10-K for the fiscal year ending December 31, 2024. The adoption of this ASU did not have a material impact on the Company’s consolidated financial statements and related disclosures.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Accounting Pronouncements Not Yet Adopted</w:t>
      </w:r>
    </w:p>
    <w:p>
      <w:pPr>
        <w:spacing w:after="0" w:line="194"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This ASU requires greater disaggregation of information about a reporting entity's effective tax rate reconciliation as well as information on income taxes paid. This ASU applies to all entities subject to income taxes and is intended to help investors better understand an entity’s exposure to potential changes in jurisdictional tax legislation and assess income tax information that affects cash flow forecasts and capital allocation decisions. This ASU is effective for annual periods beginning after December 15, 2024, with early adoption permitted. This ASU should be applied on a prospective basis although retrospective application is permitted. The Company is currently evaluating the impact the adoption of this ASU will have on disclosures in its consolidated financial statements.</w:t>
      </w:r>
    </w:p>
    <w:p>
      <w:pPr>
        <w:spacing w:after="0" w:line="172"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 - Reporting Comprehensive Income -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Disaggregation Disclosures (Subtopic 220-40): Disaggregation of Income Statement Expenses</w:t>
      </w:r>
      <w:r>
        <w:rPr>
          <w:rFonts w:ascii="Arial" w:cs="Arial" w:eastAsia="Arial" w:hAnsi="Arial"/>
          <w:sz w:val="17"/>
          <w:szCs w:val="17"/>
          <w:color w:val="auto"/>
        </w:rPr>
        <w:t>. This ASU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information about a reporting entity’s certain expense categories in the notes to financial statements in interim and annual reporting periods. Among other provisions, the new standard requires disclosure of disaggregated amounts for expenses such as employee compensation, depreciation, and intangible asset amortization included in each expense caption presented on the face of the income statement. This ASU is effective for fiscal years beginning after December 15, 2026, and interim periods within fiscal years beginning after December 15, 2027, with early adoption permitted. The Company is currently evaluating the impact the adoption of this ASU will have on disclosures in its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4" w:name="page175"/>
    <w:bookmarkEnd w:id="17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3. Composition of Certain Consolidated Financial Statement Line Items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Useful life (years)</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line="144" w:lineRule="exact"/>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8"/>
              <w:spacing w:after="0" w:line="144"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Laboratory equipment</w:t>
            </w:r>
          </w:p>
        </w:tc>
        <w:tc>
          <w:tcPr>
            <w:tcW w:w="1920" w:type="dxa"/>
            <w:vAlign w:val="bottom"/>
            <w:shd w:val="clear" w:color="auto" w:fill="CCEEFF"/>
          </w:tcPr>
          <w:p>
            <w:pPr>
              <w:jc w:val="center"/>
              <w:spacing w:after="0" w:line="182" w:lineRule="exact"/>
              <w:rPr>
                <w:sz w:val="20"/>
                <w:szCs w:val="20"/>
                <w:color w:val="auto"/>
              </w:rPr>
            </w:pPr>
            <w:r>
              <w:rPr>
                <w:rFonts w:ascii="Arial" w:cs="Arial" w:eastAsia="Arial" w:hAnsi="Arial"/>
                <w:sz w:val="17"/>
                <w:szCs w:val="17"/>
                <w:color w:val="auto"/>
                <w:w w:val="84"/>
              </w:rPr>
              <w:t>5</w:t>
            </w:r>
          </w:p>
        </w:tc>
        <w:tc>
          <w:tcPr>
            <w:tcW w:w="380" w:type="dxa"/>
            <w:vAlign w:val="bottom"/>
            <w:gridSpan w:val="2"/>
            <w:shd w:val="clear" w:color="auto" w:fill="CCEEFF"/>
          </w:tcPr>
          <w:p>
            <w:pPr>
              <w:jc w:val="right"/>
              <w:ind w:right="126"/>
              <w:spacing w:after="0" w:line="182"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3,008</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6"/>
              <w:spacing w:after="0" w:line="182" w:lineRule="exact"/>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Furniture and fixtures</w:t>
            </w:r>
          </w:p>
        </w:tc>
        <w:tc>
          <w:tcPr>
            <w:tcW w:w="1920" w:type="dxa"/>
            <w:vAlign w:val="bottom"/>
          </w:tcPr>
          <w:p>
            <w:pPr>
              <w:jc w:val="center"/>
              <w:spacing w:after="0" w:line="189" w:lineRule="exact"/>
              <w:rPr>
                <w:sz w:val="20"/>
                <w:szCs w:val="20"/>
                <w:color w:val="auto"/>
              </w:rPr>
            </w:pPr>
            <w:r>
              <w:rPr>
                <w:rFonts w:ascii="Arial" w:cs="Arial" w:eastAsia="Arial" w:hAnsi="Arial"/>
                <w:sz w:val="17"/>
                <w:szCs w:val="17"/>
                <w:color w:val="auto"/>
                <w:w w:val="84"/>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249</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 and software</w:t>
            </w:r>
          </w:p>
        </w:tc>
        <w:tc>
          <w:tcPr>
            <w:tcW w:w="19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497</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20" w:type="dxa"/>
            <w:vAlign w:val="bottom"/>
          </w:tcPr>
          <w:p>
            <w:pPr>
              <w:jc w:val="center"/>
              <w:spacing w:after="0" w:line="172" w:lineRule="exact"/>
              <w:rPr>
                <w:sz w:val="20"/>
                <w:szCs w:val="20"/>
                <w:color w:val="auto"/>
              </w:rPr>
            </w:pPr>
            <w:r>
              <w:rPr>
                <w:rFonts w:ascii="Arial" w:cs="Arial" w:eastAsia="Arial" w:hAnsi="Arial"/>
                <w:sz w:val="17"/>
                <w:szCs w:val="17"/>
                <w:color w:val="auto"/>
                <w:w w:val="98"/>
              </w:rPr>
              <w:t>Lesser of useful life or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1920" w:type="dxa"/>
            <w:vAlign w:val="bottom"/>
          </w:tcPr>
          <w:p>
            <w:pPr>
              <w:jc w:val="center"/>
              <w:spacing w:after="0"/>
              <w:rPr>
                <w:sz w:val="20"/>
                <w:szCs w:val="20"/>
                <w:color w:val="auto"/>
              </w:rPr>
            </w:pPr>
            <w:r>
              <w:rPr>
                <w:rFonts w:ascii="Arial" w:cs="Arial" w:eastAsia="Arial" w:hAnsi="Arial"/>
                <w:sz w:val="17"/>
                <w:szCs w:val="17"/>
                <w:color w:val="auto"/>
              </w:rPr>
              <w:t>lease term</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5,114</w:t>
            </w:r>
          </w:p>
        </w:tc>
        <w:tc>
          <w:tcPr>
            <w:tcW w:w="2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36"/>
              <w:spacing w:after="0" w:line="182"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3,872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Less: Accumulated depreciation</w:t>
            </w:r>
          </w:p>
        </w:tc>
        <w:tc>
          <w:tcPr>
            <w:tcW w:w="1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(1,636)</w:t>
            </w: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Property and equipment, net</w:t>
            </w:r>
          </w:p>
        </w:tc>
        <w:tc>
          <w:tcPr>
            <w:tcW w:w="1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3,478</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36"/>
              <w:spacing w:after="0" w:line="182"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40" w:right="539"/>
        <w:spacing w:after="0" w:line="265" w:lineRule="auto"/>
        <w:rPr>
          <w:sz w:val="20"/>
          <w:szCs w:val="20"/>
          <w:color w:val="auto"/>
        </w:rPr>
      </w:pPr>
      <w:r>
        <w:rPr>
          <w:rFonts w:ascii="Arial" w:cs="Arial" w:eastAsia="Arial" w:hAnsi="Arial"/>
          <w:sz w:val="17"/>
          <w:szCs w:val="17"/>
          <w:color w:val="auto"/>
        </w:rPr>
        <w:t>Depreciation expense for the years ended December 31, 2024 and December 31, 2023 was $1.0 million and $0.3 million, respectively.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 of December 31, 2024, the Company’s other non-current assets consist of prepaid clinical expenses.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0"/>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8"/>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20" w:type="dxa"/>
            <w:vAlign w:val="bottom"/>
          </w:tcPr>
          <w:p>
            <w:pPr>
              <w:spacing w:after="0"/>
              <w:rPr>
                <w:sz w:val="15"/>
                <w:szCs w:val="15"/>
                <w:color w:val="auto"/>
              </w:rPr>
            </w:pPr>
          </w:p>
        </w:tc>
        <w:tc>
          <w:tcPr>
            <w:tcW w:w="70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Accrued compensation</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7,290</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4,325</w:t>
            </w:r>
          </w:p>
        </w:tc>
      </w:tr>
      <w:tr>
        <w:trPr>
          <w:trHeight w:val="189"/>
        </w:trPr>
        <w:tc>
          <w:tcPr>
            <w:tcW w:w="20" w:type="dxa"/>
            <w:vAlign w:val="bottom"/>
          </w:tcPr>
          <w:p>
            <w:pPr>
              <w:spacing w:after="0"/>
              <w:rPr>
                <w:sz w:val="16"/>
                <w:szCs w:val="16"/>
                <w:color w:val="auto"/>
              </w:rPr>
            </w:pPr>
          </w:p>
        </w:tc>
        <w:tc>
          <w:tcPr>
            <w:tcW w:w="7000" w:type="dxa"/>
            <w:vAlign w:val="bottom"/>
          </w:tcPr>
          <w:p>
            <w:pPr>
              <w:spacing w:after="0" w:line="189" w:lineRule="exact"/>
              <w:rPr>
                <w:sz w:val="20"/>
                <w:szCs w:val="20"/>
                <w:color w:val="auto"/>
              </w:rPr>
            </w:pPr>
            <w:r>
              <w:rPr>
                <w:rFonts w:ascii="Arial" w:cs="Arial" w:eastAsia="Arial" w:hAnsi="Arial"/>
                <w:sz w:val="17"/>
                <w:szCs w:val="17"/>
                <w:color w:val="auto"/>
              </w:rPr>
              <w:t>Accrued research and development expenses</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5,460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4,719</w:t>
            </w:r>
          </w:p>
        </w:tc>
      </w:tr>
      <w:tr>
        <w:trPr>
          <w:trHeight w:val="189"/>
        </w:trPr>
        <w:tc>
          <w:tcPr>
            <w:tcW w:w="20" w:type="dxa"/>
            <w:vAlign w:val="bottom"/>
          </w:tcPr>
          <w:p>
            <w:pPr>
              <w:spacing w:after="0"/>
              <w:rPr>
                <w:sz w:val="16"/>
                <w:szCs w:val="16"/>
                <w:color w:val="auto"/>
              </w:rPr>
            </w:pPr>
          </w:p>
        </w:tc>
        <w:tc>
          <w:tcPr>
            <w:tcW w:w="7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clinical expenses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7,025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5,412</w:t>
            </w:r>
          </w:p>
        </w:tc>
      </w:tr>
      <w:tr>
        <w:trPr>
          <w:trHeight w:val="189"/>
        </w:trPr>
        <w:tc>
          <w:tcPr>
            <w:tcW w:w="20" w:type="dxa"/>
            <w:vAlign w:val="bottom"/>
          </w:tcPr>
          <w:p>
            <w:pPr>
              <w:spacing w:after="0"/>
              <w:rPr>
                <w:sz w:val="16"/>
                <w:szCs w:val="16"/>
                <w:color w:val="auto"/>
              </w:rPr>
            </w:pPr>
          </w:p>
        </w:tc>
        <w:tc>
          <w:tcPr>
            <w:tcW w:w="7000" w:type="dxa"/>
            <w:vAlign w:val="bottom"/>
          </w:tcPr>
          <w:p>
            <w:pPr>
              <w:spacing w:after="0" w:line="189" w:lineRule="exact"/>
              <w:rPr>
                <w:sz w:val="20"/>
                <w:szCs w:val="20"/>
                <w:color w:val="auto"/>
              </w:rPr>
            </w:pPr>
            <w:r>
              <w:rPr>
                <w:rFonts w:ascii="Arial" w:cs="Arial" w:eastAsia="Arial" w:hAnsi="Arial"/>
                <w:sz w:val="17"/>
                <w:szCs w:val="17"/>
                <w:color w:val="auto"/>
              </w:rPr>
              <w:t>Accrued professional services</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2,918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2,633</w:t>
            </w:r>
          </w:p>
        </w:tc>
      </w:tr>
      <w:tr>
        <w:trPr>
          <w:trHeight w:val="189"/>
        </w:trPr>
        <w:tc>
          <w:tcPr>
            <w:tcW w:w="20" w:type="dxa"/>
            <w:vAlign w:val="bottom"/>
          </w:tcPr>
          <w:p>
            <w:pPr>
              <w:spacing w:after="0"/>
              <w:rPr>
                <w:sz w:val="16"/>
                <w:szCs w:val="16"/>
                <w:color w:val="auto"/>
              </w:rPr>
            </w:pPr>
          </w:p>
        </w:tc>
        <w:tc>
          <w:tcPr>
            <w:tcW w:w="7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3,606</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1,469</w:t>
            </w:r>
          </w:p>
        </w:tc>
      </w:tr>
      <w:tr>
        <w:trPr>
          <w:trHeight w:val="222"/>
        </w:trPr>
        <w:tc>
          <w:tcPr>
            <w:tcW w:w="7020" w:type="dxa"/>
            <w:vAlign w:val="bottom"/>
            <w:gridSpan w:val="2"/>
          </w:tcPr>
          <w:p>
            <w:pPr>
              <w:spacing w:after="0" w:line="182" w:lineRule="exact"/>
              <w:rPr>
                <w:sz w:val="20"/>
                <w:szCs w:val="20"/>
                <w:color w:val="auto"/>
              </w:rPr>
            </w:pPr>
            <w:r>
              <w:rPr>
                <w:rFonts w:ascii="Arial" w:cs="Arial" w:eastAsia="Arial" w:hAnsi="Arial"/>
                <w:sz w:val="17"/>
                <w:szCs w:val="17"/>
                <w:color w:val="auto"/>
              </w:rPr>
              <w:t>Total accrued expenses and other current liabilities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26,299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18,558</w:t>
            </w:r>
          </w:p>
        </w:tc>
      </w:tr>
      <w:tr>
        <w:trPr>
          <w:trHeight w:val="167"/>
        </w:trPr>
        <w:tc>
          <w:tcPr>
            <w:tcW w:w="20" w:type="dxa"/>
            <w:vAlign w:val="bottom"/>
          </w:tcPr>
          <w:p>
            <w:pPr>
              <w:spacing w:after="0"/>
              <w:rPr>
                <w:sz w:val="14"/>
                <w:szCs w:val="14"/>
                <w:color w:val="auto"/>
              </w:rPr>
            </w:pPr>
          </w:p>
        </w:tc>
        <w:tc>
          <w:tcPr>
            <w:tcW w:w="7000" w:type="dxa"/>
            <w:vAlign w:val="bottom"/>
            <w:tcBorders>
              <w:top w:val="single" w:sz="8" w:color="CCEEFF"/>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r>
    </w:tbl>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4. Fair Value Measurements</w:t>
      </w:r>
    </w:p>
    <w:p>
      <w:pPr>
        <w:spacing w:after="0" w:line="196" w:lineRule="exact"/>
        <w:rPr>
          <w:sz w:val="20"/>
          <w:szCs w:val="20"/>
          <w:color w:val="auto"/>
        </w:rPr>
      </w:pPr>
    </w:p>
    <w:p>
      <w:pPr>
        <w:jc w:val="both"/>
        <w:ind w:left="40" w:right="119"/>
        <w:spacing w:after="0" w:line="265" w:lineRule="auto"/>
        <w:rPr>
          <w:sz w:val="20"/>
          <w:szCs w:val="20"/>
          <w:color w:val="auto"/>
        </w:rPr>
      </w:pPr>
      <w:r>
        <w:rPr>
          <w:rFonts w:ascii="Arial" w:cs="Arial" w:eastAsia="Arial" w:hAnsi="Arial"/>
          <w:sz w:val="17"/>
          <w:szCs w:val="17"/>
          <w:color w:val="auto"/>
        </w:rPr>
        <w:t>The Company determines the fair value of financial and non-financial assets and liabilities using the fair value hierarchy which establishes three levels of inputs that may be used to measure fair value, as follows: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Level 1—Observable inputs, such as quoted prices in active markets for identical assets or liabilities;</w:t>
      </w:r>
    </w:p>
    <w:p>
      <w:pPr>
        <w:spacing w:after="0" w:line="196" w:lineRule="exact"/>
        <w:rPr>
          <w:sz w:val="20"/>
          <w:szCs w:val="20"/>
          <w:color w:val="auto"/>
        </w:rPr>
      </w:pPr>
    </w:p>
    <w:p>
      <w:pPr>
        <w:ind w:left="500" w:right="79"/>
        <w:spacing w:after="0" w:line="24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64" w:lineRule="exact"/>
        <w:rPr>
          <w:sz w:val="20"/>
          <w:szCs w:val="20"/>
          <w:color w:val="auto"/>
        </w:rPr>
      </w:pPr>
    </w:p>
    <w:p>
      <w:pPr>
        <w:ind w:left="500" w:right="59"/>
        <w:spacing w:after="0" w:line="248" w:lineRule="auto"/>
        <w:rPr>
          <w:sz w:val="20"/>
          <w:szCs w:val="20"/>
          <w:color w:val="auto"/>
        </w:rPr>
      </w:pPr>
      <w:r>
        <w:rPr>
          <w:rFonts w:ascii="Arial" w:cs="Arial" w:eastAsia="Arial" w:hAnsi="Arial"/>
          <w:sz w:val="17"/>
          <w:szCs w:val="17"/>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5" w:name="page176"/>
    <w:bookmarkEnd w:id="17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379"/>
        <w:spacing w:after="0" w:line="24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4"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68" w:lineRule="exact"/>
        <w:rPr>
          <w:sz w:val="20"/>
          <w:szCs w:val="20"/>
          <w:color w:val="auto"/>
        </w:rPr>
      </w:pPr>
    </w:p>
    <w:p>
      <w:pPr>
        <w:ind w:left="40" w:right="379"/>
        <w:spacing w:after="0" w:line="296" w:lineRule="auto"/>
        <w:rPr>
          <w:sz w:val="20"/>
          <w:szCs w:val="20"/>
          <w:color w:val="auto"/>
        </w:rPr>
      </w:pPr>
      <w:r>
        <w:rPr>
          <w:rFonts w:ascii="Arial" w:cs="Arial" w:eastAsia="Arial" w:hAnsi="Arial"/>
          <w:sz w:val="16"/>
          <w:szCs w:val="16"/>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99060</wp:posOffset>
            </wp:positionV>
            <wp:extent cx="56584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5"/>
          </w:tcPr>
          <w:p>
            <w:pPr>
              <w:jc w:val="right"/>
              <w:ind w:right="13"/>
              <w:spacing w:after="0" w:line="144" w:lineRule="exact"/>
              <w:rPr>
                <w:sz w:val="20"/>
                <w:szCs w:val="20"/>
                <w:color w:val="auto"/>
              </w:rPr>
            </w:pPr>
            <w:r>
              <w:rPr>
                <w:rFonts w:ascii="Arial" w:cs="Arial" w:eastAsia="Arial" w:hAnsi="Arial"/>
                <w:sz w:val="13"/>
                <w:szCs w:val="13"/>
                <w:b w:val="1"/>
                <w:bCs w:val="1"/>
                <w:color w:val="auto"/>
              </w:rPr>
              <w:t>2024</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4"/>
          </w:tcPr>
          <w:p>
            <w:pPr>
              <w:jc w:val="right"/>
              <w:spacing w:after="0" w:line="144" w:lineRule="exact"/>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4" w:lineRule="exact"/>
              <w:rPr>
                <w:sz w:val="20"/>
                <w:szCs w:val="20"/>
                <w:color w:val="auto"/>
              </w:rPr>
            </w:pPr>
            <w:r>
              <w:rPr>
                <w:rFonts w:ascii="Arial" w:cs="Arial" w:eastAsia="Arial" w:hAnsi="Arial"/>
                <w:sz w:val="13"/>
                <w:szCs w:val="13"/>
                <w:b w:val="1"/>
                <w:bCs w:val="1"/>
                <w:color w:val="auto"/>
                <w:w w:val="98"/>
              </w:rPr>
              <w:t>LEVEL 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2"/>
                <w:szCs w:val="12"/>
                <w:color w:val="auto"/>
              </w:rPr>
            </w:pPr>
          </w:p>
        </w:tc>
        <w:tc>
          <w:tcPr>
            <w:tcW w:w="6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4"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8"/>
              </w:rPr>
              <w:t>LEVEL 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right"/>
              <w:ind w:right="240"/>
              <w:spacing w:after="0" w:line="144" w:lineRule="exact"/>
              <w:rPr>
                <w:sz w:val="20"/>
                <w:szCs w:val="20"/>
                <w:color w:val="auto"/>
              </w:rPr>
            </w:pPr>
            <w:r>
              <w:rPr>
                <w:rFonts w:ascii="Arial" w:cs="Arial" w:eastAsia="Arial" w:hAnsi="Arial"/>
                <w:sz w:val="13"/>
                <w:szCs w:val="13"/>
                <w:b w:val="1"/>
                <w:bCs w:val="1"/>
                <w:color w:val="auto"/>
                <w:w w:val="98"/>
              </w:rPr>
              <w:t>LEVEL 2</w:t>
            </w:r>
          </w:p>
        </w:tc>
        <w:tc>
          <w:tcPr>
            <w:tcW w:w="60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rPr>
              <w:t>LEVEL 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Money market funds</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161,328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161,328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124,443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4"/>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        —</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124,443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ind w:left="80"/>
              <w:spacing w:after="0" w:line="144" w:lineRule="exact"/>
              <w:rPr>
                <w:sz w:val="20"/>
                <w:szCs w:val="20"/>
                <w:color w:val="auto"/>
              </w:rPr>
            </w:pPr>
            <w:r>
              <w:rPr>
                <w:rFonts w:ascii="Arial" w:cs="Arial" w:eastAsia="Arial" w:hAnsi="Arial"/>
                <w:sz w:val="13"/>
                <w:szCs w:val="13"/>
                <w:color w:val="auto"/>
              </w:rPr>
              <w:t>Cash equivalents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161,328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161,328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124,443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124,443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U.S. government bonds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263,015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263,015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84,935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84,935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 bonds</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46,957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46,957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82,340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82,340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404,036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404,036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170,256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Short-term investments</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263,015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450,993</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714,008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84,935</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252,596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337,531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40" w:type="dxa"/>
            <w:vAlign w:val="bottom"/>
            <w:gridSpan w:val="2"/>
          </w:tcPr>
          <w:p>
            <w:pPr>
              <w:spacing w:after="0" w:line="144" w:lineRule="exact"/>
              <w:rPr>
                <w:sz w:val="20"/>
                <w:szCs w:val="20"/>
                <w:color w:val="auto"/>
              </w:rPr>
            </w:pPr>
            <w:r>
              <w:rPr>
                <w:rFonts w:ascii="Arial" w:cs="Arial" w:eastAsia="Arial" w:hAnsi="Arial"/>
                <w:sz w:val="13"/>
                <w:szCs w:val="13"/>
                <w:color w:val="auto"/>
              </w:rPr>
              <w:t>Total fair value of financial assets</w:t>
            </w:r>
          </w:p>
        </w:tc>
        <w:tc>
          <w:tcPr>
            <w:tcW w:w="22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424,343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450,993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gridSpan w:val="2"/>
          </w:tcPr>
          <w:p>
            <w:pPr>
              <w:jc w:val="right"/>
              <w:ind w:right="6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color w:val="auto"/>
              </w:rPr>
              <w:t>875,336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209,378</w:t>
            </w:r>
          </w:p>
        </w:tc>
        <w:tc>
          <w:tcPr>
            <w:tcW w:w="160" w:type="dxa"/>
            <w:vAlign w:val="bottom"/>
          </w:tcPr>
          <w:p>
            <w:pPr>
              <w:spacing w:after="0"/>
              <w:rPr>
                <w:sz w:val="16"/>
                <w:szCs w:val="16"/>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3"/>
          </w:tcPr>
          <w:p>
            <w:pPr>
              <w:jc w:val="right"/>
              <w:spacing w:after="0" w:line="144" w:lineRule="exact"/>
              <w:rPr>
                <w:sz w:val="20"/>
                <w:szCs w:val="20"/>
                <w:color w:val="auto"/>
              </w:rPr>
            </w:pPr>
            <w:r>
              <w:rPr>
                <w:rFonts w:ascii="Arial" w:cs="Arial" w:eastAsia="Arial" w:hAnsi="Arial"/>
                <w:sz w:val="13"/>
                <w:szCs w:val="13"/>
                <w:color w:val="auto"/>
              </w:rPr>
              <w:t>252,596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461,974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CCEEFF"/>
              <w:bottom w:val="single" w:sz="8" w:color="auto"/>
            </w:tcBorders>
            <w:shd w:val="clear" w:color="auto" w:fill="CCEEFF"/>
          </w:tcPr>
          <w:p>
            <w:pPr>
              <w:spacing w:after="0"/>
              <w:rPr>
                <w:sz w:val="11"/>
                <w:szCs w:val="11"/>
                <w:color w:val="auto"/>
              </w:rPr>
            </w:pPr>
          </w:p>
        </w:tc>
        <w:tc>
          <w:tcPr>
            <w:tcW w:w="22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4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80"/>
              <w:spacing w:after="0" w:line="144" w:lineRule="exact"/>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20"/>
              <w:spacing w:after="0" w:line="14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60" w:type="dxa"/>
            <w:vAlign w:val="bottom"/>
            <w:gridSpan w:val="4"/>
          </w:tcPr>
          <w:p>
            <w:pPr>
              <w:jc w:val="right"/>
              <w:ind w:right="40"/>
              <w:spacing w:after="0" w:line="144"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7"/>
          </w:tcPr>
          <w:p>
            <w:pPr>
              <w:jc w:val="center"/>
              <w:ind w:right="180"/>
              <w:spacing w:after="0" w:line="144"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33"/>
              <w:spacing w:after="0" w:line="144" w:lineRule="exact"/>
              <w:rPr>
                <w:sz w:val="20"/>
                <w:szCs w:val="20"/>
                <w:color w:val="auto"/>
              </w:rPr>
            </w:pPr>
            <w:r>
              <w:rPr>
                <w:rFonts w:ascii="Arial" w:cs="Arial" w:eastAsia="Arial" w:hAnsi="Arial"/>
                <w:sz w:val="13"/>
                <w:szCs w:val="13"/>
                <w:b w:val="1"/>
                <w:bCs w:val="1"/>
                <w:color w:val="auto"/>
                <w:w w:val="98"/>
              </w:rPr>
              <w:t>FAIR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7"/>
          </w:tcPr>
          <w:p>
            <w:pPr>
              <w:ind w:left="60"/>
              <w:spacing w:after="0" w:line="144"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3"/>
              <w:spacing w:after="0" w:line="144" w:lineRule="exact"/>
              <w:rPr>
                <w:sz w:val="20"/>
                <w:szCs w:val="20"/>
                <w:color w:val="auto"/>
              </w:rPr>
            </w:pPr>
            <w:r>
              <w:rPr>
                <w:rFonts w:ascii="Arial" w:cs="Arial" w:eastAsia="Arial" w:hAnsi="Arial"/>
                <w:sz w:val="13"/>
                <w:szCs w:val="13"/>
                <w:b w:val="1"/>
                <w:bCs w:val="1"/>
                <w:color w:val="auto"/>
                <w:w w:val="98"/>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gridSpan w:val="4"/>
          </w:tcPr>
          <w:p>
            <w:pPr>
              <w:ind w:left="20"/>
              <w:spacing w:after="0" w:line="144" w:lineRule="exact"/>
              <w:rPr>
                <w:sz w:val="20"/>
                <w:szCs w:val="20"/>
                <w:color w:val="auto"/>
              </w:rPr>
            </w:pPr>
            <w:r>
              <w:rPr>
                <w:rFonts w:ascii="Arial" w:cs="Arial" w:eastAsia="Arial" w:hAnsi="Arial"/>
                <w:sz w:val="13"/>
                <w:szCs w:val="13"/>
                <w:b w:val="1"/>
                <w:bCs w:val="1"/>
                <w:color w:val="auto"/>
              </w:rPr>
              <w:t>LOSSES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4" w:lineRule="exact"/>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4"/>
          </w:tcPr>
          <w:p>
            <w:pPr>
              <w:ind w:left="20"/>
              <w:spacing w:after="0" w:line="144" w:lineRule="exact"/>
              <w:rPr>
                <w:sz w:val="20"/>
                <w:szCs w:val="20"/>
                <w:color w:val="auto"/>
              </w:rPr>
            </w:pPr>
            <w:r>
              <w:rPr>
                <w:rFonts w:ascii="Arial" w:cs="Arial" w:eastAsia="Arial" w:hAnsi="Arial"/>
                <w:sz w:val="13"/>
                <w:szCs w:val="13"/>
                <w:b w:val="1"/>
                <w:bCs w:val="1"/>
                <w:color w:val="auto"/>
              </w:rPr>
              <w:t>LOSSES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44"/>
        </w:trPr>
        <w:tc>
          <w:tcPr>
            <w:tcW w:w="2240" w:type="dxa"/>
            <w:vAlign w:val="bottom"/>
            <w:tcBorders>
              <w:top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Money market funds</w:t>
            </w:r>
          </w:p>
        </w:tc>
        <w:tc>
          <w:tcPr>
            <w:tcW w:w="220" w:type="dxa"/>
            <w:vAlign w:val="bottom"/>
            <w:tcBorders>
              <w:top w:val="single" w:sz="8" w:color="auto"/>
              <w:bottom w:val="single" w:sz="8" w:color="auto"/>
            </w:tcBorders>
            <w:shd w:val="clear" w:color="auto" w:fill="CCEEFF"/>
          </w:tcPr>
          <w:p>
            <w:pPr>
              <w:jc w:val="right"/>
              <w:ind w:right="73"/>
              <w:spacing w:after="0" w:line="144"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161,328</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540" w:type="dxa"/>
            <w:vAlign w:val="bottom"/>
            <w:tcBorders>
              <w:top w:val="single" w:sz="8" w:color="auto"/>
              <w:bottom w:val="single" w:sz="8" w:color="auto"/>
            </w:tcBorders>
            <w:gridSpan w:val="3"/>
            <w:shd w:val="clear" w:color="auto" w:fill="CCEEFF"/>
          </w:tcPr>
          <w:p>
            <w:pPr>
              <w:jc w:val="right"/>
              <w:spacing w:after="0" w:line="144" w:lineRule="exact"/>
              <w:rPr>
                <w:sz w:val="20"/>
                <w:szCs w:val="20"/>
                <w:color w:val="auto"/>
              </w:rPr>
            </w:pPr>
            <w:r>
              <w:rPr>
                <w:rFonts w:ascii="Arial" w:cs="Arial" w:eastAsia="Arial" w:hAnsi="Arial"/>
                <w:sz w:val="13"/>
                <w:szCs w:val="13"/>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161,328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124,443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       —</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124,443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ind w:left="80"/>
              <w:spacing w:after="0" w:line="144" w:lineRule="exact"/>
              <w:rPr>
                <w:sz w:val="20"/>
                <w:szCs w:val="20"/>
                <w:color w:val="auto"/>
              </w:rPr>
            </w:pPr>
            <w:r>
              <w:rPr>
                <w:rFonts w:ascii="Arial" w:cs="Arial" w:eastAsia="Arial" w:hAnsi="Arial"/>
                <w:sz w:val="13"/>
                <w:szCs w:val="13"/>
                <w:color w:val="auto"/>
              </w:rPr>
              <w:t>Cash equivalents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161,328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w w:val="97"/>
              </w:rPr>
              <w:t>161,328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124,443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124,443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4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rPr>
              <w:t>U.S. government bonds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262,316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263,015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84,783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3"/>
                <w:szCs w:val="13"/>
                <w:color w:val="auto"/>
              </w:rPr>
              <w:t>(35)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187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84,935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government agency bonds</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46,890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46,957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82,185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rPr>
              <w:t>Corporate debt securities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403,888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404,036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170,042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3"/>
                <w:szCs w:val="13"/>
                <w:color w:val="auto"/>
              </w:rPr>
              <w:t>(39)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253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CCEEFF"/>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Short-term investments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713,094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(427)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1,341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7"/>
              </w:rPr>
              <w:t>714,008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ind w:right="20"/>
              <w:spacing w:after="0" w:line="144" w:lineRule="exact"/>
              <w:rPr>
                <w:sz w:val="20"/>
                <w:szCs w:val="20"/>
                <w:color w:val="auto"/>
              </w:rPr>
            </w:pPr>
            <w:r>
              <w:rPr>
                <w:rFonts w:ascii="Arial" w:cs="Arial" w:eastAsia="Arial" w:hAnsi="Arial"/>
                <w:sz w:val="13"/>
                <w:szCs w:val="13"/>
                <w:color w:val="auto"/>
              </w:rPr>
              <w:t>337,010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(90)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611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337,531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4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3"/>
                <w:szCs w:val="13"/>
                <w:color w:val="auto"/>
              </w:rPr>
              <w:t>Total fair value of financial assets</w:t>
            </w:r>
          </w:p>
        </w:tc>
        <w:tc>
          <w:tcPr>
            <w:tcW w:w="220" w:type="dxa"/>
            <w:vAlign w:val="bottom"/>
            <w:tcBorders>
              <w:bottom w:val="single" w:sz="8" w:color="auto"/>
            </w:tcBorders>
          </w:tcPr>
          <w:p>
            <w:pPr>
              <w:jc w:val="right"/>
              <w:ind w:right="73"/>
              <w:spacing w:after="0" w:line="144" w:lineRule="exact"/>
              <w:rPr>
                <w:sz w:val="20"/>
                <w:szCs w:val="20"/>
                <w:color w:val="auto"/>
              </w:rPr>
            </w:pPr>
            <w:r>
              <w:rPr>
                <w:rFonts w:ascii="Arial" w:cs="Arial" w:eastAsia="Arial" w:hAnsi="Arial"/>
                <w:sz w:val="13"/>
                <w:szCs w:val="13"/>
                <w:color w:val="auto"/>
                <w:w w:val="82"/>
              </w:rPr>
              <w:t>$</w:t>
            </w: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line="144" w:lineRule="exact"/>
              <w:rPr>
                <w:sz w:val="20"/>
                <w:szCs w:val="20"/>
                <w:color w:val="auto"/>
              </w:rPr>
            </w:pPr>
            <w:r>
              <w:rPr>
                <w:rFonts w:ascii="Arial" w:cs="Arial" w:eastAsia="Arial" w:hAnsi="Arial"/>
                <w:sz w:val="13"/>
                <w:szCs w:val="13"/>
                <w:color w:val="auto"/>
              </w:rPr>
              <w:t>874,422</w:t>
            </w:r>
          </w:p>
        </w:tc>
        <w:tc>
          <w:tcPr>
            <w:tcW w:w="160" w:type="dxa"/>
            <w:vAlign w:val="bottom"/>
            <w:tcBorders>
              <w:bottom w:val="single" w:sz="8" w:color="CCEEFF"/>
            </w:tcBorders>
            <w:gridSpan w:val="2"/>
          </w:tcPr>
          <w:p>
            <w:pPr>
              <w:spacing w:after="0"/>
              <w:rPr>
                <w:sz w:val="16"/>
                <w:szCs w:val="16"/>
                <w:color w:val="auto"/>
              </w:rPr>
            </w:pPr>
          </w:p>
        </w:tc>
        <w:tc>
          <w:tcPr>
            <w:tcW w:w="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(427)</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1,341</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7"/>
              </w:rPr>
              <w:t>875,336</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w w:val="82"/>
              </w:rPr>
              <w:t>$</w:t>
            </w: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0"/>
              <w:spacing w:after="0" w:line="144" w:lineRule="exact"/>
              <w:rPr>
                <w:sz w:val="20"/>
                <w:szCs w:val="20"/>
                <w:color w:val="auto"/>
              </w:rPr>
            </w:pPr>
            <w:r>
              <w:rPr>
                <w:rFonts w:ascii="Arial" w:cs="Arial" w:eastAsia="Arial" w:hAnsi="Arial"/>
                <w:sz w:val="13"/>
                <w:szCs w:val="13"/>
                <w:color w:val="auto"/>
              </w:rPr>
              <w:t>461,453</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(90)</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611</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461,974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shd w:val="clear" w:color="auto" w:fill="CCEEFF"/>
          </w:tcPr>
          <w:p>
            <w:pPr>
              <w:spacing w:after="0"/>
              <w:rPr>
                <w:sz w:val="11"/>
                <w:szCs w:val="11"/>
                <w:color w:val="auto"/>
              </w:rPr>
            </w:pPr>
          </w:p>
        </w:tc>
        <w:tc>
          <w:tcPr>
            <w:tcW w:w="22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As of December 31, 2024 and 2023, the Company did not have any liabilities measured at fair value on a recurring basis. There were no transfers in and out of Level 3 during the years ended December 31, 2024 and 2023. Contractual maturities of short-term investments are generally not more than one year. As of December 31, 2024, the remaining contractual maturities of $592.5 million of investments were within one year and $121.5 million of investments were after one year through two years.</w:t>
      </w:r>
    </w:p>
    <w:p>
      <w:pPr>
        <w:spacing w:after="0" w:line="171" w:lineRule="exact"/>
        <w:rPr>
          <w:sz w:val="20"/>
          <w:szCs w:val="20"/>
          <w:color w:val="auto"/>
        </w:rPr>
      </w:pPr>
    </w:p>
    <w:p>
      <w:pPr>
        <w:ind w:left="40" w:right="79"/>
        <w:spacing w:after="0" w:line="243" w:lineRule="auto"/>
        <w:rPr>
          <w:sz w:val="20"/>
          <w:szCs w:val="20"/>
          <w:color w:val="auto"/>
        </w:rPr>
      </w:pPr>
      <w:r>
        <w:rPr>
          <w:rFonts w:ascii="Arial" w:cs="Arial" w:eastAsia="Arial" w:hAnsi="Arial"/>
          <w:sz w:val="17"/>
          <w:szCs w:val="17"/>
          <w:color w:val="auto"/>
        </w:rPr>
        <w:t>The unrealized losses for marketable securities related to changes in interest rates and the Company has the intent and ability to hold the underlying securities until the estimated date of recovery of its amortized cost. No allowance for credit losses was recorded at either December 31, 2024 or 2023, and no impairment losses were recognized for the years ended December 31, 2024 and 2023.</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6" w:name="page177"/>
    <w:bookmarkEnd w:id="17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199"/>
        <w:spacing w:after="0" w:line="238" w:lineRule="auto"/>
        <w:rPr>
          <w:sz w:val="20"/>
          <w:szCs w:val="20"/>
          <w:color w:val="auto"/>
        </w:rPr>
      </w:pPr>
      <w:r>
        <w:rPr>
          <w:rFonts w:ascii="Arial" w:cs="Arial" w:eastAsia="Arial" w:hAnsi="Arial"/>
          <w:sz w:val="17"/>
          <w:szCs w:val="17"/>
          <w:color w:val="auto"/>
        </w:rPr>
        <w:t>Money market funds and U.S. government bonds are included within Level 1 of the fair value hierarchy because they are valued using quoted market prices. Corporate debt securities and U.S. government agency bonds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5. Commitments and Contingencies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94" w:lineRule="exact"/>
        <w:rPr>
          <w:sz w:val="20"/>
          <w:szCs w:val="20"/>
          <w:color w:val="auto"/>
        </w:rPr>
      </w:pPr>
    </w:p>
    <w:p>
      <w:pPr>
        <w:ind w:left="40" w:right="219"/>
        <w:spacing w:after="0"/>
        <w:rPr>
          <w:sz w:val="20"/>
          <w:szCs w:val="20"/>
          <w:color w:val="auto"/>
        </w:rPr>
      </w:pPr>
      <w:r>
        <w:rPr>
          <w:rFonts w:ascii="Arial" w:cs="Arial" w:eastAsia="Arial" w:hAnsi="Arial"/>
          <w:sz w:val="17"/>
          <w:szCs w:val="17"/>
          <w:color w:val="auto"/>
        </w:rPr>
        <w:t>In June 2021, Shanghai ShouTi entered into an agreement to lease approximately 5,900 square feet of office space in Chamtime Plaza in Shanghai, China. The lease commenced on September 16, 2021 and expired on September 15, 2023. Shanghai ShouTi had an option to extend the lease term, however the renewal term and conditions were to be agreed upon between Shanghai ShouTi and the landlord. For accounting purposes, the lease term did not include the option to extend the lease term as it was not reasonably certain that the lease term would be extended.</w:t>
      </w:r>
    </w:p>
    <w:p>
      <w:pPr>
        <w:spacing w:after="0" w:line="171" w:lineRule="exact"/>
        <w:rPr>
          <w:sz w:val="20"/>
          <w:szCs w:val="20"/>
          <w:color w:val="auto"/>
        </w:rPr>
      </w:pPr>
    </w:p>
    <w:p>
      <w:pPr>
        <w:ind w:left="40" w:right="179"/>
        <w:spacing w:after="0" w:line="248" w:lineRule="auto"/>
        <w:rPr>
          <w:sz w:val="20"/>
          <w:szCs w:val="20"/>
          <w:color w:val="auto"/>
        </w:rPr>
      </w:pPr>
      <w:r>
        <w:rPr>
          <w:rFonts w:ascii="Arial" w:cs="Arial" w:eastAsia="Arial" w:hAnsi="Arial"/>
          <w:sz w:val="17"/>
          <w:szCs w:val="17"/>
          <w:color w:val="auto"/>
        </w:rPr>
        <w:t>In November 2021, StructureTx US entered into an agreement to lease approximately 4,050 square feet of office spaces in South San Francisco, California. The lease commenced on November 11, 2021, and expired on October 31, 2023.</w:t>
      </w:r>
    </w:p>
    <w:p>
      <w:pPr>
        <w:spacing w:after="0" w:line="164"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In June 2023, Shanghai ShouTi entered into a lease agreement for approximately 22,500 square feet of office space in Shanghai, China, for its research and development operations office, which commenced in July 2023 and will expire on December 31, 2026. The annual base rent is approximately $0.7 million based on the exchange rate upon entering into this lease agreement, and Shanghai ShouTi is also responsible for the payment of additional costs and fees related to its use of the premises.</w:t>
      </w:r>
    </w:p>
    <w:p>
      <w:pPr>
        <w:spacing w:after="0" w:line="171"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According to the lease agreement, the Company is obligated to restore the premises and all fixtures, fittings and equipment in the premises to its original condition. The Company’s asset retirement obligations are primarily associated with leasehold improvements which the Company is contractually obligated to remove at the end of a lease to comply with the lease agreement. The Company recognized an asset retirement obligation at the inception of a lease at its estimated fair value based on the expected timing of payment of the related costs. In the determination of fair value for an asset retirement obligation, the Company uses various assumptions and judgments, including such factors as the existence of a legal obligation, estimated amounts and timing of settlements, discount and inflation rates. The key estimates as of the inception date were the fair value of the asset retirement obligation of $0.4 million, timing of the settlement of 3.4 years and the discount rate of 6.8%. The associated estimated asset retirement costs are capitalized as part of the carrying amount of the leasehold improvements and depreciated over its useful life. As of December 31, 2024 and 2023, the Company had asset retirement obligations of $0.3 million and $0.3 million, respectively, which are recorded in other non-current liabilities on the consolidated balance sheets.</w:t>
      </w:r>
    </w:p>
    <w:p>
      <w:pPr>
        <w:spacing w:after="0" w:line="177"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In June 2023, StructureTx US entered into a sublease agreement for approximately 11,800 square feet of office space located in South San Francisco, California for its corporate headquarters. The lease commenced in July 2023 and will expire on August 31, 2027. The annual base rent will initially be approximately $0.5 million and will increase annually by 3%, and StructureTx US will also be responsible for the payment of additional costs and fees related to its use of the premises.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7" w:name="page178"/>
    <w:bookmarkEnd w:id="17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59"/>
        <w:spacing w:after="0"/>
        <w:rPr>
          <w:sz w:val="20"/>
          <w:szCs w:val="20"/>
          <w:color w:val="auto"/>
        </w:rPr>
      </w:pPr>
      <w:r>
        <w:rPr>
          <w:rFonts w:ascii="Arial" w:cs="Arial" w:eastAsia="Arial" w:hAnsi="Arial"/>
          <w:sz w:val="17"/>
          <w:szCs w:val="17"/>
          <w:color w:val="auto"/>
        </w:rPr>
        <w:t>In June 2023, Shanghai ShouTi entered into another lease agreement for approximately 8,400 square feet of laboratory space located in Shanghai, China for its research and development activities. The lease commenced in December 2023 and will expire on January 31, 2027. The annual base rent will be approximately $0.3 million based on the exchange rate upon entering into this lease agreement, and Shanghai ShouTi is also responsible for the payment of additional costs and fees related to its use of the premises.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maturities of operating lease liabilities as of December 31, 2024,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99"/>
              <w:spacing w:after="0"/>
              <w:rPr>
                <w:sz w:val="20"/>
                <w:szCs w:val="20"/>
                <w:color w:val="auto"/>
              </w:rPr>
            </w:pPr>
            <w:r>
              <w:rPr>
                <w:rFonts w:ascii="Arial" w:cs="Arial" w:eastAsia="Arial" w:hAnsi="Arial"/>
                <w:sz w:val="13"/>
                <w:szCs w:val="13"/>
                <w:b w:val="1"/>
                <w:bCs w:val="1"/>
                <w:color w:val="auto"/>
              </w:rPr>
              <w:t>DECEMBER 31,</w:t>
            </w:r>
          </w:p>
        </w:tc>
      </w:tr>
      <w:tr>
        <w:trPr>
          <w:trHeight w:val="16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2024</w:t>
            </w: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2025</w:t>
            </w: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1,926</w:t>
            </w: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2026</w:t>
            </w: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1,882</w:t>
            </w: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2027</w:t>
            </w:r>
          </w:p>
        </w:tc>
        <w:tc>
          <w:tcPr>
            <w:tcW w:w="2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381</w:t>
            </w:r>
          </w:p>
        </w:tc>
      </w:tr>
      <w:tr>
        <w:trPr>
          <w:trHeight w:val="182"/>
        </w:trPr>
        <w:tc>
          <w:tcPr>
            <w:tcW w:w="20" w:type="dxa"/>
            <w:vAlign w:val="bottom"/>
          </w:tcPr>
          <w:p>
            <w:pPr>
              <w:spacing w:after="0"/>
              <w:rPr>
                <w:sz w:val="15"/>
                <w:szCs w:val="15"/>
                <w:color w:val="auto"/>
              </w:rPr>
            </w:pPr>
          </w:p>
        </w:tc>
        <w:tc>
          <w:tcPr>
            <w:tcW w:w="5480" w:type="dxa"/>
            <w:vAlign w:val="bottom"/>
          </w:tcPr>
          <w:p>
            <w:pPr>
              <w:spacing w:after="0" w:line="182" w:lineRule="exact"/>
              <w:rPr>
                <w:sz w:val="20"/>
                <w:szCs w:val="20"/>
                <w:color w:val="auto"/>
              </w:rPr>
            </w:pPr>
            <w:r>
              <w:rPr>
                <w:rFonts w:ascii="Arial" w:cs="Arial" w:eastAsia="Arial" w:hAnsi="Arial"/>
                <w:sz w:val="17"/>
                <w:szCs w:val="17"/>
                <w:color w:val="auto"/>
              </w:rPr>
              <w:t>Total undiscounted lease payments</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7"/>
                <w:szCs w:val="17"/>
                <w:color w:val="auto"/>
              </w:rPr>
              <w:t>4,189</w:t>
            </w: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Less: imputed interest</w:t>
            </w:r>
          </w:p>
        </w:tc>
        <w:tc>
          <w:tcPr>
            <w:tcW w:w="2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(327)</w:t>
            </w:r>
          </w:p>
        </w:tc>
      </w:tr>
      <w:tr>
        <w:trPr>
          <w:trHeight w:val="182"/>
        </w:trPr>
        <w:tc>
          <w:tcPr>
            <w:tcW w:w="20" w:type="dxa"/>
            <w:vAlign w:val="bottom"/>
          </w:tcPr>
          <w:p>
            <w:pPr>
              <w:spacing w:after="0"/>
              <w:rPr>
                <w:sz w:val="15"/>
                <w:szCs w:val="15"/>
                <w:color w:val="auto"/>
              </w:rPr>
            </w:pPr>
          </w:p>
        </w:tc>
        <w:tc>
          <w:tcPr>
            <w:tcW w:w="5480" w:type="dxa"/>
            <w:vAlign w:val="bottom"/>
          </w:tcPr>
          <w:p>
            <w:pPr>
              <w:spacing w:after="0" w:line="182" w:lineRule="exact"/>
              <w:rPr>
                <w:sz w:val="20"/>
                <w:szCs w:val="20"/>
                <w:color w:val="auto"/>
              </w:rPr>
            </w:pPr>
            <w:r>
              <w:rPr>
                <w:rFonts w:ascii="Arial" w:cs="Arial" w:eastAsia="Arial" w:hAnsi="Arial"/>
                <w:sz w:val="17"/>
                <w:szCs w:val="17"/>
                <w:color w:val="auto"/>
              </w:rPr>
              <w:t>Total operating lease liability</w:t>
            </w: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7"/>
                <w:szCs w:val="17"/>
                <w:color w:val="auto"/>
              </w:rPr>
              <w:t>3,862</w:t>
            </w: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Less: current portion</w:t>
            </w:r>
          </w:p>
        </w:tc>
        <w:tc>
          <w:tcPr>
            <w:tcW w:w="2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(1,698)</w:t>
            </w:r>
          </w:p>
        </w:tc>
      </w:tr>
      <w:tr>
        <w:trPr>
          <w:trHeight w:val="222"/>
        </w:trPr>
        <w:tc>
          <w:tcPr>
            <w:tcW w:w="5500" w:type="dxa"/>
            <w:vAlign w:val="bottom"/>
            <w:gridSpan w:val="2"/>
          </w:tcPr>
          <w:p>
            <w:pPr>
              <w:spacing w:after="0" w:line="182" w:lineRule="exact"/>
              <w:rPr>
                <w:sz w:val="20"/>
                <w:szCs w:val="20"/>
                <w:color w:val="auto"/>
              </w:rPr>
            </w:pPr>
            <w:r>
              <w:rPr>
                <w:rFonts w:ascii="Arial" w:cs="Arial" w:eastAsia="Arial" w:hAnsi="Arial"/>
                <w:sz w:val="17"/>
                <w:szCs w:val="17"/>
                <w:color w:val="auto"/>
              </w:rPr>
              <w:t>Operating lease liability, net of current portion</w:t>
            </w:r>
          </w:p>
        </w:tc>
        <w:tc>
          <w:tcPr>
            <w:tcW w:w="21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2,164</w:t>
            </w:r>
          </w:p>
        </w:tc>
      </w:tr>
      <w:tr>
        <w:trPr>
          <w:trHeight w:val="167"/>
        </w:trPr>
        <w:tc>
          <w:tcPr>
            <w:tcW w:w="20" w:type="dxa"/>
            <w:vAlign w:val="bottom"/>
          </w:tcPr>
          <w:p>
            <w:pPr>
              <w:spacing w:after="0"/>
              <w:rPr>
                <w:sz w:val="14"/>
                <w:szCs w:val="14"/>
                <w:color w:val="auto"/>
              </w:rPr>
            </w:pPr>
          </w:p>
        </w:tc>
        <w:tc>
          <w:tcPr>
            <w:tcW w:w="5480" w:type="dxa"/>
            <w:vAlign w:val="bottom"/>
            <w:tcBorders>
              <w:top w:val="single" w:sz="8" w:color="CCEEFF"/>
              <w:bottom w:val="single" w:sz="8" w:color="auto"/>
            </w:tcBorders>
            <w:shd w:val="clear" w:color="auto" w:fill="CCEEFF"/>
          </w:tcPr>
          <w:p>
            <w:pPr>
              <w:spacing w:after="0"/>
              <w:rPr>
                <w:sz w:val="14"/>
                <w:szCs w:val="14"/>
                <w:color w:val="auto"/>
              </w:rPr>
            </w:pPr>
          </w:p>
        </w:tc>
        <w:tc>
          <w:tcPr>
            <w:tcW w:w="21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spacing w:after="0"/>
              <w:rPr>
                <w:sz w:val="14"/>
                <w:szCs w:val="14"/>
                <w:color w:val="auto"/>
              </w:rPr>
            </w:pPr>
          </w:p>
        </w:tc>
      </w:tr>
    </w:tbl>
    <w:p>
      <w:pPr>
        <w:spacing w:after="0" w:line="173" w:lineRule="exact"/>
        <w:rPr>
          <w:sz w:val="20"/>
          <w:szCs w:val="20"/>
          <w:color w:val="auto"/>
        </w:rPr>
      </w:pPr>
    </w:p>
    <w:p>
      <w:pPr>
        <w:ind w:left="40" w:right="159"/>
        <w:spacing w:after="0" w:line="238" w:lineRule="auto"/>
        <w:rPr>
          <w:sz w:val="20"/>
          <w:szCs w:val="20"/>
          <w:color w:val="auto"/>
        </w:rPr>
      </w:pPr>
      <w:r>
        <w:rPr>
          <w:rFonts w:ascii="Arial" w:cs="Arial" w:eastAsia="Arial" w:hAnsi="Arial"/>
          <w:sz w:val="17"/>
          <w:szCs w:val="17"/>
          <w:color w:val="auto"/>
        </w:rPr>
        <w:t>Operating lease expense was $2.5 million and $1.8 million for the years ended December 31, 2024 and 2023, respectively, including $0.8 million and $0.9 million short-term lease costs for the years ended December 31, 2024 and 2023, respectively. As of December 31, 2024, the weighted average remaining lease term was 2.2 years, and the weighted average discount rate used to measure the lease liabilities for such operating leases upon recognition was 7.6%. During the years ended December 31, 2024 and 2023, cash paid for amounts included in operating lease liabilities of $1.7 million and $0.6 million, respectively, was included in operating activities on the consolidated statements of cash flows.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94"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December 31, 2024 and 2023, the Company did not have any material indemnification claims that were probable or reasonably possible and consequently had not recognized any related liabilities.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94" w:lineRule="exact"/>
        <w:rPr>
          <w:sz w:val="20"/>
          <w:szCs w:val="20"/>
          <w:color w:val="auto"/>
        </w:rPr>
      </w:pPr>
    </w:p>
    <w:p>
      <w:pPr>
        <w:ind w:left="40" w:right="279"/>
        <w:spacing w:after="0" w:line="248" w:lineRule="auto"/>
        <w:rPr>
          <w:sz w:val="20"/>
          <w:szCs w:val="20"/>
          <w:color w:val="auto"/>
        </w:rPr>
      </w:pPr>
      <w:r>
        <w:rPr>
          <w:rFonts w:ascii="Arial" w:cs="Arial" w:eastAsia="Arial" w:hAnsi="Arial"/>
          <w:sz w:val="17"/>
          <w:szCs w:val="17"/>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8" w:name="page179"/>
    <w:bookmarkEnd w:id="17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6. Redeemable Convertible Preferred Shares</w:t>
      </w:r>
    </w:p>
    <w:p>
      <w:pPr>
        <w:spacing w:after="0" w:line="196" w:lineRule="exact"/>
        <w:rPr>
          <w:sz w:val="20"/>
          <w:szCs w:val="20"/>
          <w:color w:val="auto"/>
        </w:rPr>
      </w:pPr>
    </w:p>
    <w:p>
      <w:pPr>
        <w:ind w:left="40" w:right="99"/>
        <w:spacing w:after="0"/>
        <w:rPr>
          <w:sz w:val="20"/>
          <w:szCs w:val="20"/>
          <w:color w:val="auto"/>
        </w:rPr>
      </w:pPr>
      <w:r>
        <w:rPr>
          <w:rFonts w:ascii="Arial" w:cs="Arial" w:eastAsia="Arial" w:hAnsi="Arial"/>
          <w:sz w:val="17"/>
          <w:szCs w:val="17"/>
          <w:color w:val="auto"/>
        </w:rPr>
        <w:t>Under the Company’s amended and restated memorandum and articles of association, prior to the IPO, the Company’s redeemable convertible preferred shares were issuable in series. Upon closing of the Company’s IPO, all outstanding redeemable convertible preferred shares automatically converted into 67,018,087 ordinary shares on a one-for-one basis. There were no issued and outstanding redeemable convertible preferred shares as of December 31, 2024 and December 31, 2023.</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7. Ordinary Shares</w:t>
      </w:r>
    </w:p>
    <w:p>
      <w:pPr>
        <w:spacing w:after="0" w:line="196" w:lineRule="exact"/>
        <w:rPr>
          <w:sz w:val="20"/>
          <w:szCs w:val="20"/>
          <w:color w:val="auto"/>
        </w:rPr>
      </w:pPr>
    </w:p>
    <w:p>
      <w:pPr>
        <w:ind w:left="40" w:right="179"/>
        <w:spacing w:after="0" w:line="263" w:lineRule="auto"/>
        <w:rPr>
          <w:sz w:val="20"/>
          <w:szCs w:val="20"/>
          <w:color w:val="auto"/>
        </w:rPr>
      </w:pPr>
      <w:r>
        <w:rPr>
          <w:rFonts w:ascii="Arial" w:cs="Arial" w:eastAsia="Arial" w:hAnsi="Arial"/>
          <w:sz w:val="16"/>
          <w:szCs w:val="16"/>
          <w:color w:val="auto"/>
        </w:rPr>
        <w:t>As of December 31, 2024, the Company’s amended and restated memorandum and articles of association, authorizes the Company to issue 500,000,000 ordinary shares and 100,000,000 undesignated shares, all of which remain undesignated shares, all with a par value of $0.0001 per share. The undesignated shares may be designated by the Company’s board of directors in accordance with the Company’s amended and restated articles of association.</w:t>
      </w:r>
    </w:p>
    <w:p>
      <w:pPr>
        <w:spacing w:after="0" w:line="153" w:lineRule="exact"/>
        <w:rPr>
          <w:sz w:val="20"/>
          <w:szCs w:val="20"/>
          <w:color w:val="auto"/>
        </w:rPr>
      </w:pPr>
    </w:p>
    <w:p>
      <w:pPr>
        <w:ind w:left="40" w:right="239"/>
        <w:spacing w:after="0" w:line="265" w:lineRule="auto"/>
        <w:rPr>
          <w:sz w:val="20"/>
          <w:szCs w:val="20"/>
          <w:color w:val="auto"/>
        </w:rPr>
      </w:pPr>
      <w:r>
        <w:rPr>
          <w:rFonts w:ascii="Arial" w:cs="Arial" w:eastAsia="Arial" w:hAnsi="Arial"/>
          <w:sz w:val="17"/>
          <w:szCs w:val="17"/>
          <w:color w:val="auto"/>
        </w:rPr>
        <w:t>In May 2023 and September 2023, the Company’s board of directors designated 7,410,518 and 2,401,920 non-voting ordinary shares, respectively, in accordance with the amended and restated articles of association.</w:t>
      </w:r>
    </w:p>
    <w:p>
      <w:pPr>
        <w:spacing w:after="0" w:line="149"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The non-voting ordinary shares ranked on parity with the ordinary shares as to distributions of assets upon liquidation, dissolution or winding up of the Company, whether voluntary or involuntary. The non-voting ordinary shares were entitled on an equal basis to any dividends declared on the ordinary shares on an as-converted to ordinary share basis. Each non-voting ordinary shareholder had the right to convert each non-voting ordinary share into one ordinary share, subject to appropriate adjustment in the event of any dividend, split, reverse split, combination or other similar recapitalization with respect to the ordinary shares, at such holder’s election by providing written notice to the Company.</w:t>
      </w:r>
    </w:p>
    <w:p>
      <w:pPr>
        <w:spacing w:after="0" w:line="160" w:lineRule="exact"/>
        <w:rPr>
          <w:sz w:val="20"/>
          <w:szCs w:val="20"/>
          <w:color w:val="auto"/>
        </w:rPr>
      </w:pPr>
    </w:p>
    <w:p>
      <w:pPr>
        <w:ind w:left="40" w:right="59"/>
        <w:spacing w:after="0" w:line="238" w:lineRule="auto"/>
        <w:rPr>
          <w:sz w:val="20"/>
          <w:szCs w:val="20"/>
          <w:color w:val="auto"/>
        </w:rPr>
      </w:pPr>
      <w:r>
        <w:rPr>
          <w:rFonts w:ascii="Arial" w:cs="Arial" w:eastAsia="Arial" w:hAnsi="Arial"/>
          <w:sz w:val="17"/>
          <w:szCs w:val="17"/>
          <w:color w:val="auto"/>
        </w:rPr>
        <w:t>In May 2023, the Company entered into an Exchange Agreement with Biotechnology Value Fund, L.P., Biotechnology Value Fund II, L.P., and Biotechnology Value Trading Fund OS, L.P. (collectively referred to as “BVF”), who in the aggregate held at the time of the transaction more than 5% of the Company’s issued share capital, pursuant to which BVF delivered to the Company, a total of 7,410,518 ordinary shares of the Company, in exchange for the Company’s delivery of 7,410,518 newly designated non-voting ordinary shares, par value $0.0001 per share. The exchange did not result in any change in the aggregate number of outstanding shares of the Company as the exchange was implemented on a one-for-one basis.</w:t>
      </w:r>
    </w:p>
    <w:p>
      <w:pPr>
        <w:spacing w:after="0" w:line="170" w:lineRule="exact"/>
        <w:rPr>
          <w:sz w:val="20"/>
          <w:szCs w:val="20"/>
          <w:color w:val="auto"/>
        </w:rPr>
      </w:pPr>
    </w:p>
    <w:p>
      <w:pPr>
        <w:ind w:left="40" w:right="479"/>
        <w:spacing w:after="0" w:line="248" w:lineRule="auto"/>
        <w:rPr>
          <w:sz w:val="20"/>
          <w:szCs w:val="20"/>
          <w:color w:val="auto"/>
        </w:rPr>
      </w:pPr>
      <w:r>
        <w:rPr>
          <w:rFonts w:ascii="Arial" w:cs="Arial" w:eastAsia="Arial" w:hAnsi="Arial"/>
          <w:sz w:val="17"/>
          <w:szCs w:val="17"/>
          <w:color w:val="auto"/>
        </w:rPr>
        <w:t>In September 2023, the Company entered into a share purchase agreement to issue certain shares to purchasers, including 2,401,920 newly designated non-voting ordinary shares at a purchase price of $12.49 per share (or the equivalent of $37.47 per ADS) in the Private Placement which closed on October 3, 2023.</w:t>
      </w:r>
    </w:p>
    <w:p>
      <w:pPr>
        <w:spacing w:after="0" w:line="164" w:lineRule="exact"/>
        <w:rPr>
          <w:sz w:val="20"/>
          <w:szCs w:val="20"/>
          <w:color w:val="auto"/>
        </w:rPr>
      </w:pPr>
    </w:p>
    <w:p>
      <w:pPr>
        <w:ind w:left="40" w:right="539"/>
        <w:spacing w:after="0" w:line="265" w:lineRule="auto"/>
        <w:rPr>
          <w:sz w:val="20"/>
          <w:szCs w:val="20"/>
          <w:color w:val="auto"/>
        </w:rPr>
      </w:pPr>
      <w:r>
        <w:rPr>
          <w:rFonts w:ascii="Arial" w:cs="Arial" w:eastAsia="Arial" w:hAnsi="Arial"/>
          <w:sz w:val="17"/>
          <w:szCs w:val="17"/>
          <w:color w:val="auto"/>
        </w:rPr>
        <w:t>As of December 31, 2023, all outstanding non-voting ordinary shares had been converted into 9,812,438 ordinary shares.</w:t>
      </w:r>
    </w:p>
    <w:p>
      <w:pPr>
        <w:spacing w:after="0" w:line="149" w:lineRule="exact"/>
        <w:rPr>
          <w:sz w:val="20"/>
          <w:szCs w:val="20"/>
          <w:color w:val="auto"/>
        </w:rPr>
      </w:pPr>
    </w:p>
    <w:p>
      <w:pPr>
        <w:ind w:left="40" w:right="659"/>
        <w:spacing w:after="0" w:line="296" w:lineRule="auto"/>
        <w:rPr>
          <w:sz w:val="20"/>
          <w:szCs w:val="20"/>
          <w:color w:val="auto"/>
        </w:rPr>
      </w:pPr>
      <w:r>
        <w:rPr>
          <w:rFonts w:ascii="Arial" w:cs="Arial" w:eastAsia="Arial" w:hAnsi="Arial"/>
          <w:sz w:val="16"/>
          <w:szCs w:val="16"/>
          <w:color w:val="auto"/>
        </w:rPr>
        <w:t>Ordinary shareholders are entitled to dividends if and when declared by the Company’s board of directors. As of December 31, 2024 and 2023, no dividends on ordinary shares had been declared by the board of directors.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9" w:name="page180"/>
    <w:bookmarkEnd w:id="17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has the following ordinary shares reserved for future issuance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41"/>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20" w:type="dxa"/>
            <w:vAlign w:val="bottom"/>
          </w:tcPr>
          <w:p>
            <w:pPr>
              <w:spacing w:after="0"/>
              <w:rPr>
                <w:sz w:val="15"/>
                <w:szCs w:val="15"/>
                <w:color w:val="auto"/>
              </w:rPr>
            </w:pPr>
          </w:p>
        </w:tc>
        <w:tc>
          <w:tcPr>
            <w:tcW w:w="68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Share options issued and outstanding</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12,597</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11,899</w:t>
            </w:r>
          </w:p>
        </w:tc>
      </w:tr>
      <w:tr>
        <w:trPr>
          <w:trHeight w:val="189"/>
        </w:trPr>
        <w:tc>
          <w:tcPr>
            <w:tcW w:w="20" w:type="dxa"/>
            <w:vAlign w:val="bottom"/>
          </w:tcPr>
          <w:p>
            <w:pPr>
              <w:spacing w:after="0"/>
              <w:rPr>
                <w:sz w:val="16"/>
                <w:szCs w:val="16"/>
                <w:color w:val="auto"/>
              </w:rPr>
            </w:pPr>
          </w:p>
        </w:tc>
        <w:tc>
          <w:tcPr>
            <w:tcW w:w="6800" w:type="dxa"/>
            <w:vAlign w:val="bottom"/>
          </w:tcPr>
          <w:p>
            <w:pPr>
              <w:spacing w:after="0" w:line="189" w:lineRule="exact"/>
              <w:rPr>
                <w:sz w:val="20"/>
                <w:szCs w:val="20"/>
                <w:color w:val="auto"/>
              </w:rPr>
            </w:pPr>
            <w:r>
              <w:rPr>
                <w:rFonts w:ascii="Arial" w:cs="Arial" w:eastAsia="Arial" w:hAnsi="Arial"/>
                <w:sz w:val="17"/>
                <w:szCs w:val="17"/>
                <w:color w:val="auto"/>
              </w:rPr>
              <w:t>Share options available for future grant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10,722</w:t>
            </w:r>
          </w:p>
        </w:tc>
        <w:tc>
          <w:tcPr>
            <w:tcW w:w="2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8,192</w:t>
            </w:r>
          </w:p>
        </w:tc>
      </w:tr>
      <w:tr>
        <w:trPr>
          <w:trHeight w:val="189"/>
        </w:trPr>
        <w:tc>
          <w:tcPr>
            <w:tcW w:w="20" w:type="dxa"/>
            <w:vAlign w:val="bottom"/>
          </w:tcPr>
          <w:p>
            <w:pPr>
              <w:spacing w:after="0"/>
              <w:rPr>
                <w:sz w:val="16"/>
                <w:szCs w:val="16"/>
                <w:color w:val="auto"/>
              </w:rPr>
            </w:pPr>
          </w:p>
        </w:tc>
        <w:tc>
          <w:tcPr>
            <w:tcW w:w="6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share units outstanding</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1,051</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80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Ordinary shares available for employee share purchase plan</w:t>
            </w: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2,324</w:t>
            </w: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1,000</w:t>
            </w:r>
          </w:p>
        </w:tc>
      </w:tr>
      <w:tr>
        <w:trPr>
          <w:trHeight w:val="182"/>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ind w:left="80"/>
              <w:spacing w:after="0" w:line="182" w:lineRule="exact"/>
              <w:rPr>
                <w:sz w:val="20"/>
                <w:szCs w:val="20"/>
                <w:color w:val="auto"/>
              </w:rPr>
            </w:pPr>
            <w:r>
              <w:rPr>
                <w:rFonts w:ascii="Arial" w:cs="Arial" w:eastAsia="Arial" w:hAnsi="Arial"/>
                <w:sz w:val="17"/>
                <w:szCs w:val="17"/>
                <w:color w:val="auto"/>
              </w:rPr>
              <w:t>Total ordinary shares reserved</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26,694</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21,091</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8. Shareholders’ Equity</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2019 Equity Incentive Plan</w:t>
      </w:r>
    </w:p>
    <w:p>
      <w:pPr>
        <w:spacing w:after="0" w:line="194"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In April 2019, the Company adopted the 2019 Equity Incentive Plan (“2019 Plan”), under which its board of directors can issue share options. Awards granted under the 2019 Plan may be either incentive share options (“ISOs”), nonstatutory share options (“NSOs”), share appreciation rights (“SARs”), or restricted share units (“RSUs”). ISOs may be granted only to Company employees (including officers and directors who are also employees). NSOs may be granted to Company employees and consultants. The exercise price of ISOs and NSOs shall not be less than 100% of the estimated fair value of the shares on the date of grant. The exercise price of ISOs granted to an employee who, at the time of grant, owns shares representing more than 10% (“10% shareholder”) of the voting power of all classes of shares of the Company shall be no less than 110% of the estimated fair value of the shares on the date of grant. The options usually have a term of 10 years (or no more than five years if granted to a 10% shareholder). Vesting conditions determined by the plan administrator may apply to share options and may include continued service, performance and/or other conditions. Generally, options and restricted share awards vest over a four-year period.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2023 Equity Incentive Plan</w:t>
      </w:r>
    </w:p>
    <w:p>
      <w:pPr>
        <w:spacing w:after="0" w:line="194" w:lineRule="exact"/>
        <w:rPr>
          <w:sz w:val="20"/>
          <w:szCs w:val="20"/>
          <w:color w:val="auto"/>
        </w:rPr>
      </w:pPr>
    </w:p>
    <w:p>
      <w:pPr>
        <w:ind w:left="40" w:right="79"/>
        <w:spacing w:after="0" w:line="255" w:lineRule="auto"/>
        <w:rPr>
          <w:sz w:val="20"/>
          <w:szCs w:val="20"/>
          <w:color w:val="auto"/>
        </w:rPr>
      </w:pPr>
      <w:r>
        <w:rPr>
          <w:rFonts w:ascii="Arial" w:cs="Arial" w:eastAsia="Arial" w:hAnsi="Arial"/>
          <w:sz w:val="16"/>
          <w:szCs w:val="16"/>
          <w:color w:val="auto"/>
        </w:rPr>
        <w:t>In January 2023, prior to the IPO closing, the Company’s board of directors and shareholders approved the 2023 Equity Incentive Plan (“2023 Plan”), which became effective upon the IPO closing. The Company initially reserved 12,000,000 ordinary shares for issuance of share-based compensation awards, including ISOs, NSOs, stock appreciation rights, restricted stock units and other stock-based awards, plus shares available for issuance under the 2019 Plan. ISOs may be granted only to Company employees (including officers and directors who are also employees). Shares options granted under the 2019 Plan that are forfeited or lapse unexercised will be available for issuance under the 2023 Plan. Once the 2023 Plan became effective, no further grants were made under the 2019 Plan.</w:t>
      </w:r>
    </w:p>
    <w:p>
      <w:pPr>
        <w:spacing w:after="0" w:line="159" w:lineRule="exact"/>
        <w:rPr>
          <w:sz w:val="20"/>
          <w:szCs w:val="20"/>
          <w:color w:val="auto"/>
        </w:rPr>
      </w:pPr>
    </w:p>
    <w:p>
      <w:pPr>
        <w:ind w:left="40" w:right="79"/>
        <w:spacing w:after="0" w:line="239" w:lineRule="auto"/>
        <w:rPr>
          <w:sz w:val="20"/>
          <w:szCs w:val="20"/>
          <w:color w:val="auto"/>
        </w:rPr>
      </w:pPr>
      <w:r>
        <w:rPr>
          <w:rFonts w:ascii="Arial" w:cs="Arial" w:eastAsia="Arial" w:hAnsi="Arial"/>
          <w:sz w:val="17"/>
          <w:szCs w:val="17"/>
          <w:color w:val="auto"/>
        </w:rPr>
        <w:t>Options under the 2023 Plan may be granted for periods of up to 10 years at exercise prices no less than the fair market value of the Company’s ordinary shares on the date of grant; provided, however, that the exercise price of an ISO granted to a 10% shareholder may not be less than 110% of the fair market value of the shares on the date of grant and such option may not be exercisable after the expiration of five years from the date of grant. Vesting conditions determined by the plan administrator may apply to share options and may include continued service, performance and/or other conditions. Generally, share options vest over a four-year period.</w:t>
      </w:r>
    </w:p>
    <w:p>
      <w:pPr>
        <w:spacing w:after="0" w:line="165" w:lineRule="exact"/>
        <w:rPr>
          <w:sz w:val="20"/>
          <w:szCs w:val="20"/>
          <w:color w:val="auto"/>
        </w:rPr>
      </w:pPr>
    </w:p>
    <w:p>
      <w:pPr>
        <w:ind w:left="40" w:right="139"/>
        <w:spacing w:after="0" w:line="266" w:lineRule="auto"/>
        <w:rPr>
          <w:sz w:val="20"/>
          <w:szCs w:val="20"/>
          <w:color w:val="auto"/>
        </w:rPr>
      </w:pPr>
      <w:r>
        <w:rPr>
          <w:rFonts w:ascii="Arial" w:cs="Arial" w:eastAsia="Arial" w:hAnsi="Arial"/>
          <w:sz w:val="16"/>
          <w:szCs w:val="16"/>
          <w:color w:val="auto"/>
        </w:rPr>
        <w:t>The maximum number of ordinary shares that may be issued under the 2023 Plan as of December 31, 2024 was 26,158,435. In addition, the number of ordinary shares reserved for issuance under the Company’s 2023 Plan will automatically increase on January 1 of each calendar year, starting on January 1, 2024 through</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0" w:name="page181"/>
    <w:bookmarkEnd w:id="18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299"/>
        <w:spacing w:after="0" w:line="243" w:lineRule="auto"/>
        <w:rPr>
          <w:sz w:val="20"/>
          <w:szCs w:val="20"/>
          <w:color w:val="auto"/>
        </w:rPr>
      </w:pPr>
      <w:r>
        <w:rPr>
          <w:rFonts w:ascii="Arial" w:cs="Arial" w:eastAsia="Arial" w:hAnsi="Arial"/>
          <w:sz w:val="17"/>
          <w:szCs w:val="17"/>
          <w:color w:val="auto"/>
        </w:rPr>
        <w:t>January 1, 2033, in an amount equal to 4% of the total number of ordinary shares outstanding on the last day of the calendar month before the date of each automatic increase, or a lesser number of ordinary shares determined by the Company’s board of directors. In January 2025, the number of ordinary shares available for issuance under the 2023 Plan was increased by 6,874,398 shares as a result of the automatic increase provision in the 2023 Plan.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Options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summary of share option activity is set forth below (in thousands except per share amounts and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OUTSTANDING AWARDS</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rPr>
              <w:t>WEIGHTED-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AVERAGE</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WEIGHTED-</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REMAINING</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4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AVERAGE</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CONTRACTUAL</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EXERCISE</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TERM</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PRICE</w:t>
            </w: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 YEARS)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 of December 31, 2023</w:t>
            </w:r>
          </w:p>
        </w:tc>
        <w:tc>
          <w:tcPr>
            <w:tcW w:w="1080" w:type="dxa"/>
            <w:vAlign w:val="bottom"/>
            <w:tcBorders>
              <w:top w:val="single" w:sz="8" w:color="auto"/>
            </w:tcBorders>
            <w:shd w:val="clear" w:color="auto" w:fill="CCEEFF"/>
          </w:tcPr>
          <w:p>
            <w:pPr>
              <w:jc w:val="right"/>
              <w:ind w:right="3"/>
              <w:spacing w:after="0" w:line="182" w:lineRule="exact"/>
              <w:rPr>
                <w:sz w:val="20"/>
                <w:szCs w:val="20"/>
                <w:color w:val="auto"/>
              </w:rPr>
            </w:pPr>
            <w:r>
              <w:rPr>
                <w:rFonts w:ascii="Arial" w:cs="Arial" w:eastAsia="Arial" w:hAnsi="Arial"/>
                <w:sz w:val="17"/>
                <w:szCs w:val="17"/>
                <w:color w:val="auto"/>
              </w:rPr>
              <w:t>11,899</w:t>
            </w: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3.94</w:t>
            </w:r>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8.27</w:t>
            </w: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117,093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080" w:type="dxa"/>
            <w:vAlign w:val="bottom"/>
          </w:tcPr>
          <w:p>
            <w:pPr>
              <w:jc w:val="right"/>
              <w:ind w:right="3"/>
              <w:spacing w:after="0" w:line="189" w:lineRule="exact"/>
              <w:rPr>
                <w:sz w:val="20"/>
                <w:szCs w:val="20"/>
                <w:color w:val="auto"/>
              </w:rPr>
            </w:pPr>
            <w:r>
              <w:rPr>
                <w:rFonts w:ascii="Arial" w:cs="Arial" w:eastAsia="Arial" w:hAnsi="Arial"/>
                <w:sz w:val="17"/>
                <w:szCs w:val="17"/>
                <w:color w:val="auto"/>
              </w:rPr>
              <w:t>3,680</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12.65</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(1,283)</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1.44</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(1,699)</w:t>
            </w:r>
          </w:p>
        </w:tc>
        <w:tc>
          <w:tcPr>
            <w:tcW w:w="960" w:type="dxa"/>
            <w:vAlign w:val="bottom"/>
            <w:tcBorders>
              <w:bottom w:val="single" w:sz="8" w:color="CCEEFF"/>
            </w:tcBorders>
            <w:gridSpan w:val="2"/>
          </w:tcPr>
          <w:p>
            <w:pPr>
              <w:jc w:val="right"/>
              <w:spacing w:after="0" w:line="189" w:lineRule="exact"/>
              <w:rPr>
                <w:sz w:val="20"/>
                <w:szCs w:val="20"/>
                <w:color w:val="auto"/>
              </w:rPr>
            </w:pPr>
            <w:r>
              <w:rPr>
                <w:rFonts w:ascii="Arial" w:cs="Arial" w:eastAsia="Arial" w:hAnsi="Arial"/>
                <w:sz w:val="17"/>
                <w:szCs w:val="17"/>
                <w:color w:val="auto"/>
              </w:rPr>
              <w:t>6.66</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 of December 31, 2024</w:t>
            </w:r>
          </w:p>
        </w:tc>
        <w:tc>
          <w:tcPr>
            <w:tcW w:w="1080" w:type="dxa"/>
            <w:vAlign w:val="bottom"/>
            <w:tcBorders>
              <w:bottom w:val="single" w:sz="8" w:color="auto"/>
            </w:tcBorders>
            <w:shd w:val="clear" w:color="auto" w:fill="CCEEFF"/>
          </w:tcPr>
          <w:p>
            <w:pPr>
              <w:jc w:val="right"/>
              <w:ind w:right="3"/>
              <w:spacing w:after="0" w:line="182" w:lineRule="exact"/>
              <w:rPr>
                <w:sz w:val="20"/>
                <w:szCs w:val="20"/>
                <w:color w:val="auto"/>
              </w:rPr>
            </w:pPr>
            <w:r>
              <w:rPr>
                <w:rFonts w:ascii="Arial" w:cs="Arial" w:eastAsia="Arial" w:hAnsi="Arial"/>
                <w:sz w:val="17"/>
                <w:szCs w:val="17"/>
                <w:color w:val="auto"/>
              </w:rPr>
              <w:t>12,597</w:t>
            </w:r>
          </w:p>
        </w:tc>
        <w:tc>
          <w:tcPr>
            <w:tcW w:w="96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7"/>
                <w:szCs w:val="17"/>
                <w:color w:val="auto"/>
              </w:rPr>
              <w:t>6.36</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7.84</w:t>
            </w: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50,294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7"/>
                <w:szCs w:val="17"/>
                <w:color w:val="auto"/>
              </w:rPr>
              <w:t>Exercisable at December 31, 2024</w:t>
            </w: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7"/>
                <w:szCs w:val="17"/>
                <w:color w:val="auto"/>
              </w:rPr>
              <w:t>3.17</w:t>
            </w:r>
          </w:p>
        </w:tc>
        <w:tc>
          <w:tcPr>
            <w:tcW w:w="16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7.00</w:t>
            </w:r>
          </w:p>
        </w:tc>
        <w:tc>
          <w:tcPr>
            <w:tcW w:w="160" w:type="dxa"/>
            <w:vAlign w:val="bottom"/>
            <w:vMerge w:val="restart"/>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41,106</w:t>
            </w:r>
          </w:p>
        </w:tc>
        <w:tc>
          <w:tcPr>
            <w:tcW w:w="0" w:type="dxa"/>
            <w:vAlign w:val="bottom"/>
          </w:tcPr>
          <w:p>
            <w:pPr>
              <w:spacing w:after="0" w:line="20" w:lineRule="exact"/>
              <w:rPr>
                <w:sz w:val="1"/>
                <w:szCs w:val="1"/>
                <w:color w:val="auto"/>
              </w:rPr>
            </w:pPr>
          </w:p>
        </w:tc>
      </w:tr>
      <w:tr>
        <w:trPr>
          <w:trHeight w:val="167"/>
        </w:trPr>
        <w:tc>
          <w:tcPr>
            <w:tcW w:w="4480" w:type="dxa"/>
            <w:vAlign w:val="bottom"/>
            <w:gridSpan w:val="2"/>
            <w:vMerge w:val="continue"/>
          </w:tcPr>
          <w:p>
            <w:pPr>
              <w:spacing w:after="0"/>
              <w:rPr>
                <w:sz w:val="14"/>
                <w:szCs w:val="14"/>
                <w:color w:val="auto"/>
              </w:rPr>
            </w:pPr>
          </w:p>
        </w:tc>
        <w:tc>
          <w:tcPr>
            <w:tcW w:w="1080" w:type="dxa"/>
            <w:vAlign w:val="bottom"/>
          </w:tcPr>
          <w:p>
            <w:pPr>
              <w:jc w:val="right"/>
              <w:ind w:right="3"/>
              <w:spacing w:after="0" w:line="167" w:lineRule="exact"/>
              <w:rPr>
                <w:sz w:val="20"/>
                <w:szCs w:val="20"/>
                <w:color w:val="auto"/>
              </w:rPr>
            </w:pPr>
            <w:r>
              <w:rPr>
                <w:rFonts w:ascii="Arial" w:cs="Arial" w:eastAsia="Arial" w:hAnsi="Arial"/>
                <w:sz w:val="17"/>
                <w:szCs w:val="17"/>
                <w:color w:val="auto"/>
              </w:rPr>
              <w:t>6,668</w:t>
            </w:r>
          </w:p>
        </w:tc>
        <w:tc>
          <w:tcPr>
            <w:tcW w:w="9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 and expected to vest at December 31, 2024</w:t>
            </w:r>
          </w:p>
        </w:tc>
        <w:tc>
          <w:tcPr>
            <w:tcW w:w="1080" w:type="dxa"/>
            <w:vAlign w:val="bottom"/>
            <w:shd w:val="clear" w:color="auto" w:fill="CCEEFF"/>
          </w:tcPr>
          <w:p>
            <w:pPr>
              <w:jc w:val="right"/>
              <w:ind w:right="3"/>
              <w:spacing w:after="0" w:line="189" w:lineRule="exact"/>
              <w:rPr>
                <w:sz w:val="20"/>
                <w:szCs w:val="20"/>
                <w:color w:val="auto"/>
              </w:rPr>
            </w:pPr>
            <w:r>
              <w:rPr>
                <w:rFonts w:ascii="Arial" w:cs="Arial" w:eastAsia="Arial" w:hAnsi="Arial"/>
                <w:sz w:val="17"/>
                <w:szCs w:val="17"/>
                <w:color w:val="auto"/>
              </w:rPr>
              <w:t>12,597</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6.36</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7.84</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50,294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40" w:right="99"/>
        <w:spacing w:after="0" w:line="243"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share options and the fair value of the Company’s ordinary shares for share options that were in-the-money at the end of each period. The aggregate intrinsic value of options exercised for the years ended December 31, 2024 and 2023 was $16.6 million and $3.9 million, respectively.</w:t>
      </w:r>
    </w:p>
    <w:p>
      <w:pPr>
        <w:spacing w:after="0" w:line="168" w:lineRule="exact"/>
        <w:rPr>
          <w:sz w:val="20"/>
          <w:szCs w:val="20"/>
          <w:color w:val="auto"/>
        </w:rPr>
      </w:pPr>
    </w:p>
    <w:p>
      <w:pPr>
        <w:ind w:left="40" w:right="239"/>
        <w:spacing w:after="0" w:line="265" w:lineRule="auto"/>
        <w:rPr>
          <w:sz w:val="20"/>
          <w:szCs w:val="20"/>
          <w:color w:val="auto"/>
        </w:rPr>
      </w:pPr>
      <w:r>
        <w:rPr>
          <w:rFonts w:ascii="Arial" w:cs="Arial" w:eastAsia="Arial" w:hAnsi="Arial"/>
          <w:sz w:val="17"/>
          <w:szCs w:val="17"/>
          <w:color w:val="auto"/>
        </w:rPr>
        <w:t>The total fair value of options that vested during the years ended December 31, 2024 and 2023 was $19.8 million and $5.5 million, respectively.</w:t>
      </w:r>
    </w:p>
    <w:p>
      <w:pPr>
        <w:spacing w:after="0" w:line="149" w:lineRule="exact"/>
        <w:rPr>
          <w:sz w:val="20"/>
          <w:szCs w:val="20"/>
          <w:color w:val="auto"/>
        </w:rPr>
      </w:pPr>
    </w:p>
    <w:p>
      <w:pPr>
        <w:ind w:left="40" w:right="199"/>
        <w:spacing w:after="0" w:line="263" w:lineRule="auto"/>
        <w:rPr>
          <w:sz w:val="20"/>
          <w:szCs w:val="20"/>
          <w:color w:val="auto"/>
        </w:rPr>
      </w:pPr>
      <w:r>
        <w:rPr>
          <w:rFonts w:ascii="Arial" w:cs="Arial" w:eastAsia="Arial" w:hAnsi="Arial"/>
          <w:sz w:val="16"/>
          <w:szCs w:val="16"/>
          <w:color w:val="auto"/>
        </w:rPr>
        <w:t>The Company estimated the fair value of share options using the Black Scholes option-pricing model. The fair value of share options is being amortized on a straight-line basis over the requisite service period of the awards. The options granted during the years ended December 31, 2024 and 2023 had a weighted-average per share grant-date fair value of $10.26 and $6.21 per share, respectively, which was estimated using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115570</wp:posOffset>
            </wp:positionV>
            <wp:extent cx="56584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840" w:type="dxa"/>
            <w:vAlign w:val="bottom"/>
          </w:tcPr>
          <w:p>
            <w:pPr>
              <w:spacing w:after="0"/>
              <w:rPr>
                <w:sz w:val="13"/>
                <w:szCs w:val="13"/>
                <w:color w:val="auto"/>
              </w:rPr>
            </w:pPr>
          </w:p>
        </w:tc>
        <w:tc>
          <w:tcPr>
            <w:tcW w:w="2080" w:type="dxa"/>
            <w:vAlign w:val="bottom"/>
            <w:gridSpan w:val="3"/>
          </w:tcPr>
          <w:p>
            <w:pPr>
              <w:jc w:val="right"/>
              <w:ind w:right="619"/>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684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68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63"/>
              <w:spacing w:after="0" w:line="144" w:lineRule="exact"/>
              <w:rPr>
                <w:sz w:val="20"/>
                <w:szCs w:val="20"/>
                <w:color w:val="auto"/>
              </w:rPr>
            </w:pPr>
            <w:r>
              <w:rPr>
                <w:rFonts w:ascii="Arial" w:cs="Arial" w:eastAsia="Arial" w:hAnsi="Arial"/>
                <w:sz w:val="13"/>
                <w:szCs w:val="13"/>
                <w:b w:val="1"/>
                <w:bCs w:val="1"/>
                <w:color w:val="auto"/>
              </w:rPr>
              <w:t>2024</w:t>
            </w:r>
          </w:p>
        </w:tc>
        <w:tc>
          <w:tcPr>
            <w:tcW w:w="26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37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68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Expected term (in years)</w:t>
            </w: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6.0</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9"/>
              <w:spacing w:after="0" w:line="182" w:lineRule="exact"/>
              <w:rPr>
                <w:sz w:val="20"/>
                <w:szCs w:val="20"/>
                <w:color w:val="auto"/>
              </w:rPr>
            </w:pPr>
            <w:r>
              <w:rPr>
                <w:rFonts w:ascii="Arial" w:cs="Arial" w:eastAsia="Arial" w:hAnsi="Arial"/>
                <w:sz w:val="17"/>
                <w:szCs w:val="17"/>
                <w:color w:val="auto"/>
              </w:rPr>
              <w:t>6.1</w:t>
            </w: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101.3 %</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101.3 %</w:t>
            </w: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0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4.2 %</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3.7 %</w:t>
            </w: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0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0.0 %</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0.0 %</w:t>
            </w:r>
          </w:p>
        </w:tc>
      </w:tr>
      <w:tr>
        <w:trPr>
          <w:trHeight w:val="189"/>
        </w:trPr>
        <w:tc>
          <w:tcPr>
            <w:tcW w:w="68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1" w:name="page182"/>
    <w:bookmarkEnd w:id="18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Performance Options</w:t>
      </w:r>
    </w:p>
    <w:p>
      <w:pPr>
        <w:spacing w:after="0" w:line="194" w:lineRule="exact"/>
        <w:rPr>
          <w:sz w:val="20"/>
          <w:szCs w:val="20"/>
          <w:color w:val="auto"/>
        </w:rPr>
      </w:pPr>
    </w:p>
    <w:p>
      <w:pPr>
        <w:ind w:left="40" w:right="259"/>
        <w:spacing w:after="0" w:line="238" w:lineRule="auto"/>
        <w:rPr>
          <w:sz w:val="20"/>
          <w:szCs w:val="20"/>
          <w:color w:val="auto"/>
        </w:rPr>
      </w:pPr>
      <w:r>
        <w:rPr>
          <w:rFonts w:ascii="Arial" w:cs="Arial" w:eastAsia="Arial" w:hAnsi="Arial"/>
          <w:sz w:val="17"/>
          <w:szCs w:val="17"/>
          <w:color w:val="auto"/>
        </w:rPr>
        <w:t>In February 2023, the Company’s board of directors approved the grant of performance share options for 1,200,000 ordinary shares, which were granted under the 2023 Equity Incentive Plan. Each share option would vest over four years, subject to the achievement of certain clinical milestones as determined by the Company’s compensation committee in the first year following the grant, and subject to the employees’ continuous service through each vesting date. The performance milestones were not achieved in the first year following the grant, and the performance share options were cancelled in February 2024. As such, no share-based compensation expense has been or will be recognized for such performance share options.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Employee Share Purchase Plan</w:t>
      </w:r>
    </w:p>
    <w:p>
      <w:pPr>
        <w:spacing w:after="0" w:line="194"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 xml:space="preserve">In February 2023, the Company adopted the 2023 Employee Share Purchase Plan (“ESPP”). The Company allows eligible employees to purchase shares of the Company's ordinary shares through payroll deductions at a price equal to 85% of the lesser of the fair market value of the ordinary shares as of the first date of each offering period or the ending date of each purchase period. Each offering period is typically 24 months consisting of four purchase periods of six months. There were 1,000,000 ordinary shares initially reserved for issuance under the ESPP. </w:t>
      </w:r>
      <w:r>
        <w:rPr>
          <w:rFonts w:ascii="Arial" w:cs="Arial" w:eastAsia="Arial" w:hAnsi="Arial"/>
          <w:sz w:val="15"/>
          <w:szCs w:val="15"/>
          <w:color w:val="auto"/>
        </w:rPr>
        <w:t>The number of ordinary</w:t>
      </w:r>
      <w:r>
        <w:rPr>
          <w:rFonts w:ascii="Arial" w:cs="Arial" w:eastAsia="Arial" w:hAnsi="Arial"/>
          <w:sz w:val="17"/>
          <w:szCs w:val="17"/>
          <w:color w:val="auto"/>
        </w:rPr>
        <w:t xml:space="preserve"> </w:t>
      </w:r>
      <w:r>
        <w:rPr>
          <w:rFonts w:ascii="Arial" w:cs="Arial" w:eastAsia="Arial" w:hAnsi="Arial"/>
          <w:sz w:val="15"/>
          <w:szCs w:val="15"/>
          <w:color w:val="auto"/>
        </w:rPr>
        <w:t>shares reserved for issuance will automatically increase on January 1 of each calendar year, beginning on January 1, 2024 through January 1, 2033, by the lesser of  (i) 1% of the total number of our outstanding share capital on the last day of the calendar month before the date of the automatic increase; and (ii) 3,000,000 ordinary shares; provided that before the date of any such increase, the Company’s board of directors may determine that such increase will be less than the amount set forth in clauses (i) and (ii)</w:t>
      </w:r>
      <w:r>
        <w:rPr>
          <w:rFonts w:ascii="Arial" w:cs="Arial" w:eastAsia="Arial" w:hAnsi="Arial"/>
          <w:sz w:val="16"/>
          <w:szCs w:val="16"/>
          <w:color w:val="auto"/>
        </w:rPr>
        <w:t>. In January 2025, the number of ordinary shares available for issuance under the ESPP was</w:t>
      </w:r>
      <w:r>
        <w:rPr>
          <w:rFonts w:ascii="Arial" w:cs="Arial" w:eastAsia="Arial" w:hAnsi="Arial"/>
          <w:sz w:val="15"/>
          <w:szCs w:val="15"/>
          <w:color w:val="auto"/>
        </w:rPr>
        <w:t xml:space="preserve"> </w:t>
      </w:r>
      <w:r>
        <w:rPr>
          <w:rFonts w:ascii="Arial" w:cs="Arial" w:eastAsia="Arial" w:hAnsi="Arial"/>
          <w:sz w:val="16"/>
          <w:szCs w:val="16"/>
          <w:color w:val="auto"/>
        </w:rPr>
        <w:t>increased by 1,718,600 shares as a result of the automatic increase provision in the ESPP.</w:t>
      </w:r>
    </w:p>
    <w:p>
      <w:pPr>
        <w:spacing w:after="0" w:line="176" w:lineRule="exact"/>
        <w:rPr>
          <w:sz w:val="20"/>
          <w:szCs w:val="20"/>
          <w:color w:val="auto"/>
        </w:rPr>
      </w:pPr>
    </w:p>
    <w:p>
      <w:pPr>
        <w:ind w:left="40" w:right="59"/>
        <w:spacing w:after="0" w:line="248" w:lineRule="auto"/>
        <w:rPr>
          <w:sz w:val="20"/>
          <w:szCs w:val="20"/>
          <w:color w:val="auto"/>
        </w:rPr>
      </w:pPr>
      <w:r>
        <w:rPr>
          <w:rFonts w:ascii="Arial" w:cs="Arial" w:eastAsia="Arial" w:hAnsi="Arial"/>
          <w:sz w:val="17"/>
          <w:szCs w:val="17"/>
          <w:color w:val="auto"/>
        </w:rPr>
        <w:t>The offering period and purchase periods are determined by the board of directors. The Company issued 68,262 shares under the ESPP during the year ended December 31, 2024. As of December 31, 2024, 2,323,948 shares under the ESPP remain available for purchase.</w:t>
      </w:r>
    </w:p>
    <w:p>
      <w:pPr>
        <w:spacing w:after="0" w:line="164" w:lineRule="exact"/>
        <w:rPr>
          <w:sz w:val="20"/>
          <w:szCs w:val="20"/>
          <w:color w:val="auto"/>
        </w:rPr>
      </w:pPr>
    </w:p>
    <w:p>
      <w:pPr>
        <w:ind w:left="40" w:right="339"/>
        <w:spacing w:after="0" w:line="265" w:lineRule="auto"/>
        <w:rPr>
          <w:sz w:val="20"/>
          <w:szCs w:val="20"/>
          <w:color w:val="auto"/>
        </w:rPr>
      </w:pPr>
      <w:r>
        <w:rPr>
          <w:rFonts w:ascii="Arial" w:cs="Arial" w:eastAsia="Arial" w:hAnsi="Arial"/>
          <w:sz w:val="17"/>
          <w:szCs w:val="17"/>
          <w:color w:val="auto"/>
        </w:rPr>
        <w:t>Compensation expense is calculated using the fair value of the employees' purchase rights under the Black-Scholes model, which was estimated using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121285</wp:posOffset>
            </wp:positionV>
            <wp:extent cx="56584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820" w:type="dxa"/>
            <w:vAlign w:val="bottom"/>
          </w:tcPr>
          <w:p>
            <w:pPr>
              <w:spacing w:after="0"/>
              <w:rPr>
                <w:sz w:val="13"/>
                <w:szCs w:val="13"/>
                <w:color w:val="auto"/>
              </w:rPr>
            </w:pPr>
          </w:p>
        </w:tc>
        <w:tc>
          <w:tcPr>
            <w:tcW w:w="2100" w:type="dxa"/>
            <w:vAlign w:val="bottom"/>
            <w:gridSpan w:val="3"/>
          </w:tcPr>
          <w:p>
            <w:pPr>
              <w:jc w:val="right"/>
              <w:ind w:right="639"/>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682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68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203"/>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9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682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Expected term (in years)</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9"/>
              <w:spacing w:after="0" w:line="182" w:lineRule="exact"/>
              <w:rPr>
                <w:sz w:val="20"/>
                <w:szCs w:val="20"/>
                <w:color w:val="auto"/>
              </w:rPr>
            </w:pPr>
            <w:r>
              <w:rPr>
                <w:rFonts w:ascii="Arial" w:cs="Arial" w:eastAsia="Arial" w:hAnsi="Arial"/>
                <w:sz w:val="17"/>
                <w:szCs w:val="17"/>
                <w:color w:val="auto"/>
              </w:rPr>
              <w:t>1.2</w:t>
            </w: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106.3 %</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90.3 %</w:t>
            </w: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interest rate</w:t>
            </w:r>
          </w:p>
        </w:tc>
        <w:tc>
          <w:tcPr>
            <w:tcW w:w="10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4.6 %</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4.8 %</w:t>
            </w: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0.0 %</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0.0 %</w:t>
            </w:r>
          </w:p>
        </w:tc>
      </w:tr>
      <w:tr>
        <w:trPr>
          <w:trHeight w:val="189"/>
        </w:trPr>
        <w:tc>
          <w:tcPr>
            <w:tcW w:w="68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Restricted Shares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On April 29, 2019, 5,891,064 shares of the Company’s ordinary shares which were previously issued to its founders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were converted to restricted ordinary shares with a vesting term of four years with 25% of the shares vesting after</w:t>
      </w:r>
    </w:p>
    <w:p>
      <w:pPr>
        <w:ind w:left="40"/>
        <w:spacing w:after="0"/>
        <w:rPr>
          <w:sz w:val="20"/>
          <w:szCs w:val="20"/>
          <w:color w:val="auto"/>
        </w:rPr>
      </w:pPr>
      <w:r>
        <w:rPr>
          <w:rFonts w:ascii="Arial" w:cs="Arial" w:eastAsia="Arial" w:hAnsi="Arial"/>
          <w:sz w:val="16"/>
          <w:szCs w:val="16"/>
          <w:color w:val="auto"/>
        </w:rPr>
        <w:t>one year from the vesting commencement date of April 29, 2019 and the remainder ratably on a monthly basis over the</w:t>
      </w:r>
    </w:p>
    <w:p>
      <w:pPr>
        <w:ind w:left="40"/>
        <w:spacing w:after="0"/>
        <w:rPr>
          <w:sz w:val="20"/>
          <w:szCs w:val="20"/>
          <w:color w:val="auto"/>
        </w:rPr>
      </w:pPr>
      <w:r>
        <w:rPr>
          <w:rFonts w:ascii="Arial" w:cs="Arial" w:eastAsia="Arial" w:hAnsi="Arial"/>
          <w:sz w:val="17"/>
          <w:szCs w:val="17"/>
          <w:color w:val="auto"/>
        </w:rPr>
        <w:t>following three years, provided that the shareholder continues to provide services to the Company as of the date of</w:t>
      </w:r>
    </w:p>
    <w:p>
      <w:pPr>
        <w:ind w:left="40"/>
        <w:spacing w:after="0"/>
        <w:rPr>
          <w:sz w:val="20"/>
          <w:szCs w:val="20"/>
          <w:color w:val="auto"/>
        </w:rPr>
      </w:pPr>
      <w:r>
        <w:rPr>
          <w:rFonts w:ascii="Arial" w:cs="Arial" w:eastAsia="Arial" w:hAnsi="Arial"/>
          <w:sz w:val="16"/>
          <w:szCs w:val="16"/>
          <w:color w:val="auto"/>
        </w:rPr>
        <w:t>such vesting. The transaction was accounted for as a grant of restricted shares with weighted-average per share grant-</w:t>
      </w:r>
    </w:p>
    <w:p>
      <w:pPr>
        <w:ind w:left="40"/>
        <w:spacing w:after="0"/>
        <w:rPr>
          <w:sz w:val="20"/>
          <w:szCs w:val="20"/>
          <w:color w:val="auto"/>
        </w:rPr>
      </w:pPr>
      <w:r>
        <w:rPr>
          <w:rFonts w:ascii="Arial" w:cs="Arial" w:eastAsia="Arial" w:hAnsi="Arial"/>
          <w:sz w:val="17"/>
          <w:szCs w:val="17"/>
          <w:color w:val="auto"/>
        </w:rPr>
        <w:t>date fair value of $0.33 per share with the total compensation cost of $1.9 million, which was recognized over the four-</w:t>
      </w:r>
    </w:p>
    <w:p>
      <w:pPr>
        <w:ind w:left="40"/>
        <w:spacing w:after="0"/>
        <w:rPr>
          <w:sz w:val="20"/>
          <w:szCs w:val="20"/>
          <w:color w:val="auto"/>
        </w:rPr>
      </w:pPr>
      <w:r>
        <w:rPr>
          <w:rFonts w:ascii="Arial" w:cs="Arial" w:eastAsia="Arial" w:hAnsi="Arial"/>
          <w:sz w:val="17"/>
          <w:szCs w:val="17"/>
          <w:color w:val="auto"/>
        </w:rPr>
        <w:t>year requisite service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2" w:name="page183"/>
    <w:bookmarkEnd w:id="18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Activity with respect to restricted shares was as follows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135255</wp:posOffset>
            </wp:positionV>
            <wp:extent cx="56584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82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NUMBER OF SHARES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1"/>
        </w:trPr>
        <w:tc>
          <w:tcPr>
            <w:tcW w:w="5820" w:type="dxa"/>
            <w:vAlign w:val="bottom"/>
          </w:tcPr>
          <w:p>
            <w:pPr>
              <w:spacing w:after="0"/>
              <w:rPr>
                <w:sz w:val="13"/>
                <w:szCs w:val="13"/>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UNDERLYING</w:t>
            </w:r>
          </w:p>
        </w:tc>
        <w:tc>
          <w:tcPr>
            <w:tcW w:w="200" w:type="dxa"/>
            <w:vAlign w:val="bottom"/>
          </w:tcPr>
          <w:p>
            <w:pPr>
              <w:spacing w:after="0"/>
              <w:rPr>
                <w:sz w:val="13"/>
                <w:szCs w:val="13"/>
                <w:color w:val="auto"/>
              </w:rPr>
            </w:pPr>
          </w:p>
        </w:tc>
        <w:tc>
          <w:tcPr>
            <w:tcW w:w="1160" w:type="dxa"/>
            <w:vAlign w:val="bottom"/>
          </w:tcPr>
          <w:p>
            <w:pPr>
              <w:jc w:val="center"/>
              <w:ind w:right="124"/>
              <w:spacing w:after="0"/>
              <w:rPr>
                <w:sz w:val="20"/>
                <w:szCs w:val="20"/>
                <w:color w:val="auto"/>
              </w:rPr>
            </w:pPr>
            <w:r>
              <w:rPr>
                <w:rFonts w:ascii="Arial" w:cs="Arial" w:eastAsia="Arial" w:hAnsi="Arial"/>
                <w:sz w:val="13"/>
                <w:szCs w:val="13"/>
                <w:b w:val="1"/>
                <w:bCs w:val="1"/>
                <w:color w:val="auto"/>
              </w:rPr>
              <w:t>WEIGHTED-</w:t>
            </w:r>
          </w:p>
        </w:tc>
      </w:tr>
      <w:tr>
        <w:trPr>
          <w:trHeight w:val="151"/>
        </w:trPr>
        <w:tc>
          <w:tcPr>
            <w:tcW w:w="582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OUTSTANDING</w:t>
            </w:r>
          </w:p>
        </w:tc>
        <w:tc>
          <w:tcPr>
            <w:tcW w:w="200" w:type="dxa"/>
            <w:vAlign w:val="bottom"/>
          </w:tcPr>
          <w:p>
            <w:pPr>
              <w:spacing w:after="0"/>
              <w:rPr>
                <w:sz w:val="13"/>
                <w:szCs w:val="13"/>
                <w:color w:val="auto"/>
              </w:rPr>
            </w:pPr>
          </w:p>
        </w:tc>
        <w:tc>
          <w:tcPr>
            <w:tcW w:w="1160" w:type="dxa"/>
            <w:vAlign w:val="bottom"/>
          </w:tcPr>
          <w:p>
            <w:pPr>
              <w:jc w:val="center"/>
              <w:ind w:right="124"/>
              <w:spacing w:after="0"/>
              <w:rPr>
                <w:sz w:val="20"/>
                <w:szCs w:val="20"/>
                <w:color w:val="auto"/>
              </w:rPr>
            </w:pPr>
            <w:r>
              <w:rPr>
                <w:rFonts w:ascii="Arial" w:cs="Arial" w:eastAsia="Arial" w:hAnsi="Arial"/>
                <w:sz w:val="13"/>
                <w:szCs w:val="13"/>
                <w:b w:val="1"/>
                <w:bCs w:val="1"/>
                <w:color w:val="auto"/>
                <w:w w:val="99"/>
              </w:rPr>
              <w:t>AVERAGE</w:t>
            </w:r>
          </w:p>
        </w:tc>
      </w:tr>
      <w:tr>
        <w:trPr>
          <w:trHeight w:val="151"/>
        </w:trPr>
        <w:tc>
          <w:tcPr>
            <w:tcW w:w="582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RESTRICTED</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rPr>
              <w:t>GRANT DATE FAIR</w:t>
            </w:r>
          </w:p>
        </w:tc>
      </w:tr>
      <w:tr>
        <w:trPr>
          <w:trHeight w:val="161"/>
        </w:trPr>
        <w:tc>
          <w:tcPr>
            <w:tcW w:w="582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1160" w:type="dxa"/>
            <w:vAlign w:val="bottom"/>
          </w:tcPr>
          <w:p>
            <w:pPr>
              <w:jc w:val="center"/>
              <w:ind w:right="124"/>
              <w:spacing w:after="0"/>
              <w:rPr>
                <w:sz w:val="20"/>
                <w:szCs w:val="20"/>
                <w:color w:val="auto"/>
              </w:rPr>
            </w:pPr>
            <w:r>
              <w:rPr>
                <w:rFonts w:ascii="Arial" w:cs="Arial" w:eastAsia="Arial" w:hAnsi="Arial"/>
                <w:sz w:val="13"/>
                <w:szCs w:val="13"/>
                <w:b w:val="1"/>
                <w:bCs w:val="1"/>
                <w:color w:val="auto"/>
                <w:w w:val="99"/>
              </w:rPr>
              <w:t>VALUE</w:t>
            </w:r>
          </w:p>
        </w:tc>
      </w:tr>
      <w:tr>
        <w:trPr>
          <w:trHeight w:val="182"/>
        </w:trPr>
        <w:tc>
          <w:tcPr>
            <w:tcW w:w="5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Unvested, December 31, 2022</w:t>
            </w:r>
          </w:p>
        </w:tc>
        <w:tc>
          <w:tcPr>
            <w:tcW w:w="1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327</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4"/>
              <w:spacing w:after="0" w:line="182"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0.33</w:t>
            </w:r>
          </w:p>
        </w:tc>
      </w:tr>
      <w:tr>
        <w:trPr>
          <w:trHeight w:val="189"/>
        </w:trPr>
        <w:tc>
          <w:tcPr>
            <w:tcW w:w="582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1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(327)</w:t>
            </w:r>
          </w:p>
        </w:tc>
        <w:tc>
          <w:tcPr>
            <w:tcW w:w="2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0.33</w:t>
            </w:r>
          </w:p>
        </w:tc>
      </w:tr>
      <w:tr>
        <w:trPr>
          <w:trHeight w:val="182"/>
        </w:trPr>
        <w:tc>
          <w:tcPr>
            <w:tcW w:w="58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Unvested, December 31, 2023</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r>
      <w:tr>
        <w:trPr>
          <w:trHeight w:val="20"/>
        </w:trPr>
        <w:tc>
          <w:tcPr>
            <w:tcW w:w="5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5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bl>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fair value of restricted shares vested during the year ended December 31, 2023 was $0.1 million.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Restricted Share Units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summary of restricted share unit activity is set forth below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142875</wp:posOffset>
            </wp:positionV>
            <wp:extent cx="56584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4"/>
              <w:spacing w:after="0"/>
              <w:rPr>
                <w:sz w:val="20"/>
                <w:szCs w:val="20"/>
                <w:color w:val="auto"/>
              </w:rPr>
            </w:pPr>
            <w:r>
              <w:rPr>
                <w:rFonts w:ascii="Arial" w:cs="Arial" w:eastAsia="Arial" w:hAnsi="Arial"/>
                <w:sz w:val="13"/>
                <w:szCs w:val="13"/>
                <w:b w:val="1"/>
                <w:bCs w:val="1"/>
                <w:color w:val="auto"/>
              </w:rPr>
              <w:t>WEIGHTED-</w:t>
            </w:r>
          </w:p>
        </w:tc>
      </w:tr>
      <w:tr>
        <w:trPr>
          <w:trHeight w:val="151"/>
        </w:trPr>
        <w:tc>
          <w:tcPr>
            <w:tcW w:w="64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3"/>
                <w:szCs w:val="13"/>
                <w:color w:val="auto"/>
              </w:rPr>
            </w:pPr>
          </w:p>
        </w:tc>
        <w:tc>
          <w:tcPr>
            <w:tcW w:w="1080" w:type="dxa"/>
            <w:vAlign w:val="bottom"/>
          </w:tcPr>
          <w:p>
            <w:pPr>
              <w:jc w:val="center"/>
              <w:ind w:right="64"/>
              <w:spacing w:after="0"/>
              <w:rPr>
                <w:sz w:val="20"/>
                <w:szCs w:val="20"/>
                <w:color w:val="auto"/>
              </w:rPr>
            </w:pPr>
            <w:r>
              <w:rPr>
                <w:rFonts w:ascii="Arial" w:cs="Arial" w:eastAsia="Arial" w:hAnsi="Arial"/>
                <w:sz w:val="13"/>
                <w:szCs w:val="13"/>
                <w:b w:val="1"/>
                <w:bCs w:val="1"/>
                <w:color w:val="auto"/>
              </w:rPr>
              <w:t>AVERAGE</w:t>
            </w:r>
          </w:p>
        </w:tc>
      </w:tr>
      <w:tr>
        <w:trPr>
          <w:trHeight w:val="151"/>
        </w:trPr>
        <w:tc>
          <w:tcPr>
            <w:tcW w:w="64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3"/>
                <w:szCs w:val="13"/>
                <w:color w:val="auto"/>
              </w:rPr>
            </w:pPr>
          </w:p>
        </w:tc>
        <w:tc>
          <w:tcPr>
            <w:tcW w:w="1080" w:type="dxa"/>
            <w:vAlign w:val="bottom"/>
          </w:tcPr>
          <w:p>
            <w:pPr>
              <w:jc w:val="center"/>
              <w:ind w:right="64"/>
              <w:spacing w:after="0"/>
              <w:rPr>
                <w:sz w:val="20"/>
                <w:szCs w:val="20"/>
                <w:color w:val="auto"/>
              </w:rPr>
            </w:pPr>
            <w:r>
              <w:rPr>
                <w:rFonts w:ascii="Arial" w:cs="Arial" w:eastAsia="Arial" w:hAnsi="Arial"/>
                <w:sz w:val="13"/>
                <w:szCs w:val="13"/>
                <w:b w:val="1"/>
                <w:bCs w:val="1"/>
                <w:color w:val="auto"/>
              </w:rPr>
              <w:t>GRANT DATE</w:t>
            </w:r>
          </w:p>
        </w:tc>
      </w:tr>
      <w:tr>
        <w:trPr>
          <w:trHeight w:val="161"/>
        </w:trPr>
        <w:tc>
          <w:tcPr>
            <w:tcW w:w="640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4"/>
                <w:szCs w:val="14"/>
                <w:color w:val="auto"/>
              </w:rPr>
            </w:pPr>
          </w:p>
        </w:tc>
        <w:tc>
          <w:tcPr>
            <w:tcW w:w="1080" w:type="dxa"/>
            <w:vAlign w:val="bottom"/>
          </w:tcPr>
          <w:p>
            <w:pPr>
              <w:jc w:val="center"/>
              <w:ind w:right="64"/>
              <w:spacing w:after="0"/>
              <w:rPr>
                <w:sz w:val="20"/>
                <w:szCs w:val="20"/>
                <w:color w:val="auto"/>
              </w:rPr>
            </w:pPr>
            <w:r>
              <w:rPr>
                <w:rFonts w:ascii="Arial" w:cs="Arial" w:eastAsia="Arial" w:hAnsi="Arial"/>
                <w:sz w:val="13"/>
                <w:szCs w:val="13"/>
                <w:b w:val="1"/>
                <w:bCs w:val="1"/>
                <w:color w:val="auto"/>
                <w:w w:val="99"/>
              </w:rPr>
              <w:t>FAIR VALUE</w:t>
            </w:r>
          </w:p>
        </w:tc>
      </w:tr>
      <w:tr>
        <w:trPr>
          <w:trHeight w:val="182"/>
        </w:trPr>
        <w:tc>
          <w:tcPr>
            <w:tcW w:w="6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Outstanding, December 31, 2023</w:t>
            </w: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Granted (including performance-based restricted share units)</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1,103</w:t>
            </w:r>
          </w:p>
        </w:tc>
        <w:tc>
          <w:tcPr>
            <w:tcW w:w="18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11.89</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3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11.75</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Forfeited</w:t>
            </w:r>
          </w:p>
        </w:tc>
        <w:tc>
          <w:tcPr>
            <w:tcW w:w="13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11.75</w:t>
            </w:r>
          </w:p>
        </w:tc>
      </w:tr>
      <w:tr>
        <w:trPr>
          <w:trHeight w:val="182"/>
        </w:trPr>
        <w:tc>
          <w:tcPr>
            <w:tcW w:w="64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Outstanding, December 31, 2024</w:t>
            </w:r>
          </w:p>
        </w:tc>
        <w:tc>
          <w:tcPr>
            <w:tcW w:w="1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1,051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10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11.90</w:t>
            </w: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7"/>
        </w:trPr>
        <w:tc>
          <w:tcPr>
            <w:tcW w:w="6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bl>
    <w:p>
      <w:pPr>
        <w:spacing w:after="0" w:line="173" w:lineRule="exact"/>
        <w:rPr>
          <w:sz w:val="20"/>
          <w:szCs w:val="20"/>
          <w:color w:val="auto"/>
        </w:rPr>
      </w:pPr>
    </w:p>
    <w:p>
      <w:pPr>
        <w:ind w:left="40" w:right="119"/>
        <w:spacing w:after="0"/>
        <w:rPr>
          <w:sz w:val="20"/>
          <w:szCs w:val="20"/>
          <w:color w:val="auto"/>
        </w:rPr>
      </w:pPr>
      <w:r>
        <w:rPr>
          <w:rFonts w:ascii="Arial" w:cs="Arial" w:eastAsia="Arial" w:hAnsi="Arial"/>
          <w:sz w:val="17"/>
          <w:szCs w:val="17"/>
          <w:color w:val="auto"/>
        </w:rPr>
        <w:t>In March 2024, the Company granted 381,252 restricted share units with service and performance conditions to certain employees. The awards are divided into three equal tranches, and the vesting of each tranche is contingent on the occurrence of certain milestone events and fulfilment of service condition. The achievement of two of the three milestones became probable as of December 31, 2024, and the Company recognized cumulative compensation cost of $1.7 million during the year ended December 31, 2024.</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Share-Based Compensation Associated with Awards to Employees and Non-Employees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recognized share-based compensation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142875</wp:posOffset>
            </wp:positionV>
            <wp:extent cx="56584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3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338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33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Research and development</w:t>
            </w:r>
          </w:p>
        </w:tc>
        <w:tc>
          <w:tcPr>
            <w:tcW w:w="36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6"/>
              <w:spacing w:after="0" w:line="182"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7,992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3,761</w:t>
            </w:r>
          </w:p>
        </w:tc>
      </w:tr>
      <w:tr>
        <w:trPr>
          <w:trHeight w:val="189"/>
        </w:trPr>
        <w:tc>
          <w:tcPr>
            <w:tcW w:w="338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10,802</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4,430</w:t>
            </w:r>
          </w:p>
        </w:tc>
      </w:tr>
      <w:tr>
        <w:trPr>
          <w:trHeight w:val="182"/>
        </w:trPr>
        <w:tc>
          <w:tcPr>
            <w:tcW w:w="33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Total share-based compensation</w:t>
            </w:r>
          </w:p>
        </w:tc>
        <w:tc>
          <w:tcPr>
            <w:tcW w:w="3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6"/>
              <w:spacing w:after="0" w:line="182"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18,794</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8,191</w:t>
            </w:r>
          </w:p>
        </w:tc>
      </w:tr>
      <w:tr>
        <w:trPr>
          <w:trHeight w:val="20"/>
        </w:trPr>
        <w:tc>
          <w:tcPr>
            <w:tcW w:w="3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7"/>
        </w:trPr>
        <w:tc>
          <w:tcPr>
            <w:tcW w:w="33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602"/>
        </w:trPr>
        <w:tc>
          <w:tcPr>
            <w:tcW w:w="3380" w:type="dxa"/>
            <w:vAlign w:val="bottom"/>
          </w:tcPr>
          <w:p>
            <w:pPr>
              <w:spacing w:after="0"/>
              <w:rPr>
                <w:sz w:val="24"/>
                <w:szCs w:val="24"/>
                <w:color w:val="auto"/>
              </w:rPr>
            </w:pPr>
          </w:p>
        </w:tc>
        <w:tc>
          <w:tcPr>
            <w:tcW w:w="3620" w:type="dxa"/>
            <w:vAlign w:val="bottom"/>
          </w:tcPr>
          <w:p>
            <w:pPr>
              <w:jc w:val="right"/>
              <w:ind w:right="2316"/>
              <w:spacing w:after="0"/>
              <w:rPr>
                <w:sz w:val="20"/>
                <w:szCs w:val="20"/>
                <w:color w:val="auto"/>
              </w:rPr>
            </w:pPr>
            <w:r>
              <w:rPr>
                <w:rFonts w:ascii="Arial" w:cs="Arial" w:eastAsia="Arial" w:hAnsi="Arial"/>
                <w:sz w:val="17"/>
                <w:szCs w:val="17"/>
                <w:color w:val="auto"/>
              </w:rPr>
              <w:t>183</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94"/>
        </w:trPr>
        <w:tc>
          <w:tcPr>
            <w:tcW w:w="3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183" w:name="page184"/>
    <w:bookmarkEnd w:id="18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239"/>
        <w:spacing w:after="0" w:line="248" w:lineRule="auto"/>
        <w:rPr>
          <w:sz w:val="20"/>
          <w:szCs w:val="20"/>
          <w:color w:val="auto"/>
        </w:rPr>
      </w:pPr>
      <w:r>
        <w:rPr>
          <w:rFonts w:ascii="Arial" w:cs="Arial" w:eastAsia="Arial" w:hAnsi="Arial"/>
          <w:sz w:val="17"/>
          <w:szCs w:val="17"/>
          <w:color w:val="auto"/>
        </w:rPr>
        <w:t>As of December 31, 2024, the total unrecognized share-based compensation expense related to unvested share options and restricted share units was $50.6 million, which is expected to be recognized over the remaining weighted-average vesting period of 2.9 years.</w:t>
      </w:r>
    </w:p>
    <w:p>
      <w:pPr>
        <w:spacing w:after="0" w:line="113" w:lineRule="exact"/>
        <w:rPr>
          <w:sz w:val="20"/>
          <w:szCs w:val="20"/>
          <w:color w:val="auto"/>
        </w:rPr>
      </w:pPr>
    </w:p>
    <w:p>
      <w:pPr>
        <w:ind w:left="40" w:right="519"/>
        <w:spacing w:after="0" w:line="296" w:lineRule="auto"/>
        <w:rPr>
          <w:sz w:val="20"/>
          <w:szCs w:val="20"/>
          <w:color w:val="auto"/>
        </w:rPr>
      </w:pPr>
      <w:r>
        <w:rPr>
          <w:rFonts w:ascii="Arial" w:cs="Arial" w:eastAsia="Arial" w:hAnsi="Arial"/>
          <w:sz w:val="16"/>
          <w:szCs w:val="16"/>
          <w:color w:val="auto"/>
        </w:rPr>
        <w:t>As of December 31, 2024, the total unrecognized share-based compensation expense related to the ESPP was $0.9 million, which is expected to be recognized over the remaining weighted-average vesting period of 1.2 years.</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Ordinary Share Warrants</w:t>
      </w:r>
    </w:p>
    <w:p>
      <w:pPr>
        <w:spacing w:after="0" w:line="143" w:lineRule="exact"/>
        <w:rPr>
          <w:sz w:val="20"/>
          <w:szCs w:val="20"/>
          <w:color w:val="auto"/>
        </w:rPr>
      </w:pPr>
    </w:p>
    <w:p>
      <w:pPr>
        <w:ind w:left="40" w:right="59"/>
        <w:spacing w:after="0" w:line="236" w:lineRule="auto"/>
        <w:rPr>
          <w:sz w:val="20"/>
          <w:szCs w:val="20"/>
          <w:color w:val="auto"/>
        </w:rPr>
      </w:pPr>
      <w:r>
        <w:rPr>
          <w:rFonts w:ascii="Arial" w:cs="Arial" w:eastAsia="Arial" w:hAnsi="Arial"/>
          <w:sz w:val="17"/>
          <w:szCs w:val="17"/>
          <w:color w:val="auto"/>
        </w:rPr>
        <w:t>In connection with entering into a Loan and Security Agreement (the “SVB Agreement”) with Silicon Valley Bank (“SVB”) in 2020, the Company issued SVB a warrant to purchase shares of its ordinary shares at an exercise price of $0.48 per share (“SVB Warrant”). The SVB Warrant was immediately exercisable for 112,279 ordinary shares of the Company and could have been exercisable for an additional number of ordinary shares equal to 44,567 ordinary shares upon draw of Tranche A under the SVB Agreement and 22,283 ordinary shares upon draw of Tranche B under the SVB Agreement. The warrant for Tranche A shares and Tranche B shares expired on July 31, 2021 and July 31, 2022, respectively, as the Company elected to allow the Tranche A and Tranche B financings to expire unused on July 31, 2021 and July 31, 2022, respectively. In February 2023, SVB fully exercised the SVB Warrant for 106,060 ordinary shares through a cashless exercise.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9. Income Taxes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loss before income taxes by U.S. and foreign jurisdictions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111125</wp:posOffset>
            </wp:positionV>
            <wp:extent cx="56584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jc w:val="right"/>
              <w:ind w:right="458"/>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18"/>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2"/>
              <w:spacing w:after="0" w:line="14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8"/>
              <w:spacing w:after="0" w:line="144" w:lineRule="exact"/>
              <w:rPr>
                <w:sz w:val="20"/>
                <w:szCs w:val="20"/>
                <w:color w:val="auto"/>
              </w:rPr>
            </w:pPr>
            <w:r>
              <w:rPr>
                <w:rFonts w:ascii="Arial" w:cs="Arial" w:eastAsia="Arial" w:hAnsi="Arial"/>
                <w:sz w:val="13"/>
                <w:szCs w:val="13"/>
                <w:b w:val="1"/>
                <w:bCs w:val="1"/>
                <w:color w:val="auto"/>
              </w:rPr>
              <w:t>2023</w:t>
            </w:r>
          </w:p>
        </w:tc>
      </w:tr>
      <w:tr>
        <w:trPr>
          <w:trHeight w:val="195"/>
        </w:trPr>
        <w:tc>
          <w:tcPr>
            <w:tcW w:w="20" w:type="dxa"/>
            <w:vAlign w:val="bottom"/>
          </w:tcPr>
          <w:p>
            <w:pPr>
              <w:spacing w:after="0"/>
              <w:rPr>
                <w:sz w:val="16"/>
                <w:szCs w:val="16"/>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United States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8"/>
              </w:rPr>
              <w:t>(113,107)</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(79,895)</w:t>
            </w: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(9,109)</w:t>
            </w:r>
          </w:p>
        </w:tc>
        <w:tc>
          <w:tcPr>
            <w:tcW w:w="1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(9,489)</w:t>
            </w:r>
          </w:p>
        </w:tc>
      </w:tr>
      <w:tr>
        <w:trPr>
          <w:trHeight w:val="222"/>
        </w:trPr>
        <w:tc>
          <w:tcPr>
            <w:tcW w:w="6640" w:type="dxa"/>
            <w:vAlign w:val="bottom"/>
            <w:gridSpan w:val="2"/>
          </w:tcPr>
          <w:p>
            <w:pPr>
              <w:spacing w:after="0" w:line="182" w:lineRule="exact"/>
              <w:rPr>
                <w:sz w:val="20"/>
                <w:szCs w:val="20"/>
                <w:color w:val="auto"/>
              </w:rPr>
            </w:pPr>
            <w:r>
              <w:rPr>
                <w:rFonts w:ascii="Arial" w:cs="Arial" w:eastAsia="Arial" w:hAnsi="Arial"/>
                <w:sz w:val="17"/>
                <w:szCs w:val="17"/>
                <w:color w:val="auto"/>
              </w:rPr>
              <w:t>Total</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w w:val="84"/>
              </w:rPr>
              <w: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w w:val="98"/>
              </w:rPr>
              <w:t>(122,216)</w:t>
            </w:r>
          </w:p>
        </w:tc>
        <w:tc>
          <w:tcPr>
            <w:tcW w:w="180" w:type="dxa"/>
            <w:vAlign w:val="bottom"/>
          </w:tcPr>
          <w:p>
            <w:pPr>
              <w:spacing w:after="0"/>
              <w:rPr>
                <w:sz w:val="19"/>
                <w:szCs w:val="19"/>
                <w:color w:val="auto"/>
              </w:rPr>
            </w:pPr>
          </w:p>
        </w:tc>
        <w:tc>
          <w:tcPr>
            <w:tcW w:w="1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(89,384)</w:t>
            </w:r>
          </w:p>
        </w:tc>
      </w:tr>
      <w:tr>
        <w:trPr>
          <w:trHeight w:val="167"/>
        </w:trPr>
        <w:tc>
          <w:tcPr>
            <w:tcW w:w="20" w:type="dxa"/>
            <w:vAlign w:val="bottom"/>
          </w:tcPr>
          <w:p>
            <w:pPr>
              <w:spacing w:after="0"/>
              <w:rPr>
                <w:sz w:val="14"/>
                <w:szCs w:val="14"/>
                <w:color w:val="auto"/>
              </w:rPr>
            </w:pPr>
          </w:p>
        </w:tc>
        <w:tc>
          <w:tcPr>
            <w:tcW w:w="6620" w:type="dxa"/>
            <w:vAlign w:val="bottom"/>
            <w:tcBorders>
              <w:top w:val="single" w:sz="8" w:color="CCEEFF"/>
              <w:bottom w:val="single" w:sz="8" w:color="auto"/>
            </w:tcBorders>
            <w:shd w:val="clear" w:color="auto" w:fill="CCEEFF"/>
          </w:tcPr>
          <w:p>
            <w:pPr>
              <w:spacing w:after="0"/>
              <w:rPr>
                <w:sz w:val="14"/>
                <w:szCs w:val="14"/>
                <w:color w:val="auto"/>
              </w:rPr>
            </w:pPr>
          </w:p>
        </w:tc>
        <w:tc>
          <w:tcPr>
            <w:tcW w:w="3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r>
      <w:tr>
        <w:trPr>
          <w:trHeight w:val="387"/>
        </w:trPr>
        <w:tc>
          <w:tcPr>
            <w:tcW w:w="6640" w:type="dxa"/>
            <w:vAlign w:val="bottom"/>
            <w:gridSpan w:val="2"/>
          </w:tcPr>
          <w:p>
            <w:pPr>
              <w:spacing w:after="0"/>
              <w:rPr>
                <w:sz w:val="20"/>
                <w:szCs w:val="20"/>
                <w:color w:val="auto"/>
              </w:rPr>
            </w:pPr>
            <w:r>
              <w:rPr>
                <w:rFonts w:ascii="Arial" w:cs="Arial" w:eastAsia="Arial" w:hAnsi="Arial"/>
                <w:sz w:val="17"/>
                <w:szCs w:val="17"/>
                <w:color w:val="auto"/>
              </w:rPr>
              <w:t>The provision for (benefit from) income taxes consists of the following (in thousands):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1"/>
        </w:trPr>
        <w:tc>
          <w:tcPr>
            <w:tcW w:w="20" w:type="dxa"/>
            <w:vAlign w:val="bottom"/>
          </w:tcPr>
          <w:p>
            <w:pPr>
              <w:spacing w:after="0"/>
              <w:rPr>
                <w:sz w:val="13"/>
                <w:szCs w:val="13"/>
                <w:color w:val="auto"/>
              </w:rPr>
            </w:pPr>
          </w:p>
        </w:tc>
        <w:tc>
          <w:tcPr>
            <w:tcW w:w="6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tcPr>
          <w:p>
            <w:pPr>
              <w:jc w:val="right"/>
              <w:ind w:right="398"/>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358"/>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2"/>
              <w:spacing w:after="0" w:line="14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8"/>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20" w:type="dxa"/>
            <w:vAlign w:val="bottom"/>
          </w:tcPr>
          <w:p>
            <w:pPr>
              <w:spacing w:after="0"/>
              <w:rPr>
                <w:sz w:val="15"/>
                <w:szCs w:val="15"/>
                <w:color w:val="auto"/>
              </w:rPr>
            </w:pPr>
          </w:p>
        </w:tc>
        <w:tc>
          <w:tcPr>
            <w:tcW w:w="662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Current tax provision (benefit):</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20" w:type="dxa"/>
            <w:vAlign w:val="bottom"/>
          </w:tcPr>
          <w:p>
            <w:pPr>
              <w:ind w:left="80"/>
              <w:spacing w:after="0" w:line="189" w:lineRule="exact"/>
              <w:rPr>
                <w:sz w:val="20"/>
                <w:szCs w:val="20"/>
                <w:color w:val="auto"/>
              </w:rPr>
            </w:pPr>
            <w:r>
              <w:rPr>
                <w:rFonts w:ascii="Arial" w:cs="Arial" w:eastAsia="Arial" w:hAnsi="Arial"/>
                <w:sz w:val="17"/>
                <w:szCs w:val="17"/>
                <w:color w:val="auto"/>
              </w:rPr>
              <w:t>Federal</w:t>
            </w:r>
          </w:p>
        </w:tc>
        <w:tc>
          <w:tcPr>
            <w:tcW w:w="52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3"/>
          </w:tcPr>
          <w:p>
            <w:pPr>
              <w:ind w:left="200"/>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State</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20" w:type="dxa"/>
            <w:vAlign w:val="bottom"/>
          </w:tcPr>
          <w:p>
            <w:pPr>
              <w:spacing w:after="0"/>
              <w:rPr>
                <w:sz w:val="16"/>
                <w:szCs w:val="16"/>
                <w:color w:val="auto"/>
              </w:rPr>
            </w:pPr>
          </w:p>
        </w:tc>
        <w:tc>
          <w:tcPr>
            <w:tcW w:w="6620" w:type="dxa"/>
            <w:vAlign w:val="bottom"/>
            <w:tcBorders>
              <w:bottom w:val="single" w:sz="8" w:color="CCEEFF"/>
            </w:tcBorders>
          </w:tcPr>
          <w:p>
            <w:pPr>
              <w:ind w:left="80"/>
              <w:spacing w:after="0" w:line="189" w:lineRule="exact"/>
              <w:rPr>
                <w:sz w:val="20"/>
                <w:szCs w:val="20"/>
                <w:color w:val="auto"/>
              </w:rPr>
            </w:pPr>
            <w:r>
              <w:rPr>
                <w:rFonts w:ascii="Arial" w:cs="Arial" w:eastAsia="Arial" w:hAnsi="Arial"/>
                <w:sz w:val="17"/>
                <w:szCs w:val="17"/>
                <w:color w:val="auto"/>
              </w:rPr>
              <w:t>Foreign</w:t>
            </w: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320</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217</w:t>
            </w:r>
          </w:p>
        </w:tc>
      </w:tr>
      <w:tr>
        <w:trPr>
          <w:trHeight w:val="182"/>
        </w:trPr>
        <w:tc>
          <w:tcPr>
            <w:tcW w:w="20" w:type="dxa"/>
            <w:vAlign w:val="bottom"/>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328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222</w:t>
            </w:r>
          </w:p>
        </w:tc>
      </w:tr>
      <w:tr>
        <w:trPr>
          <w:trHeight w:val="182"/>
        </w:trPr>
        <w:tc>
          <w:tcPr>
            <w:tcW w:w="20" w:type="dxa"/>
            <w:vAlign w:val="bottom"/>
          </w:tcPr>
          <w:p>
            <w:pPr>
              <w:spacing w:after="0"/>
              <w:rPr>
                <w:sz w:val="15"/>
                <w:szCs w:val="15"/>
                <w:color w:val="auto"/>
              </w:rPr>
            </w:pPr>
          </w:p>
        </w:tc>
        <w:tc>
          <w:tcPr>
            <w:tcW w:w="6620" w:type="dxa"/>
            <w:vAlign w:val="bottom"/>
          </w:tcPr>
          <w:p>
            <w:pPr>
              <w:spacing w:after="0" w:line="182" w:lineRule="exact"/>
              <w:rPr>
                <w:sz w:val="20"/>
                <w:szCs w:val="20"/>
                <w:color w:val="auto"/>
              </w:rPr>
            </w:pPr>
            <w:r>
              <w:rPr>
                <w:rFonts w:ascii="Arial" w:cs="Arial" w:eastAsia="Arial" w:hAnsi="Arial"/>
                <w:sz w:val="17"/>
                <w:szCs w:val="17"/>
                <w:color w:val="auto"/>
              </w:rPr>
              <w:t>Deferred tax provision (benefit):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Federal</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620" w:type="dxa"/>
            <w:vAlign w:val="bottom"/>
          </w:tcPr>
          <w:p>
            <w:pPr>
              <w:ind w:left="80"/>
              <w:spacing w:after="0" w:line="189" w:lineRule="exact"/>
              <w:rPr>
                <w:sz w:val="20"/>
                <w:szCs w:val="20"/>
                <w:color w:val="auto"/>
              </w:rPr>
            </w:pPr>
            <w:r>
              <w:rPr>
                <w:rFonts w:ascii="Arial" w:cs="Arial" w:eastAsia="Arial" w:hAnsi="Arial"/>
                <w:sz w:val="17"/>
                <w:szCs w:val="17"/>
                <w:color w:val="auto"/>
              </w:rPr>
              <w:t>State</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66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Foreign</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9"/>
        </w:trPr>
        <w:tc>
          <w:tcPr>
            <w:tcW w:w="6640" w:type="dxa"/>
            <w:vAlign w:val="bottom"/>
            <w:gridSpan w:val="2"/>
          </w:tcPr>
          <w:p>
            <w:pPr>
              <w:spacing w:after="0"/>
              <w:rPr>
                <w:sz w:val="16"/>
                <w:szCs w:val="16"/>
                <w:color w:val="auto"/>
              </w:rPr>
            </w:pPr>
          </w:p>
        </w:tc>
        <w:tc>
          <w:tcPr>
            <w:tcW w:w="4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Total provision (benefit) for income taxes:</w:t>
            </w:r>
          </w:p>
        </w:tc>
        <w:tc>
          <w:tcPr>
            <w:tcW w:w="4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310</w:t>
            </w: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236</w:t>
            </w:r>
          </w:p>
        </w:tc>
      </w:tr>
      <w:tr>
        <w:trPr>
          <w:trHeight w:val="20"/>
        </w:trPr>
        <w:tc>
          <w:tcPr>
            <w:tcW w:w="6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602"/>
        </w:trPr>
        <w:tc>
          <w:tcPr>
            <w:tcW w:w="6640" w:type="dxa"/>
            <w:vAlign w:val="bottom"/>
            <w:gridSpan w:val="2"/>
          </w:tcPr>
          <w:p>
            <w:pPr>
              <w:jc w:val="right"/>
              <w:ind w:right="1956"/>
              <w:spacing w:after="0"/>
              <w:rPr>
                <w:sz w:val="20"/>
                <w:szCs w:val="20"/>
                <w:color w:val="auto"/>
              </w:rPr>
            </w:pPr>
            <w:r>
              <w:rPr>
                <w:rFonts w:ascii="Arial" w:cs="Arial" w:eastAsia="Arial" w:hAnsi="Arial"/>
                <w:sz w:val="17"/>
                <w:szCs w:val="17"/>
                <w:color w:val="auto"/>
              </w:rPr>
              <w:t>184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7"/>
        </w:trPr>
        <w:tc>
          <w:tcPr>
            <w:tcW w:w="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9" w:right="1440" w:bottom="1440" w:gutter="0" w:footer="0" w:header="0"/>
        </w:sectPr>
      </w:pPr>
    </w:p>
    <w:bookmarkStart w:id="184" w:name="page185"/>
    <w:bookmarkEnd w:id="18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357" w:lineRule="exact"/>
        <w:rPr>
          <w:sz w:val="20"/>
          <w:szCs w:val="20"/>
          <w:color w:val="auto"/>
        </w:rPr>
      </w:pPr>
    </w:p>
    <w:p>
      <w:pPr>
        <w:ind w:left="40" w:right="279"/>
        <w:spacing w:after="0" w:line="265" w:lineRule="auto"/>
        <w:rPr>
          <w:sz w:val="20"/>
          <w:szCs w:val="20"/>
          <w:color w:val="auto"/>
        </w:rPr>
      </w:pPr>
      <w:r>
        <w:rPr>
          <w:rFonts w:ascii="Arial" w:cs="Arial" w:eastAsia="Arial" w:hAnsi="Arial"/>
          <w:sz w:val="17"/>
          <w:szCs w:val="17"/>
          <w:color w:val="auto"/>
        </w:rPr>
        <w:t>The Company is domiciled in the Cayman Islands and the reconciliation of the expected tax computed at the zero tax rate for the Cayman Islands to the total provision (benefit)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113030</wp:posOffset>
            </wp:positionV>
            <wp:extent cx="56584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40" w:type="dxa"/>
            <w:vAlign w:val="bottom"/>
            <w:gridSpan w:val="4"/>
          </w:tcPr>
          <w:p>
            <w:pPr>
              <w:jc w:val="right"/>
              <w:ind w:right="456"/>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70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4" w:lineRule="exact"/>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4" w:lineRule="exact"/>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182"/>
        </w:trPr>
        <w:tc>
          <w:tcPr>
            <w:tcW w:w="70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Tax computed at Cayman Island statutory rate</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16"/>
              <w:spacing w:after="0" w:line="182" w:lineRule="exact"/>
              <w:rPr>
                <w:sz w:val="20"/>
                <w:szCs w:val="20"/>
                <w:color w:val="auto"/>
              </w:rPr>
            </w:pPr>
            <w:r>
              <w:rPr>
                <w:rFonts w:ascii="Arial" w:cs="Arial" w:eastAsia="Arial" w:hAnsi="Arial"/>
                <w:sz w:val="17"/>
                <w:szCs w:val="17"/>
                <w:color w:val="auto"/>
                <w:w w:val="79"/>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92"/>
              </w:rPr>
              <w:t>%</w:t>
            </w:r>
          </w:p>
        </w:tc>
      </w:tr>
      <w:tr>
        <w:trPr>
          <w:trHeight w:val="189"/>
        </w:trPr>
        <w:tc>
          <w:tcPr>
            <w:tcW w:w="7080" w:type="dxa"/>
            <w:vAlign w:val="bottom"/>
          </w:tcPr>
          <w:p>
            <w:pPr>
              <w:spacing w:after="0" w:line="189" w:lineRule="exact"/>
              <w:rPr>
                <w:sz w:val="20"/>
                <w:szCs w:val="20"/>
                <w:color w:val="auto"/>
              </w:rPr>
            </w:pPr>
            <w:r>
              <w:rPr>
                <w:rFonts w:ascii="Arial" w:cs="Arial" w:eastAsia="Arial" w:hAnsi="Arial"/>
                <w:sz w:val="17"/>
                <w:szCs w:val="17"/>
                <w:color w:val="auto"/>
              </w:rPr>
              <w:t>U.S. federal tax differential</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19.4</w:t>
            </w:r>
          </w:p>
        </w:tc>
        <w:tc>
          <w:tcPr>
            <w:tcW w:w="2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18.8</w:t>
            </w:r>
          </w:p>
        </w:tc>
        <w:tc>
          <w:tcPr>
            <w:tcW w:w="200" w:type="dxa"/>
            <w:vAlign w:val="bottom"/>
          </w:tcPr>
          <w:p>
            <w:pPr>
              <w:spacing w:after="0"/>
              <w:rPr>
                <w:sz w:val="16"/>
                <w:szCs w:val="16"/>
                <w:color w:val="auto"/>
              </w:rPr>
            </w:pPr>
          </w:p>
        </w:tc>
      </w:tr>
      <w:tr>
        <w:trPr>
          <w:trHeight w:val="189"/>
        </w:trPr>
        <w:tc>
          <w:tcPr>
            <w:tcW w:w="7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income tax, net of federal benefit</w:t>
            </w:r>
          </w:p>
        </w:tc>
        <w:tc>
          <w:tcPr>
            <w:tcW w:w="940" w:type="dxa"/>
            <w:vAlign w:val="bottom"/>
            <w:gridSpan w:val="2"/>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(0.1)</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200" w:type="dxa"/>
            <w:vAlign w:val="bottom"/>
            <w:shd w:val="clear" w:color="auto" w:fill="CCEEFF"/>
          </w:tcPr>
          <w:p>
            <w:pPr>
              <w:spacing w:after="0"/>
              <w:rPr>
                <w:sz w:val="16"/>
                <w:szCs w:val="16"/>
                <w:color w:val="auto"/>
              </w:rPr>
            </w:pPr>
          </w:p>
        </w:tc>
      </w:tr>
      <w:tr>
        <w:trPr>
          <w:trHeight w:val="189"/>
        </w:trPr>
        <w:tc>
          <w:tcPr>
            <w:tcW w:w="7080" w:type="dxa"/>
            <w:vAlign w:val="bottom"/>
          </w:tcPr>
          <w:p>
            <w:pPr>
              <w:spacing w:after="0" w:line="189" w:lineRule="exact"/>
              <w:rPr>
                <w:sz w:val="20"/>
                <w:szCs w:val="20"/>
                <w:color w:val="auto"/>
              </w:rPr>
            </w:pPr>
            <w:r>
              <w:rPr>
                <w:rFonts w:ascii="Arial" w:cs="Arial" w:eastAsia="Arial" w:hAnsi="Arial"/>
                <w:sz w:val="17"/>
                <w:szCs w:val="17"/>
                <w:color w:val="auto"/>
              </w:rPr>
              <w:t>Changes in unrecognized tax benefits</w:t>
            </w:r>
          </w:p>
        </w:tc>
        <w:tc>
          <w:tcPr>
            <w:tcW w:w="940" w:type="dxa"/>
            <w:vAlign w:val="bottom"/>
            <w:gridSpan w:val="2"/>
          </w:tcPr>
          <w:p>
            <w:pPr>
              <w:jc w:val="right"/>
              <w:ind w:right="156"/>
              <w:spacing w:after="0" w:line="189" w:lineRule="exact"/>
              <w:rPr>
                <w:sz w:val="20"/>
                <w:szCs w:val="20"/>
                <w:color w:val="auto"/>
              </w:rPr>
            </w:pPr>
            <w:r>
              <w:rPr>
                <w:rFonts w:ascii="Arial" w:cs="Arial" w:eastAsia="Arial" w:hAnsi="Arial"/>
                <w:sz w:val="17"/>
                <w:szCs w:val="17"/>
                <w:color w:val="auto"/>
              </w:rPr>
              <w:t>(4.0)</w:t>
            </w:r>
          </w:p>
        </w:tc>
        <w:tc>
          <w:tcPr>
            <w:tcW w:w="900" w:type="dxa"/>
            <w:vAlign w:val="bottom"/>
            <w:gridSpan w:val="2"/>
          </w:tcPr>
          <w:p>
            <w:pPr>
              <w:jc w:val="right"/>
              <w:ind w:right="116"/>
              <w:spacing w:after="0" w:line="189" w:lineRule="exact"/>
              <w:rPr>
                <w:sz w:val="20"/>
                <w:szCs w:val="20"/>
                <w:color w:val="auto"/>
              </w:rPr>
            </w:pPr>
            <w:r>
              <w:rPr>
                <w:rFonts w:ascii="Arial" w:cs="Arial" w:eastAsia="Arial" w:hAnsi="Arial"/>
                <w:sz w:val="17"/>
                <w:szCs w:val="17"/>
                <w:color w:val="auto"/>
              </w:rPr>
              <w:t>(0.6)</w:t>
            </w:r>
          </w:p>
        </w:tc>
      </w:tr>
      <w:tr>
        <w:trPr>
          <w:trHeight w:val="189"/>
        </w:trPr>
        <w:tc>
          <w:tcPr>
            <w:tcW w:w="7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940" w:type="dxa"/>
            <w:vAlign w:val="bottom"/>
            <w:gridSpan w:val="2"/>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(1.7)</w:t>
            </w:r>
          </w:p>
        </w:tc>
        <w:tc>
          <w:tcPr>
            <w:tcW w:w="900" w:type="dxa"/>
            <w:vAlign w:val="bottom"/>
            <w:gridSpan w:val="2"/>
            <w:shd w:val="clear" w:color="auto" w:fill="CCEEFF"/>
          </w:tcPr>
          <w:p>
            <w:pPr>
              <w:jc w:val="right"/>
              <w:ind w:right="116"/>
              <w:spacing w:after="0" w:line="189" w:lineRule="exact"/>
              <w:rPr>
                <w:sz w:val="20"/>
                <w:szCs w:val="20"/>
                <w:color w:val="auto"/>
              </w:rPr>
            </w:pPr>
            <w:r>
              <w:rPr>
                <w:rFonts w:ascii="Arial" w:cs="Arial" w:eastAsia="Arial" w:hAnsi="Arial"/>
                <w:sz w:val="17"/>
                <w:szCs w:val="17"/>
                <w:color w:val="auto"/>
              </w:rPr>
              <w:t>(1.9)</w:t>
            </w:r>
          </w:p>
        </w:tc>
      </w:tr>
      <w:tr>
        <w:trPr>
          <w:trHeight w:val="189"/>
        </w:trPr>
        <w:tc>
          <w:tcPr>
            <w:tcW w:w="7080" w:type="dxa"/>
            <w:vAlign w:val="bottom"/>
          </w:tcPr>
          <w:p>
            <w:pPr>
              <w:spacing w:after="0" w:line="189" w:lineRule="exact"/>
              <w:rPr>
                <w:sz w:val="20"/>
                <w:szCs w:val="20"/>
                <w:color w:val="auto"/>
              </w:rPr>
            </w:pPr>
            <w:r>
              <w:rPr>
                <w:rFonts w:ascii="Arial" w:cs="Arial" w:eastAsia="Arial" w:hAnsi="Arial"/>
                <w:sz w:val="17"/>
                <w:szCs w:val="17"/>
                <w:color w:val="auto"/>
              </w:rPr>
              <w:t>Tax rate differential for international subsidiaries</w:t>
            </w:r>
          </w:p>
        </w:tc>
        <w:tc>
          <w:tcPr>
            <w:tcW w:w="940" w:type="dxa"/>
            <w:vAlign w:val="bottom"/>
            <w:gridSpan w:val="2"/>
          </w:tcPr>
          <w:p>
            <w:pPr>
              <w:jc w:val="right"/>
              <w:ind w:right="156"/>
              <w:spacing w:after="0" w:line="189" w:lineRule="exact"/>
              <w:rPr>
                <w:sz w:val="20"/>
                <w:szCs w:val="20"/>
                <w:color w:val="auto"/>
              </w:rPr>
            </w:pPr>
            <w:r>
              <w:rPr>
                <w:rFonts w:ascii="Arial" w:cs="Arial" w:eastAsia="Arial" w:hAnsi="Arial"/>
                <w:sz w:val="17"/>
                <w:szCs w:val="17"/>
                <w:color w:val="auto"/>
              </w:rPr>
              <w:t>(0.2)</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0.8</w:t>
            </w:r>
          </w:p>
        </w:tc>
        <w:tc>
          <w:tcPr>
            <w:tcW w:w="200" w:type="dxa"/>
            <w:vAlign w:val="bottom"/>
          </w:tcPr>
          <w:p>
            <w:pPr>
              <w:spacing w:after="0"/>
              <w:rPr>
                <w:sz w:val="16"/>
                <w:szCs w:val="16"/>
                <w:color w:val="auto"/>
              </w:rPr>
            </w:pPr>
          </w:p>
        </w:tc>
      </w:tr>
      <w:tr>
        <w:trPr>
          <w:trHeight w:val="189"/>
        </w:trPr>
        <w:tc>
          <w:tcPr>
            <w:tcW w:w="7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credits</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16"/>
                <w:szCs w:val="16"/>
                <w:color w:val="auto"/>
              </w:rPr>
            </w:pPr>
          </w:p>
        </w:tc>
      </w:tr>
      <w:tr>
        <w:trPr>
          <w:trHeight w:val="189"/>
        </w:trPr>
        <w:tc>
          <w:tcPr>
            <w:tcW w:w="7080" w:type="dxa"/>
            <w:vAlign w:val="bottom"/>
          </w:tcPr>
          <w:p>
            <w:pPr>
              <w:spacing w:after="0" w:line="189" w:lineRule="exact"/>
              <w:rPr>
                <w:sz w:val="20"/>
                <w:szCs w:val="20"/>
                <w:color w:val="auto"/>
              </w:rPr>
            </w:pPr>
            <w:r>
              <w:rPr>
                <w:rFonts w:ascii="Arial" w:cs="Arial" w:eastAsia="Arial" w:hAnsi="Arial"/>
                <w:sz w:val="17"/>
                <w:szCs w:val="17"/>
                <w:color w:val="auto"/>
              </w:rPr>
              <w:t>Valuation allowance</w:t>
            </w:r>
          </w:p>
        </w:tc>
        <w:tc>
          <w:tcPr>
            <w:tcW w:w="940" w:type="dxa"/>
            <w:vAlign w:val="bottom"/>
            <w:gridSpan w:val="2"/>
          </w:tcPr>
          <w:p>
            <w:pPr>
              <w:jc w:val="right"/>
              <w:ind w:right="156"/>
              <w:spacing w:after="0" w:line="189" w:lineRule="exact"/>
              <w:rPr>
                <w:sz w:val="20"/>
                <w:szCs w:val="20"/>
                <w:color w:val="auto"/>
              </w:rPr>
            </w:pPr>
            <w:r>
              <w:rPr>
                <w:rFonts w:ascii="Arial" w:cs="Arial" w:eastAsia="Arial" w:hAnsi="Arial"/>
                <w:sz w:val="17"/>
                <w:szCs w:val="17"/>
                <w:color w:val="auto"/>
              </w:rPr>
              <w:t>(13.8)</w:t>
            </w:r>
          </w:p>
        </w:tc>
        <w:tc>
          <w:tcPr>
            <w:tcW w:w="900" w:type="dxa"/>
            <w:vAlign w:val="bottom"/>
            <w:gridSpan w:val="2"/>
          </w:tcPr>
          <w:p>
            <w:pPr>
              <w:jc w:val="right"/>
              <w:ind w:right="116"/>
              <w:spacing w:after="0" w:line="189" w:lineRule="exact"/>
              <w:rPr>
                <w:sz w:val="20"/>
                <w:szCs w:val="20"/>
                <w:color w:val="auto"/>
              </w:rPr>
            </w:pPr>
            <w:r>
              <w:rPr>
                <w:rFonts w:ascii="Arial" w:cs="Arial" w:eastAsia="Arial" w:hAnsi="Arial"/>
                <w:sz w:val="17"/>
                <w:szCs w:val="17"/>
                <w:color w:val="auto"/>
              </w:rPr>
              <w:t>(26.7)</w:t>
            </w:r>
          </w:p>
        </w:tc>
      </w:tr>
      <w:tr>
        <w:trPr>
          <w:trHeight w:val="189"/>
        </w:trPr>
        <w:tc>
          <w:tcPr>
            <w:tcW w:w="7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940" w:type="dxa"/>
            <w:vAlign w:val="bottom"/>
            <w:gridSpan w:val="2"/>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(1.5)</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0.5</w:t>
            </w:r>
          </w:p>
        </w:tc>
        <w:tc>
          <w:tcPr>
            <w:tcW w:w="200" w:type="dxa"/>
            <w:vAlign w:val="bottom"/>
            <w:shd w:val="clear" w:color="auto" w:fill="CCEEFF"/>
          </w:tcPr>
          <w:p>
            <w:pPr>
              <w:spacing w:after="0"/>
              <w:rPr>
                <w:sz w:val="16"/>
                <w:szCs w:val="16"/>
                <w:color w:val="auto"/>
              </w:rPr>
            </w:pPr>
          </w:p>
        </w:tc>
      </w:tr>
      <w:tr>
        <w:trPr>
          <w:trHeight w:val="222"/>
        </w:trPr>
        <w:tc>
          <w:tcPr>
            <w:tcW w:w="7080" w:type="dxa"/>
            <w:vAlign w:val="bottom"/>
            <w:tcBorders>
              <w:bottom w:val="single" w:sz="8" w:color="CCEEFF"/>
            </w:tcBorders>
          </w:tcPr>
          <w:p>
            <w:pPr>
              <w:ind w:left="100"/>
              <w:spacing w:after="0" w:line="182" w:lineRule="exact"/>
              <w:rPr>
                <w:sz w:val="20"/>
                <w:szCs w:val="20"/>
                <w:color w:val="auto"/>
              </w:rPr>
            </w:pPr>
            <w:r>
              <w:rPr>
                <w:rFonts w:ascii="Arial" w:cs="Arial" w:eastAsia="Arial" w:hAnsi="Arial"/>
                <w:sz w:val="17"/>
                <w:szCs w:val="17"/>
                <w:color w:val="auto"/>
              </w:rPr>
              <w:t>Effective tax rate</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(0.3)</w:t>
            </w:r>
          </w:p>
        </w:tc>
        <w:tc>
          <w:tcPr>
            <w:tcW w:w="240" w:type="dxa"/>
            <w:vAlign w:val="bottom"/>
            <w:tcBorders>
              <w:bottom w:val="single" w:sz="8" w:color="CCEEFF"/>
            </w:tcBorders>
          </w:tcPr>
          <w:p>
            <w:pPr>
              <w:jc w:val="right"/>
              <w:ind w:right="16"/>
              <w:spacing w:after="0" w:line="182" w:lineRule="exact"/>
              <w:rPr>
                <w:sz w:val="20"/>
                <w:szCs w:val="20"/>
                <w:color w:val="auto"/>
              </w:rPr>
            </w:pPr>
            <w:r>
              <w:rPr>
                <w:rFonts w:ascii="Arial" w:cs="Arial" w:eastAsia="Arial" w:hAnsi="Arial"/>
                <w:sz w:val="17"/>
                <w:szCs w:val="17"/>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(0.3)</w:t>
            </w:r>
          </w:p>
        </w:tc>
        <w:tc>
          <w:tcPr>
            <w:tcW w:w="200" w:type="dxa"/>
            <w:vAlign w:val="bottom"/>
            <w:tcBorders>
              <w:bottom w:val="single" w:sz="8" w:color="CCEEFF"/>
            </w:tcBorders>
          </w:tcPr>
          <w:p>
            <w:pPr>
              <w:jc w:val="right"/>
              <w:spacing w:after="0" w:line="182" w:lineRule="exact"/>
              <w:rPr>
                <w:sz w:val="20"/>
                <w:szCs w:val="20"/>
                <w:color w:val="auto"/>
              </w:rPr>
            </w:pPr>
            <w:r>
              <w:rPr>
                <w:rFonts w:ascii="Arial" w:cs="Arial" w:eastAsia="Arial" w:hAnsi="Arial"/>
                <w:sz w:val="17"/>
                <w:szCs w:val="17"/>
                <w:color w:val="auto"/>
                <w:w w:val="92"/>
              </w:rPr>
              <w:t>%</w:t>
            </w:r>
          </w:p>
        </w:tc>
      </w:tr>
      <w:tr>
        <w:trPr>
          <w:trHeight w:val="167"/>
        </w:trPr>
        <w:tc>
          <w:tcPr>
            <w:tcW w:w="70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bl>
    <w:p>
      <w:pPr>
        <w:spacing w:after="0" w:line="173" w:lineRule="exact"/>
        <w:rPr>
          <w:sz w:val="20"/>
          <w:szCs w:val="20"/>
          <w:color w:val="auto"/>
        </w:rPr>
      </w:pPr>
    </w:p>
    <w:p>
      <w:pPr>
        <w:ind w:left="40" w:right="219"/>
        <w:spacing w:after="0" w:line="265" w:lineRule="auto"/>
        <w:rPr>
          <w:sz w:val="20"/>
          <w:szCs w:val="20"/>
          <w:color w:val="auto"/>
        </w:rPr>
      </w:pPr>
      <w:r>
        <w:rPr>
          <w:rFonts w:ascii="Arial" w:cs="Arial" w:eastAsia="Arial" w:hAnsi="Arial"/>
          <w:sz w:val="17"/>
          <w:szCs w:val="17"/>
          <w:color w:val="auto"/>
        </w:rPr>
        <w:t>A valuation allowance has been recognized to offset the Company’s deferred tax assets, as necessary, by the amount of any tax benefits that, based on evidence, are not expected to be realized.</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Significant components of the Company’s deferred tax asset or liability are shown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142875</wp:posOffset>
            </wp:positionV>
            <wp:extent cx="56584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8"/>
              <w:spacing w:after="0" w:line="14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4"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Net operating loss</w:t>
            </w: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26,182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29,217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7"/>
                <w:szCs w:val="17"/>
                <w:color w:val="auto"/>
              </w:rPr>
              <w:t>Research and experimentation expenses</w:t>
            </w: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33,313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16,911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credits</w:t>
            </w: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5,054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7"/>
                <w:szCs w:val="17"/>
                <w:color w:val="auto"/>
              </w:rPr>
              <w:t>Stock-Based compensation and bonus accrual</w:t>
            </w: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2,433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1,737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liability</w:t>
            </w: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7"/>
                <w:szCs w:val="17"/>
                <w:color w:val="auto"/>
              </w:rPr>
              <w:t>Related party accrued expenses</w:t>
            </w: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1,302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1,036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7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152</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ind w:left="80"/>
              <w:spacing w:after="0" w:line="182" w:lineRule="exact"/>
              <w:rPr>
                <w:sz w:val="20"/>
                <w:szCs w:val="20"/>
                <w:color w:val="auto"/>
              </w:rPr>
            </w:pPr>
            <w:r>
              <w:rPr>
                <w:rFonts w:ascii="Arial" w:cs="Arial" w:eastAsia="Arial" w:hAnsi="Arial"/>
                <w:sz w:val="17"/>
                <w:szCs w:val="17"/>
                <w:color w:val="auto"/>
              </w:rPr>
              <w:t>Total deferred tax assets</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7"/>
                <w:szCs w:val="17"/>
                <w:color w:val="auto"/>
              </w:rPr>
              <w:t>69,092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7"/>
                <w:szCs w:val="17"/>
                <w:color w:val="auto"/>
              </w:rPr>
              <w:t>52,775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Valuation allowance</w:t>
            </w:r>
          </w:p>
        </w:tc>
        <w:tc>
          <w:tcPr>
            <w:tcW w:w="17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(68,179)</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(51,551)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ind w:left="80"/>
              <w:spacing w:after="0" w:line="182" w:lineRule="exact"/>
              <w:rPr>
                <w:sz w:val="20"/>
                <w:szCs w:val="20"/>
                <w:color w:val="auto"/>
              </w:rPr>
            </w:pPr>
            <w:r>
              <w:rPr>
                <w:rFonts w:ascii="Arial" w:cs="Arial" w:eastAsia="Arial" w:hAnsi="Arial"/>
                <w:sz w:val="17"/>
                <w:szCs w:val="17"/>
                <w:color w:val="auto"/>
              </w:rPr>
              <w:t>Net deferred tax assets</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7"/>
                <w:szCs w:val="17"/>
                <w:color w:val="auto"/>
              </w:rPr>
              <w:t>913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7"/>
                <w:szCs w:val="17"/>
                <w:color w:val="auto"/>
              </w:rPr>
              <w:t>1,224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tcPr>
          <w:p>
            <w:pPr>
              <w:spacing w:after="0" w:line="189" w:lineRule="exact"/>
              <w:rPr>
                <w:sz w:val="20"/>
                <w:szCs w:val="20"/>
                <w:color w:val="auto"/>
              </w:rPr>
            </w:pPr>
            <w:r>
              <w:rPr>
                <w:rFonts w:ascii="Arial" w:cs="Arial" w:eastAsia="Arial" w:hAnsi="Arial"/>
                <w:sz w:val="17"/>
                <w:szCs w:val="17"/>
                <w:color w:val="auto"/>
              </w:rPr>
              <w:t>Right-of-use assets</w:t>
            </w: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(487)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w:t>
            </w:r>
          </w:p>
        </w:tc>
        <w:tc>
          <w:tcPr>
            <w:tcW w:w="1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Other</w:t>
            </w:r>
          </w:p>
        </w:tc>
        <w:tc>
          <w:tcPr>
            <w:tcW w:w="1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(242)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shd w:val="clear" w:color="auto" w:fill="CCEEFF"/>
          </w:tcPr>
          <w:p>
            <w:pPr>
              <w:ind w:left="80"/>
              <w:spacing w:after="0" w:line="182" w:lineRule="exact"/>
              <w:rPr>
                <w:sz w:val="20"/>
                <w:szCs w:val="20"/>
                <w:color w:val="auto"/>
              </w:rPr>
            </w:pPr>
            <w:r>
              <w:rPr>
                <w:rFonts w:ascii="Arial" w:cs="Arial" w:eastAsia="Arial" w:hAnsi="Arial"/>
                <w:sz w:val="17"/>
                <w:szCs w:val="17"/>
                <w:color w:val="auto"/>
              </w:rPr>
              <w:t>Total deferred tax liabilities</w:t>
            </w:r>
          </w:p>
        </w:tc>
        <w:tc>
          <w:tcPr>
            <w:tcW w:w="17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(810)</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line="182" w:lineRule="exact"/>
              <w:rPr>
                <w:sz w:val="20"/>
                <w:szCs w:val="20"/>
                <w:color w:val="auto"/>
              </w:rPr>
            </w:pPr>
            <w:r>
              <w:rPr>
                <w:rFonts w:ascii="Arial" w:cs="Arial" w:eastAsia="Arial" w:hAnsi="Arial"/>
                <w:sz w:val="17"/>
                <w:szCs w:val="17"/>
                <w:color w:val="auto"/>
              </w:rPr>
              <w:t>Net deferred tax assets</w:t>
            </w:r>
          </w:p>
        </w:tc>
        <w:tc>
          <w:tcPr>
            <w:tcW w:w="1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103</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Borders>
              <w:top w:val="single" w:sz="8" w:color="CCEEFF"/>
              <w:bottom w:val="single" w:sz="8" w:color="auto"/>
            </w:tcBorders>
            <w:shd w:val="clear" w:color="auto" w:fill="CCEEFF"/>
          </w:tcPr>
          <w:p>
            <w:pPr>
              <w:spacing w:after="0"/>
              <w:rPr>
                <w:sz w:val="15"/>
                <w:szCs w:val="15"/>
                <w:color w:val="auto"/>
              </w:rPr>
            </w:pPr>
          </w:p>
        </w:tc>
        <w:tc>
          <w:tcPr>
            <w:tcW w:w="178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0" w:right="59"/>
        <w:spacing w:after="0" w:line="243" w:lineRule="auto"/>
        <w:rPr>
          <w:sz w:val="20"/>
          <w:szCs w:val="20"/>
          <w:color w:val="auto"/>
        </w:rPr>
      </w:pPr>
      <w:r>
        <w:rPr>
          <w:rFonts w:ascii="Arial" w:cs="Arial" w:eastAsia="Arial" w:hAnsi="Arial"/>
          <w:sz w:val="17"/>
          <w:szCs w:val="17"/>
          <w:color w:val="auto"/>
        </w:rPr>
        <w:t>The Company considers the earnings of its foreign subsidiaries to be indefinitely reinvested outside of the United States. The amount of unrecognized deferred tax liability on these undistributed earnings is not material as of December 31, 2024 where the potential income taxes or foreign withholding taxes that might arise if such earnings were distributed in the future.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5" w:name="page186"/>
    <w:bookmarkEnd w:id="18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99"/>
        <w:spacing w:after="0" w:line="254" w:lineRule="auto"/>
        <w:rPr>
          <w:sz w:val="20"/>
          <w:szCs w:val="20"/>
          <w:color w:val="auto"/>
        </w:rPr>
      </w:pPr>
      <w:r>
        <w:rPr>
          <w:rFonts w:ascii="Arial" w:cs="Arial" w:eastAsia="Arial" w:hAnsi="Arial"/>
          <w:sz w:val="16"/>
          <w:szCs w:val="16"/>
          <w:color w:val="auto"/>
        </w:rPr>
        <w:t>The Company maintained a full valuation allowance against its U.S. net deferred tax assets as of December 31, 2024 and 2023. The valuation allowance increased by $16.6 million and $23.8 million during the years ended December 31, 2024 and 2023, respectively. The change in valuation allowance for the year ended December 31, 2024 is primarily attributable to the capitalization of research or experimental (“R&amp;E”) expenditures of $16.4 million resulting from the Tax Cuts and Jobs Act (“TCJA”). The change in valuation allowance for the year ended December 31, 2023 is primarily attributable to increases in current year net operating loss (“NOL”) carryforwards of $10.4 million and the capitalization of R&amp;E expenditures of $10.9 million. The Company will continue to assess the likelihood of realization of its deferred tax assets in each of the applicable jurisdictions in future periods and will adjust the valuation allowance accordingly.</w:t>
      </w:r>
    </w:p>
    <w:p>
      <w:pPr>
        <w:spacing w:after="0" w:line="121" w:lineRule="exact"/>
        <w:rPr>
          <w:sz w:val="20"/>
          <w:szCs w:val="20"/>
          <w:color w:val="auto"/>
        </w:rPr>
      </w:pPr>
    </w:p>
    <w:p>
      <w:pPr>
        <w:ind w:left="40" w:right="279"/>
        <w:spacing w:after="0" w:line="239" w:lineRule="auto"/>
        <w:rPr>
          <w:sz w:val="20"/>
          <w:szCs w:val="20"/>
          <w:color w:val="auto"/>
        </w:rPr>
      </w:pPr>
      <w:r>
        <w:rPr>
          <w:rFonts w:ascii="Arial" w:cs="Arial" w:eastAsia="Arial" w:hAnsi="Arial"/>
          <w:sz w:val="17"/>
          <w:szCs w:val="17"/>
          <w:color w:val="auto"/>
        </w:rPr>
        <w:t>As of December 31, 2024, the Company had U.S. federal NOLs and federal tax credit carryforwards of $99.2 million and $5.7 million, respectively. The federal NOL will begin to expire in 2036 and the federal tax credits will begin to expire in 2039 if not utilized. In addition, as of December 31, 2024, the Company had state NOLs and state tax credit carryforwards of approximately $147.8 and $ 1.3 million, respectively, as reported on the Company’s tax returns. The state NOLs will begin to expire in 2036 if not utilized. State tax credits and the federal NOLs carryforwards incurred in tax years beginning after December 31, 2017 can be carried forward indefinitely.</w:t>
      </w:r>
    </w:p>
    <w:p>
      <w:pPr>
        <w:spacing w:after="0" w:line="132"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Under Sections 382 and 383 of the Internal Revenue Code of 1986, as amended (the “Code”), a corporation that undergoes an “ownership change” is subject to limitations on its ability to utilize its pre-change NOLs and tax attributes to offset future taxable income or tax liability. The Company may have undergone ownership changes in the past, which could result in limitations on its ability to utilize its NOLs, or future changes in its stock ownership, some of which are outside of its control, could result in an ownership change under Section 382 and similar state provisions. Such an annual limitation could result in the expiration of the NOL and tax credit carryforwards before utilization, and it would not be material to the consolidated financial statements.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reconciliation of the beginning and ending balance of total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118745</wp:posOffset>
            </wp:positionV>
            <wp:extent cx="56584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70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1"/>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706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Beginning of year</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877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289</w:t>
            </w:r>
          </w:p>
        </w:tc>
      </w:tr>
      <w:tr>
        <w:trPr>
          <w:trHeight w:val="189"/>
        </w:trPr>
        <w:tc>
          <w:tcPr>
            <w:tcW w:w="7060" w:type="dxa"/>
            <w:vAlign w:val="bottom"/>
          </w:tcPr>
          <w:p>
            <w:pPr>
              <w:ind w:left="200"/>
              <w:spacing w:after="0" w:line="189" w:lineRule="exact"/>
              <w:rPr>
                <w:sz w:val="20"/>
                <w:szCs w:val="20"/>
                <w:color w:val="auto"/>
              </w:rPr>
            </w:pPr>
            <w:r>
              <w:rPr>
                <w:rFonts w:ascii="Arial" w:cs="Arial" w:eastAsia="Arial" w:hAnsi="Arial"/>
                <w:sz w:val="17"/>
                <w:szCs w:val="17"/>
                <w:color w:val="auto"/>
              </w:rPr>
              <w:t>Additions for tax positions related to current year</w:t>
            </w: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839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574</w:t>
            </w:r>
          </w:p>
        </w:tc>
      </w:tr>
      <w:tr>
        <w:trPr>
          <w:trHeight w:val="189"/>
        </w:trPr>
        <w:tc>
          <w:tcPr>
            <w:tcW w:w="70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Additions for tax positions related to prior years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6,248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9"/>
        </w:trPr>
        <w:tc>
          <w:tcPr>
            <w:tcW w:w="7060" w:type="dxa"/>
            <w:vAlign w:val="bottom"/>
          </w:tcPr>
          <w:p>
            <w:pPr>
              <w:ind w:left="200"/>
              <w:spacing w:after="0" w:line="189" w:lineRule="exact"/>
              <w:rPr>
                <w:sz w:val="20"/>
                <w:szCs w:val="20"/>
                <w:color w:val="auto"/>
              </w:rPr>
            </w:pPr>
            <w:r>
              <w:rPr>
                <w:rFonts w:ascii="Arial" w:cs="Arial" w:eastAsia="Arial" w:hAnsi="Arial"/>
                <w:sz w:val="17"/>
                <w:szCs w:val="17"/>
                <w:color w:val="auto"/>
              </w:rPr>
              <w:t>Reductions for tax positions related to prior years</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(17)</w:t>
            </w:r>
          </w:p>
        </w:tc>
        <w:tc>
          <w:tcPr>
            <w:tcW w:w="1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2"/>
        </w:trPr>
        <w:tc>
          <w:tcPr>
            <w:tcW w:w="70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End of year</w:t>
            </w: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7,947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877</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7"/>
        </w:trPr>
        <w:tc>
          <w:tcPr>
            <w:tcW w:w="7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bl>
    <w:p>
      <w:pPr>
        <w:spacing w:after="0" w:line="173" w:lineRule="exact"/>
        <w:rPr>
          <w:sz w:val="20"/>
          <w:szCs w:val="20"/>
          <w:color w:val="auto"/>
        </w:rPr>
      </w:pPr>
    </w:p>
    <w:p>
      <w:pPr>
        <w:ind w:left="40" w:right="199"/>
        <w:spacing w:after="0" w:line="238" w:lineRule="auto"/>
        <w:rPr>
          <w:sz w:val="20"/>
          <w:szCs w:val="20"/>
          <w:color w:val="auto"/>
        </w:rPr>
      </w:pPr>
      <w:r>
        <w:rPr>
          <w:rFonts w:ascii="Arial" w:cs="Arial" w:eastAsia="Arial" w:hAnsi="Arial"/>
          <w:sz w:val="17"/>
          <w:szCs w:val="17"/>
          <w:color w:val="auto"/>
        </w:rPr>
        <w:t>As of December 31, 2024 and 2023, the Company had gross unrecognized tax benefits of approximately $7.9 million and $0.9 million, respectively, related to research and development tax credits and state NOLs, all of which would give rise to additional deferred tax assets if recognized. This would also give rise to a corresponding increase in the valuation allowance, and would not impact the Company’s effective tax rate. The Company did not accrue interest or penalties related to unrecognized tax benefits because the liability would be offset by existing tax attributes as of December 31, 2024 and 2023. The potential reduction in unrecognized tax benefits during the next 12 months is not expected to be material.</w:t>
      </w:r>
    </w:p>
    <w:p>
      <w:pPr>
        <w:spacing w:after="0" w:line="132" w:lineRule="exact"/>
        <w:rPr>
          <w:sz w:val="20"/>
          <w:szCs w:val="20"/>
          <w:color w:val="auto"/>
        </w:rPr>
      </w:pPr>
    </w:p>
    <w:p>
      <w:pPr>
        <w:ind w:left="40" w:right="219"/>
        <w:spacing w:after="0"/>
        <w:rPr>
          <w:sz w:val="20"/>
          <w:szCs w:val="20"/>
          <w:color w:val="auto"/>
        </w:rPr>
      </w:pPr>
      <w:r>
        <w:rPr>
          <w:rFonts w:ascii="Arial" w:cs="Arial" w:eastAsia="Arial" w:hAnsi="Arial"/>
          <w:sz w:val="17"/>
          <w:szCs w:val="17"/>
          <w:color w:val="auto"/>
        </w:rPr>
        <w:t>The Company is subject to taxation in the United States and foreign jurisdictions. As of December 31, 2024, the Company’s tax years 2017 to 2024 remain subject to examination in most jurisdictions. As of December 31, 2024, the Company was not under examination by the Internal Revenue Service, any state or foreign tax jurisdiction. Due to differing interpretations of tax laws and regulations, tax authorities may dispute the Company’s tax filing positions. The Company evaluates its exposures associated with its tax filing positions.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6" w:name="page187"/>
    <w:bookmarkEnd w:id="18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10. Net Loss Per Share</w:t>
      </w:r>
    </w:p>
    <w:p>
      <w:pPr>
        <w:spacing w:after="0" w:line="196" w:lineRule="exact"/>
        <w:rPr>
          <w:sz w:val="20"/>
          <w:szCs w:val="20"/>
          <w:color w:val="auto"/>
        </w:rPr>
      </w:pPr>
    </w:p>
    <w:p>
      <w:pPr>
        <w:ind w:left="40" w:right="559"/>
        <w:spacing w:after="0" w:line="248"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ordinary shareholders, which excludes unvested restricted shares and shares which are legally outstanding, but subject to repurchase by the Company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122555</wp:posOffset>
            </wp:positionV>
            <wp:extent cx="56584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right"/>
              <w:ind w:right="499"/>
              <w:spacing w:after="0"/>
              <w:rPr>
                <w:sz w:val="20"/>
                <w:szCs w:val="20"/>
                <w:color w:val="auto"/>
              </w:rPr>
            </w:pPr>
            <w:r>
              <w:rPr>
                <w:rFonts w:ascii="Arial" w:cs="Arial" w:eastAsia="Arial" w:hAnsi="Arial"/>
                <w:sz w:val="13"/>
                <w:szCs w:val="13"/>
                <w:b w:val="1"/>
                <w:bCs w:val="1"/>
                <w:color w:val="auto"/>
              </w:rPr>
              <w:t>YEAR ENDED</w:t>
            </w: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2"/>
              <w:spacing w:after="0" w:line="14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20" w:type="dxa"/>
            <w:vAlign w:val="bottom"/>
          </w:tcPr>
          <w:p>
            <w:pPr>
              <w:spacing w:after="0"/>
              <w:rPr>
                <w:sz w:val="15"/>
                <w:szCs w:val="15"/>
                <w:color w:val="auto"/>
              </w:rPr>
            </w:pPr>
          </w:p>
        </w:tc>
        <w:tc>
          <w:tcPr>
            <w:tcW w:w="66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Numerator:</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6640" w:type="dxa"/>
            <w:vAlign w:val="bottom"/>
          </w:tcPr>
          <w:p>
            <w:pPr>
              <w:spacing w:after="0" w:line="189" w:lineRule="exact"/>
              <w:rPr>
                <w:sz w:val="20"/>
                <w:szCs w:val="20"/>
                <w:color w:val="auto"/>
              </w:rPr>
            </w:pPr>
            <w:r>
              <w:rPr>
                <w:rFonts w:ascii="Arial" w:cs="Arial" w:eastAsia="Arial" w:hAnsi="Arial"/>
                <w:sz w:val="17"/>
                <w:szCs w:val="17"/>
                <w:color w:val="auto"/>
              </w:rPr>
              <w:t>Net loss attributable to ordinary shareholders</w:t>
            </w:r>
          </w:p>
        </w:tc>
        <w:tc>
          <w:tcPr>
            <w:tcW w:w="3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(122,526)</w:t>
            </w:r>
          </w:p>
        </w:tc>
        <w:tc>
          <w:tcPr>
            <w:tcW w:w="360" w:type="dxa"/>
            <w:vAlign w:val="bottom"/>
            <w:gridSpan w:val="2"/>
          </w:tcPr>
          <w:p>
            <w:pPr>
              <w:jc w:val="right"/>
              <w:ind w:right="6"/>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(89,620)</w:t>
            </w:r>
          </w:p>
        </w:tc>
      </w:tr>
      <w:tr>
        <w:trPr>
          <w:trHeight w:val="167"/>
        </w:trPr>
        <w:tc>
          <w:tcPr>
            <w:tcW w:w="20" w:type="dxa"/>
            <w:vAlign w:val="bottom"/>
          </w:tcPr>
          <w:p>
            <w:pPr>
              <w:spacing w:after="0"/>
              <w:rPr>
                <w:sz w:val="14"/>
                <w:szCs w:val="14"/>
                <w:color w:val="auto"/>
              </w:rPr>
            </w:pPr>
          </w:p>
        </w:tc>
        <w:tc>
          <w:tcPr>
            <w:tcW w:w="664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Denominator:</w:t>
            </w: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157,922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110,263</w:t>
            </w:r>
          </w:p>
        </w:tc>
      </w:tr>
      <w:tr>
        <w:trPr>
          <w:trHeight w:val="189"/>
        </w:trPr>
        <w:tc>
          <w:tcPr>
            <w:tcW w:w="20" w:type="dxa"/>
            <w:vAlign w:val="bottom"/>
          </w:tcPr>
          <w:p>
            <w:pPr>
              <w:spacing w:after="0"/>
              <w:rPr>
                <w:sz w:val="16"/>
                <w:szCs w:val="16"/>
                <w:color w:val="auto"/>
              </w:rPr>
            </w:pPr>
          </w:p>
        </w:tc>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weighted-average unvested restricted ordinary shares subject to repurchase</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r>
      <w:tr>
        <w:trPr>
          <w:trHeight w:val="153"/>
        </w:trPr>
        <w:tc>
          <w:tcPr>
            <w:tcW w:w="20" w:type="dxa"/>
            <w:vAlign w:val="bottom"/>
          </w:tcPr>
          <w:p>
            <w:pPr>
              <w:spacing w:after="0"/>
              <w:rPr>
                <w:sz w:val="13"/>
                <w:szCs w:val="13"/>
                <w:color w:val="auto"/>
              </w:rPr>
            </w:pPr>
          </w:p>
        </w:tc>
        <w:tc>
          <w:tcPr>
            <w:tcW w:w="6640" w:type="dxa"/>
            <w:vAlign w:val="bottom"/>
          </w:tcPr>
          <w:p>
            <w:pPr>
              <w:spacing w:after="0" w:line="153" w:lineRule="exact"/>
              <w:rPr>
                <w:sz w:val="20"/>
                <w:szCs w:val="20"/>
                <w:color w:val="auto"/>
              </w:rPr>
            </w:pPr>
            <w:r>
              <w:rPr>
                <w:rFonts w:ascii="Arial" w:cs="Arial" w:eastAsia="Arial" w:hAnsi="Arial"/>
                <w:sz w:val="17"/>
                <w:szCs w:val="17"/>
                <w:color w:val="auto"/>
              </w:rPr>
              <w:t>Weighted-average ordinary shares used in computing net loss per share attributable to</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6"/>
        </w:trPr>
        <w:tc>
          <w:tcPr>
            <w:tcW w:w="6660" w:type="dxa"/>
            <w:vAlign w:val="bottom"/>
            <w:gridSpan w:val="2"/>
          </w:tcPr>
          <w:p>
            <w:pPr>
              <w:spacing w:after="0"/>
              <w:rPr>
                <w:sz w:val="20"/>
                <w:szCs w:val="20"/>
                <w:color w:val="auto"/>
              </w:rPr>
            </w:pPr>
            <w:r>
              <w:rPr>
                <w:rFonts w:ascii="Arial" w:cs="Arial" w:eastAsia="Arial" w:hAnsi="Arial"/>
                <w:sz w:val="17"/>
                <w:szCs w:val="17"/>
                <w:color w:val="auto"/>
              </w:rPr>
              <w:t>ordinary shareholders, basic and diluted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157,922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110,198</w:t>
            </w:r>
          </w:p>
        </w:tc>
      </w:tr>
      <w:tr>
        <w:trPr>
          <w:trHeight w:val="182"/>
        </w:trPr>
        <w:tc>
          <w:tcPr>
            <w:tcW w:w="20" w:type="dxa"/>
            <w:vAlign w:val="bottom"/>
          </w:tcPr>
          <w:p>
            <w:pPr>
              <w:spacing w:after="0"/>
              <w:rPr>
                <w:sz w:val="15"/>
                <w:szCs w:val="15"/>
                <w:color w:val="auto"/>
              </w:rPr>
            </w:pPr>
          </w:p>
        </w:tc>
        <w:tc>
          <w:tcPr>
            <w:tcW w:w="66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(0.78)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(0.81)</w:t>
            </w: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pacing w:after="0" w:line="173"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ordinary shareholders for the periods presented because including them would have been antidilutive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122555</wp:posOffset>
            </wp:positionV>
            <wp:extent cx="56584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5848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3"/>
                <w:szCs w:val="13"/>
                <w:b w:val="1"/>
                <w:bCs w:val="1"/>
                <w:color w:val="auto"/>
              </w:rPr>
              <w:t>DECEMBER 31,</w:t>
            </w:r>
          </w:p>
        </w:tc>
      </w:tr>
      <w:tr>
        <w:trPr>
          <w:trHeight w:val="144"/>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1"/>
              <w:spacing w:after="0" w:line="144" w:lineRule="exact"/>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9"/>
              <w:spacing w:after="0" w:line="144" w:lineRule="exact"/>
              <w:rPr>
                <w:sz w:val="20"/>
                <w:szCs w:val="20"/>
                <w:color w:val="auto"/>
              </w:rPr>
            </w:pPr>
            <w:r>
              <w:rPr>
                <w:rFonts w:ascii="Arial" w:cs="Arial" w:eastAsia="Arial" w:hAnsi="Arial"/>
                <w:sz w:val="13"/>
                <w:szCs w:val="13"/>
                <w:b w:val="1"/>
                <w:bCs w:val="1"/>
                <w:color w:val="auto"/>
              </w:rPr>
              <w:t>2023</w:t>
            </w:r>
          </w:p>
        </w:tc>
      </w:tr>
      <w:tr>
        <w:trPr>
          <w:trHeight w:val="182"/>
        </w:trPr>
        <w:tc>
          <w:tcPr>
            <w:tcW w:w="20" w:type="dxa"/>
            <w:vAlign w:val="bottom"/>
          </w:tcPr>
          <w:p>
            <w:pPr>
              <w:spacing w:after="0"/>
              <w:rPr>
                <w:sz w:val="15"/>
                <w:szCs w:val="15"/>
                <w:color w:val="auto"/>
              </w:rPr>
            </w:pPr>
          </w:p>
        </w:tc>
        <w:tc>
          <w:tcPr>
            <w:tcW w:w="728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Options to purchase ordinary shares</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12,597</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11,899</w:t>
            </w:r>
          </w:p>
        </w:tc>
      </w:tr>
      <w:tr>
        <w:trPr>
          <w:trHeight w:val="189"/>
        </w:trPr>
        <w:tc>
          <w:tcPr>
            <w:tcW w:w="20" w:type="dxa"/>
            <w:vAlign w:val="bottom"/>
          </w:tcPr>
          <w:p>
            <w:pPr>
              <w:spacing w:after="0"/>
              <w:rPr>
                <w:sz w:val="16"/>
                <w:szCs w:val="16"/>
                <w:color w:val="auto"/>
              </w:rPr>
            </w:pPr>
          </w:p>
        </w:tc>
        <w:tc>
          <w:tcPr>
            <w:tcW w:w="7280" w:type="dxa"/>
            <w:vAlign w:val="bottom"/>
          </w:tcPr>
          <w:p>
            <w:pPr>
              <w:spacing w:after="0" w:line="189" w:lineRule="exact"/>
              <w:rPr>
                <w:sz w:val="20"/>
                <w:szCs w:val="20"/>
                <w:color w:val="auto"/>
              </w:rPr>
            </w:pPr>
            <w:r>
              <w:rPr>
                <w:rFonts w:ascii="Arial" w:cs="Arial" w:eastAsia="Arial" w:hAnsi="Arial"/>
                <w:sz w:val="17"/>
                <w:szCs w:val="17"/>
                <w:color w:val="auto"/>
              </w:rPr>
              <w:t>Unvested restricted share units</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1,051</w:t>
            </w:r>
          </w:p>
        </w:tc>
        <w:tc>
          <w:tcPr>
            <w:tcW w:w="2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committed under ESPP</w:t>
            </w: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217</w:t>
            </w:r>
          </w:p>
        </w:tc>
        <w:tc>
          <w:tcPr>
            <w:tcW w:w="22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106</w:t>
            </w:r>
          </w:p>
        </w:tc>
      </w:tr>
      <w:tr>
        <w:trPr>
          <w:trHeight w:val="222"/>
        </w:trPr>
        <w:tc>
          <w:tcPr>
            <w:tcW w:w="7300" w:type="dxa"/>
            <w:vAlign w:val="bottom"/>
            <w:gridSpan w:val="2"/>
          </w:tcPr>
          <w:p>
            <w:pPr>
              <w:spacing w:after="0" w:line="182" w:lineRule="exact"/>
              <w:rPr>
                <w:sz w:val="20"/>
                <w:szCs w:val="20"/>
                <w:color w:val="auto"/>
              </w:rPr>
            </w:pPr>
            <w:r>
              <w:rPr>
                <w:rFonts w:ascii="Arial" w:cs="Arial" w:eastAsia="Arial" w:hAnsi="Arial"/>
                <w:sz w:val="17"/>
                <w:szCs w:val="17"/>
                <w:color w:val="auto"/>
              </w:rPr>
              <w:t>Total</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13,865</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12,005</w:t>
            </w:r>
          </w:p>
        </w:tc>
      </w:tr>
      <w:tr>
        <w:trPr>
          <w:trHeight w:val="167"/>
        </w:trPr>
        <w:tc>
          <w:tcPr>
            <w:tcW w:w="20" w:type="dxa"/>
            <w:vAlign w:val="bottom"/>
          </w:tcPr>
          <w:p>
            <w:pPr>
              <w:spacing w:after="0"/>
              <w:rPr>
                <w:sz w:val="14"/>
                <w:szCs w:val="14"/>
                <w:color w:val="auto"/>
              </w:rPr>
            </w:pPr>
          </w:p>
        </w:tc>
        <w:tc>
          <w:tcPr>
            <w:tcW w:w="7280" w:type="dxa"/>
            <w:vAlign w:val="bottom"/>
            <w:tcBorders>
              <w:top w:val="single" w:sz="8" w:color="CCEEFF"/>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220" w:type="dxa"/>
            <w:vAlign w:val="bottom"/>
            <w:tcBorders>
              <w:top w:val="single" w:sz="8" w:color="CCEEFF"/>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11. Defined Contribution Plan</w:t>
      </w:r>
    </w:p>
    <w:p>
      <w:pPr>
        <w:spacing w:after="0" w:line="196" w:lineRule="exact"/>
        <w:rPr>
          <w:sz w:val="20"/>
          <w:szCs w:val="20"/>
          <w:color w:val="auto"/>
        </w:rPr>
      </w:pPr>
    </w:p>
    <w:p>
      <w:pPr>
        <w:ind w:left="40" w:right="99"/>
        <w:spacing w:after="0" w:line="238" w:lineRule="auto"/>
        <w:rPr>
          <w:sz w:val="20"/>
          <w:szCs w:val="20"/>
          <w:color w:val="auto"/>
        </w:rPr>
      </w:pPr>
      <w:r>
        <w:rPr>
          <w:rFonts w:ascii="Arial" w:cs="Arial" w:eastAsia="Arial" w:hAnsi="Arial"/>
          <w:sz w:val="17"/>
          <w:szCs w:val="17"/>
          <w:color w:val="auto"/>
        </w:rPr>
        <w:t>The Company maintains a defined contribution plan under Section 401(k) of the Code covering substantially all full-time U.S. employees. Employee contributions are voluntary and are determined on an individual basis subject to the maximum allowable under federal tax regulations. For the years ended December 31, 2024 and 2023, the Company started to make safe-harbor matching contributions of 100% of each dollar contributed by eligible employees, up to 4% of an employee’s eligible compensation. The Company may also make discretionary contributions to the 401(k) plan. During the years ended December 31, 2024 and 2023, matching contributions were $0.6 million and $0.2 million, respectively.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12. Related Party Transactions</w:t>
      </w:r>
    </w:p>
    <w:p>
      <w:pPr>
        <w:spacing w:after="0" w:line="196" w:lineRule="exact"/>
        <w:rPr>
          <w:sz w:val="20"/>
          <w:szCs w:val="20"/>
          <w:color w:val="auto"/>
        </w:rPr>
      </w:pPr>
    </w:p>
    <w:p>
      <w:pPr>
        <w:ind w:left="40" w:right="99"/>
        <w:spacing w:after="0" w:line="248" w:lineRule="auto"/>
        <w:rPr>
          <w:sz w:val="20"/>
          <w:szCs w:val="20"/>
          <w:color w:val="auto"/>
        </w:rPr>
      </w:pPr>
      <w:r>
        <w:rPr>
          <w:rFonts w:ascii="Arial" w:cs="Arial" w:eastAsia="Arial" w:hAnsi="Arial"/>
          <w:sz w:val="17"/>
          <w:szCs w:val="17"/>
          <w:color w:val="auto"/>
        </w:rPr>
        <w:t>Ramy Farid, the President and Chief Executive Officer of Schrödinger, Inc. (“Schrödinger”) was a member of the Company’s board of directors until June 25, 2024. During the years ended December 31, 2024 and 2023, the Company had existing collaboration agreements to use the results provided by Schrödinger’s software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7" w:name="page188"/>
    <w:bookmarkEnd w:id="18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platform for its research purposes. During the years ended December 31, 2024 and 2023, the Company paid</w:t>
      </w:r>
    </w:p>
    <w:p>
      <w:pPr>
        <w:spacing w:after="0" w:line="10" w:lineRule="exact"/>
        <w:rPr>
          <w:sz w:val="20"/>
          <w:szCs w:val="20"/>
          <w:color w:val="auto"/>
        </w:rPr>
      </w:pPr>
    </w:p>
    <w:p>
      <w:pPr>
        <w:ind w:left="40" w:right="519"/>
        <w:spacing w:after="0" w:line="245" w:lineRule="auto"/>
        <w:rPr>
          <w:sz w:val="20"/>
          <w:szCs w:val="20"/>
          <w:color w:val="auto"/>
        </w:rPr>
      </w:pPr>
      <w:r>
        <w:rPr>
          <w:rFonts w:ascii="Arial" w:cs="Arial" w:eastAsia="Arial" w:hAnsi="Arial"/>
          <w:sz w:val="17"/>
          <w:szCs w:val="17"/>
          <w:color w:val="auto"/>
        </w:rPr>
        <w:t>$3.2 million and $ 0.3 million to Schrödinger, respectively, and had $0.3 million and $0.5 million payable balance to Schrödinger as of December 31, 2024 and 2023, respectively.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Lhotse Collaboration Agreement with Schrödinger</w:t>
      </w:r>
    </w:p>
    <w:p>
      <w:pPr>
        <w:spacing w:after="0" w:line="194" w:lineRule="exact"/>
        <w:rPr>
          <w:sz w:val="20"/>
          <w:szCs w:val="20"/>
          <w:color w:val="auto"/>
        </w:rPr>
      </w:pPr>
    </w:p>
    <w:p>
      <w:pPr>
        <w:ind w:left="40" w:right="99"/>
        <w:spacing w:after="0" w:line="235" w:lineRule="auto"/>
        <w:rPr>
          <w:sz w:val="20"/>
          <w:szCs w:val="20"/>
          <w:color w:val="auto"/>
        </w:rPr>
      </w:pPr>
      <w:r>
        <w:rPr>
          <w:rFonts w:ascii="Arial" w:cs="Arial" w:eastAsia="Arial" w:hAnsi="Arial"/>
          <w:sz w:val="17"/>
          <w:szCs w:val="17"/>
          <w:color w:val="auto"/>
        </w:rPr>
        <w:t xml:space="preserve">In October 2020, Lhotse Bio, Inc. (“Lhotse”), the Company’s wholly-owned subsidiary, entered into a Collaboration Agreement (the “Lhotse-Schrödinger Agreement”) with Schrödinger, which is one of the Company’s shareholders, to discover and develop novel, orally bioavailable, small molecule inhibitors of </w:t>
      </w:r>
      <w:r>
        <w:rPr>
          <w:rFonts w:ascii="Arial" w:cs="Arial" w:eastAsia="Arial" w:hAnsi="Arial"/>
          <w:sz w:val="17"/>
          <w:szCs w:val="17"/>
          <w:color w:val="231F20"/>
        </w:rPr>
        <w:t>lysophosphatidic acid 1 receptor</w:t>
      </w:r>
      <w:r>
        <w:rPr>
          <w:rFonts w:ascii="Arial" w:cs="Arial" w:eastAsia="Arial" w:hAnsi="Arial"/>
          <w:sz w:val="17"/>
          <w:szCs w:val="17"/>
          <w:color w:val="auto"/>
        </w:rPr>
        <w:t xml:space="preserve">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175" w:lineRule="exact"/>
        <w:rPr>
          <w:sz w:val="20"/>
          <w:szCs w:val="20"/>
          <w:color w:val="auto"/>
        </w:rPr>
      </w:pPr>
    </w:p>
    <w:p>
      <w:pPr>
        <w:ind w:left="40" w:right="99"/>
        <w:spacing w:after="0" w:line="234" w:lineRule="auto"/>
        <w:rPr>
          <w:sz w:val="20"/>
          <w:szCs w:val="20"/>
          <w:color w:val="auto"/>
        </w:rPr>
      </w:pPr>
      <w:r>
        <w:rPr>
          <w:rFonts w:ascii="Arial" w:cs="Arial" w:eastAsia="Arial" w:hAnsi="Arial"/>
          <w:sz w:val="17"/>
          <w:szCs w:val="17"/>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2024, the Company has paid to Schrödinger an aggregate of $0.8 million. If Lhotse develops and commercializes a product containing a compound (a “Lhotse Collaboration Compound”), that is discovered or developed under the Lhotse-Schrödinger Agreement (a “Lhotse Collaboration Product”), Lhotse is obligated to pay Schrödinger development and regulatory milestone payments of up to an aggregate of $17.0 million, regardless of the number of Lhotse Collaboration Products that reach such milestones. Lhotse will also be obligated to pay Schrödinger tiered royalties on a Lhotse Collaboration Product-by-Lhotse Collaboration Product basis equal to low single digit percentages on aggregate worldwide net sales of Lhotse Collaboration Products, subject to specified reductions and offsets. Lhotse’s obligation to pay royalties to Schrödinger will expire on a Lhotse Collaboration Product-by-Lhotse Collaboration Product and country-by-country basis on the later of (i) the expiration of the last-to-expire Lhotse patent claim covering the composition of matter of the Lhotse Collaboration Compound contained in 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spacing w:after="0" w:line="182" w:lineRule="exact"/>
        <w:rPr>
          <w:sz w:val="20"/>
          <w:szCs w:val="20"/>
          <w:color w:val="auto"/>
        </w:rPr>
      </w:pPr>
    </w:p>
    <w:p>
      <w:pPr>
        <w:ind w:left="40" w:right="359"/>
        <w:spacing w:after="0" w:line="239" w:lineRule="auto"/>
        <w:rPr>
          <w:sz w:val="20"/>
          <w:szCs w:val="20"/>
          <w:color w:val="auto"/>
        </w:rPr>
      </w:pPr>
      <w:r>
        <w:rPr>
          <w:rFonts w:ascii="Arial" w:cs="Arial" w:eastAsia="Arial" w:hAnsi="Arial"/>
          <w:sz w:val="17"/>
          <w:szCs w:val="17"/>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Lhotse Royalty Term) to Schrödinger continues after the expiration or termination of the Lhotse-Schrödinger Agreement. As of December 31, 2024, no milestone or royalty payments have been paid or accrued.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Aconcagua Collaboration Agreement with Schrödinger</w:t>
      </w:r>
    </w:p>
    <w:p>
      <w:pPr>
        <w:spacing w:after="0" w:line="194" w:lineRule="exact"/>
        <w:rPr>
          <w:sz w:val="20"/>
          <w:szCs w:val="20"/>
          <w:color w:val="auto"/>
        </w:rPr>
      </w:pPr>
    </w:p>
    <w:p>
      <w:pPr>
        <w:ind w:left="40" w:right="699"/>
        <w:spacing w:after="0" w:line="265" w:lineRule="auto"/>
        <w:rPr>
          <w:sz w:val="20"/>
          <w:szCs w:val="20"/>
          <w:color w:val="auto"/>
        </w:rPr>
      </w:pPr>
      <w:r>
        <w:rPr>
          <w:rFonts w:ascii="Arial" w:cs="Arial" w:eastAsia="Arial" w:hAnsi="Arial"/>
          <w:sz w:val="17"/>
          <w:szCs w:val="17"/>
          <w:color w:val="auto"/>
        </w:rPr>
        <w:t>In November 2023, Aconcagua Bio, Inc. (“Aconcagua”), the Company’s wholly-owned subsidiary, entered into a collaboration agreement (the “Aconcagua-Schrödinger Agreement”) with Schrödinger to discover and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8" w:name="page189"/>
    <w:bookmarkEnd w:id="18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139"/>
        <w:spacing w:after="0"/>
        <w:rPr>
          <w:sz w:val="20"/>
          <w:szCs w:val="20"/>
          <w:color w:val="auto"/>
        </w:rPr>
      </w:pPr>
      <w:r>
        <w:rPr>
          <w:rFonts w:ascii="Arial" w:cs="Arial" w:eastAsia="Arial" w:hAnsi="Arial"/>
          <w:sz w:val="17"/>
          <w:szCs w:val="17"/>
          <w:color w:val="auto"/>
        </w:rPr>
        <w:t>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Pursuant to the Aconcagua-Schrödinger Agreement, a joint steering committee comprised of representatives from both parties oversees the research performed under the agreement.</w:t>
      </w:r>
    </w:p>
    <w:p>
      <w:pPr>
        <w:spacing w:after="0" w:line="171" w:lineRule="exact"/>
        <w:rPr>
          <w:sz w:val="20"/>
          <w:szCs w:val="20"/>
          <w:color w:val="auto"/>
        </w:rPr>
      </w:pPr>
    </w:p>
    <w:p>
      <w:pPr>
        <w:ind w:left="40" w:right="59"/>
        <w:spacing w:after="0" w:line="239" w:lineRule="auto"/>
        <w:rPr>
          <w:sz w:val="20"/>
          <w:szCs w:val="20"/>
          <w:color w:val="auto"/>
        </w:rPr>
      </w:pPr>
      <w:r>
        <w:rPr>
          <w:rFonts w:ascii="Arial" w:cs="Arial" w:eastAsia="Arial" w:hAnsi="Arial"/>
          <w:sz w:val="17"/>
          <w:szCs w:val="17"/>
          <w:color w:val="auto"/>
        </w:rPr>
        <w:t>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spacing w:after="0" w:line="170" w:lineRule="exact"/>
        <w:rPr>
          <w:sz w:val="20"/>
          <w:szCs w:val="20"/>
          <w:color w:val="auto"/>
        </w:rPr>
      </w:pPr>
    </w:p>
    <w:p>
      <w:pPr>
        <w:jc w:val="both"/>
        <w:ind w:left="40" w:right="79"/>
        <w:spacing w:after="0" w:line="271" w:lineRule="auto"/>
        <w:rPr>
          <w:sz w:val="20"/>
          <w:szCs w:val="20"/>
          <w:color w:val="auto"/>
        </w:rPr>
      </w:pPr>
      <w:r>
        <w:rPr>
          <w:rFonts w:ascii="Arial" w:cs="Arial" w:eastAsia="Arial" w:hAnsi="Arial"/>
          <w:sz w:val="16"/>
          <w:szCs w:val="16"/>
          <w:color w:val="auto"/>
        </w:rPr>
        <w:t>During the term of the Aconcagua-Schrödinger Agreement, Aconcagua is obligated to pay Schrödinger a monthly active program payment in the low six digits, which payment includes fees payable for certain Schrödinger software employed in the Collaboration, and as of December 31, 2024, the Company has paid to Schrödinger an aggregate of $3.3 million.</w:t>
      </w:r>
    </w:p>
    <w:p>
      <w:pPr>
        <w:spacing w:after="0" w:line="147" w:lineRule="exact"/>
        <w:rPr>
          <w:sz w:val="20"/>
          <w:szCs w:val="20"/>
          <w:color w:val="auto"/>
        </w:rPr>
      </w:pPr>
    </w:p>
    <w:p>
      <w:pPr>
        <w:ind w:left="40" w:right="179"/>
        <w:spacing w:after="0" w:line="235" w:lineRule="auto"/>
        <w:rPr>
          <w:sz w:val="20"/>
          <w:szCs w:val="20"/>
          <w:color w:val="auto"/>
        </w:rPr>
      </w:pPr>
      <w:r>
        <w:rPr>
          <w:rFonts w:ascii="Arial" w:cs="Arial" w:eastAsia="Arial" w:hAnsi="Arial"/>
          <w:sz w:val="17"/>
          <w:szCs w:val="17"/>
          <w:color w:val="auto"/>
        </w:rPr>
        <w:t>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Product-by-Aconcagua Collaboration Product and country-by-country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spacing w:after="0" w:line="177" w:lineRule="exact"/>
        <w:rPr>
          <w:sz w:val="20"/>
          <w:szCs w:val="20"/>
          <w:color w:val="auto"/>
        </w:rPr>
      </w:pPr>
    </w:p>
    <w:p>
      <w:pPr>
        <w:ind w:left="40" w:right="119"/>
        <w:spacing w:after="0" w:line="238" w:lineRule="auto"/>
        <w:rPr>
          <w:sz w:val="20"/>
          <w:szCs w:val="20"/>
          <w:color w:val="auto"/>
        </w:rPr>
      </w:pPr>
      <w:r>
        <w:rPr>
          <w:rFonts w:ascii="Arial" w:cs="Arial" w:eastAsia="Arial" w:hAnsi="Arial"/>
          <w:sz w:val="17"/>
          <w:szCs w:val="17"/>
          <w:color w:val="auto"/>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 December 31, 2024, no milestone or royalty payments have been paid or accrued under this agreement.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Purchase of non-voting ordinary shares by BVF</w:t>
      </w:r>
    </w:p>
    <w:p>
      <w:pPr>
        <w:spacing w:after="0" w:line="194" w:lineRule="exact"/>
        <w:rPr>
          <w:sz w:val="20"/>
          <w:szCs w:val="20"/>
          <w:color w:val="auto"/>
        </w:rPr>
      </w:pPr>
    </w:p>
    <w:p>
      <w:pPr>
        <w:ind w:left="40" w:right="99"/>
        <w:spacing w:after="0" w:line="259" w:lineRule="auto"/>
        <w:rPr>
          <w:sz w:val="20"/>
          <w:szCs w:val="20"/>
          <w:color w:val="auto"/>
        </w:rPr>
      </w:pPr>
      <w:r>
        <w:rPr>
          <w:rFonts w:ascii="Arial" w:cs="Arial" w:eastAsia="Arial" w:hAnsi="Arial"/>
          <w:sz w:val="16"/>
          <w:szCs w:val="16"/>
          <w:color w:val="auto"/>
        </w:rPr>
        <w:t>In May 2023, the Company entered into an Exchange Agreement with BVF, who in the aggregate held at the time of the transaction more than 5% of the Company’s issued share capital, pursuant to which BVF delivered to the Company, a total of 7,410,518 ordinary shares of the Company, in exchange for the Company’s delivery of 7,410,518 newly designated non-voting ordinary shares, par value $0.0001 per share. The exchange did not result in any change in the aggregate number of outstanding shares of the Company as the exchange was implemented on a one-for-one basis.</w:t>
      </w:r>
    </w:p>
    <w:p>
      <w:pPr>
        <w:spacing w:after="0" w:line="156"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On September 29, 2023, the Company entered into a share purchase agreement to issue certain shares to purchasers, including 2,401,920 newly designated non-voting ordinary shares at a purchase price of $12.49</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9" w:name="page190"/>
    <w:bookmarkEnd w:id="18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STRUCTURE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NOTES TO CONSOLIDATED FINANCIAL STATEMENTS (CONTINUED)</w:t>
      </w:r>
    </w:p>
    <w:p>
      <w:pPr>
        <w:spacing w:after="0" w:line="167" w:lineRule="exact"/>
        <w:rPr>
          <w:sz w:val="20"/>
          <w:szCs w:val="20"/>
          <w:color w:val="auto"/>
        </w:rPr>
      </w:pPr>
    </w:p>
    <w:p>
      <w:pPr>
        <w:ind w:left="40" w:right="99"/>
        <w:spacing w:after="0" w:line="265" w:lineRule="auto"/>
        <w:rPr>
          <w:sz w:val="20"/>
          <w:szCs w:val="20"/>
          <w:color w:val="auto"/>
        </w:rPr>
      </w:pPr>
      <w:r>
        <w:rPr>
          <w:rFonts w:ascii="Arial" w:cs="Arial" w:eastAsia="Arial" w:hAnsi="Arial"/>
          <w:sz w:val="17"/>
          <w:szCs w:val="17"/>
          <w:color w:val="auto"/>
        </w:rPr>
        <w:t>per share (or the equivalent of $37.47 per ADS) to BVF, for aggregate gross proceeds of approximately $30.0 million, in the Private Placement which closed on October 3, 2023.</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 of December 31, 2023, all outstanding non-voting ordinary shares were converted into 9,812,438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66740" cy="1587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0" w:name="page191"/>
    <w:bookmarkEnd w:id="19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9A. Controls and Procedures.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96" w:lineRule="exact"/>
        <w:rPr>
          <w:sz w:val="20"/>
          <w:szCs w:val="20"/>
          <w:color w:val="auto"/>
        </w:rPr>
      </w:pPr>
    </w:p>
    <w:p>
      <w:pPr>
        <w:ind w:left="40" w:right="79"/>
        <w:spacing w:after="0" w:line="237"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the design and operation of our disclosure controls and procedures (as defined in Rules 13a-15(e) and 15d-15(e) under the Exchange Act) as of December 31, 2024, which is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to allow timely decisions regarding required disclosure.</w:t>
      </w:r>
    </w:p>
    <w:p>
      <w:pPr>
        <w:spacing w:after="0" w:line="172" w:lineRule="exact"/>
        <w:rPr>
          <w:sz w:val="20"/>
          <w:szCs w:val="20"/>
          <w:color w:val="auto"/>
        </w:rPr>
      </w:pPr>
    </w:p>
    <w:p>
      <w:pPr>
        <w:ind w:left="40" w:right="699"/>
        <w:spacing w:after="0" w:line="296" w:lineRule="auto"/>
        <w:rPr>
          <w:sz w:val="20"/>
          <w:szCs w:val="20"/>
          <w:color w:val="auto"/>
        </w:rPr>
      </w:pPr>
      <w:r>
        <w:rPr>
          <w:rFonts w:ascii="Arial" w:cs="Arial" w:eastAsia="Arial" w:hAnsi="Arial"/>
          <w:sz w:val="16"/>
          <w:szCs w:val="16"/>
          <w:color w:val="auto"/>
        </w:rPr>
        <w:t>Based on that evaluation, our Chief Executive Officer and our Chief Financial Officer have concluded that, as of December 31, 2024, our disclosure controls and procedures were effective at the reasonable assurance level.</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96" w:lineRule="exact"/>
        <w:rPr>
          <w:sz w:val="20"/>
          <w:szCs w:val="20"/>
          <w:color w:val="auto"/>
        </w:rPr>
      </w:pPr>
    </w:p>
    <w:p>
      <w:pPr>
        <w:ind w:left="40" w:right="119"/>
        <w:spacing w:after="0" w:line="23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Our management, including our Chief Executive Officer and Chief Financial Officer, conducted an evaluation of the effectiveness of our internal control over financial reporting based on the 2013 framework in Internal Control—Integrated Framework issued by the Committee of Sponsoring Organizations of the Treadway Commission. Based on this evaluation, our management concluded that our internal control over financial reporting was effective as of December 31, 2024.</w:t>
      </w:r>
    </w:p>
    <w:p>
      <w:pPr>
        <w:spacing w:after="0" w:line="170" w:lineRule="exact"/>
        <w:rPr>
          <w:sz w:val="20"/>
          <w:szCs w:val="20"/>
          <w:color w:val="auto"/>
        </w:rPr>
      </w:pPr>
    </w:p>
    <w:p>
      <w:pPr>
        <w:ind w:left="40" w:right="239"/>
        <w:spacing w:after="0" w:line="24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Attestation Report of Independent Registered Public Accounting Firm</w:t>
      </w:r>
    </w:p>
    <w:p>
      <w:pPr>
        <w:spacing w:after="0" w:line="196" w:lineRule="exact"/>
        <w:rPr>
          <w:sz w:val="20"/>
          <w:szCs w:val="20"/>
          <w:color w:val="auto"/>
        </w:rPr>
      </w:pPr>
    </w:p>
    <w:p>
      <w:pPr>
        <w:ind w:left="40" w:right="419"/>
        <w:spacing w:after="0" w:line="265" w:lineRule="auto"/>
        <w:rPr>
          <w:sz w:val="20"/>
          <w:szCs w:val="20"/>
          <w:color w:val="auto"/>
        </w:rPr>
      </w:pPr>
      <w:r>
        <w:rPr>
          <w:rFonts w:ascii="Arial" w:cs="Arial" w:eastAsia="Arial" w:hAnsi="Arial"/>
          <w:sz w:val="17"/>
          <w:szCs w:val="17"/>
          <w:color w:val="auto"/>
        </w:rPr>
        <w:t>Our independent registered public accounting firm, Ernst &amp; Young LLP, has audited the effectiveness of our internal control over financial reporting as of December 31, 2024 as stated in their report which is included herein.</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196" w:lineRule="exact"/>
        <w:rPr>
          <w:sz w:val="20"/>
          <w:szCs w:val="20"/>
          <w:color w:val="auto"/>
        </w:rPr>
      </w:pPr>
    </w:p>
    <w:p>
      <w:pPr>
        <w:jc w:val="both"/>
        <w:ind w:left="40" w:right="159"/>
        <w:spacing w:after="0" w:line="248" w:lineRule="auto"/>
        <w:rPr>
          <w:sz w:val="20"/>
          <w:szCs w:val="20"/>
          <w:color w:val="auto"/>
        </w:rPr>
      </w:pPr>
      <w:r>
        <w:rPr>
          <w:rFonts w:ascii="Arial" w:cs="Arial" w:eastAsia="Arial" w:hAnsi="Arial"/>
          <w:sz w:val="17"/>
          <w:szCs w:val="17"/>
          <w:color w:val="auto"/>
        </w:rPr>
        <w:t>There were no changes in our internal controls over financial reporting identified in management’s evaluation pursuant to Rules 13a-15(f) or 15d-15(f) of the Exchange Act during our fourth quarter ended December 31, 2024 that materially affected, or are reasonably likely to materially affect, our internal control over financial reporting.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1" w:name="page192"/>
    <w:bookmarkEnd w:id="19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Limitations on Effectiveness of Disclosure Controls and Procedures</w:t>
      </w:r>
    </w:p>
    <w:p>
      <w:pPr>
        <w:spacing w:after="0" w:line="196" w:lineRule="exact"/>
        <w:rPr>
          <w:sz w:val="20"/>
          <w:szCs w:val="20"/>
          <w:color w:val="auto"/>
        </w:rPr>
      </w:pPr>
    </w:p>
    <w:p>
      <w:pPr>
        <w:ind w:left="40" w:right="119"/>
        <w:spacing w:after="0" w:line="254" w:lineRule="auto"/>
        <w:rPr>
          <w:sz w:val="20"/>
          <w:szCs w:val="20"/>
          <w:color w:val="auto"/>
        </w:rPr>
      </w:pPr>
      <w:r>
        <w:rPr>
          <w:rFonts w:ascii="Arial" w:cs="Arial" w:eastAsia="Arial" w:hAnsi="Arial"/>
          <w:sz w:val="16"/>
          <w:szCs w:val="16"/>
          <w:color w:val="auto"/>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Shareholders and the Board of Directors of Structure Therapeutics Inc.</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Opinion on Internal Control Over Financial Reporting</w:t>
      </w:r>
    </w:p>
    <w:p>
      <w:pPr>
        <w:spacing w:after="0" w:line="194" w:lineRule="exact"/>
        <w:rPr>
          <w:sz w:val="20"/>
          <w:szCs w:val="20"/>
          <w:color w:val="auto"/>
        </w:rPr>
      </w:pPr>
    </w:p>
    <w:p>
      <w:pPr>
        <w:ind w:left="40" w:right="79"/>
        <w:spacing w:after="0"/>
        <w:rPr>
          <w:sz w:val="20"/>
          <w:szCs w:val="20"/>
          <w:color w:val="auto"/>
        </w:rPr>
      </w:pPr>
      <w:r>
        <w:rPr>
          <w:rFonts w:ascii="Arial" w:cs="Arial" w:eastAsia="Arial" w:hAnsi="Arial"/>
          <w:sz w:val="17"/>
          <w:szCs w:val="17"/>
          <w:color w:val="auto"/>
        </w:rPr>
        <w:t>We have audited Structure Therapeutics Inc.’s internal control over financial reporting as of December 31, 2024, based on criteria established in Internal Control—Integrated Framework issued by the Committee of Sponsoring Organizations of the Treadway Commission (2013 framework) (the COSO criteria). In our opinion, Structure Therapeutics Inc. (the Company) maintained, in all material respects, effective internal control over financial reporting as of December 31, 2024, based on the COSO criteria.</w:t>
      </w:r>
    </w:p>
    <w:p>
      <w:pPr>
        <w:spacing w:after="0" w:line="171" w:lineRule="exact"/>
        <w:rPr>
          <w:sz w:val="20"/>
          <w:szCs w:val="20"/>
          <w:color w:val="auto"/>
        </w:rPr>
      </w:pPr>
    </w:p>
    <w:p>
      <w:pPr>
        <w:ind w:left="40" w:right="159"/>
        <w:spacing w:after="0"/>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redeemable convertible preferred shares and shareholders' equity (deficit) and cash flows for each of the two years in the period ended December 31, 2024, and the related notes and our report dated February 27, 2025 expressed an unqualified opinion thereon.</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94"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left="40" w:right="279"/>
        <w:spacing w:after="0" w:line="24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ind w:left="40" w:right="99"/>
        <w:spacing w:after="0" w:line="24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94" w:lineRule="exact"/>
        <w:rPr>
          <w:sz w:val="20"/>
          <w:szCs w:val="20"/>
          <w:color w:val="auto"/>
        </w:rPr>
      </w:pPr>
    </w:p>
    <w:p>
      <w:pPr>
        <w:ind w:left="40" w:right="199"/>
        <w:spacing w:after="0" w:line="26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2" w:name="page193"/>
    <w:bookmarkEnd w:id="19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19"/>
        <w:spacing w:after="0" w:line="237" w:lineRule="auto"/>
        <w:rPr>
          <w:sz w:val="20"/>
          <w:szCs w:val="20"/>
          <w:color w:val="auto"/>
        </w:rPr>
      </w:pPr>
      <w:r>
        <w:rPr>
          <w:rFonts w:ascii="Arial" w:cs="Arial" w:eastAsia="Arial" w:hAnsi="Arial"/>
          <w:sz w:val="17"/>
          <w:szCs w:val="17"/>
          <w:color w:val="auto"/>
        </w:rPr>
        <w:t>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left="40" w:right="319"/>
        <w:spacing w:after="0" w:line="24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Ernst &amp; Young LLP</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San Mateo, California</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27, 2025</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9B. Other Information.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3" w:name="page194"/>
    <w:bookmarkEnd w:id="19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96" w:lineRule="exact"/>
        <w:rPr>
          <w:sz w:val="20"/>
          <w:szCs w:val="20"/>
          <w:color w:val="auto"/>
        </w:rPr>
      </w:pPr>
    </w:p>
    <w:p>
      <w:pPr>
        <w:ind w:left="40" w:right="159"/>
        <w:spacing w:after="0"/>
        <w:rPr>
          <w:sz w:val="20"/>
          <w:szCs w:val="20"/>
          <w:color w:val="auto"/>
        </w:rPr>
      </w:pPr>
      <w:r>
        <w:rPr>
          <w:rFonts w:ascii="Arial" w:cs="Arial" w:eastAsia="Arial" w:hAnsi="Arial"/>
          <w:sz w:val="17"/>
          <w:szCs w:val="17"/>
          <w:color w:val="auto"/>
        </w:rPr>
        <w:t>We will file a definitive Proxy Statement for our 2025 Annual General Meeting of shareholders (the “Proxy Statement”) with the SEC, pursuant to Regulation 14A, not later than 120 days after the end of our fiscal year ended December 31, 2024. Accordingly, certain information required by Part III has been omitted under General Instruction G(3) to Form 10-K. Only those sections of the Proxy Statement that specifically address the items set forth herein are incorporated by reference.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96" w:lineRule="exact"/>
        <w:rPr>
          <w:sz w:val="20"/>
          <w:szCs w:val="20"/>
          <w:color w:val="auto"/>
        </w:rPr>
      </w:pPr>
    </w:p>
    <w:p>
      <w:pPr>
        <w:ind w:left="40" w:right="99"/>
        <w:spacing w:after="0" w:line="248" w:lineRule="auto"/>
        <w:rPr>
          <w:sz w:val="20"/>
          <w:szCs w:val="20"/>
          <w:color w:val="auto"/>
        </w:rPr>
      </w:pPr>
      <w:r>
        <w:rPr>
          <w:rFonts w:ascii="Arial" w:cs="Arial" w:eastAsia="Arial" w:hAnsi="Arial"/>
          <w:sz w:val="17"/>
          <w:szCs w:val="17"/>
          <w:color w:val="auto"/>
        </w:rPr>
        <w:t>The remaining information required by this item will be set forth in the Proxy Statement in the section headed “Election of Directors,” “Information Regarding the Board of Directors and Corporate Governance,” and “Delinquent Section 16(a) Reports,” if any, and is incorporated herein by reference.</w:t>
      </w:r>
    </w:p>
    <w:p>
      <w:pPr>
        <w:spacing w:after="0" w:line="164" w:lineRule="exact"/>
        <w:rPr>
          <w:sz w:val="20"/>
          <w:szCs w:val="20"/>
          <w:color w:val="auto"/>
        </w:rPr>
      </w:pPr>
    </w:p>
    <w:p>
      <w:pPr>
        <w:ind w:left="40" w:right="59"/>
        <w:spacing w:after="0" w:line="237" w:lineRule="auto"/>
        <w:rPr>
          <w:sz w:val="20"/>
          <w:szCs w:val="20"/>
          <w:color w:val="auto"/>
        </w:rPr>
      </w:pPr>
      <w:r>
        <w:rPr>
          <w:rFonts w:ascii="Arial" w:cs="Arial" w:eastAsia="Arial" w:hAnsi="Arial"/>
          <w:sz w:val="17"/>
          <w:szCs w:val="17"/>
          <w:color w:val="auto"/>
        </w:rPr>
        <w:t>We have adopted a Code of Business Conduct and Ethics that applies to all officers, directors and employees, including our principal executive officer, principal financial officer, principal accounting officer or controller, or persons performing similar functions. A current copy of the Code of Business Conduct and Ethics is available on the Corporate Governance section of our website at www.structuretx.com. To the extent required by rules adopted by the SEC, we will promptly disclose future amendments to our Code of Business Conduct and Ethics or waivers of its requirements that apply to our principal executive officer, principal financial officer, principal accounting officer or controller, or persons performing similar functions on our website. The information contained on our website is not considered part of, or incorporated by reference into, this Annual Report on Form 10-K or any other filing that we make with the SEC.</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11. Executive Compensation.</w:t>
      </w:r>
    </w:p>
    <w:p>
      <w:pPr>
        <w:spacing w:after="0" w:line="196" w:lineRule="exact"/>
        <w:rPr>
          <w:sz w:val="20"/>
          <w:szCs w:val="20"/>
          <w:color w:val="auto"/>
        </w:rPr>
      </w:pPr>
    </w:p>
    <w:p>
      <w:pPr>
        <w:ind w:left="40" w:right="399"/>
        <w:spacing w:after="0" w:line="248" w:lineRule="auto"/>
        <w:rPr>
          <w:sz w:val="20"/>
          <w:szCs w:val="20"/>
          <w:color w:val="auto"/>
        </w:rPr>
      </w:pPr>
      <w:r>
        <w:rPr>
          <w:rFonts w:ascii="Arial" w:cs="Arial" w:eastAsia="Arial" w:hAnsi="Arial"/>
          <w:sz w:val="17"/>
          <w:szCs w:val="17"/>
          <w:color w:val="auto"/>
        </w:rPr>
        <w:t>The information required by this item will be set forth in the Proxy Statement in the sections headed “Executive Compensation” and “Information Regarding the Board of Directors and Corporate Governance,” and is incorporated herein by reference.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96"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The information required by this item will be set forth in the Proxy Statement in the section headed “Security Ownership of Certain Beneficial Owners and Management,” and “Securities Authorized for Issuance Under Equity Compensation Plans,” and is incorporated herein by reference.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96" w:lineRule="exact"/>
        <w:rPr>
          <w:sz w:val="20"/>
          <w:szCs w:val="20"/>
          <w:color w:val="auto"/>
        </w:rPr>
      </w:pPr>
    </w:p>
    <w:p>
      <w:pPr>
        <w:ind w:left="40" w:right="339"/>
        <w:spacing w:after="0" w:line="248" w:lineRule="auto"/>
        <w:rPr>
          <w:sz w:val="20"/>
          <w:szCs w:val="20"/>
          <w:color w:val="auto"/>
        </w:rPr>
      </w:pPr>
      <w:r>
        <w:rPr>
          <w:rFonts w:ascii="Arial" w:cs="Arial" w:eastAsia="Arial" w:hAnsi="Arial"/>
          <w:sz w:val="17"/>
          <w:szCs w:val="17"/>
          <w:color w:val="auto"/>
        </w:rPr>
        <w:t>The information called for by this item will be set forth in the Proxy Statement in the section headed “Certain Relationships and Related Persons Transactions,” and “Information Regarding the Board of Directors and Corporate Governance,” and is incorporated herein by reference.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83" w:lineRule="exact"/>
        <w:rPr>
          <w:sz w:val="20"/>
          <w:szCs w:val="20"/>
          <w:color w:val="auto"/>
        </w:rPr>
      </w:pPr>
    </w:p>
    <w:p>
      <w:pPr>
        <w:ind w:left="40" w:right="939"/>
        <w:spacing w:after="0" w:line="265" w:lineRule="auto"/>
        <w:rPr>
          <w:sz w:val="20"/>
          <w:szCs w:val="20"/>
          <w:color w:val="auto"/>
        </w:rPr>
      </w:pPr>
      <w:r>
        <w:rPr>
          <w:rFonts w:ascii="Arial" w:cs="Arial" w:eastAsia="Arial" w:hAnsi="Arial"/>
          <w:sz w:val="17"/>
          <w:szCs w:val="17"/>
          <w:color w:val="auto"/>
        </w:rPr>
        <w:t xml:space="preserve">The information required by this item will be set forth in the Proxy Statement in the section headed </w:t>
      </w:r>
      <w:r>
        <w:rPr>
          <w:rFonts w:ascii="Arial" w:cs="Arial" w:eastAsia="Arial" w:hAnsi="Arial"/>
          <w:sz w:val="17"/>
          <w:szCs w:val="17"/>
          <w:i w:val="1"/>
          <w:iCs w:val="1"/>
          <w:color w:val="auto"/>
        </w:rPr>
        <w:t>“</w:t>
      </w:r>
      <w:r>
        <w:rPr>
          <w:rFonts w:ascii="Arial" w:cs="Arial" w:eastAsia="Arial" w:hAnsi="Arial"/>
          <w:sz w:val="17"/>
          <w:szCs w:val="17"/>
          <w:color w:val="auto"/>
        </w:rPr>
        <w:t>Principal Accountant Fees and Services” and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4" w:name="page195"/>
    <w:bookmarkEnd w:id="19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documents are filed as part of this Annual Report on Form 10-K:</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FINANCIAL STATEMENTS</w:t>
      </w:r>
    </w:p>
    <w:p>
      <w:pPr>
        <w:spacing w:after="0" w:line="196" w:lineRule="exact"/>
        <w:rPr>
          <w:sz w:val="20"/>
          <w:szCs w:val="20"/>
          <w:color w:val="auto"/>
        </w:rPr>
      </w:pPr>
    </w:p>
    <w:p>
      <w:pPr>
        <w:ind w:left="40" w:right="59"/>
        <w:spacing w:after="0" w:line="265" w:lineRule="auto"/>
        <w:rPr>
          <w:sz w:val="20"/>
          <w:szCs w:val="20"/>
          <w:color w:val="auto"/>
        </w:rPr>
      </w:pPr>
      <w:r>
        <w:rPr>
          <w:rFonts w:ascii="Arial" w:cs="Arial" w:eastAsia="Arial" w:hAnsi="Arial"/>
          <w:sz w:val="17"/>
          <w:szCs w:val="17"/>
          <w:color w:val="auto"/>
        </w:rPr>
        <w:t>Our financial statements are listed in the “Index to the Financial Statements” under Part II, Item 8, “Financial Statements and Supplementary Data” of this Annual Report on Form 10-K.</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(2) FINANCIAL STATEMENT SCHEDULES</w:t>
      </w:r>
    </w:p>
    <w:p>
      <w:pPr>
        <w:spacing w:after="0" w:line="196" w:lineRule="exact"/>
        <w:rPr>
          <w:sz w:val="20"/>
          <w:szCs w:val="20"/>
          <w:color w:val="auto"/>
        </w:rPr>
      </w:pPr>
    </w:p>
    <w:p>
      <w:pPr>
        <w:ind w:left="40" w:right="239"/>
        <w:spacing w:after="0" w:line="248" w:lineRule="auto"/>
        <w:rPr>
          <w:sz w:val="20"/>
          <w:szCs w:val="20"/>
          <w:color w:val="auto"/>
        </w:rPr>
      </w:pPr>
      <w:r>
        <w:rPr>
          <w:rFonts w:ascii="Arial" w:cs="Arial" w:eastAsia="Arial" w:hAnsi="Arial"/>
          <w:sz w:val="17"/>
          <w:szCs w:val="17"/>
          <w:color w:val="auto"/>
        </w:rPr>
        <w:t>All schedules to the financial statements are omitted because they are not applicable, not material or the required information is shown in Part II, Item 8, “Financial Statements and Supplementary Data” of this Annual Report on Form 10-K.</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(3) EXHIBITS</w:t>
      </w:r>
    </w:p>
    <w:p>
      <w:pPr>
        <w:spacing w:after="0" w:line="196" w:lineRule="exact"/>
        <w:rPr>
          <w:sz w:val="20"/>
          <w:szCs w:val="20"/>
          <w:color w:val="auto"/>
        </w:rPr>
      </w:pPr>
    </w:p>
    <w:p>
      <w:pPr>
        <w:ind w:left="40" w:right="119"/>
        <w:spacing w:after="0" w:line="265" w:lineRule="auto"/>
        <w:rPr>
          <w:sz w:val="20"/>
          <w:szCs w:val="20"/>
          <w:color w:val="auto"/>
        </w:rPr>
      </w:pPr>
      <w:r>
        <w:rPr>
          <w:rFonts w:ascii="Arial" w:cs="Arial" w:eastAsia="Arial" w:hAnsi="Arial"/>
          <w:sz w:val="17"/>
          <w:szCs w:val="17"/>
          <w:color w:val="auto"/>
        </w:rPr>
        <w:t>The documents listed in the Exhibit Index of this Annual Report on Form 10-K are incorporated by reference or are filed with this Annual Report on Form 10-K, in each case as indicated therein.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5" w:name="page196"/>
    <w:bookmarkEnd w:id="19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INDEX</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Exhibit</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61"/>
        </w:trPr>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4"/>
                <w:szCs w:val="14"/>
                <w:color w:val="auto"/>
              </w:rPr>
            </w:pPr>
          </w:p>
        </w:tc>
        <w:tc>
          <w:tcPr>
            <w:tcW w:w="3160" w:type="dxa"/>
            <w:vAlign w:val="bottom"/>
            <w:tcBorders>
              <w:bottom w:val="single" w:sz="8" w:color="auto"/>
            </w:tcBorders>
            <w:gridSpan w:val="28"/>
          </w:tcPr>
          <w:p>
            <w:pPr>
              <w:spacing w:after="0"/>
              <w:rPr>
                <w:sz w:val="20"/>
                <w:szCs w:val="20"/>
                <w:color w:val="auto"/>
              </w:rPr>
            </w:pPr>
            <w:r>
              <w:rPr>
                <w:rFonts w:ascii="Arial" w:cs="Arial" w:eastAsia="Arial" w:hAnsi="Arial"/>
                <w:sz w:val="13"/>
                <w:szCs w:val="13"/>
                <w:b w:val="1"/>
                <w:bCs w:val="1"/>
                <w:color w:val="auto"/>
              </w:rPr>
              <w:t>Description of Document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Form</w:t>
            </w:r>
          </w:p>
        </w:tc>
        <w:tc>
          <w:tcPr>
            <w:tcW w:w="180" w:type="dxa"/>
            <w:vAlign w:val="bottom"/>
          </w:tcPr>
          <w:p>
            <w:pPr>
              <w:spacing w:after="0"/>
              <w:rPr>
                <w:sz w:val="14"/>
                <w:szCs w:val="14"/>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File No.</w:t>
            </w:r>
          </w:p>
        </w:tc>
        <w:tc>
          <w:tcPr>
            <w:tcW w:w="18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Filing Date</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20"/>
                <w:szCs w:val="20"/>
                <w:color w:val="auto"/>
              </w:rPr>
            </w:pPr>
          </w:p>
        </w:tc>
        <w:tc>
          <w:tcPr>
            <w:tcW w:w="2900" w:type="dxa"/>
            <w:vAlign w:val="bottom"/>
            <w:tcBorders>
              <w:bottom w:val="single" w:sz="8" w:color="0000EE"/>
            </w:tcBorders>
            <w:gridSpan w:val="19"/>
          </w:tcPr>
          <w:p>
            <w:pPr>
              <w:spacing w:after="0"/>
              <w:rPr>
                <w:rFonts w:ascii="Arial" w:cs="Arial" w:eastAsia="Arial" w:hAnsi="Arial"/>
                <w:sz w:val="15"/>
                <w:szCs w:val="15"/>
                <w:color w:val="0000EE"/>
              </w:rPr>
            </w:pPr>
            <w:hyperlink r:id="rId262">
              <w:r>
                <w:rPr>
                  <w:rFonts w:ascii="Arial" w:cs="Arial" w:eastAsia="Arial" w:hAnsi="Arial"/>
                  <w:sz w:val="15"/>
                  <w:szCs w:val="15"/>
                  <w:color w:val="0000EE"/>
                </w:rPr>
                <w:t>Amended and Restated Memorandum and</w:t>
              </w:r>
            </w:hyperlink>
          </w:p>
        </w:tc>
        <w:tc>
          <w:tcPr>
            <w:tcW w:w="420" w:type="dxa"/>
            <w:vAlign w:val="bottom"/>
            <w:gridSpan w:val="10"/>
          </w:tcPr>
          <w:p>
            <w:pPr>
              <w:spacing w:after="0"/>
              <w:rPr>
                <w:sz w:val="20"/>
                <w:szCs w:val="2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880" w:type="dxa"/>
            <w:vAlign w:val="bottom"/>
          </w:tcPr>
          <w:p>
            <w:pPr>
              <w:jc w:val="center"/>
              <w:spacing w:after="0"/>
              <w:rPr>
                <w:sz w:val="20"/>
                <w:szCs w:val="20"/>
                <w:color w:val="auto"/>
              </w:rPr>
            </w:pPr>
            <w:r>
              <w:rPr>
                <w:rFonts w:ascii="Arial" w:cs="Arial" w:eastAsia="Arial" w:hAnsi="Arial"/>
                <w:sz w:val="15"/>
                <w:szCs w:val="15"/>
                <w:color w:val="auto"/>
              </w:rPr>
              <w:t>001-41608</w:t>
            </w:r>
          </w:p>
        </w:tc>
        <w:tc>
          <w:tcPr>
            <w:tcW w:w="1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rPr>
              <w:t>February 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62">
              <w:r>
                <w:rPr>
                  <w:rFonts w:ascii="Arial" w:cs="Arial" w:eastAsia="Arial" w:hAnsi="Arial"/>
                  <w:sz w:val="15"/>
                  <w:szCs w:val="15"/>
                  <w:color w:val="0000EE"/>
                </w:rPr>
                <w:t>Articles of Association of the registrant.</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4.1</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63">
              <w:r>
                <w:rPr>
                  <w:rFonts w:ascii="Arial" w:cs="Arial" w:eastAsia="Arial" w:hAnsi="Arial"/>
                  <w:sz w:val="15"/>
                  <w:szCs w:val="15"/>
                  <w:color w:val="0000EE"/>
                </w:rPr>
                <w:t>Registrant’s Specimen Certificate for Ordinary</w:t>
              </w:r>
            </w:hyperlink>
          </w:p>
        </w:tc>
        <w:tc>
          <w:tcPr>
            <w:tcW w:w="7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30,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0000EE"/>
              <w:bottom w:val="single" w:sz="8" w:color="0000EE"/>
            </w:tcBorders>
          </w:tcPr>
          <w:p>
            <w:pPr>
              <w:spacing w:after="0" w:line="157" w:lineRule="exact"/>
              <w:rPr>
                <w:rFonts w:ascii="Arial" w:cs="Arial" w:eastAsia="Arial" w:hAnsi="Arial"/>
                <w:sz w:val="15"/>
                <w:szCs w:val="15"/>
                <w:color w:val="0000EE"/>
              </w:rPr>
            </w:pPr>
            <w:hyperlink r:id="rId263">
              <w:r>
                <w:rPr>
                  <w:rFonts w:ascii="Arial" w:cs="Arial" w:eastAsia="Arial" w:hAnsi="Arial"/>
                  <w:sz w:val="15"/>
                  <w:szCs w:val="15"/>
                  <w:color w:val="0000EE"/>
                </w:rPr>
                <w:t>Shares.</w:t>
              </w:r>
            </w:hyperlink>
          </w:p>
        </w:tc>
        <w:tc>
          <w:tcPr>
            <w:tcW w:w="2540" w:type="dxa"/>
            <w:vAlign w:val="bottom"/>
            <w:tcBorders>
              <w:top w:val="single" w:sz="8" w:color="0000EE"/>
            </w:tcBorders>
            <w:gridSpan w:val="24"/>
          </w:tcPr>
          <w:p>
            <w:pPr>
              <w:spacing w:after="0"/>
              <w:rPr>
                <w:sz w:val="13"/>
                <w:szCs w:val="13"/>
                <w:color w:val="auto"/>
              </w:rPr>
            </w:pPr>
          </w:p>
        </w:tc>
        <w:tc>
          <w:tcPr>
            <w:tcW w:w="24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4.2</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64">
              <w:r>
                <w:rPr>
                  <w:rFonts w:ascii="Arial" w:cs="Arial" w:eastAsia="Arial" w:hAnsi="Arial"/>
                  <w:sz w:val="15"/>
                  <w:szCs w:val="15"/>
                  <w:color w:val="0000EE"/>
                </w:rPr>
                <w:t>Form of Deposit Agreement.</w:t>
              </w:r>
            </w:hyperlink>
          </w:p>
        </w:tc>
        <w:tc>
          <w:tcPr>
            <w:tcW w:w="7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30,</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5"/>
                <w:szCs w:val="15"/>
                <w:color w:val="auto"/>
              </w:rPr>
              <w:t>2023</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5"/>
                <w:szCs w:val="15"/>
                <w:color w:val="auto"/>
              </w:rPr>
              <w:t>4.3</w:t>
            </w:r>
          </w:p>
        </w:tc>
        <w:tc>
          <w:tcPr>
            <w:tcW w:w="180" w:type="dxa"/>
            <w:vAlign w:val="bottom"/>
          </w:tcPr>
          <w:p>
            <w:pPr>
              <w:spacing w:after="0"/>
              <w:rPr>
                <w:sz w:val="19"/>
                <w:szCs w:val="19"/>
                <w:color w:val="auto"/>
              </w:rPr>
            </w:pPr>
          </w:p>
        </w:tc>
        <w:tc>
          <w:tcPr>
            <w:tcW w:w="2540" w:type="dxa"/>
            <w:vAlign w:val="bottom"/>
            <w:tcBorders>
              <w:bottom w:val="single" w:sz="8" w:color="0000EE"/>
            </w:tcBorders>
            <w:gridSpan w:val="11"/>
          </w:tcPr>
          <w:p>
            <w:pPr>
              <w:spacing w:after="0"/>
              <w:rPr>
                <w:rFonts w:ascii="Arial" w:cs="Arial" w:eastAsia="Arial" w:hAnsi="Arial"/>
                <w:sz w:val="15"/>
                <w:szCs w:val="15"/>
                <w:color w:val="0000EE"/>
              </w:rPr>
            </w:pPr>
            <w:hyperlink r:id="rId264">
              <w:r>
                <w:rPr>
                  <w:rFonts w:ascii="Arial" w:cs="Arial" w:eastAsia="Arial" w:hAnsi="Arial"/>
                  <w:sz w:val="15"/>
                  <w:szCs w:val="15"/>
                  <w:color w:val="0000EE"/>
                </w:rPr>
                <w:t>Form of American Depositary Receipt</w:t>
              </w:r>
            </w:hyperlink>
          </w:p>
        </w:tc>
        <w:tc>
          <w:tcPr>
            <w:tcW w:w="780" w:type="dxa"/>
            <w:vAlign w:val="bottom"/>
            <w:gridSpan w:val="18"/>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5"/>
                <w:szCs w:val="15"/>
                <w:color w:val="auto"/>
              </w:rPr>
              <w:t>S-1/A</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Borders>
              <w:bottom w:val="single" w:sz="8" w:color="0000EE"/>
            </w:tcBorders>
            <w:gridSpan w:val="15"/>
          </w:tcPr>
          <w:p>
            <w:pPr>
              <w:spacing w:after="0" w:line="157" w:lineRule="exact"/>
              <w:rPr>
                <w:rFonts w:ascii="Arial" w:cs="Arial" w:eastAsia="Arial" w:hAnsi="Arial"/>
                <w:sz w:val="15"/>
                <w:szCs w:val="15"/>
                <w:color w:val="0000EE"/>
              </w:rPr>
            </w:pPr>
            <w:hyperlink r:id="rId264">
              <w:r>
                <w:rPr>
                  <w:rFonts w:ascii="Arial" w:cs="Arial" w:eastAsia="Arial" w:hAnsi="Arial"/>
                  <w:sz w:val="15"/>
                  <w:szCs w:val="15"/>
                  <w:color w:val="0000EE"/>
                </w:rPr>
                <w:t>Evidencing American Depositary Shares</w:t>
              </w:r>
            </w:hyperlink>
          </w:p>
        </w:tc>
        <w:tc>
          <w:tcPr>
            <w:tcW w:w="600" w:type="dxa"/>
            <w:vAlign w:val="bottom"/>
            <w:gridSpan w:val="14"/>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64">
              <w:r>
                <w:rPr>
                  <w:rFonts w:ascii="Arial" w:cs="Arial" w:eastAsia="Arial" w:hAnsi="Arial"/>
                  <w:sz w:val="15"/>
                  <w:szCs w:val="15"/>
                  <w:color w:val="0000EE"/>
                </w:rPr>
                <w:t>(included in Exhibit 4.2).</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4.4</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65">
              <w:r>
                <w:rPr>
                  <w:rFonts w:ascii="Arial" w:cs="Arial" w:eastAsia="Arial" w:hAnsi="Arial"/>
                  <w:sz w:val="15"/>
                  <w:szCs w:val="15"/>
                  <w:color w:val="0000EE"/>
                </w:rPr>
                <w:t>Description of Securities.</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880" w:type="dxa"/>
            <w:vAlign w:val="bottom"/>
          </w:tcPr>
          <w:p>
            <w:pPr>
              <w:jc w:val="center"/>
              <w:spacing w:after="0"/>
              <w:rPr>
                <w:sz w:val="20"/>
                <w:szCs w:val="20"/>
                <w:color w:val="auto"/>
              </w:rPr>
            </w:pPr>
            <w:r>
              <w:rPr>
                <w:rFonts w:ascii="Arial" w:cs="Arial" w:eastAsia="Arial" w:hAnsi="Arial"/>
                <w:sz w:val="15"/>
                <w:szCs w:val="15"/>
                <w:color w:val="auto"/>
              </w:rPr>
              <w:t>001-41608</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4.5</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rPr>
              <w:t>March 30, 2023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10.1+</w:t>
            </w:r>
          </w:p>
        </w:tc>
        <w:tc>
          <w:tcPr>
            <w:tcW w:w="180" w:type="dxa"/>
            <w:vAlign w:val="bottom"/>
          </w:tcPr>
          <w:p>
            <w:pPr>
              <w:spacing w:after="0"/>
              <w:rPr>
                <w:sz w:val="21"/>
                <w:szCs w:val="21"/>
                <w:color w:val="auto"/>
              </w:rPr>
            </w:pPr>
          </w:p>
        </w:tc>
        <w:tc>
          <w:tcPr>
            <w:tcW w:w="3000" w:type="dxa"/>
            <w:vAlign w:val="bottom"/>
            <w:tcBorders>
              <w:bottom w:val="single" w:sz="8" w:color="0000EE"/>
            </w:tcBorders>
            <w:gridSpan w:val="22"/>
          </w:tcPr>
          <w:p>
            <w:pPr>
              <w:spacing w:after="0"/>
              <w:rPr>
                <w:rFonts w:ascii="Arial" w:cs="Arial" w:eastAsia="Arial" w:hAnsi="Arial"/>
                <w:sz w:val="15"/>
                <w:szCs w:val="15"/>
                <w:color w:val="0000EE"/>
              </w:rPr>
            </w:pPr>
            <w:hyperlink r:id="rId266">
              <w:r>
                <w:rPr>
                  <w:rFonts w:ascii="Arial" w:cs="Arial" w:eastAsia="Arial" w:hAnsi="Arial"/>
                  <w:sz w:val="15"/>
                  <w:szCs w:val="15"/>
                  <w:color w:val="0000EE"/>
                </w:rPr>
                <w:t>Form of Indemnification Agreement between</w:t>
              </w:r>
            </w:hyperlink>
          </w:p>
        </w:tc>
        <w:tc>
          <w:tcPr>
            <w:tcW w:w="320" w:type="dxa"/>
            <w:vAlign w:val="bottom"/>
            <w:gridSpan w:val="7"/>
          </w:tcPr>
          <w:p>
            <w:pPr>
              <w:spacing w:after="0"/>
              <w:rPr>
                <w:sz w:val="21"/>
                <w:szCs w:val="2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10.1</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40" w:type="dxa"/>
            <w:vAlign w:val="bottom"/>
            <w:tcBorders>
              <w:bottom w:val="single" w:sz="8" w:color="0000EE"/>
            </w:tcBorders>
            <w:gridSpan w:val="27"/>
          </w:tcPr>
          <w:p>
            <w:pPr>
              <w:spacing w:after="0" w:line="157" w:lineRule="exact"/>
              <w:rPr>
                <w:rFonts w:ascii="Arial" w:cs="Arial" w:eastAsia="Arial" w:hAnsi="Arial"/>
                <w:sz w:val="15"/>
                <w:szCs w:val="15"/>
                <w:color w:val="0000EE"/>
              </w:rPr>
            </w:pPr>
            <w:hyperlink r:id="rId266">
              <w:r>
                <w:rPr>
                  <w:rFonts w:ascii="Arial" w:cs="Arial" w:eastAsia="Arial" w:hAnsi="Arial"/>
                  <w:sz w:val="15"/>
                  <w:szCs w:val="15"/>
                  <w:color w:val="0000EE"/>
                </w:rPr>
                <w:t>the registrant and each of its executive officers</w:t>
              </w:r>
            </w:hyperlink>
          </w:p>
        </w:tc>
        <w:tc>
          <w:tcPr>
            <w:tcW w:w="18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66">
              <w:r>
                <w:rPr>
                  <w:rFonts w:ascii="Arial" w:cs="Arial" w:eastAsia="Arial" w:hAnsi="Arial"/>
                  <w:sz w:val="15"/>
                  <w:szCs w:val="15"/>
                  <w:color w:val="0000EE"/>
                </w:rPr>
                <w:t>and directors.</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10.2+</w:t>
            </w:r>
          </w:p>
        </w:tc>
        <w:tc>
          <w:tcPr>
            <w:tcW w:w="180" w:type="dxa"/>
            <w:vAlign w:val="bottom"/>
          </w:tcPr>
          <w:p>
            <w:pPr>
              <w:spacing w:after="0"/>
              <w:rPr>
                <w:sz w:val="21"/>
                <w:szCs w:val="21"/>
                <w:color w:val="auto"/>
              </w:rPr>
            </w:pPr>
          </w:p>
        </w:tc>
        <w:tc>
          <w:tcPr>
            <w:tcW w:w="2860" w:type="dxa"/>
            <w:vAlign w:val="bottom"/>
            <w:tcBorders>
              <w:bottom w:val="single" w:sz="8" w:color="0000EE"/>
            </w:tcBorders>
            <w:gridSpan w:val="18"/>
          </w:tcPr>
          <w:p>
            <w:pPr>
              <w:spacing w:after="0"/>
              <w:rPr>
                <w:rFonts w:ascii="Arial" w:cs="Arial" w:eastAsia="Arial" w:hAnsi="Arial"/>
                <w:sz w:val="15"/>
                <w:szCs w:val="15"/>
                <w:color w:val="0000EE"/>
              </w:rPr>
            </w:pPr>
            <w:hyperlink r:id="rId267">
              <w:r>
                <w:rPr>
                  <w:rFonts w:ascii="Arial" w:cs="Arial" w:eastAsia="Arial" w:hAnsi="Arial"/>
                  <w:sz w:val="15"/>
                  <w:szCs w:val="15"/>
                  <w:color w:val="0000EE"/>
                </w:rPr>
                <w:t>ShouTi Inc. 2019 Equity Incentive Plan, as</w:t>
              </w:r>
            </w:hyperlink>
          </w:p>
        </w:tc>
        <w:tc>
          <w:tcPr>
            <w:tcW w:w="460" w:type="dxa"/>
            <w:vAlign w:val="bottom"/>
            <w:gridSpan w:val="11"/>
          </w:tcPr>
          <w:p>
            <w:pPr>
              <w:spacing w:after="0"/>
              <w:rPr>
                <w:sz w:val="21"/>
                <w:szCs w:val="2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10.2</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tcBorders>
              <w:bottom w:val="single" w:sz="8" w:color="0000EE"/>
            </w:tcBorders>
            <w:gridSpan w:val="19"/>
          </w:tcPr>
          <w:p>
            <w:pPr>
              <w:spacing w:after="0" w:line="157" w:lineRule="exact"/>
              <w:rPr>
                <w:rFonts w:ascii="Arial" w:cs="Arial" w:eastAsia="Arial" w:hAnsi="Arial"/>
                <w:sz w:val="15"/>
                <w:szCs w:val="15"/>
                <w:color w:val="0000EE"/>
              </w:rPr>
            </w:pPr>
            <w:hyperlink r:id="rId267">
              <w:r>
                <w:rPr>
                  <w:rFonts w:ascii="Arial" w:cs="Arial" w:eastAsia="Arial" w:hAnsi="Arial"/>
                  <w:sz w:val="15"/>
                  <w:szCs w:val="15"/>
                  <w:color w:val="0000EE"/>
                </w:rPr>
                <w:t>amended (including Forms of Option Grant</w:t>
              </w:r>
            </w:hyperlink>
          </w:p>
        </w:tc>
        <w:tc>
          <w:tcPr>
            <w:tcW w:w="420" w:type="dxa"/>
            <w:vAlign w:val="bottom"/>
            <w:gridSpan w:val="10"/>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67">
              <w:r>
                <w:rPr>
                  <w:rFonts w:ascii="Arial" w:cs="Arial" w:eastAsia="Arial" w:hAnsi="Arial"/>
                  <w:sz w:val="15"/>
                  <w:szCs w:val="15"/>
                  <w:color w:val="0000EE"/>
                </w:rPr>
                <w:t>Notice, Option Agreement and Notice of</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Borders>
              <w:top w:val="single" w:sz="8" w:color="0000EE"/>
              <w:bottom w:val="single" w:sz="8" w:color="0000EE"/>
            </w:tcBorders>
            <w:gridSpan w:val="5"/>
          </w:tcPr>
          <w:p>
            <w:pPr>
              <w:spacing w:after="0" w:line="157" w:lineRule="exact"/>
              <w:rPr>
                <w:rFonts w:ascii="Arial" w:cs="Arial" w:eastAsia="Arial" w:hAnsi="Arial"/>
                <w:sz w:val="15"/>
                <w:szCs w:val="15"/>
                <w:color w:val="0000EE"/>
              </w:rPr>
            </w:pPr>
            <w:hyperlink r:id="rId267">
              <w:r>
                <w:rPr>
                  <w:rFonts w:ascii="Arial" w:cs="Arial" w:eastAsia="Arial" w:hAnsi="Arial"/>
                  <w:sz w:val="15"/>
                  <w:szCs w:val="15"/>
                  <w:color w:val="0000EE"/>
                </w:rPr>
                <w:t>Exercise thereunder).</w:t>
              </w:r>
            </w:hyperlink>
          </w:p>
        </w:tc>
        <w:tc>
          <w:tcPr>
            <w:tcW w:w="1220" w:type="dxa"/>
            <w:vAlign w:val="bottom"/>
            <w:tcBorders>
              <w:top w:val="single" w:sz="8" w:color="0000EE"/>
            </w:tcBorders>
            <w:gridSpan w:val="9"/>
          </w:tcPr>
          <w:p>
            <w:pPr>
              <w:spacing w:after="0"/>
              <w:rPr>
                <w:sz w:val="13"/>
                <w:szCs w:val="13"/>
                <w:color w:val="auto"/>
              </w:rPr>
            </w:pPr>
          </w:p>
        </w:tc>
        <w:tc>
          <w:tcPr>
            <w:tcW w:w="640" w:type="dxa"/>
            <w:vAlign w:val="bottom"/>
            <w:gridSpan w:val="15"/>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10.3+</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68">
              <w:r>
                <w:rPr>
                  <w:rFonts w:ascii="Arial" w:cs="Arial" w:eastAsia="Arial" w:hAnsi="Arial"/>
                  <w:sz w:val="15"/>
                  <w:szCs w:val="15"/>
                  <w:color w:val="0000EE"/>
                </w:rPr>
                <w:t>Structure Therapeutics Inc. 2023 Equity</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880" w:type="dxa"/>
            <w:vAlign w:val="bottom"/>
          </w:tcPr>
          <w:p>
            <w:pPr>
              <w:jc w:val="center"/>
              <w:spacing w:after="0"/>
              <w:rPr>
                <w:sz w:val="20"/>
                <w:szCs w:val="20"/>
                <w:color w:val="auto"/>
              </w:rPr>
            </w:pPr>
            <w:r>
              <w:rPr>
                <w:rFonts w:ascii="Arial" w:cs="Arial" w:eastAsia="Arial" w:hAnsi="Arial"/>
                <w:sz w:val="15"/>
                <w:szCs w:val="15"/>
                <w:color w:val="auto"/>
              </w:rPr>
              <w:t>001-41608</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10.3</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rPr>
              <w:t>March 30, 2023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Borders>
              <w:top w:val="single" w:sz="8" w:color="0000EE"/>
            </w:tcBorders>
            <w:gridSpan w:val="13"/>
          </w:tcPr>
          <w:p>
            <w:pPr>
              <w:spacing w:after="0" w:line="157" w:lineRule="exact"/>
              <w:rPr>
                <w:rFonts w:ascii="Arial" w:cs="Arial" w:eastAsia="Arial" w:hAnsi="Arial"/>
                <w:sz w:val="15"/>
                <w:szCs w:val="15"/>
                <w:color w:val="0000EE"/>
              </w:rPr>
            </w:pPr>
            <w:hyperlink r:id="rId268">
              <w:r>
                <w:rPr>
                  <w:rFonts w:ascii="Arial" w:cs="Arial" w:eastAsia="Arial" w:hAnsi="Arial"/>
                  <w:sz w:val="15"/>
                  <w:szCs w:val="15"/>
                  <w:color w:val="0000EE"/>
                </w:rPr>
                <w:t>Incentive Plan.</w:t>
              </w:r>
            </w:hyperlink>
          </w:p>
        </w:tc>
        <w:tc>
          <w:tcPr>
            <w:tcW w:w="660" w:type="dxa"/>
            <w:vAlign w:val="bottom"/>
            <w:gridSpan w:val="16"/>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10.4+</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69">
              <w:r>
                <w:rPr>
                  <w:rFonts w:ascii="Arial" w:cs="Arial" w:eastAsia="Arial" w:hAnsi="Arial"/>
                  <w:sz w:val="15"/>
                  <w:szCs w:val="15"/>
                  <w:color w:val="0000EE"/>
                </w:rPr>
                <w:t>Form of Share Option Grant Notice, Share</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16"/>
          </w:tcPr>
          <w:p>
            <w:pPr>
              <w:spacing w:after="0" w:line="157" w:lineRule="exact"/>
              <w:rPr>
                <w:rFonts w:ascii="Arial" w:cs="Arial" w:eastAsia="Arial" w:hAnsi="Arial"/>
                <w:sz w:val="15"/>
                <w:szCs w:val="15"/>
                <w:color w:val="0000EE"/>
              </w:rPr>
            </w:pPr>
            <w:hyperlink r:id="rId269">
              <w:r>
                <w:rPr>
                  <w:rFonts w:ascii="Arial" w:cs="Arial" w:eastAsia="Arial" w:hAnsi="Arial"/>
                  <w:sz w:val="15"/>
                  <w:szCs w:val="15"/>
                  <w:color w:val="0000EE"/>
                </w:rPr>
                <w:t>Option Agreement and Notice of Exercise</w:t>
              </w:r>
            </w:hyperlink>
          </w:p>
        </w:tc>
        <w:tc>
          <w:tcPr>
            <w:tcW w:w="40" w:type="dxa"/>
            <w:vAlign w:val="bottom"/>
            <w:tcBorders>
              <w:top w:val="single" w:sz="8" w:color="0000EE"/>
            </w:tcBorders>
          </w:tcPr>
          <w:p>
            <w:pPr>
              <w:spacing w:after="0"/>
              <w:rPr>
                <w:sz w:val="13"/>
                <w:szCs w:val="13"/>
                <w:color w:val="auto"/>
              </w:rPr>
            </w:pPr>
          </w:p>
        </w:tc>
        <w:tc>
          <w:tcPr>
            <w:tcW w:w="480" w:type="dxa"/>
            <w:vAlign w:val="bottom"/>
            <w:gridSpan w:val="1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69">
              <w:r>
                <w:rPr>
                  <w:rFonts w:ascii="Arial" w:cs="Arial" w:eastAsia="Arial" w:hAnsi="Arial"/>
                  <w:sz w:val="15"/>
                  <w:szCs w:val="15"/>
                  <w:color w:val="0000EE"/>
                </w:rPr>
                <w:t>(US) under the Structure Therapeutics Inc.</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60" w:type="dxa"/>
            <w:vAlign w:val="bottom"/>
            <w:tcBorders>
              <w:top w:val="single" w:sz="8" w:color="0000EE"/>
            </w:tcBorders>
            <w:gridSpan w:val="18"/>
          </w:tcPr>
          <w:p>
            <w:pPr>
              <w:spacing w:after="0" w:line="157" w:lineRule="exact"/>
              <w:rPr>
                <w:rFonts w:ascii="Arial" w:cs="Arial" w:eastAsia="Arial" w:hAnsi="Arial"/>
                <w:sz w:val="15"/>
                <w:szCs w:val="15"/>
                <w:color w:val="0000EE"/>
              </w:rPr>
            </w:pPr>
            <w:hyperlink r:id="rId269">
              <w:r>
                <w:rPr>
                  <w:rFonts w:ascii="Arial" w:cs="Arial" w:eastAsia="Arial" w:hAnsi="Arial"/>
                  <w:sz w:val="15"/>
                  <w:szCs w:val="15"/>
                  <w:color w:val="0000EE"/>
                </w:rPr>
                <w:t>2023 Equity Incentive Plan.</w:t>
              </w:r>
            </w:hyperlink>
          </w:p>
        </w:tc>
        <w:tc>
          <w:tcPr>
            <w:tcW w:w="460" w:type="dxa"/>
            <w:vAlign w:val="bottom"/>
            <w:gridSpan w:val="11"/>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10.5+</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70">
              <w:r>
                <w:rPr>
                  <w:rFonts w:ascii="Arial" w:cs="Arial" w:eastAsia="Arial" w:hAnsi="Arial"/>
                  <w:sz w:val="15"/>
                  <w:szCs w:val="15"/>
                  <w:color w:val="0000EE"/>
                </w:rPr>
                <w:t>Form of Share Option Grant Notice, Share</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10.5</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16"/>
          </w:tcPr>
          <w:p>
            <w:pPr>
              <w:spacing w:after="0" w:line="157" w:lineRule="exact"/>
              <w:rPr>
                <w:rFonts w:ascii="Arial" w:cs="Arial" w:eastAsia="Arial" w:hAnsi="Arial"/>
                <w:sz w:val="15"/>
                <w:szCs w:val="15"/>
                <w:color w:val="0000EE"/>
              </w:rPr>
            </w:pPr>
            <w:hyperlink r:id="rId270">
              <w:r>
                <w:rPr>
                  <w:rFonts w:ascii="Arial" w:cs="Arial" w:eastAsia="Arial" w:hAnsi="Arial"/>
                  <w:sz w:val="15"/>
                  <w:szCs w:val="15"/>
                  <w:color w:val="0000EE"/>
                </w:rPr>
                <w:t>Option Agreement and Notice of Exercise</w:t>
              </w:r>
            </w:hyperlink>
          </w:p>
        </w:tc>
        <w:tc>
          <w:tcPr>
            <w:tcW w:w="40" w:type="dxa"/>
            <w:vAlign w:val="bottom"/>
            <w:tcBorders>
              <w:top w:val="single" w:sz="8" w:color="0000EE"/>
            </w:tcBorders>
          </w:tcPr>
          <w:p>
            <w:pPr>
              <w:spacing w:after="0"/>
              <w:rPr>
                <w:sz w:val="13"/>
                <w:szCs w:val="13"/>
                <w:color w:val="auto"/>
              </w:rPr>
            </w:pPr>
          </w:p>
        </w:tc>
        <w:tc>
          <w:tcPr>
            <w:tcW w:w="480" w:type="dxa"/>
            <w:vAlign w:val="bottom"/>
            <w:gridSpan w:val="1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40" w:type="dxa"/>
            <w:vAlign w:val="bottom"/>
            <w:tcBorders>
              <w:bottom w:val="single" w:sz="8" w:color="0000EE"/>
            </w:tcBorders>
            <w:gridSpan w:val="24"/>
          </w:tcPr>
          <w:p>
            <w:pPr>
              <w:spacing w:after="0" w:line="157" w:lineRule="exact"/>
              <w:rPr>
                <w:rFonts w:ascii="Arial" w:cs="Arial" w:eastAsia="Arial" w:hAnsi="Arial"/>
                <w:sz w:val="15"/>
                <w:szCs w:val="15"/>
                <w:color w:val="0000EE"/>
              </w:rPr>
            </w:pPr>
            <w:hyperlink r:id="rId270">
              <w:r>
                <w:rPr>
                  <w:rFonts w:ascii="Arial" w:cs="Arial" w:eastAsia="Arial" w:hAnsi="Arial"/>
                  <w:sz w:val="15"/>
                  <w:szCs w:val="15"/>
                  <w:color w:val="0000EE"/>
                </w:rPr>
                <w:t>(Non-Employee Director) under the Structure</w:t>
              </w:r>
            </w:hyperlink>
          </w:p>
        </w:tc>
        <w:tc>
          <w:tcPr>
            <w:tcW w:w="280" w:type="dxa"/>
            <w:vAlign w:val="bottom"/>
            <w:gridSpan w:val="5"/>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70">
              <w:r>
                <w:rPr>
                  <w:rFonts w:ascii="Arial" w:cs="Arial" w:eastAsia="Arial" w:hAnsi="Arial"/>
                  <w:sz w:val="15"/>
                  <w:szCs w:val="15"/>
                  <w:color w:val="0000EE"/>
                </w:rPr>
                <w:t>Therapeutics Inc. 2023 Equity Incentive Plan.</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10.6+</w:t>
            </w:r>
          </w:p>
        </w:tc>
        <w:tc>
          <w:tcPr>
            <w:tcW w:w="180" w:type="dxa"/>
            <w:vAlign w:val="bottom"/>
          </w:tcPr>
          <w:p>
            <w:pPr>
              <w:spacing w:after="0"/>
              <w:rPr>
                <w:sz w:val="21"/>
                <w:szCs w:val="21"/>
                <w:color w:val="auto"/>
              </w:rPr>
            </w:pPr>
          </w:p>
        </w:tc>
        <w:tc>
          <w:tcPr>
            <w:tcW w:w="3040" w:type="dxa"/>
            <w:vAlign w:val="bottom"/>
            <w:tcBorders>
              <w:top w:val="single" w:sz="8" w:color="0000EE"/>
            </w:tcBorders>
            <w:gridSpan w:val="24"/>
          </w:tcPr>
          <w:p>
            <w:pPr>
              <w:spacing w:after="0"/>
              <w:rPr>
                <w:rFonts w:ascii="Arial" w:cs="Arial" w:eastAsia="Arial" w:hAnsi="Arial"/>
                <w:sz w:val="15"/>
                <w:szCs w:val="15"/>
                <w:color w:val="0000EE"/>
              </w:rPr>
            </w:pPr>
            <w:hyperlink r:id="rId271">
              <w:r>
                <w:rPr>
                  <w:rFonts w:ascii="Arial" w:cs="Arial" w:eastAsia="Arial" w:hAnsi="Arial"/>
                  <w:sz w:val="15"/>
                  <w:szCs w:val="15"/>
                  <w:color w:val="0000EE"/>
                </w:rPr>
                <w:t>Form of Share Option Grant Notice, Share</w:t>
              </w:r>
            </w:hyperlink>
          </w:p>
        </w:tc>
        <w:tc>
          <w:tcPr>
            <w:tcW w:w="280" w:type="dxa"/>
            <w:vAlign w:val="bottom"/>
            <w:gridSpan w:val="5"/>
          </w:tcPr>
          <w:p>
            <w:pPr>
              <w:spacing w:after="0"/>
              <w:rPr>
                <w:sz w:val="21"/>
                <w:szCs w:val="2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10.6</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16"/>
          </w:tcPr>
          <w:p>
            <w:pPr>
              <w:spacing w:after="0" w:line="157" w:lineRule="exact"/>
              <w:rPr>
                <w:rFonts w:ascii="Arial" w:cs="Arial" w:eastAsia="Arial" w:hAnsi="Arial"/>
                <w:sz w:val="15"/>
                <w:szCs w:val="15"/>
                <w:color w:val="0000EE"/>
              </w:rPr>
            </w:pPr>
            <w:hyperlink r:id="rId271">
              <w:r>
                <w:rPr>
                  <w:rFonts w:ascii="Arial" w:cs="Arial" w:eastAsia="Arial" w:hAnsi="Arial"/>
                  <w:sz w:val="15"/>
                  <w:szCs w:val="15"/>
                  <w:color w:val="0000EE"/>
                </w:rPr>
                <w:t>Option Agreement and Notice of Exercise</w:t>
              </w:r>
            </w:hyperlink>
          </w:p>
        </w:tc>
        <w:tc>
          <w:tcPr>
            <w:tcW w:w="40" w:type="dxa"/>
            <w:vAlign w:val="bottom"/>
            <w:tcBorders>
              <w:top w:val="single" w:sz="8" w:color="0000EE"/>
            </w:tcBorders>
          </w:tcPr>
          <w:p>
            <w:pPr>
              <w:spacing w:after="0"/>
              <w:rPr>
                <w:sz w:val="13"/>
                <w:szCs w:val="13"/>
                <w:color w:val="auto"/>
              </w:rPr>
            </w:pPr>
          </w:p>
        </w:tc>
        <w:tc>
          <w:tcPr>
            <w:tcW w:w="480" w:type="dxa"/>
            <w:vAlign w:val="bottom"/>
            <w:gridSpan w:val="1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tcBorders>
              <w:bottom w:val="single" w:sz="8" w:color="0000EE"/>
            </w:tcBorders>
            <w:gridSpan w:val="21"/>
          </w:tcPr>
          <w:p>
            <w:pPr>
              <w:spacing w:after="0" w:line="157" w:lineRule="exact"/>
              <w:rPr>
                <w:rFonts w:ascii="Arial" w:cs="Arial" w:eastAsia="Arial" w:hAnsi="Arial"/>
                <w:sz w:val="15"/>
                <w:szCs w:val="15"/>
                <w:color w:val="0000EE"/>
              </w:rPr>
            </w:pPr>
            <w:hyperlink r:id="rId271">
              <w:r>
                <w:rPr>
                  <w:rFonts w:ascii="Arial" w:cs="Arial" w:eastAsia="Arial" w:hAnsi="Arial"/>
                  <w:sz w:val="15"/>
                  <w:szCs w:val="15"/>
                  <w:color w:val="0000EE"/>
                </w:rPr>
                <w:t>(PRC) under the Structure Therapeutics Inc.</w:t>
              </w:r>
            </w:hyperlink>
          </w:p>
        </w:tc>
        <w:tc>
          <w:tcPr>
            <w:tcW w:w="340" w:type="dxa"/>
            <w:vAlign w:val="bottom"/>
            <w:gridSpan w:val="8"/>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71">
              <w:r>
                <w:rPr>
                  <w:rFonts w:ascii="Arial" w:cs="Arial" w:eastAsia="Arial" w:hAnsi="Arial"/>
                  <w:sz w:val="15"/>
                  <w:szCs w:val="15"/>
                  <w:color w:val="0000EE"/>
                </w:rPr>
                <w:t>2023 Equity Incentive Plan.</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10.7+</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72">
              <w:r>
                <w:rPr>
                  <w:rFonts w:ascii="Arial" w:cs="Arial" w:eastAsia="Arial" w:hAnsi="Arial"/>
                  <w:sz w:val="15"/>
                  <w:szCs w:val="15"/>
                  <w:color w:val="0000EE"/>
                </w:rPr>
                <w:t>Form of Restricted Share Unit Award Grant</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10.7</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rPr>
              <w:t>2023</w:t>
            </w: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72">
              <w:r>
                <w:rPr>
                  <w:rFonts w:ascii="Arial" w:cs="Arial" w:eastAsia="Arial" w:hAnsi="Arial"/>
                  <w:sz w:val="15"/>
                  <w:szCs w:val="15"/>
                  <w:color w:val="0000EE"/>
                </w:rPr>
                <w:t>Notice and Award Agreement (US) under the</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20" w:type="dxa"/>
            <w:vAlign w:val="bottom"/>
            <w:tcBorders>
              <w:top w:val="single" w:sz="8" w:color="0000EE"/>
            </w:tcBorders>
            <w:gridSpan w:val="23"/>
          </w:tcPr>
          <w:p>
            <w:pPr>
              <w:spacing w:after="0" w:line="157" w:lineRule="exact"/>
              <w:rPr>
                <w:rFonts w:ascii="Arial" w:cs="Arial" w:eastAsia="Arial" w:hAnsi="Arial"/>
                <w:sz w:val="15"/>
                <w:szCs w:val="15"/>
                <w:color w:val="0000EE"/>
              </w:rPr>
            </w:pPr>
            <w:hyperlink r:id="rId272">
              <w:r>
                <w:rPr>
                  <w:rFonts w:ascii="Arial" w:cs="Arial" w:eastAsia="Arial" w:hAnsi="Arial"/>
                  <w:sz w:val="15"/>
                  <w:szCs w:val="15"/>
                  <w:color w:val="0000EE"/>
                </w:rPr>
                <w:t>Structure Therapeutics Inc. 2023 Equity</w:t>
              </w:r>
            </w:hyperlink>
          </w:p>
        </w:tc>
        <w:tc>
          <w:tcPr>
            <w:tcW w:w="300" w:type="dxa"/>
            <w:vAlign w:val="bottom"/>
            <w:gridSpan w:val="6"/>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Borders>
              <w:top w:val="single" w:sz="8" w:color="0000EE"/>
            </w:tcBorders>
            <w:gridSpan w:val="13"/>
          </w:tcPr>
          <w:p>
            <w:pPr>
              <w:spacing w:after="0" w:line="157" w:lineRule="exact"/>
              <w:rPr>
                <w:rFonts w:ascii="Arial" w:cs="Arial" w:eastAsia="Arial" w:hAnsi="Arial"/>
                <w:sz w:val="15"/>
                <w:szCs w:val="15"/>
                <w:color w:val="0000EE"/>
              </w:rPr>
            </w:pPr>
            <w:hyperlink r:id="rId272">
              <w:r>
                <w:rPr>
                  <w:rFonts w:ascii="Arial" w:cs="Arial" w:eastAsia="Arial" w:hAnsi="Arial"/>
                  <w:sz w:val="15"/>
                  <w:szCs w:val="15"/>
                  <w:color w:val="0000EE"/>
                </w:rPr>
                <w:t>Incentive Plan.</w:t>
              </w:r>
            </w:hyperlink>
          </w:p>
        </w:tc>
        <w:tc>
          <w:tcPr>
            <w:tcW w:w="660" w:type="dxa"/>
            <w:vAlign w:val="bottom"/>
            <w:gridSpan w:val="16"/>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10.8+</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73">
              <w:r>
                <w:rPr>
                  <w:rFonts w:ascii="Arial" w:cs="Arial" w:eastAsia="Arial" w:hAnsi="Arial"/>
                  <w:sz w:val="15"/>
                  <w:szCs w:val="15"/>
                  <w:color w:val="0000EE"/>
                </w:rPr>
                <w:t>Form of Restricted Share Unit Award Grant</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10.8</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Arial" w:cs="Arial" w:eastAsia="Arial" w:hAnsi="Arial"/>
                <w:sz w:val="15"/>
                <w:szCs w:val="15"/>
                <w:color w:val="auto"/>
              </w:rPr>
              <w:t>2023</w:t>
            </w: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40" w:type="dxa"/>
            <w:vAlign w:val="bottom"/>
            <w:tcBorders>
              <w:bottom w:val="single" w:sz="8" w:color="0000EE"/>
            </w:tcBorders>
            <w:gridSpan w:val="27"/>
          </w:tcPr>
          <w:p>
            <w:pPr>
              <w:spacing w:after="0" w:line="157" w:lineRule="exact"/>
              <w:rPr>
                <w:rFonts w:ascii="Arial" w:cs="Arial" w:eastAsia="Arial" w:hAnsi="Arial"/>
                <w:sz w:val="15"/>
                <w:szCs w:val="15"/>
                <w:color w:val="0000EE"/>
              </w:rPr>
            </w:pPr>
            <w:hyperlink r:id="rId273">
              <w:r>
                <w:rPr>
                  <w:rFonts w:ascii="Arial" w:cs="Arial" w:eastAsia="Arial" w:hAnsi="Arial"/>
                  <w:sz w:val="15"/>
                  <w:szCs w:val="15"/>
                  <w:color w:val="0000EE"/>
                </w:rPr>
                <w:t>Notice and Award Agreement (PRC) under the</w:t>
              </w:r>
            </w:hyperlink>
          </w:p>
        </w:tc>
        <w:tc>
          <w:tcPr>
            <w:tcW w:w="18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73">
              <w:r>
                <w:rPr>
                  <w:rFonts w:ascii="Arial" w:cs="Arial" w:eastAsia="Arial" w:hAnsi="Arial"/>
                  <w:sz w:val="15"/>
                  <w:szCs w:val="15"/>
                  <w:color w:val="0000EE"/>
                </w:rPr>
                <w:t>Structure Therapeutics Inc. 2023 Equity</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tcBorders>
              <w:top w:val="single" w:sz="8" w:color="0000EE"/>
            </w:tcBorders>
            <w:gridSpan w:val="13"/>
          </w:tcPr>
          <w:p>
            <w:pPr>
              <w:spacing w:after="0" w:line="157" w:lineRule="exact"/>
              <w:rPr>
                <w:rFonts w:ascii="Arial" w:cs="Arial" w:eastAsia="Arial" w:hAnsi="Arial"/>
                <w:sz w:val="15"/>
                <w:szCs w:val="15"/>
                <w:color w:val="0000EE"/>
              </w:rPr>
            </w:pPr>
            <w:hyperlink r:id="rId273">
              <w:r>
                <w:rPr>
                  <w:rFonts w:ascii="Arial" w:cs="Arial" w:eastAsia="Arial" w:hAnsi="Arial"/>
                  <w:sz w:val="15"/>
                  <w:szCs w:val="15"/>
                  <w:color w:val="0000EE"/>
                </w:rPr>
                <w:t>Incentive Plan.</w:t>
              </w:r>
            </w:hyperlink>
          </w:p>
        </w:tc>
        <w:tc>
          <w:tcPr>
            <w:tcW w:w="660" w:type="dxa"/>
            <w:vAlign w:val="bottom"/>
            <w:gridSpan w:val="16"/>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10.9+</w:t>
            </w:r>
          </w:p>
        </w:tc>
        <w:tc>
          <w:tcPr>
            <w:tcW w:w="180" w:type="dxa"/>
            <w:vAlign w:val="bottom"/>
          </w:tcPr>
          <w:p>
            <w:pPr>
              <w:spacing w:after="0"/>
              <w:rPr>
                <w:sz w:val="21"/>
                <w:szCs w:val="21"/>
                <w:color w:val="auto"/>
              </w:rPr>
            </w:pPr>
          </w:p>
        </w:tc>
        <w:tc>
          <w:tcPr>
            <w:tcW w:w="3320" w:type="dxa"/>
            <w:vAlign w:val="bottom"/>
            <w:gridSpan w:val="29"/>
          </w:tcPr>
          <w:p>
            <w:pPr>
              <w:spacing w:after="0"/>
              <w:rPr>
                <w:rFonts w:ascii="Arial" w:cs="Arial" w:eastAsia="Arial" w:hAnsi="Arial"/>
                <w:sz w:val="15"/>
                <w:szCs w:val="15"/>
                <w:color w:val="0000EE"/>
              </w:rPr>
            </w:pPr>
            <w:hyperlink r:id="rId274">
              <w:r>
                <w:rPr>
                  <w:rFonts w:ascii="Arial" w:cs="Arial" w:eastAsia="Arial" w:hAnsi="Arial"/>
                  <w:sz w:val="15"/>
                  <w:szCs w:val="15"/>
                  <w:color w:val="0000EE"/>
                </w:rPr>
                <w:t>Structure Therapeutics Inc. 2023 Employee</w:t>
              </w:r>
            </w:hyperlink>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880" w:type="dxa"/>
            <w:vAlign w:val="bottom"/>
          </w:tcPr>
          <w:p>
            <w:pPr>
              <w:jc w:val="center"/>
              <w:spacing w:after="0"/>
              <w:rPr>
                <w:sz w:val="20"/>
                <w:szCs w:val="20"/>
                <w:color w:val="auto"/>
              </w:rPr>
            </w:pPr>
            <w:r>
              <w:rPr>
                <w:rFonts w:ascii="Arial" w:cs="Arial" w:eastAsia="Arial" w:hAnsi="Arial"/>
                <w:sz w:val="15"/>
                <w:szCs w:val="15"/>
                <w:color w:val="auto"/>
              </w:rPr>
              <w:t>001-41608</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rPr>
              <w:t>March 30, 2023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tcBorders>
              <w:top w:val="single" w:sz="8" w:color="0000EE"/>
            </w:tcBorders>
            <w:gridSpan w:val="20"/>
          </w:tcPr>
          <w:p>
            <w:pPr>
              <w:spacing w:after="0" w:line="157" w:lineRule="exact"/>
              <w:rPr>
                <w:rFonts w:ascii="Arial" w:cs="Arial" w:eastAsia="Arial" w:hAnsi="Arial"/>
                <w:sz w:val="15"/>
                <w:szCs w:val="15"/>
                <w:color w:val="0000EE"/>
              </w:rPr>
            </w:pPr>
            <w:hyperlink r:id="rId274">
              <w:r>
                <w:rPr>
                  <w:rFonts w:ascii="Arial" w:cs="Arial" w:eastAsia="Arial" w:hAnsi="Arial"/>
                  <w:sz w:val="15"/>
                  <w:szCs w:val="15"/>
                  <w:color w:val="0000EE"/>
                </w:rPr>
                <w:t>Share Purchase Plan.</w:t>
              </w:r>
            </w:hyperlink>
          </w:p>
        </w:tc>
        <w:tc>
          <w:tcPr>
            <w:tcW w:w="400" w:type="dxa"/>
            <w:vAlign w:val="bottom"/>
            <w:gridSpan w:val="9"/>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0"/>
                <w:szCs w:val="20"/>
                <w:color w:val="auto"/>
              </w:rPr>
            </w:pPr>
            <w:r>
              <w:rPr>
                <w:rFonts w:ascii="Arial" w:cs="Arial" w:eastAsia="Arial" w:hAnsi="Arial"/>
                <w:sz w:val="15"/>
                <w:szCs w:val="15"/>
                <w:color w:val="auto"/>
              </w:rPr>
              <w:t>10.10+</w:t>
            </w:r>
          </w:p>
        </w:tc>
        <w:tc>
          <w:tcPr>
            <w:tcW w:w="180" w:type="dxa"/>
            <w:vAlign w:val="bottom"/>
          </w:tcPr>
          <w:p>
            <w:pPr>
              <w:spacing w:after="0"/>
              <w:rPr>
                <w:sz w:val="21"/>
                <w:szCs w:val="21"/>
                <w:color w:val="auto"/>
              </w:rPr>
            </w:pPr>
          </w:p>
        </w:tc>
        <w:tc>
          <w:tcPr>
            <w:tcW w:w="2900" w:type="dxa"/>
            <w:vAlign w:val="bottom"/>
            <w:tcBorders>
              <w:bottom w:val="single" w:sz="8" w:color="0000EE"/>
            </w:tcBorders>
            <w:gridSpan w:val="19"/>
          </w:tcPr>
          <w:p>
            <w:pPr>
              <w:spacing w:after="0"/>
              <w:rPr>
                <w:rFonts w:ascii="Arial" w:cs="Arial" w:eastAsia="Arial" w:hAnsi="Arial"/>
                <w:sz w:val="15"/>
                <w:szCs w:val="15"/>
                <w:color w:val="0000EE"/>
              </w:rPr>
            </w:pPr>
            <w:hyperlink r:id="rId275">
              <w:r>
                <w:rPr>
                  <w:rFonts w:ascii="Arial" w:cs="Arial" w:eastAsia="Arial" w:hAnsi="Arial"/>
                  <w:sz w:val="15"/>
                  <w:szCs w:val="15"/>
                  <w:color w:val="0000EE"/>
                </w:rPr>
                <w:t>Executive Employment Agreement, by and</w:t>
              </w:r>
            </w:hyperlink>
          </w:p>
        </w:tc>
        <w:tc>
          <w:tcPr>
            <w:tcW w:w="420" w:type="dxa"/>
            <w:vAlign w:val="bottom"/>
            <w:gridSpan w:val="10"/>
          </w:tcPr>
          <w:p>
            <w:pPr>
              <w:spacing w:after="0"/>
              <w:rPr>
                <w:sz w:val="21"/>
                <w:szCs w:val="2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S-1</w:t>
            </w:r>
          </w:p>
        </w:tc>
        <w:tc>
          <w:tcPr>
            <w:tcW w:w="8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1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5"/>
                <w:szCs w:val="15"/>
                <w:color w:val="auto"/>
              </w:rPr>
              <w:t>10.10</w:t>
            </w:r>
          </w:p>
        </w:tc>
        <w:tc>
          <w:tcPr>
            <w:tcW w:w="160" w:type="dxa"/>
            <w:vAlign w:val="bottom"/>
          </w:tcPr>
          <w:p>
            <w:pPr>
              <w:spacing w:after="0"/>
              <w:rPr>
                <w:sz w:val="21"/>
                <w:szCs w:val="21"/>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color w:val="auto"/>
                <w:w w:val="99"/>
              </w:rPr>
              <w:t>January 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gridSpan w:val="29"/>
          </w:tcPr>
          <w:p>
            <w:pPr>
              <w:spacing w:after="0" w:line="157" w:lineRule="exact"/>
              <w:rPr>
                <w:rFonts w:ascii="Arial" w:cs="Arial" w:eastAsia="Arial" w:hAnsi="Arial"/>
                <w:sz w:val="15"/>
                <w:szCs w:val="15"/>
                <w:color w:val="0000EE"/>
              </w:rPr>
            </w:pPr>
            <w:hyperlink r:id="rId275">
              <w:r>
                <w:rPr>
                  <w:rFonts w:ascii="Arial" w:cs="Arial" w:eastAsia="Arial" w:hAnsi="Arial"/>
                  <w:sz w:val="15"/>
                  <w:szCs w:val="15"/>
                  <w:color w:val="0000EE"/>
                </w:rPr>
                <w:t>between the registrant and Raymond Stevens,</w:t>
              </w:r>
            </w:hyperlink>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5"/>
                <w:szCs w:val="15"/>
                <w:color w:val="auto"/>
              </w:rPr>
              <w:t>2023</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4"/>
          </w:tcPr>
          <w:p>
            <w:pPr>
              <w:spacing w:after="0" w:line="157" w:lineRule="exact"/>
              <w:rPr>
                <w:rFonts w:ascii="Arial" w:cs="Arial" w:eastAsia="Arial" w:hAnsi="Arial"/>
                <w:sz w:val="15"/>
                <w:szCs w:val="15"/>
                <w:color w:val="0000EE"/>
              </w:rPr>
            </w:pPr>
            <w:hyperlink r:id="rId275">
              <w:r>
                <w:rPr>
                  <w:rFonts w:ascii="Arial" w:cs="Arial" w:eastAsia="Arial" w:hAnsi="Arial"/>
                  <w:sz w:val="15"/>
                  <w:szCs w:val="15"/>
                  <w:color w:val="0000EE"/>
                </w:rPr>
                <w:t>dated May 16, 2019.</w:t>
              </w:r>
            </w:hyperlink>
          </w:p>
        </w:tc>
        <w:tc>
          <w:tcPr>
            <w:tcW w:w="1720" w:type="dxa"/>
            <w:vAlign w:val="bottom"/>
            <w:tcBorders>
              <w:top w:val="single" w:sz="8" w:color="0000EE"/>
            </w:tcBorders>
            <w:gridSpan w:val="22"/>
          </w:tcPr>
          <w:p>
            <w:pPr>
              <w:spacing w:after="0"/>
              <w:rPr>
                <w:sz w:val="13"/>
                <w:szCs w:val="13"/>
                <w:color w:val="auto"/>
              </w:rPr>
            </w:pPr>
          </w:p>
        </w:tc>
        <w:tc>
          <w:tcPr>
            <w:tcW w:w="20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6" w:name="page197"/>
    <w:bookmarkEnd w:id="19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80" w:type="dxa"/>
            <w:vAlign w:val="bottom"/>
          </w:tcPr>
          <w:p>
            <w:pPr>
              <w:spacing w:after="0"/>
              <w:rPr>
                <w:sz w:val="20"/>
                <w:szCs w:val="20"/>
                <w:color w:val="auto"/>
              </w:rPr>
            </w:pPr>
            <w:r>
              <w:rPr>
                <w:rFonts w:ascii="Arial" w:cs="Arial" w:eastAsia="Arial" w:hAnsi="Arial"/>
                <w:sz w:val="15"/>
                <w:szCs w:val="15"/>
                <w:color w:val="auto"/>
              </w:rPr>
              <w:t>10.11+</w:t>
            </w:r>
          </w:p>
        </w:tc>
        <w:tc>
          <w:tcPr>
            <w:tcW w:w="3140" w:type="dxa"/>
            <w:vAlign w:val="bottom"/>
            <w:gridSpan w:val="28"/>
          </w:tcPr>
          <w:p>
            <w:pPr>
              <w:spacing w:after="0"/>
              <w:rPr>
                <w:rFonts w:ascii="Arial" w:cs="Arial" w:eastAsia="Arial" w:hAnsi="Arial"/>
                <w:sz w:val="15"/>
                <w:szCs w:val="15"/>
                <w:color w:val="0000EE"/>
              </w:rPr>
            </w:pPr>
            <w:hyperlink r:id="rId277">
              <w:r>
                <w:rPr>
                  <w:rFonts w:ascii="Arial" w:cs="Arial" w:eastAsia="Arial" w:hAnsi="Arial"/>
                  <w:sz w:val="15"/>
                  <w:szCs w:val="15"/>
                  <w:color w:val="0000EE"/>
                </w:rPr>
                <w:t>Executive Employment Agreement by and</w:t>
              </w:r>
            </w:hyperlink>
          </w:p>
        </w:tc>
        <w:tc>
          <w:tcPr>
            <w:tcW w:w="780" w:type="dxa"/>
            <w:vAlign w:val="bottom"/>
          </w:tcPr>
          <w:p>
            <w:pPr>
              <w:jc w:val="center"/>
              <w:ind w:left="18"/>
              <w:spacing w:after="0"/>
              <w:rPr>
                <w:sz w:val="20"/>
                <w:szCs w:val="20"/>
                <w:color w:val="auto"/>
              </w:rPr>
            </w:pPr>
            <w:r>
              <w:rPr>
                <w:rFonts w:ascii="Arial" w:cs="Arial" w:eastAsia="Arial" w:hAnsi="Arial"/>
                <w:sz w:val="15"/>
                <w:szCs w:val="15"/>
                <w:color w:val="auto"/>
              </w:rPr>
              <w:t>S-1</w:t>
            </w:r>
          </w:p>
        </w:tc>
        <w:tc>
          <w:tcPr>
            <w:tcW w:w="10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680" w:type="dxa"/>
            <w:vAlign w:val="bottom"/>
          </w:tcPr>
          <w:p>
            <w:pPr>
              <w:jc w:val="center"/>
              <w:spacing w:after="0"/>
              <w:rPr>
                <w:sz w:val="20"/>
                <w:szCs w:val="20"/>
                <w:color w:val="auto"/>
              </w:rPr>
            </w:pPr>
            <w:r>
              <w:rPr>
                <w:rFonts w:ascii="Arial" w:cs="Arial" w:eastAsia="Arial" w:hAnsi="Arial"/>
                <w:sz w:val="15"/>
                <w:szCs w:val="15"/>
                <w:color w:val="auto"/>
              </w:rPr>
              <w:t>10.11</w:t>
            </w:r>
          </w:p>
        </w:tc>
        <w:tc>
          <w:tcPr>
            <w:tcW w:w="2260" w:type="dxa"/>
            <w:vAlign w:val="bottom"/>
          </w:tcPr>
          <w:p>
            <w:pPr>
              <w:jc w:val="center"/>
              <w:ind w:right="879"/>
              <w:spacing w:after="0"/>
              <w:rPr>
                <w:sz w:val="20"/>
                <w:szCs w:val="20"/>
                <w:color w:val="auto"/>
              </w:rPr>
            </w:pPr>
            <w:r>
              <w:rPr>
                <w:rFonts w:ascii="Arial" w:cs="Arial" w:eastAsia="Arial" w:hAnsi="Arial"/>
                <w:sz w:val="15"/>
                <w:szCs w:val="15"/>
                <w:color w:val="auto"/>
                <w:w w:val="99"/>
              </w:rPr>
              <w:t>January 12,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vMerge w:val="restart"/>
          </w:tcPr>
          <w:p>
            <w:pPr>
              <w:jc w:val="center"/>
              <w:ind w:right="87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line="20" w:lineRule="exact"/>
              <w:rPr>
                <w:sz w:val="1"/>
                <w:szCs w:val="1"/>
                <w:color w:val="auto"/>
              </w:rPr>
            </w:pPr>
          </w:p>
        </w:tc>
      </w:tr>
      <w:tr>
        <w:trPr>
          <w:trHeight w:val="157"/>
        </w:trPr>
        <w:tc>
          <w:tcPr>
            <w:tcW w:w="980" w:type="dxa"/>
            <w:vAlign w:val="bottom"/>
          </w:tcPr>
          <w:p>
            <w:pPr>
              <w:spacing w:after="0"/>
              <w:rPr>
                <w:sz w:val="13"/>
                <w:szCs w:val="13"/>
                <w:color w:val="auto"/>
              </w:rPr>
            </w:pPr>
          </w:p>
        </w:tc>
        <w:tc>
          <w:tcPr>
            <w:tcW w:w="2940" w:type="dxa"/>
            <w:vAlign w:val="bottom"/>
            <w:tcBorders>
              <w:bottom w:val="single" w:sz="8" w:color="0000EE"/>
            </w:tcBorders>
            <w:gridSpan w:val="19"/>
          </w:tcPr>
          <w:p>
            <w:pPr>
              <w:spacing w:after="0" w:line="157" w:lineRule="exact"/>
              <w:rPr>
                <w:rFonts w:ascii="Arial" w:cs="Arial" w:eastAsia="Arial" w:hAnsi="Arial"/>
                <w:sz w:val="15"/>
                <w:szCs w:val="15"/>
                <w:color w:val="0000EE"/>
              </w:rPr>
            </w:pPr>
            <w:hyperlink r:id="rId277">
              <w:r>
                <w:rPr>
                  <w:rFonts w:ascii="Arial" w:cs="Arial" w:eastAsia="Arial" w:hAnsi="Arial"/>
                  <w:sz w:val="15"/>
                  <w:szCs w:val="15"/>
                  <w:color w:val="0000EE"/>
                </w:rPr>
                <w:t>between the registrant and Jun Yoon, dated</w:t>
              </w:r>
            </w:hyperlink>
          </w:p>
        </w:tc>
        <w:tc>
          <w:tcPr>
            <w:tcW w:w="200" w:type="dxa"/>
            <w:vAlign w:val="bottom"/>
            <w:gridSpan w:val="9"/>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rFonts w:ascii="Arial" w:cs="Arial" w:eastAsia="Arial" w:hAnsi="Arial"/>
                <w:sz w:val="15"/>
                <w:szCs w:val="15"/>
                <w:color w:val="0000EE"/>
              </w:rPr>
            </w:pPr>
            <w:hyperlink r:id="rId277">
              <w:r>
                <w:rPr>
                  <w:rFonts w:ascii="Arial" w:cs="Arial" w:eastAsia="Arial" w:hAnsi="Arial"/>
                  <w:sz w:val="15"/>
                  <w:szCs w:val="15"/>
                  <w:color w:val="0000EE"/>
                </w:rPr>
                <w:t>May 1, 2019.</w:t>
              </w:r>
            </w:hyperlink>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10.12+</w:t>
            </w:r>
          </w:p>
        </w:tc>
        <w:tc>
          <w:tcPr>
            <w:tcW w:w="3140" w:type="dxa"/>
            <w:vAlign w:val="bottom"/>
            <w:gridSpan w:val="28"/>
          </w:tcPr>
          <w:p>
            <w:pPr>
              <w:spacing w:after="0"/>
              <w:rPr>
                <w:rFonts w:ascii="Arial" w:cs="Arial" w:eastAsia="Arial" w:hAnsi="Arial"/>
                <w:sz w:val="15"/>
                <w:szCs w:val="15"/>
                <w:color w:val="0000EE"/>
              </w:rPr>
            </w:pPr>
            <w:hyperlink r:id="rId278">
              <w:r>
                <w:rPr>
                  <w:rFonts w:ascii="Arial" w:cs="Arial" w:eastAsia="Arial" w:hAnsi="Arial"/>
                  <w:sz w:val="15"/>
                  <w:szCs w:val="15"/>
                  <w:color w:val="0000EE"/>
                </w:rPr>
                <w:t>Amendment to the Executive Employment</w:t>
              </w:r>
            </w:hyperlink>
          </w:p>
        </w:tc>
        <w:tc>
          <w:tcPr>
            <w:tcW w:w="780" w:type="dxa"/>
            <w:vAlign w:val="bottom"/>
          </w:tcPr>
          <w:p>
            <w:pPr>
              <w:jc w:val="center"/>
              <w:ind w:left="18"/>
              <w:spacing w:after="0"/>
              <w:rPr>
                <w:sz w:val="20"/>
                <w:szCs w:val="20"/>
                <w:color w:val="auto"/>
              </w:rPr>
            </w:pPr>
            <w:r>
              <w:rPr>
                <w:rFonts w:ascii="Arial" w:cs="Arial" w:eastAsia="Arial" w:hAnsi="Arial"/>
                <w:sz w:val="15"/>
                <w:szCs w:val="15"/>
                <w:color w:val="auto"/>
              </w:rPr>
              <w:t>S-1</w:t>
            </w:r>
          </w:p>
        </w:tc>
        <w:tc>
          <w:tcPr>
            <w:tcW w:w="1080" w:type="dxa"/>
            <w:vAlign w:val="bottom"/>
          </w:tcPr>
          <w:p>
            <w:pPr>
              <w:jc w:val="center"/>
              <w:spacing w:after="0"/>
              <w:rPr>
                <w:sz w:val="20"/>
                <w:szCs w:val="20"/>
                <w:color w:val="auto"/>
              </w:rPr>
            </w:pPr>
            <w:r>
              <w:rPr>
                <w:rFonts w:ascii="Arial" w:cs="Arial" w:eastAsia="Arial" w:hAnsi="Arial"/>
                <w:sz w:val="15"/>
                <w:szCs w:val="15"/>
                <w:color w:val="auto"/>
                <w:w w:val="99"/>
              </w:rPr>
              <w:t>333-269200</w:t>
            </w:r>
          </w:p>
        </w:tc>
        <w:tc>
          <w:tcPr>
            <w:tcW w:w="680" w:type="dxa"/>
            <w:vAlign w:val="bottom"/>
          </w:tcPr>
          <w:p>
            <w:pPr>
              <w:jc w:val="center"/>
              <w:spacing w:after="0"/>
              <w:rPr>
                <w:sz w:val="20"/>
                <w:szCs w:val="20"/>
                <w:color w:val="auto"/>
              </w:rPr>
            </w:pPr>
            <w:r>
              <w:rPr>
                <w:rFonts w:ascii="Arial" w:cs="Arial" w:eastAsia="Arial" w:hAnsi="Arial"/>
                <w:sz w:val="15"/>
                <w:szCs w:val="15"/>
                <w:color w:val="auto"/>
              </w:rPr>
              <w:t>10.12</w:t>
            </w:r>
          </w:p>
        </w:tc>
        <w:tc>
          <w:tcPr>
            <w:tcW w:w="2260" w:type="dxa"/>
            <w:vAlign w:val="bottom"/>
          </w:tcPr>
          <w:p>
            <w:pPr>
              <w:jc w:val="center"/>
              <w:ind w:right="879"/>
              <w:spacing w:after="0"/>
              <w:rPr>
                <w:sz w:val="20"/>
                <w:szCs w:val="20"/>
                <w:color w:val="auto"/>
              </w:rPr>
            </w:pPr>
            <w:r>
              <w:rPr>
                <w:rFonts w:ascii="Arial" w:cs="Arial" w:eastAsia="Arial" w:hAnsi="Arial"/>
                <w:sz w:val="15"/>
                <w:szCs w:val="15"/>
                <w:color w:val="auto"/>
                <w:w w:val="99"/>
              </w:rPr>
              <w:t>January 12,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vMerge w:val="restart"/>
          </w:tcPr>
          <w:p>
            <w:pPr>
              <w:jc w:val="center"/>
              <w:ind w:right="879"/>
              <w:spacing w:after="0"/>
              <w:rPr>
                <w:sz w:val="20"/>
                <w:szCs w:val="20"/>
                <w:color w:val="auto"/>
              </w:rPr>
            </w:pPr>
            <w:r>
              <w:rPr>
                <w:rFonts w:ascii="Arial" w:cs="Arial" w:eastAsia="Arial" w:hAnsi="Arial"/>
                <w:sz w:val="15"/>
                <w:szCs w:val="15"/>
                <w:color w:val="auto"/>
              </w:rPr>
              <w:t>2023</w:t>
            </w:r>
          </w:p>
        </w:tc>
        <w:tc>
          <w:tcPr>
            <w:tcW w:w="0" w:type="dxa"/>
            <w:vAlign w:val="bottom"/>
          </w:tcPr>
          <w:p>
            <w:pPr>
              <w:spacing w:after="0" w:line="20" w:lineRule="exact"/>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tcBorders>
              <w:bottom w:val="single" w:sz="8" w:color="0000EE"/>
            </w:tcBorders>
            <w:gridSpan w:val="27"/>
          </w:tcPr>
          <w:p>
            <w:pPr>
              <w:spacing w:after="0" w:line="157" w:lineRule="exact"/>
              <w:rPr>
                <w:rFonts w:ascii="Arial" w:cs="Arial" w:eastAsia="Arial" w:hAnsi="Arial"/>
                <w:sz w:val="15"/>
                <w:szCs w:val="15"/>
                <w:color w:val="0000EE"/>
              </w:rPr>
            </w:pPr>
            <w:hyperlink r:id="rId278">
              <w:r>
                <w:rPr>
                  <w:rFonts w:ascii="Arial" w:cs="Arial" w:eastAsia="Arial" w:hAnsi="Arial"/>
                  <w:sz w:val="15"/>
                  <w:szCs w:val="15"/>
                  <w:color w:val="0000EE"/>
                </w:rPr>
                <w:t>Agreement by and between the registrant and</w:t>
              </w:r>
            </w:hyperlink>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680" w:type="dxa"/>
            <w:vAlign w:val="bottom"/>
            <w:tcBorders>
              <w:bottom w:val="single" w:sz="8" w:color="0000EE"/>
            </w:tcBorders>
            <w:gridSpan w:val="2"/>
          </w:tcPr>
          <w:p>
            <w:pPr>
              <w:spacing w:after="0" w:line="157" w:lineRule="exact"/>
              <w:rPr>
                <w:rFonts w:ascii="Arial" w:cs="Arial" w:eastAsia="Arial" w:hAnsi="Arial"/>
                <w:sz w:val="15"/>
                <w:szCs w:val="15"/>
                <w:color w:val="0000EE"/>
                <w:w w:val="97"/>
              </w:rPr>
            </w:pPr>
            <w:hyperlink r:id="rId278">
              <w:r>
                <w:rPr>
                  <w:rFonts w:ascii="Arial" w:cs="Arial" w:eastAsia="Arial" w:hAnsi="Arial"/>
                  <w:sz w:val="15"/>
                  <w:szCs w:val="15"/>
                  <w:color w:val="0000EE"/>
                  <w:w w:val="97"/>
                </w:rPr>
                <w:t>Jun Yoon.</w:t>
              </w:r>
            </w:hyperlink>
          </w:p>
        </w:tc>
        <w:tc>
          <w:tcPr>
            <w:tcW w:w="2460" w:type="dxa"/>
            <w:vAlign w:val="bottom"/>
            <w:gridSpan w:val="26"/>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10.13+</w:t>
            </w:r>
          </w:p>
        </w:tc>
        <w:tc>
          <w:tcPr>
            <w:tcW w:w="3140" w:type="dxa"/>
            <w:vAlign w:val="bottom"/>
            <w:tcBorders>
              <w:bottom w:val="single" w:sz="8" w:color="0000EE"/>
            </w:tcBorders>
            <w:gridSpan w:val="28"/>
          </w:tcPr>
          <w:p>
            <w:pPr>
              <w:spacing w:after="0"/>
              <w:rPr>
                <w:rFonts w:ascii="Arial" w:cs="Arial" w:eastAsia="Arial" w:hAnsi="Arial"/>
                <w:sz w:val="15"/>
                <w:szCs w:val="15"/>
                <w:color w:val="0000EE"/>
              </w:rPr>
            </w:pPr>
            <w:hyperlink r:id="rId279">
              <w:r>
                <w:rPr>
                  <w:rFonts w:ascii="Arial" w:cs="Arial" w:eastAsia="Arial" w:hAnsi="Arial"/>
                  <w:sz w:val="15"/>
                  <w:szCs w:val="15"/>
                  <w:color w:val="0000EE"/>
                </w:rPr>
                <w:t>Offer Letter, by and between the registrant and</w:t>
              </w:r>
            </w:hyperlink>
          </w:p>
        </w:tc>
        <w:tc>
          <w:tcPr>
            <w:tcW w:w="780" w:type="dxa"/>
            <w:vAlign w:val="bottom"/>
          </w:tcPr>
          <w:p>
            <w:pPr>
              <w:jc w:val="center"/>
              <w:ind w:left="18"/>
              <w:spacing w:after="0"/>
              <w:rPr>
                <w:sz w:val="20"/>
                <w:szCs w:val="20"/>
                <w:color w:val="auto"/>
              </w:rPr>
            </w:pPr>
            <w:r>
              <w:rPr>
                <w:rFonts w:ascii="Arial" w:cs="Arial" w:eastAsia="Arial" w:hAnsi="Arial"/>
                <w:sz w:val="15"/>
                <w:szCs w:val="15"/>
                <w:color w:val="auto"/>
                <w:w w:val="95"/>
              </w:rPr>
              <w:t>10-Q</w:t>
            </w:r>
          </w:p>
        </w:tc>
        <w:tc>
          <w:tcPr>
            <w:tcW w:w="1080" w:type="dxa"/>
            <w:vAlign w:val="bottom"/>
          </w:tcPr>
          <w:p>
            <w:pPr>
              <w:jc w:val="center"/>
              <w:spacing w:after="0"/>
              <w:rPr>
                <w:sz w:val="20"/>
                <w:szCs w:val="20"/>
                <w:color w:val="auto"/>
              </w:rPr>
            </w:pPr>
            <w:r>
              <w:rPr>
                <w:rFonts w:ascii="Arial" w:cs="Arial" w:eastAsia="Arial" w:hAnsi="Arial"/>
                <w:sz w:val="15"/>
                <w:szCs w:val="15"/>
                <w:color w:val="auto"/>
              </w:rPr>
              <w:t>001-41608</w:t>
            </w:r>
          </w:p>
        </w:tc>
        <w:tc>
          <w:tcPr>
            <w:tcW w:w="680" w:type="dxa"/>
            <w:vAlign w:val="bottom"/>
          </w:tcPr>
          <w:p>
            <w:pPr>
              <w:jc w:val="center"/>
              <w:spacing w:after="0"/>
              <w:rPr>
                <w:sz w:val="20"/>
                <w:szCs w:val="20"/>
                <w:color w:val="auto"/>
              </w:rPr>
            </w:pPr>
            <w:r>
              <w:rPr>
                <w:rFonts w:ascii="Arial" w:cs="Arial" w:eastAsia="Arial" w:hAnsi="Arial"/>
                <w:sz w:val="15"/>
                <w:szCs w:val="15"/>
                <w:color w:val="auto"/>
              </w:rPr>
              <w:t>10.2</w:t>
            </w:r>
          </w:p>
        </w:tc>
        <w:tc>
          <w:tcPr>
            <w:tcW w:w="2260" w:type="dxa"/>
            <w:vAlign w:val="bottom"/>
          </w:tcPr>
          <w:p>
            <w:pPr>
              <w:jc w:val="center"/>
              <w:ind w:right="879"/>
              <w:spacing w:after="0"/>
              <w:rPr>
                <w:sz w:val="20"/>
                <w:szCs w:val="20"/>
                <w:color w:val="auto"/>
              </w:rPr>
            </w:pPr>
            <w:r>
              <w:rPr>
                <w:rFonts w:ascii="Arial" w:cs="Arial" w:eastAsia="Arial" w:hAnsi="Arial"/>
                <w:sz w:val="15"/>
                <w:szCs w:val="15"/>
                <w:color w:val="auto"/>
                <w:w w:val="99"/>
              </w:rPr>
              <w:t>November 13,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rFonts w:ascii="Arial" w:cs="Arial" w:eastAsia="Arial" w:hAnsi="Arial"/>
                <w:sz w:val="15"/>
                <w:szCs w:val="15"/>
                <w:color w:val="0000EE"/>
              </w:rPr>
            </w:pPr>
            <w:hyperlink r:id="rId279">
              <w:r>
                <w:rPr>
                  <w:rFonts w:ascii="Arial" w:cs="Arial" w:eastAsia="Arial" w:hAnsi="Arial"/>
                  <w:sz w:val="15"/>
                  <w:szCs w:val="15"/>
                  <w:color w:val="0000EE"/>
                </w:rPr>
                <w:t>Blai Coll, dated September 12, 2024.</w:t>
              </w:r>
            </w:hyperlink>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vMerge w:val="restart"/>
          </w:tcPr>
          <w:p>
            <w:pPr>
              <w:jc w:val="center"/>
              <w:ind w:left="18"/>
              <w:spacing w:after="0"/>
              <w:rPr>
                <w:sz w:val="20"/>
                <w:szCs w:val="20"/>
                <w:color w:val="auto"/>
              </w:rPr>
            </w:pPr>
            <w:r>
              <w:rPr>
                <w:rFonts w:ascii="Arial" w:cs="Arial" w:eastAsia="Arial" w:hAnsi="Arial"/>
                <w:sz w:val="17"/>
                <w:szCs w:val="17"/>
                <w:color w:val="auto"/>
                <w:w w:val="95"/>
              </w:rPr>
              <w:t>10-Q</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8"/>
              </w:rPr>
              <w:t>001-41608</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rPr>
              <w:t>10.3</w:t>
            </w:r>
          </w:p>
        </w:tc>
        <w:tc>
          <w:tcPr>
            <w:tcW w:w="2260" w:type="dxa"/>
            <w:vAlign w:val="bottom"/>
            <w:vMerge w:val="restart"/>
          </w:tcPr>
          <w:p>
            <w:pPr>
              <w:jc w:val="center"/>
              <w:ind w:right="879"/>
              <w:spacing w:after="0"/>
              <w:rPr>
                <w:sz w:val="20"/>
                <w:szCs w:val="20"/>
                <w:color w:val="auto"/>
              </w:rPr>
            </w:pPr>
            <w:r>
              <w:rPr>
                <w:rFonts w:ascii="Arial" w:cs="Arial" w:eastAsia="Arial" w:hAnsi="Arial"/>
                <w:sz w:val="17"/>
                <w:szCs w:val="17"/>
                <w:color w:val="auto"/>
                <w:w w:val="99"/>
              </w:rPr>
              <w:t>November 13,</w:t>
            </w: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10.14+</w:t>
            </w:r>
          </w:p>
        </w:tc>
        <w:tc>
          <w:tcPr>
            <w:tcW w:w="3140" w:type="dxa"/>
            <w:vAlign w:val="bottom"/>
            <w:tcBorders>
              <w:bottom w:val="single" w:sz="8" w:color="0000EE"/>
            </w:tcBorders>
            <w:gridSpan w:val="28"/>
          </w:tcPr>
          <w:p>
            <w:pPr>
              <w:spacing w:after="0"/>
              <w:rPr>
                <w:rFonts w:ascii="Arial" w:cs="Arial" w:eastAsia="Arial" w:hAnsi="Arial"/>
                <w:sz w:val="15"/>
                <w:szCs w:val="15"/>
                <w:color w:val="0000EE"/>
              </w:rPr>
            </w:pPr>
            <w:hyperlink r:id="rId280">
              <w:r>
                <w:rPr>
                  <w:rFonts w:ascii="Arial" w:cs="Arial" w:eastAsia="Arial" w:hAnsi="Arial"/>
                  <w:sz w:val="15"/>
                  <w:szCs w:val="15"/>
                  <w:color w:val="0000EE"/>
                </w:rPr>
                <w:t>Offer Letter, by and between the registrant and</w:t>
              </w:r>
            </w:hyperlink>
          </w:p>
        </w:tc>
        <w:tc>
          <w:tcPr>
            <w:tcW w:w="7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00" w:type="dxa"/>
            <w:vAlign w:val="bottom"/>
            <w:tcBorders>
              <w:bottom w:val="single" w:sz="8" w:color="0000EE"/>
            </w:tcBorders>
            <w:gridSpan w:val="13"/>
          </w:tcPr>
          <w:p>
            <w:pPr>
              <w:spacing w:after="0" w:line="144" w:lineRule="exact"/>
              <w:rPr>
                <w:rFonts w:ascii="Arial" w:cs="Arial" w:eastAsia="Arial" w:hAnsi="Arial"/>
                <w:sz w:val="15"/>
                <w:szCs w:val="15"/>
                <w:color w:val="0000EE"/>
              </w:rPr>
            </w:pPr>
            <w:hyperlink r:id="rId280">
              <w:r>
                <w:rPr>
                  <w:rFonts w:ascii="Arial" w:cs="Arial" w:eastAsia="Arial" w:hAnsi="Arial"/>
                  <w:sz w:val="15"/>
                  <w:szCs w:val="15"/>
                  <w:color w:val="0000EE"/>
                </w:rPr>
                <w:t>Ashley Hall, dated September 7, 2024.</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0"/>
                <w:szCs w:val="20"/>
                <w:color w:val="auto"/>
              </w:rPr>
            </w:pPr>
            <w:r>
              <w:rPr>
                <w:rFonts w:ascii="Arial" w:cs="Arial" w:eastAsia="Arial" w:hAnsi="Arial"/>
                <w:sz w:val="15"/>
                <w:szCs w:val="15"/>
                <w:color w:val="auto"/>
              </w:rPr>
              <w:t>10.15+</w:t>
            </w:r>
          </w:p>
        </w:tc>
        <w:tc>
          <w:tcPr>
            <w:tcW w:w="3120" w:type="dxa"/>
            <w:vAlign w:val="bottom"/>
            <w:tcBorders>
              <w:bottom w:val="single" w:sz="8" w:color="0000EE"/>
            </w:tcBorders>
            <w:gridSpan w:val="27"/>
          </w:tcPr>
          <w:p>
            <w:pPr>
              <w:spacing w:after="0"/>
              <w:rPr>
                <w:rFonts w:ascii="Arial" w:cs="Arial" w:eastAsia="Arial" w:hAnsi="Arial"/>
                <w:sz w:val="15"/>
                <w:szCs w:val="15"/>
                <w:color w:val="0000EE"/>
              </w:rPr>
            </w:pPr>
            <w:hyperlink r:id="rId281">
              <w:r>
                <w:rPr>
                  <w:rFonts w:ascii="Arial" w:cs="Arial" w:eastAsia="Arial" w:hAnsi="Arial"/>
                  <w:sz w:val="15"/>
                  <w:szCs w:val="15"/>
                  <w:color w:val="0000EE"/>
                </w:rPr>
                <w:t>Separation and Consulting Agreement, by and</w:t>
              </w:r>
            </w:hyperlink>
          </w:p>
        </w:tc>
        <w:tc>
          <w:tcPr>
            <w:tcW w:w="20" w:type="dxa"/>
            <w:vAlign w:val="bottom"/>
          </w:tcPr>
          <w:p>
            <w:pPr>
              <w:spacing w:after="0"/>
              <w:rPr>
                <w:sz w:val="23"/>
                <w:szCs w:val="23"/>
                <w:color w:val="auto"/>
              </w:rPr>
            </w:pPr>
          </w:p>
        </w:tc>
        <w:tc>
          <w:tcPr>
            <w:tcW w:w="780" w:type="dxa"/>
            <w:vAlign w:val="bottom"/>
          </w:tcPr>
          <w:p>
            <w:pPr>
              <w:jc w:val="center"/>
              <w:ind w:left="18"/>
              <w:spacing w:after="0"/>
              <w:rPr>
                <w:sz w:val="20"/>
                <w:szCs w:val="20"/>
                <w:color w:val="auto"/>
              </w:rPr>
            </w:pPr>
            <w:r>
              <w:rPr>
                <w:rFonts w:ascii="Arial" w:cs="Arial" w:eastAsia="Arial" w:hAnsi="Arial"/>
                <w:sz w:val="17"/>
                <w:szCs w:val="17"/>
                <w:color w:val="auto"/>
                <w:w w:val="95"/>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001-41608</w:t>
            </w:r>
          </w:p>
        </w:tc>
        <w:tc>
          <w:tcPr>
            <w:tcW w:w="680" w:type="dxa"/>
            <w:vAlign w:val="bottom"/>
          </w:tcPr>
          <w:p>
            <w:pPr>
              <w:jc w:val="center"/>
              <w:spacing w:after="0"/>
              <w:rPr>
                <w:sz w:val="20"/>
                <w:szCs w:val="20"/>
                <w:color w:val="auto"/>
              </w:rPr>
            </w:pPr>
            <w:r>
              <w:rPr>
                <w:rFonts w:ascii="Arial" w:cs="Arial" w:eastAsia="Arial" w:hAnsi="Arial"/>
                <w:sz w:val="17"/>
                <w:szCs w:val="17"/>
                <w:color w:val="auto"/>
              </w:rPr>
              <w:t>10.1</w:t>
            </w:r>
          </w:p>
        </w:tc>
        <w:tc>
          <w:tcPr>
            <w:tcW w:w="2260" w:type="dxa"/>
            <w:vAlign w:val="bottom"/>
          </w:tcPr>
          <w:p>
            <w:pPr>
              <w:jc w:val="center"/>
              <w:ind w:right="879"/>
              <w:spacing w:after="0"/>
              <w:rPr>
                <w:sz w:val="20"/>
                <w:szCs w:val="20"/>
                <w:color w:val="auto"/>
              </w:rPr>
            </w:pPr>
            <w:r>
              <w:rPr>
                <w:rFonts w:ascii="Arial" w:cs="Arial" w:eastAsia="Arial" w:hAnsi="Arial"/>
                <w:sz w:val="17"/>
                <w:szCs w:val="17"/>
                <w:color w:val="auto"/>
                <w:w w:val="99"/>
              </w:rPr>
              <w:t>November 13,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040" w:type="dxa"/>
            <w:vAlign w:val="bottom"/>
            <w:tcBorders>
              <w:bottom w:val="single" w:sz="8" w:color="0000EE"/>
            </w:tcBorders>
            <w:gridSpan w:val="23"/>
          </w:tcPr>
          <w:p>
            <w:pPr>
              <w:spacing w:after="0" w:line="144" w:lineRule="exact"/>
              <w:rPr>
                <w:rFonts w:ascii="Arial" w:cs="Arial" w:eastAsia="Arial" w:hAnsi="Arial"/>
                <w:sz w:val="15"/>
                <w:szCs w:val="15"/>
                <w:color w:val="0000EE"/>
              </w:rPr>
            </w:pPr>
            <w:hyperlink r:id="rId281">
              <w:r>
                <w:rPr>
                  <w:rFonts w:ascii="Arial" w:cs="Arial" w:eastAsia="Arial" w:hAnsi="Arial"/>
                  <w:sz w:val="15"/>
                  <w:szCs w:val="15"/>
                  <w:color w:val="0000EE"/>
                </w:rPr>
                <w:t>between the registrant and Mark Bach,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center"/>
              <w:ind w:right="879"/>
              <w:spacing w:after="0" w:line="150" w:lineRule="exact"/>
              <w:rPr>
                <w:sz w:val="20"/>
                <w:szCs w:val="20"/>
                <w:color w:val="auto"/>
              </w:rPr>
            </w:pPr>
            <w:r>
              <w:rPr>
                <w:rFonts w:ascii="Arial" w:cs="Arial" w:eastAsia="Arial" w:hAnsi="Arial"/>
                <w:sz w:val="17"/>
                <w:szCs w:val="17"/>
                <w:color w:val="auto"/>
              </w:rPr>
              <w:t>2024</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rFonts w:ascii="Arial" w:cs="Arial" w:eastAsia="Arial" w:hAnsi="Arial"/>
                <w:sz w:val="15"/>
                <w:szCs w:val="15"/>
                <w:color w:val="0000EE"/>
              </w:rPr>
            </w:pPr>
            <w:hyperlink r:id="rId281">
              <w:r>
                <w:rPr>
                  <w:rFonts w:ascii="Arial" w:cs="Arial" w:eastAsia="Arial" w:hAnsi="Arial"/>
                  <w:sz w:val="15"/>
                  <w:szCs w:val="15"/>
                  <w:color w:val="0000EE"/>
                </w:rPr>
                <w:t>September 12, 2024.</w:t>
              </w:r>
            </w:hyperlink>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vMerge w:val="restart"/>
          </w:tcPr>
          <w:p>
            <w:pPr>
              <w:jc w:val="center"/>
              <w:ind w:left="18"/>
              <w:spacing w:after="0"/>
              <w:rPr>
                <w:sz w:val="20"/>
                <w:szCs w:val="20"/>
                <w:color w:val="auto"/>
              </w:rPr>
            </w:pPr>
            <w:r>
              <w:rPr>
                <w:rFonts w:ascii="Arial" w:cs="Arial" w:eastAsia="Arial" w:hAnsi="Arial"/>
                <w:sz w:val="17"/>
                <w:szCs w:val="17"/>
                <w:color w:val="auto"/>
                <w:w w:val="95"/>
              </w:rPr>
              <w:t>10-Q</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8"/>
              </w:rPr>
              <w:t>001-41608</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rPr>
              <w:t>10.1</w:t>
            </w:r>
          </w:p>
        </w:tc>
        <w:tc>
          <w:tcPr>
            <w:tcW w:w="2260" w:type="dxa"/>
            <w:vAlign w:val="bottom"/>
            <w:vMerge w:val="restart"/>
          </w:tcPr>
          <w:p>
            <w:pPr>
              <w:jc w:val="center"/>
              <w:ind w:right="899"/>
              <w:spacing w:after="0"/>
              <w:rPr>
                <w:sz w:val="20"/>
                <w:szCs w:val="20"/>
                <w:color w:val="auto"/>
              </w:rPr>
            </w:pPr>
            <w:r>
              <w:rPr>
                <w:rFonts w:ascii="Arial" w:cs="Arial" w:eastAsia="Arial" w:hAnsi="Arial"/>
                <w:sz w:val="17"/>
                <w:szCs w:val="17"/>
                <w:color w:val="auto"/>
                <w:w w:val="98"/>
              </w:rPr>
              <w:t>May 9, 2024</w:t>
            </w: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10.16+*</w:t>
            </w:r>
          </w:p>
        </w:tc>
        <w:tc>
          <w:tcPr>
            <w:tcW w:w="2880" w:type="dxa"/>
            <w:vAlign w:val="bottom"/>
            <w:tcBorders>
              <w:bottom w:val="single" w:sz="8" w:color="0000EE"/>
            </w:tcBorders>
            <w:gridSpan w:val="18"/>
          </w:tcPr>
          <w:p>
            <w:pPr>
              <w:spacing w:after="0"/>
              <w:rPr>
                <w:rFonts w:ascii="Arial" w:cs="Arial" w:eastAsia="Arial" w:hAnsi="Arial"/>
                <w:sz w:val="15"/>
                <w:szCs w:val="15"/>
                <w:color w:val="0000EE"/>
              </w:rPr>
            </w:pPr>
            <w:hyperlink r:id="rId282">
              <w:r>
                <w:rPr>
                  <w:rFonts w:ascii="Arial" w:cs="Arial" w:eastAsia="Arial" w:hAnsi="Arial"/>
                  <w:sz w:val="15"/>
                  <w:szCs w:val="15"/>
                  <w:color w:val="0000EE"/>
                </w:rPr>
                <w:t>Executive Employment Agreement, by and</w:t>
              </w:r>
            </w:hyperlink>
          </w:p>
        </w:tc>
        <w:tc>
          <w:tcPr>
            <w:tcW w:w="260" w:type="dxa"/>
            <w:vAlign w:val="bottom"/>
            <w:gridSpan w:val="10"/>
          </w:tcPr>
          <w:p>
            <w:pPr>
              <w:spacing w:after="0"/>
              <w:rPr>
                <w:sz w:val="21"/>
                <w:szCs w:val="21"/>
                <w:color w:val="auto"/>
              </w:rPr>
            </w:pPr>
          </w:p>
        </w:tc>
        <w:tc>
          <w:tcPr>
            <w:tcW w:w="7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020" w:type="dxa"/>
            <w:vAlign w:val="bottom"/>
            <w:tcBorders>
              <w:bottom w:val="single" w:sz="8" w:color="0000EE"/>
            </w:tcBorders>
            <w:gridSpan w:val="22"/>
          </w:tcPr>
          <w:p>
            <w:pPr>
              <w:spacing w:after="0" w:line="157" w:lineRule="exact"/>
              <w:rPr>
                <w:rFonts w:ascii="Arial" w:cs="Arial" w:eastAsia="Arial" w:hAnsi="Arial"/>
                <w:sz w:val="15"/>
                <w:szCs w:val="15"/>
                <w:color w:val="0000EE"/>
              </w:rPr>
            </w:pPr>
            <w:hyperlink r:id="rId282">
              <w:r>
                <w:rPr>
                  <w:rFonts w:ascii="Arial" w:cs="Arial" w:eastAsia="Arial" w:hAnsi="Arial"/>
                  <w:sz w:val="15"/>
                  <w:szCs w:val="15"/>
                  <w:color w:val="0000EE"/>
                </w:rPr>
                <w:t>between the registrant and Xichen Lin, dated</w:t>
              </w:r>
            </w:hyperlink>
          </w:p>
        </w:tc>
        <w:tc>
          <w:tcPr>
            <w:tcW w:w="120" w:type="dxa"/>
            <w:vAlign w:val="bottom"/>
            <w:gridSpan w:val="6"/>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960" w:type="dxa"/>
            <w:vAlign w:val="bottom"/>
            <w:tcBorders>
              <w:bottom w:val="single" w:sz="8" w:color="0000EE"/>
            </w:tcBorders>
            <w:gridSpan w:val="4"/>
          </w:tcPr>
          <w:p>
            <w:pPr>
              <w:spacing w:after="0" w:line="157" w:lineRule="exact"/>
              <w:rPr>
                <w:rFonts w:ascii="Arial" w:cs="Arial" w:eastAsia="Arial" w:hAnsi="Arial"/>
                <w:sz w:val="15"/>
                <w:szCs w:val="15"/>
                <w:color w:val="0000EE"/>
              </w:rPr>
            </w:pPr>
            <w:hyperlink r:id="rId282">
              <w:r>
                <w:rPr>
                  <w:rFonts w:ascii="Arial" w:cs="Arial" w:eastAsia="Arial" w:hAnsi="Arial"/>
                  <w:sz w:val="15"/>
                  <w:szCs w:val="15"/>
                  <w:color w:val="0000EE"/>
                </w:rPr>
                <w:t>July 22, 2022.</w:t>
              </w:r>
            </w:hyperlink>
          </w:p>
        </w:tc>
        <w:tc>
          <w:tcPr>
            <w:tcW w:w="2180" w:type="dxa"/>
            <w:vAlign w:val="bottom"/>
            <w:gridSpan w:val="24"/>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10.17+</w:t>
            </w:r>
          </w:p>
        </w:tc>
        <w:tc>
          <w:tcPr>
            <w:tcW w:w="2620" w:type="dxa"/>
            <w:vAlign w:val="bottom"/>
            <w:tcBorders>
              <w:bottom w:val="single" w:sz="8" w:color="0000EE"/>
            </w:tcBorders>
            <w:gridSpan w:val="14"/>
          </w:tcPr>
          <w:p>
            <w:pPr>
              <w:spacing w:after="0"/>
              <w:rPr>
                <w:rFonts w:ascii="Arial" w:cs="Arial" w:eastAsia="Arial" w:hAnsi="Arial"/>
                <w:sz w:val="15"/>
                <w:szCs w:val="15"/>
                <w:color w:val="0000EE"/>
              </w:rPr>
            </w:pPr>
            <w:hyperlink r:id="rId283">
              <w:r>
                <w:rPr>
                  <w:rFonts w:ascii="Arial" w:cs="Arial" w:eastAsia="Arial" w:hAnsi="Arial"/>
                  <w:sz w:val="15"/>
                  <w:szCs w:val="15"/>
                  <w:color w:val="0000EE"/>
                </w:rPr>
                <w:t>Employment Contract, by and between</w:t>
              </w:r>
            </w:hyperlink>
          </w:p>
        </w:tc>
        <w:tc>
          <w:tcPr>
            <w:tcW w:w="520" w:type="dxa"/>
            <w:vAlign w:val="bottom"/>
            <w:gridSpan w:val="14"/>
          </w:tcPr>
          <w:p>
            <w:pPr>
              <w:spacing w:after="0"/>
              <w:rPr>
                <w:sz w:val="21"/>
                <w:szCs w:val="21"/>
                <w:color w:val="auto"/>
              </w:rPr>
            </w:pPr>
          </w:p>
        </w:tc>
        <w:tc>
          <w:tcPr>
            <w:tcW w:w="780" w:type="dxa"/>
            <w:vAlign w:val="bottom"/>
          </w:tcPr>
          <w:p>
            <w:pPr>
              <w:jc w:val="center"/>
              <w:ind w:left="38"/>
              <w:spacing w:after="0"/>
              <w:rPr>
                <w:sz w:val="20"/>
                <w:szCs w:val="20"/>
                <w:color w:val="auto"/>
              </w:rPr>
            </w:pPr>
            <w:r>
              <w:rPr>
                <w:rFonts w:ascii="Arial" w:cs="Arial" w:eastAsia="Arial" w:hAnsi="Arial"/>
                <w:sz w:val="17"/>
                <w:szCs w:val="17"/>
                <w:color w:val="auto"/>
                <w:w w:val="98"/>
              </w:rPr>
              <w:t>S-1</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333-</w:t>
            </w:r>
          </w:p>
        </w:tc>
        <w:tc>
          <w:tcPr>
            <w:tcW w:w="680" w:type="dxa"/>
            <w:vAlign w:val="bottom"/>
          </w:tcPr>
          <w:p>
            <w:pPr>
              <w:jc w:val="center"/>
              <w:spacing w:after="0"/>
              <w:rPr>
                <w:sz w:val="20"/>
                <w:szCs w:val="20"/>
                <w:color w:val="auto"/>
              </w:rPr>
            </w:pPr>
            <w:r>
              <w:rPr>
                <w:rFonts w:ascii="Arial" w:cs="Arial" w:eastAsia="Arial" w:hAnsi="Arial"/>
                <w:sz w:val="17"/>
                <w:szCs w:val="17"/>
                <w:color w:val="auto"/>
                <w:w w:val="98"/>
              </w:rPr>
              <w:t>10.16</w:t>
            </w:r>
          </w:p>
        </w:tc>
        <w:tc>
          <w:tcPr>
            <w:tcW w:w="2260" w:type="dxa"/>
            <w:vAlign w:val="bottom"/>
          </w:tcPr>
          <w:p>
            <w:pPr>
              <w:jc w:val="center"/>
              <w:ind w:right="899"/>
              <w:spacing w:after="0"/>
              <w:rPr>
                <w:sz w:val="20"/>
                <w:szCs w:val="20"/>
                <w:color w:val="auto"/>
              </w:rPr>
            </w:pPr>
            <w:r>
              <w:rPr>
                <w:rFonts w:ascii="Arial" w:cs="Arial" w:eastAsia="Arial" w:hAnsi="Arial"/>
                <w:sz w:val="17"/>
                <w:szCs w:val="17"/>
                <w:color w:val="auto"/>
                <w:w w:val="99"/>
              </w:rPr>
              <w:t>January 12,</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080" w:type="dxa"/>
            <w:vAlign w:val="bottom"/>
            <w:tcBorders>
              <w:bottom w:val="single" w:sz="8" w:color="0000EE"/>
            </w:tcBorders>
            <w:gridSpan w:val="25"/>
          </w:tcPr>
          <w:p>
            <w:pPr>
              <w:spacing w:after="0" w:line="144" w:lineRule="exact"/>
              <w:rPr>
                <w:rFonts w:ascii="Arial" w:cs="Arial" w:eastAsia="Arial" w:hAnsi="Arial"/>
                <w:sz w:val="15"/>
                <w:szCs w:val="15"/>
                <w:color w:val="0000EE"/>
              </w:rPr>
            </w:pPr>
            <w:hyperlink r:id="rId283">
              <w:r>
                <w:rPr>
                  <w:rFonts w:ascii="Arial" w:cs="Arial" w:eastAsia="Arial" w:hAnsi="Arial"/>
                  <w:sz w:val="15"/>
                  <w:szCs w:val="15"/>
                  <w:color w:val="0000EE"/>
                </w:rPr>
                <w:t>Shanghai ShouTi Biotechnology Co., Ltd.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7"/>
                <w:szCs w:val="17"/>
                <w:color w:val="auto"/>
                <w:w w:val="98"/>
              </w:rPr>
              <w:t>269200</w:t>
            </w: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480" w:type="dxa"/>
            <w:vAlign w:val="bottom"/>
            <w:tcBorders>
              <w:bottom w:val="single" w:sz="8" w:color="0000EE"/>
            </w:tcBorders>
            <w:gridSpan w:val="12"/>
          </w:tcPr>
          <w:p>
            <w:pPr>
              <w:spacing w:after="0" w:line="157" w:lineRule="exact"/>
              <w:rPr>
                <w:rFonts w:ascii="Arial" w:cs="Arial" w:eastAsia="Arial" w:hAnsi="Arial"/>
                <w:sz w:val="15"/>
                <w:szCs w:val="15"/>
                <w:color w:val="0000EE"/>
              </w:rPr>
            </w:pPr>
            <w:hyperlink r:id="rId283">
              <w:r>
                <w:rPr>
                  <w:rFonts w:ascii="Arial" w:cs="Arial" w:eastAsia="Arial" w:hAnsi="Arial"/>
                  <w:sz w:val="15"/>
                  <w:szCs w:val="15"/>
                  <w:color w:val="0000EE"/>
                </w:rPr>
                <w:t>Yingli Ma, dated November 1, 2022.</w:t>
              </w:r>
            </w:hyperlink>
          </w:p>
        </w:tc>
        <w:tc>
          <w:tcPr>
            <w:tcW w:w="660" w:type="dxa"/>
            <w:vAlign w:val="bottom"/>
            <w:gridSpan w:val="16"/>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10.18+</w:t>
            </w:r>
          </w:p>
        </w:tc>
        <w:tc>
          <w:tcPr>
            <w:tcW w:w="3140" w:type="dxa"/>
            <w:vAlign w:val="bottom"/>
            <w:gridSpan w:val="28"/>
          </w:tcPr>
          <w:p>
            <w:pPr>
              <w:spacing w:after="0"/>
              <w:rPr>
                <w:rFonts w:ascii="Arial" w:cs="Arial" w:eastAsia="Arial" w:hAnsi="Arial"/>
                <w:sz w:val="15"/>
                <w:szCs w:val="15"/>
                <w:color w:val="0000EE"/>
              </w:rPr>
            </w:pPr>
            <w:hyperlink r:id="rId284">
              <w:r>
                <w:rPr>
                  <w:rFonts w:ascii="Arial" w:cs="Arial" w:eastAsia="Arial" w:hAnsi="Arial"/>
                  <w:sz w:val="15"/>
                  <w:szCs w:val="15"/>
                  <w:color w:val="0000EE"/>
                </w:rPr>
                <w:t>Supplemental Agreement, by and among</w:t>
              </w:r>
            </w:hyperlink>
          </w:p>
        </w:tc>
        <w:tc>
          <w:tcPr>
            <w:tcW w:w="780" w:type="dxa"/>
            <w:vAlign w:val="bottom"/>
          </w:tcPr>
          <w:p>
            <w:pPr>
              <w:jc w:val="center"/>
              <w:ind w:left="38"/>
              <w:spacing w:after="0"/>
              <w:rPr>
                <w:sz w:val="20"/>
                <w:szCs w:val="20"/>
                <w:color w:val="auto"/>
              </w:rPr>
            </w:pPr>
            <w:r>
              <w:rPr>
                <w:rFonts w:ascii="Arial" w:cs="Arial" w:eastAsia="Arial" w:hAnsi="Arial"/>
                <w:sz w:val="17"/>
                <w:szCs w:val="17"/>
                <w:color w:val="auto"/>
                <w:w w:val="98"/>
              </w:rPr>
              <w:t>S-1</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333-</w:t>
            </w:r>
          </w:p>
        </w:tc>
        <w:tc>
          <w:tcPr>
            <w:tcW w:w="680" w:type="dxa"/>
            <w:vAlign w:val="bottom"/>
          </w:tcPr>
          <w:p>
            <w:pPr>
              <w:jc w:val="center"/>
              <w:spacing w:after="0"/>
              <w:rPr>
                <w:sz w:val="20"/>
                <w:szCs w:val="20"/>
                <w:color w:val="auto"/>
              </w:rPr>
            </w:pPr>
            <w:r>
              <w:rPr>
                <w:rFonts w:ascii="Arial" w:cs="Arial" w:eastAsia="Arial" w:hAnsi="Arial"/>
                <w:sz w:val="17"/>
                <w:szCs w:val="17"/>
                <w:color w:val="auto"/>
                <w:w w:val="98"/>
              </w:rPr>
              <w:t>10.17</w:t>
            </w:r>
          </w:p>
        </w:tc>
        <w:tc>
          <w:tcPr>
            <w:tcW w:w="2260" w:type="dxa"/>
            <w:vAlign w:val="bottom"/>
          </w:tcPr>
          <w:p>
            <w:pPr>
              <w:jc w:val="center"/>
              <w:ind w:right="899"/>
              <w:spacing w:after="0"/>
              <w:rPr>
                <w:sz w:val="20"/>
                <w:szCs w:val="20"/>
                <w:color w:val="auto"/>
              </w:rPr>
            </w:pPr>
            <w:r>
              <w:rPr>
                <w:rFonts w:ascii="Arial" w:cs="Arial" w:eastAsia="Arial" w:hAnsi="Arial"/>
                <w:sz w:val="17"/>
                <w:szCs w:val="17"/>
                <w:color w:val="auto"/>
                <w:w w:val="99"/>
              </w:rPr>
              <w:t>January 12,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80" w:type="dxa"/>
            <w:vAlign w:val="bottom"/>
          </w:tcPr>
          <w:p>
            <w:pPr>
              <w:spacing w:after="0"/>
              <w:rPr>
                <w:sz w:val="13"/>
                <w:szCs w:val="13"/>
                <w:color w:val="auto"/>
              </w:rPr>
            </w:pPr>
          </w:p>
        </w:tc>
        <w:tc>
          <w:tcPr>
            <w:tcW w:w="3060" w:type="dxa"/>
            <w:vAlign w:val="bottom"/>
            <w:tcBorders>
              <w:bottom w:val="single" w:sz="8" w:color="0000EE"/>
            </w:tcBorders>
            <w:gridSpan w:val="24"/>
          </w:tcPr>
          <w:p>
            <w:pPr>
              <w:spacing w:after="0" w:line="144" w:lineRule="exact"/>
              <w:rPr>
                <w:rFonts w:ascii="Arial" w:cs="Arial" w:eastAsia="Arial" w:hAnsi="Arial"/>
                <w:sz w:val="15"/>
                <w:szCs w:val="15"/>
                <w:color w:val="0000EE"/>
              </w:rPr>
            </w:pPr>
            <w:hyperlink r:id="rId284">
              <w:r>
                <w:rPr>
                  <w:rFonts w:ascii="Arial" w:cs="Arial" w:eastAsia="Arial" w:hAnsi="Arial"/>
                  <w:sz w:val="15"/>
                  <w:szCs w:val="15"/>
                  <w:color w:val="0000EE"/>
                </w:rPr>
                <w:t>Shanghai Basecamp Biotechnology Co., Ltd.,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7"/>
                <w:szCs w:val="17"/>
                <w:color w:val="auto"/>
                <w:w w:val="98"/>
              </w:rPr>
              <w:t>269200</w:t>
            </w: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080" w:type="dxa"/>
            <w:vAlign w:val="bottom"/>
            <w:tcBorders>
              <w:bottom w:val="single" w:sz="8" w:color="0000EE"/>
            </w:tcBorders>
            <w:gridSpan w:val="25"/>
          </w:tcPr>
          <w:p>
            <w:pPr>
              <w:spacing w:after="0" w:line="157" w:lineRule="exact"/>
              <w:rPr>
                <w:rFonts w:ascii="Arial" w:cs="Arial" w:eastAsia="Arial" w:hAnsi="Arial"/>
                <w:sz w:val="15"/>
                <w:szCs w:val="15"/>
                <w:color w:val="0000EE"/>
              </w:rPr>
            </w:pPr>
            <w:hyperlink r:id="rId284">
              <w:r>
                <w:rPr>
                  <w:rFonts w:ascii="Arial" w:cs="Arial" w:eastAsia="Arial" w:hAnsi="Arial"/>
                  <w:sz w:val="15"/>
                  <w:szCs w:val="15"/>
                  <w:color w:val="0000EE"/>
                </w:rPr>
                <w:t>Shanghai ShouTi Biotechnology Co., Ltd. and</w:t>
              </w:r>
            </w:hyperlink>
          </w:p>
        </w:tc>
        <w:tc>
          <w:tcPr>
            <w:tcW w:w="6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rFonts w:ascii="Arial" w:cs="Arial" w:eastAsia="Arial" w:hAnsi="Arial"/>
                <w:sz w:val="15"/>
                <w:szCs w:val="15"/>
                <w:color w:val="0000EE"/>
              </w:rPr>
            </w:pPr>
            <w:hyperlink r:id="rId284">
              <w:r>
                <w:rPr>
                  <w:rFonts w:ascii="Arial" w:cs="Arial" w:eastAsia="Arial" w:hAnsi="Arial"/>
                  <w:sz w:val="15"/>
                  <w:szCs w:val="15"/>
                  <w:color w:val="0000EE"/>
                </w:rPr>
                <w:t>Yingli Ma, dated October 31, 2022.</w:t>
              </w:r>
            </w:hyperlink>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10.19+</w:t>
            </w:r>
          </w:p>
        </w:tc>
        <w:tc>
          <w:tcPr>
            <w:tcW w:w="22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5"/>
                <w:szCs w:val="15"/>
                <w:color w:val="0000EE"/>
              </w:rPr>
              <w:t>Amended Non-Employee Director</w:t>
            </w:r>
          </w:p>
        </w:tc>
        <w:tc>
          <w:tcPr>
            <w:tcW w:w="60" w:type="dxa"/>
            <w:vAlign w:val="bottom"/>
            <w:tcBorders>
              <w:top w:val="single" w:sz="8" w:color="0000EE"/>
            </w:tcBorders>
          </w:tcPr>
          <w:p>
            <w:pPr>
              <w:spacing w:after="0"/>
              <w:rPr>
                <w:sz w:val="21"/>
                <w:szCs w:val="21"/>
                <w:color w:val="auto"/>
              </w:rPr>
            </w:pPr>
          </w:p>
        </w:tc>
        <w:tc>
          <w:tcPr>
            <w:tcW w:w="800" w:type="dxa"/>
            <w:vAlign w:val="bottom"/>
            <w:gridSpan w:val="18"/>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60" w:type="dxa"/>
            <w:vAlign w:val="bottom"/>
          </w:tcPr>
          <w:p>
            <w:pPr>
              <w:ind w:left="17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sz w:val="20"/>
                <w:szCs w:val="20"/>
                <w:color w:val="auto"/>
              </w:rPr>
            </w:pPr>
            <w:r>
              <w:rPr>
                <w:rFonts w:ascii="Arial" w:cs="Arial" w:eastAsia="Arial" w:hAnsi="Arial"/>
                <w:sz w:val="15"/>
                <w:szCs w:val="15"/>
                <w:color w:val="0000EE"/>
              </w:rPr>
              <w:t>Compensation Policy.</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vMerge w:val="restart"/>
          </w:tcPr>
          <w:p>
            <w:pPr>
              <w:jc w:val="center"/>
              <w:ind w:left="38"/>
              <w:spacing w:after="0"/>
              <w:rPr>
                <w:sz w:val="20"/>
                <w:szCs w:val="20"/>
                <w:color w:val="auto"/>
              </w:rPr>
            </w:pPr>
            <w:r>
              <w:rPr>
                <w:rFonts w:ascii="Arial" w:cs="Arial" w:eastAsia="Arial" w:hAnsi="Arial"/>
                <w:sz w:val="17"/>
                <w:szCs w:val="17"/>
                <w:color w:val="auto"/>
                <w:w w:val="98"/>
              </w:rPr>
              <w:t>S-1</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99"/>
              </w:rPr>
              <w:t>333-</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98"/>
              </w:rPr>
              <w:t>10.23</w:t>
            </w:r>
          </w:p>
        </w:tc>
        <w:tc>
          <w:tcPr>
            <w:tcW w:w="2260" w:type="dxa"/>
            <w:vAlign w:val="bottom"/>
            <w:vMerge w:val="restart"/>
          </w:tcPr>
          <w:p>
            <w:pPr>
              <w:jc w:val="center"/>
              <w:ind w:right="899"/>
              <w:spacing w:after="0"/>
              <w:rPr>
                <w:sz w:val="20"/>
                <w:szCs w:val="20"/>
                <w:color w:val="auto"/>
              </w:rPr>
            </w:pPr>
            <w:r>
              <w:rPr>
                <w:rFonts w:ascii="Arial" w:cs="Arial" w:eastAsia="Arial" w:hAnsi="Arial"/>
                <w:sz w:val="17"/>
                <w:szCs w:val="17"/>
                <w:color w:val="auto"/>
                <w:w w:val="99"/>
              </w:rPr>
              <w:t>January 12,</w:t>
            </w: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10.20+</w:t>
            </w:r>
          </w:p>
        </w:tc>
        <w:tc>
          <w:tcPr>
            <w:tcW w:w="3140" w:type="dxa"/>
            <w:vAlign w:val="bottom"/>
            <w:gridSpan w:val="28"/>
          </w:tcPr>
          <w:p>
            <w:pPr>
              <w:spacing w:after="0"/>
              <w:rPr>
                <w:rFonts w:ascii="Arial" w:cs="Arial" w:eastAsia="Arial" w:hAnsi="Arial"/>
                <w:sz w:val="15"/>
                <w:szCs w:val="15"/>
                <w:color w:val="0000EE"/>
              </w:rPr>
            </w:pPr>
            <w:hyperlink r:id="rId285">
              <w:r>
                <w:rPr>
                  <w:rFonts w:ascii="Arial" w:cs="Arial" w:eastAsia="Arial" w:hAnsi="Arial"/>
                  <w:sz w:val="15"/>
                  <w:szCs w:val="15"/>
                  <w:color w:val="0000EE"/>
                </w:rPr>
                <w:t>Severance and Change in Control Plan.</w:t>
              </w:r>
            </w:hyperlink>
          </w:p>
        </w:tc>
        <w:tc>
          <w:tcPr>
            <w:tcW w:w="78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269200</w:t>
            </w:r>
          </w:p>
        </w:tc>
        <w:tc>
          <w:tcPr>
            <w:tcW w:w="680" w:type="dxa"/>
            <w:vAlign w:val="bottom"/>
          </w:tcPr>
          <w:p>
            <w:pPr>
              <w:spacing w:after="0"/>
              <w:rPr>
                <w:sz w:val="19"/>
                <w:szCs w:val="19"/>
                <w:color w:val="auto"/>
              </w:rPr>
            </w:pPr>
          </w:p>
        </w:tc>
        <w:tc>
          <w:tcPr>
            <w:tcW w:w="2260" w:type="dxa"/>
            <w:vAlign w:val="bottom"/>
          </w:tcPr>
          <w:p>
            <w:pPr>
              <w:jc w:val="center"/>
              <w:ind w:right="879"/>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24"/>
        </w:trPr>
        <w:tc>
          <w:tcPr>
            <w:tcW w:w="980" w:type="dxa"/>
            <w:vAlign w:val="bottom"/>
          </w:tcPr>
          <w:p>
            <w:pPr>
              <w:spacing w:after="0"/>
              <w:rPr>
                <w:sz w:val="20"/>
                <w:szCs w:val="20"/>
                <w:color w:val="auto"/>
              </w:rPr>
            </w:pPr>
            <w:r>
              <w:rPr>
                <w:rFonts w:ascii="Arial" w:cs="Arial" w:eastAsia="Arial" w:hAnsi="Arial"/>
                <w:sz w:val="15"/>
                <w:szCs w:val="15"/>
                <w:color w:val="auto"/>
              </w:rPr>
              <w:t>10.21*</w:t>
            </w:r>
          </w:p>
        </w:tc>
        <w:tc>
          <w:tcPr>
            <w:tcW w:w="2840" w:type="dxa"/>
            <w:vAlign w:val="bottom"/>
            <w:tcBorders>
              <w:bottom w:val="single" w:sz="8" w:color="0000EE"/>
            </w:tcBorders>
            <w:gridSpan w:val="17"/>
          </w:tcPr>
          <w:p>
            <w:pPr>
              <w:spacing w:after="0"/>
              <w:rPr>
                <w:rFonts w:ascii="Arial" w:cs="Arial" w:eastAsia="Arial" w:hAnsi="Arial"/>
                <w:sz w:val="15"/>
                <w:szCs w:val="15"/>
                <w:color w:val="0000EE"/>
              </w:rPr>
            </w:pPr>
            <w:hyperlink r:id="rId286">
              <w:r>
                <w:rPr>
                  <w:rFonts w:ascii="Arial" w:cs="Arial" w:eastAsia="Arial" w:hAnsi="Arial"/>
                  <w:sz w:val="15"/>
                  <w:szCs w:val="15"/>
                  <w:color w:val="0000EE"/>
                </w:rPr>
                <w:t>Collaboration Agreement, by and between</w:t>
              </w:r>
            </w:hyperlink>
          </w:p>
        </w:tc>
        <w:tc>
          <w:tcPr>
            <w:tcW w:w="300" w:type="dxa"/>
            <w:vAlign w:val="bottom"/>
            <w:gridSpan w:val="11"/>
          </w:tcPr>
          <w:p>
            <w:pPr>
              <w:spacing w:after="0"/>
              <w:rPr>
                <w:sz w:val="19"/>
                <w:szCs w:val="19"/>
                <w:color w:val="auto"/>
              </w:rPr>
            </w:pPr>
          </w:p>
        </w:tc>
        <w:tc>
          <w:tcPr>
            <w:tcW w:w="780" w:type="dxa"/>
            <w:vAlign w:val="bottom"/>
          </w:tcPr>
          <w:p>
            <w:pPr>
              <w:jc w:val="center"/>
              <w:ind w:left="38"/>
              <w:spacing w:after="0"/>
              <w:rPr>
                <w:sz w:val="20"/>
                <w:szCs w:val="20"/>
                <w:color w:val="auto"/>
              </w:rPr>
            </w:pPr>
            <w:r>
              <w:rPr>
                <w:rFonts w:ascii="Arial" w:cs="Arial" w:eastAsia="Arial" w:hAnsi="Arial"/>
                <w:sz w:val="17"/>
                <w:szCs w:val="17"/>
                <w:color w:val="auto"/>
                <w:w w:val="98"/>
              </w:rPr>
              <w:t>S-1</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333-</w:t>
            </w:r>
          </w:p>
        </w:tc>
        <w:tc>
          <w:tcPr>
            <w:tcW w:w="680" w:type="dxa"/>
            <w:vAlign w:val="bottom"/>
          </w:tcPr>
          <w:p>
            <w:pPr>
              <w:jc w:val="center"/>
              <w:spacing w:after="0"/>
              <w:rPr>
                <w:sz w:val="20"/>
                <w:szCs w:val="20"/>
                <w:color w:val="auto"/>
              </w:rPr>
            </w:pPr>
            <w:r>
              <w:rPr>
                <w:rFonts w:ascii="Arial" w:cs="Arial" w:eastAsia="Arial" w:hAnsi="Arial"/>
                <w:sz w:val="17"/>
                <w:szCs w:val="17"/>
                <w:color w:val="auto"/>
                <w:w w:val="98"/>
              </w:rPr>
              <w:t>10.24</w:t>
            </w:r>
          </w:p>
        </w:tc>
        <w:tc>
          <w:tcPr>
            <w:tcW w:w="2260" w:type="dxa"/>
            <w:vAlign w:val="bottom"/>
          </w:tcPr>
          <w:p>
            <w:pPr>
              <w:jc w:val="center"/>
              <w:ind w:right="899"/>
              <w:spacing w:after="0"/>
              <w:rPr>
                <w:sz w:val="20"/>
                <w:szCs w:val="20"/>
                <w:color w:val="auto"/>
              </w:rPr>
            </w:pPr>
            <w:r>
              <w:rPr>
                <w:rFonts w:ascii="Arial" w:cs="Arial" w:eastAsia="Arial" w:hAnsi="Arial"/>
                <w:sz w:val="17"/>
                <w:szCs w:val="17"/>
                <w:color w:val="auto"/>
                <w:w w:val="99"/>
              </w:rPr>
              <w:t>January 12,</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020" w:type="dxa"/>
            <w:vAlign w:val="bottom"/>
            <w:tcBorders>
              <w:bottom w:val="single" w:sz="8" w:color="0000EE"/>
            </w:tcBorders>
            <w:gridSpan w:val="22"/>
          </w:tcPr>
          <w:p>
            <w:pPr>
              <w:spacing w:after="0" w:line="144" w:lineRule="exact"/>
              <w:rPr>
                <w:rFonts w:ascii="Arial" w:cs="Arial" w:eastAsia="Arial" w:hAnsi="Arial"/>
                <w:sz w:val="15"/>
                <w:szCs w:val="15"/>
                <w:color w:val="0000EE"/>
              </w:rPr>
            </w:pPr>
            <w:hyperlink r:id="rId286">
              <w:r>
                <w:rPr>
                  <w:rFonts w:ascii="Arial" w:cs="Arial" w:eastAsia="Arial" w:hAnsi="Arial"/>
                  <w:sz w:val="15"/>
                  <w:szCs w:val="15"/>
                  <w:color w:val="0000EE"/>
                </w:rPr>
                <w:t>Lhotse Bio, Inc. and Schrödinger, LLC, dated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7"/>
                <w:szCs w:val="17"/>
                <w:color w:val="auto"/>
                <w:w w:val="98"/>
              </w:rPr>
              <w:t>269200</w:t>
            </w: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140" w:type="dxa"/>
            <w:vAlign w:val="bottom"/>
            <w:tcBorders>
              <w:bottom w:val="single" w:sz="8" w:color="0000EE"/>
            </w:tcBorders>
            <w:gridSpan w:val="5"/>
          </w:tcPr>
          <w:p>
            <w:pPr>
              <w:spacing w:after="0" w:line="157" w:lineRule="exact"/>
              <w:rPr>
                <w:rFonts w:ascii="Arial" w:cs="Arial" w:eastAsia="Arial" w:hAnsi="Arial"/>
                <w:sz w:val="15"/>
                <w:szCs w:val="15"/>
                <w:color w:val="0000EE"/>
              </w:rPr>
            </w:pPr>
            <w:hyperlink r:id="rId286">
              <w:r>
                <w:rPr>
                  <w:rFonts w:ascii="Arial" w:cs="Arial" w:eastAsia="Arial" w:hAnsi="Arial"/>
                  <w:sz w:val="15"/>
                  <w:szCs w:val="15"/>
                  <w:color w:val="0000EE"/>
                </w:rPr>
                <w:t>October 9, 2020.</w:t>
              </w:r>
            </w:hyperlink>
          </w:p>
        </w:tc>
        <w:tc>
          <w:tcPr>
            <w:tcW w:w="2000" w:type="dxa"/>
            <w:vAlign w:val="bottom"/>
            <w:gridSpan w:val="23"/>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10.22</w:t>
            </w:r>
          </w:p>
        </w:tc>
        <w:tc>
          <w:tcPr>
            <w:tcW w:w="2760" w:type="dxa"/>
            <w:vAlign w:val="bottom"/>
            <w:tcBorders>
              <w:bottom w:val="single" w:sz="8" w:color="0000EE"/>
            </w:tcBorders>
            <w:gridSpan w:val="16"/>
          </w:tcPr>
          <w:p>
            <w:pPr>
              <w:spacing w:after="0"/>
              <w:rPr>
                <w:rFonts w:ascii="Arial" w:cs="Arial" w:eastAsia="Arial" w:hAnsi="Arial"/>
                <w:sz w:val="15"/>
                <w:szCs w:val="15"/>
                <w:color w:val="0000EE"/>
              </w:rPr>
            </w:pPr>
            <w:hyperlink r:id="rId287">
              <w:r>
                <w:rPr>
                  <w:rFonts w:ascii="Arial" w:cs="Arial" w:eastAsia="Arial" w:hAnsi="Arial"/>
                  <w:sz w:val="15"/>
                  <w:szCs w:val="15"/>
                  <w:color w:val="0000EE"/>
                </w:rPr>
                <w:t>Share Purchase Agreement, dated as of</w:t>
              </w:r>
            </w:hyperlink>
          </w:p>
        </w:tc>
        <w:tc>
          <w:tcPr>
            <w:tcW w:w="380" w:type="dxa"/>
            <w:vAlign w:val="bottom"/>
            <w:gridSpan w:val="12"/>
          </w:tcPr>
          <w:p>
            <w:pPr>
              <w:spacing w:after="0"/>
              <w:rPr>
                <w:sz w:val="21"/>
                <w:szCs w:val="21"/>
                <w:color w:val="auto"/>
              </w:rPr>
            </w:pPr>
          </w:p>
        </w:tc>
        <w:tc>
          <w:tcPr>
            <w:tcW w:w="780" w:type="dxa"/>
            <w:vAlign w:val="bottom"/>
          </w:tcPr>
          <w:p>
            <w:pPr>
              <w:jc w:val="center"/>
              <w:ind w:left="18"/>
              <w:spacing w:after="0"/>
              <w:rPr>
                <w:sz w:val="20"/>
                <w:szCs w:val="20"/>
                <w:color w:val="auto"/>
              </w:rPr>
            </w:pPr>
            <w:r>
              <w:rPr>
                <w:rFonts w:ascii="Arial" w:cs="Arial" w:eastAsia="Arial" w:hAnsi="Arial"/>
                <w:sz w:val="17"/>
                <w:szCs w:val="17"/>
                <w:color w:val="auto"/>
                <w:w w:val="95"/>
              </w:rPr>
              <w:t>10-Q</w:t>
            </w: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001-41608</w:t>
            </w:r>
          </w:p>
        </w:tc>
        <w:tc>
          <w:tcPr>
            <w:tcW w:w="680" w:type="dxa"/>
            <w:vAlign w:val="bottom"/>
          </w:tcPr>
          <w:p>
            <w:pPr>
              <w:jc w:val="center"/>
              <w:spacing w:after="0"/>
              <w:rPr>
                <w:sz w:val="20"/>
                <w:szCs w:val="20"/>
                <w:color w:val="auto"/>
              </w:rPr>
            </w:pPr>
            <w:r>
              <w:rPr>
                <w:rFonts w:ascii="Arial" w:cs="Arial" w:eastAsia="Arial" w:hAnsi="Arial"/>
                <w:sz w:val="17"/>
                <w:szCs w:val="17"/>
                <w:color w:val="auto"/>
              </w:rPr>
              <w:t>10.4</w:t>
            </w:r>
          </w:p>
        </w:tc>
        <w:tc>
          <w:tcPr>
            <w:tcW w:w="2260" w:type="dxa"/>
            <w:vAlign w:val="bottom"/>
          </w:tcPr>
          <w:p>
            <w:pPr>
              <w:jc w:val="center"/>
              <w:ind w:right="879"/>
              <w:spacing w:after="0"/>
              <w:rPr>
                <w:sz w:val="20"/>
                <w:szCs w:val="20"/>
                <w:color w:val="auto"/>
              </w:rPr>
            </w:pPr>
            <w:r>
              <w:rPr>
                <w:rFonts w:ascii="Arial" w:cs="Arial" w:eastAsia="Arial" w:hAnsi="Arial"/>
                <w:sz w:val="17"/>
                <w:szCs w:val="17"/>
                <w:color w:val="auto"/>
                <w:w w:val="99"/>
              </w:rPr>
              <w:t>November 17,</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80" w:type="dxa"/>
            <w:vAlign w:val="bottom"/>
            <w:tcBorders>
              <w:bottom w:val="single" w:sz="8" w:color="0000EE"/>
            </w:tcBorders>
            <w:gridSpan w:val="15"/>
          </w:tcPr>
          <w:p>
            <w:pPr>
              <w:spacing w:after="0" w:line="144" w:lineRule="exact"/>
              <w:rPr>
                <w:rFonts w:ascii="Arial" w:cs="Arial" w:eastAsia="Arial" w:hAnsi="Arial"/>
                <w:sz w:val="15"/>
                <w:szCs w:val="15"/>
                <w:color w:val="0000EE"/>
              </w:rPr>
            </w:pPr>
            <w:hyperlink r:id="rId287">
              <w:r>
                <w:rPr>
                  <w:rFonts w:ascii="Arial" w:cs="Arial" w:eastAsia="Arial" w:hAnsi="Arial"/>
                  <w:sz w:val="15"/>
                  <w:szCs w:val="15"/>
                  <w:color w:val="0000EE"/>
                </w:rPr>
                <w:t>September 29, 2023, by and among the</w:t>
              </w:r>
            </w:hyperlink>
          </w:p>
        </w:tc>
        <w:tc>
          <w:tcPr>
            <w:tcW w:w="8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040" w:type="dxa"/>
            <w:vAlign w:val="bottom"/>
            <w:tcBorders>
              <w:bottom w:val="single" w:sz="8" w:color="0000EE"/>
            </w:tcBorders>
            <w:gridSpan w:val="23"/>
          </w:tcPr>
          <w:p>
            <w:pPr>
              <w:spacing w:after="0" w:line="157" w:lineRule="exact"/>
              <w:rPr>
                <w:rFonts w:ascii="Arial" w:cs="Arial" w:eastAsia="Arial" w:hAnsi="Arial"/>
                <w:sz w:val="15"/>
                <w:szCs w:val="15"/>
                <w:color w:val="0000EE"/>
              </w:rPr>
            </w:pPr>
            <w:hyperlink r:id="rId287">
              <w:r>
                <w:rPr>
                  <w:rFonts w:ascii="Arial" w:cs="Arial" w:eastAsia="Arial" w:hAnsi="Arial"/>
                  <w:sz w:val="15"/>
                  <w:szCs w:val="15"/>
                  <w:color w:val="0000EE"/>
                </w:rPr>
                <w:t>registrant and the purchasers named therein.</w:t>
              </w:r>
            </w:hyperlink>
          </w:p>
        </w:tc>
        <w:tc>
          <w:tcPr>
            <w:tcW w:w="10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10.23*</w:t>
            </w:r>
          </w:p>
        </w:tc>
        <w:tc>
          <w:tcPr>
            <w:tcW w:w="3060" w:type="dxa"/>
            <w:vAlign w:val="bottom"/>
            <w:tcBorders>
              <w:bottom w:val="single" w:sz="8" w:color="0000EE"/>
            </w:tcBorders>
            <w:gridSpan w:val="24"/>
          </w:tcPr>
          <w:p>
            <w:pPr>
              <w:spacing w:after="0"/>
              <w:rPr>
                <w:rFonts w:ascii="Arial" w:cs="Arial" w:eastAsia="Arial" w:hAnsi="Arial"/>
                <w:sz w:val="15"/>
                <w:szCs w:val="15"/>
                <w:color w:val="0000EE"/>
              </w:rPr>
            </w:pPr>
            <w:hyperlink r:id="rId288">
              <w:r>
                <w:rPr>
                  <w:rFonts w:ascii="Arial" w:cs="Arial" w:eastAsia="Arial" w:hAnsi="Arial"/>
                  <w:sz w:val="15"/>
                  <w:szCs w:val="15"/>
                  <w:color w:val="0000EE"/>
                </w:rPr>
                <w:t>Collaboration Agreement, dated November 7,</w:t>
              </w:r>
            </w:hyperlink>
          </w:p>
        </w:tc>
        <w:tc>
          <w:tcPr>
            <w:tcW w:w="80" w:type="dxa"/>
            <w:vAlign w:val="bottom"/>
            <w:gridSpan w:val="4"/>
          </w:tcPr>
          <w:p>
            <w:pPr>
              <w:spacing w:after="0"/>
              <w:rPr>
                <w:sz w:val="21"/>
                <w:szCs w:val="21"/>
                <w:color w:val="auto"/>
              </w:rPr>
            </w:pPr>
          </w:p>
        </w:tc>
        <w:tc>
          <w:tcPr>
            <w:tcW w:w="780" w:type="dxa"/>
            <w:vAlign w:val="bottom"/>
          </w:tcPr>
          <w:p>
            <w:pPr>
              <w:jc w:val="center"/>
              <w:ind w:left="38"/>
              <w:spacing w:after="0"/>
              <w:rPr>
                <w:sz w:val="20"/>
                <w:szCs w:val="20"/>
                <w:color w:val="auto"/>
              </w:rPr>
            </w:pPr>
            <w:r>
              <w:rPr>
                <w:rFonts w:ascii="Arial" w:cs="Arial" w:eastAsia="Arial" w:hAnsi="Arial"/>
                <w:sz w:val="17"/>
                <w:szCs w:val="17"/>
                <w:color w:val="auto"/>
                <w:w w:val="98"/>
              </w:rPr>
              <w:t>8-K</w:t>
            </w: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001-41608</w:t>
            </w:r>
          </w:p>
        </w:tc>
        <w:tc>
          <w:tcPr>
            <w:tcW w:w="680" w:type="dxa"/>
            <w:vAlign w:val="bottom"/>
          </w:tcPr>
          <w:p>
            <w:pPr>
              <w:jc w:val="center"/>
              <w:spacing w:after="0"/>
              <w:rPr>
                <w:sz w:val="20"/>
                <w:szCs w:val="20"/>
                <w:color w:val="auto"/>
              </w:rPr>
            </w:pPr>
            <w:r>
              <w:rPr>
                <w:rFonts w:ascii="Arial" w:cs="Arial" w:eastAsia="Arial" w:hAnsi="Arial"/>
                <w:sz w:val="17"/>
                <w:szCs w:val="17"/>
                <w:color w:val="auto"/>
              </w:rPr>
              <w:t>10.1</w:t>
            </w:r>
          </w:p>
        </w:tc>
        <w:tc>
          <w:tcPr>
            <w:tcW w:w="2260" w:type="dxa"/>
            <w:vAlign w:val="bottom"/>
          </w:tcPr>
          <w:p>
            <w:pPr>
              <w:jc w:val="center"/>
              <w:ind w:right="879"/>
              <w:spacing w:after="0"/>
              <w:rPr>
                <w:sz w:val="20"/>
                <w:szCs w:val="20"/>
                <w:color w:val="auto"/>
              </w:rPr>
            </w:pPr>
            <w:r>
              <w:rPr>
                <w:rFonts w:ascii="Arial" w:cs="Arial" w:eastAsia="Arial" w:hAnsi="Arial"/>
                <w:sz w:val="17"/>
                <w:szCs w:val="17"/>
                <w:color w:val="auto"/>
                <w:w w:val="99"/>
              </w:rPr>
              <w:t>November 14,</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980" w:type="dxa"/>
            <w:vAlign w:val="bottom"/>
            <w:tcBorders>
              <w:bottom w:val="single" w:sz="8" w:color="0000EE"/>
            </w:tcBorders>
            <w:gridSpan w:val="21"/>
          </w:tcPr>
          <w:p>
            <w:pPr>
              <w:spacing w:after="0" w:line="144" w:lineRule="exact"/>
              <w:rPr>
                <w:rFonts w:ascii="Arial" w:cs="Arial" w:eastAsia="Arial" w:hAnsi="Arial"/>
                <w:sz w:val="15"/>
                <w:szCs w:val="15"/>
                <w:color w:val="0000EE"/>
              </w:rPr>
            </w:pPr>
            <w:hyperlink r:id="rId288">
              <w:r>
                <w:rPr>
                  <w:rFonts w:ascii="Arial" w:cs="Arial" w:eastAsia="Arial" w:hAnsi="Arial"/>
                  <w:sz w:val="15"/>
                  <w:szCs w:val="15"/>
                  <w:color w:val="0000EE"/>
                </w:rPr>
                <w:t>2023, by and between Schrödinger, Inc. and</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jc w:val="center"/>
              <w:ind w:right="879"/>
              <w:spacing w:after="0" w:line="157" w:lineRule="exact"/>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rFonts w:ascii="Arial" w:cs="Arial" w:eastAsia="Arial" w:hAnsi="Arial"/>
                <w:sz w:val="15"/>
                <w:szCs w:val="15"/>
                <w:color w:val="0000EE"/>
              </w:rPr>
            </w:pPr>
            <w:hyperlink r:id="rId288">
              <w:r>
                <w:rPr>
                  <w:rFonts w:ascii="Arial" w:cs="Arial" w:eastAsia="Arial" w:hAnsi="Arial"/>
                  <w:sz w:val="15"/>
                  <w:szCs w:val="15"/>
                  <w:color w:val="0000EE"/>
                </w:rPr>
                <w:t>Aconcagua Bio, Inc. Schrödinger, Inc. and</w:t>
              </w:r>
            </w:hyperlink>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420" w:type="dxa"/>
            <w:vAlign w:val="bottom"/>
            <w:tcBorders>
              <w:top w:val="single" w:sz="8" w:color="0000EE"/>
              <w:bottom w:val="single" w:sz="8" w:color="0000EE"/>
            </w:tcBorders>
            <w:gridSpan w:val="6"/>
          </w:tcPr>
          <w:p>
            <w:pPr>
              <w:spacing w:after="0" w:line="157" w:lineRule="exact"/>
              <w:rPr>
                <w:rFonts w:ascii="Arial" w:cs="Arial" w:eastAsia="Arial" w:hAnsi="Arial"/>
                <w:sz w:val="15"/>
                <w:szCs w:val="15"/>
                <w:color w:val="0000EE"/>
              </w:rPr>
            </w:pPr>
            <w:hyperlink r:id="rId288">
              <w:r>
                <w:rPr>
                  <w:rFonts w:ascii="Arial" w:cs="Arial" w:eastAsia="Arial" w:hAnsi="Arial"/>
                  <w:sz w:val="15"/>
                  <w:szCs w:val="15"/>
                  <w:color w:val="0000EE"/>
                </w:rPr>
                <w:t>Aconcagua Bio, Inc.</w:t>
              </w:r>
            </w:hyperlink>
          </w:p>
        </w:tc>
        <w:tc>
          <w:tcPr>
            <w:tcW w:w="1340" w:type="dxa"/>
            <w:vAlign w:val="bottom"/>
            <w:tcBorders>
              <w:top w:val="single" w:sz="8" w:color="0000EE"/>
            </w:tcBorders>
            <w:gridSpan w:val="10"/>
          </w:tcPr>
          <w:p>
            <w:pPr>
              <w:spacing w:after="0"/>
              <w:rPr>
                <w:sz w:val="13"/>
                <w:szCs w:val="13"/>
                <w:color w:val="auto"/>
              </w:rPr>
            </w:pPr>
          </w:p>
        </w:tc>
        <w:tc>
          <w:tcPr>
            <w:tcW w:w="380" w:type="dxa"/>
            <w:vAlign w:val="bottom"/>
            <w:gridSpan w:val="12"/>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19.1</w:t>
            </w:r>
          </w:p>
        </w:tc>
        <w:tc>
          <w:tcPr>
            <w:tcW w:w="3140" w:type="dxa"/>
            <w:vAlign w:val="bottom"/>
            <w:gridSpan w:val="28"/>
          </w:tcPr>
          <w:p>
            <w:pPr>
              <w:spacing w:after="0"/>
              <w:rPr>
                <w:sz w:val="20"/>
                <w:szCs w:val="20"/>
                <w:color w:val="auto"/>
              </w:rPr>
            </w:pPr>
            <w:r>
              <w:rPr>
                <w:rFonts w:ascii="Arial" w:cs="Arial" w:eastAsia="Arial" w:hAnsi="Arial"/>
                <w:sz w:val="15"/>
                <w:szCs w:val="15"/>
                <w:color w:val="0000EE"/>
              </w:rPr>
              <w:t>Amended Insider Trading Policy.</w:t>
            </w: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60" w:type="dxa"/>
            <w:vAlign w:val="bottom"/>
          </w:tcPr>
          <w:p>
            <w:pPr>
              <w:ind w:left="17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21.1</w:t>
            </w:r>
          </w:p>
        </w:tc>
        <w:tc>
          <w:tcPr>
            <w:tcW w:w="2180" w:type="dxa"/>
            <w:vAlign w:val="bottom"/>
            <w:tcBorders>
              <w:top w:val="single" w:sz="8" w:color="0000EE"/>
            </w:tcBorders>
            <w:gridSpan w:val="8"/>
          </w:tcPr>
          <w:p>
            <w:pPr>
              <w:spacing w:after="0"/>
              <w:rPr>
                <w:rFonts w:ascii="Arial" w:cs="Arial" w:eastAsia="Arial" w:hAnsi="Arial"/>
                <w:sz w:val="15"/>
                <w:szCs w:val="15"/>
                <w:color w:val="0000EE"/>
              </w:rPr>
            </w:pPr>
            <w:hyperlink r:id="rId289">
              <w:r>
                <w:rPr>
                  <w:rFonts w:ascii="Arial" w:cs="Arial" w:eastAsia="Arial" w:hAnsi="Arial"/>
                  <w:sz w:val="15"/>
                  <w:szCs w:val="15"/>
                  <w:color w:val="0000EE"/>
                </w:rPr>
                <w:t>Subsidiaries of the registrant.</w:t>
              </w:r>
            </w:hyperlink>
          </w:p>
        </w:tc>
        <w:tc>
          <w:tcPr>
            <w:tcW w:w="960" w:type="dxa"/>
            <w:vAlign w:val="bottom"/>
            <w:gridSpan w:val="20"/>
          </w:tcPr>
          <w:p>
            <w:pPr>
              <w:spacing w:after="0"/>
              <w:rPr>
                <w:sz w:val="21"/>
                <w:szCs w:val="21"/>
                <w:color w:val="auto"/>
              </w:rPr>
            </w:pPr>
          </w:p>
        </w:tc>
        <w:tc>
          <w:tcPr>
            <w:tcW w:w="780" w:type="dxa"/>
            <w:vAlign w:val="bottom"/>
          </w:tcPr>
          <w:p>
            <w:pPr>
              <w:jc w:val="center"/>
              <w:ind w:left="38"/>
              <w:spacing w:after="0"/>
              <w:rPr>
                <w:sz w:val="20"/>
                <w:szCs w:val="20"/>
                <w:color w:val="auto"/>
              </w:rPr>
            </w:pPr>
            <w:r>
              <w:rPr>
                <w:rFonts w:ascii="Arial" w:cs="Arial" w:eastAsia="Arial" w:hAnsi="Arial"/>
                <w:sz w:val="17"/>
                <w:szCs w:val="17"/>
                <w:color w:val="auto"/>
                <w:w w:val="98"/>
              </w:rPr>
              <w:t>S-1</w:t>
            </w:r>
          </w:p>
        </w:tc>
        <w:tc>
          <w:tcPr>
            <w:tcW w:w="1080" w:type="dxa"/>
            <w:vAlign w:val="bottom"/>
          </w:tcPr>
          <w:p>
            <w:pPr>
              <w:jc w:val="center"/>
              <w:spacing w:after="0"/>
              <w:rPr>
                <w:sz w:val="20"/>
                <w:szCs w:val="20"/>
                <w:color w:val="auto"/>
              </w:rPr>
            </w:pPr>
            <w:r>
              <w:rPr>
                <w:rFonts w:ascii="Arial" w:cs="Arial" w:eastAsia="Arial" w:hAnsi="Arial"/>
                <w:sz w:val="17"/>
                <w:szCs w:val="17"/>
                <w:color w:val="auto"/>
                <w:w w:val="99"/>
              </w:rPr>
              <w:t>333-</w:t>
            </w:r>
          </w:p>
        </w:tc>
        <w:tc>
          <w:tcPr>
            <w:tcW w:w="680" w:type="dxa"/>
            <w:vAlign w:val="bottom"/>
          </w:tcPr>
          <w:p>
            <w:pPr>
              <w:jc w:val="center"/>
              <w:spacing w:after="0"/>
              <w:rPr>
                <w:sz w:val="20"/>
                <w:szCs w:val="20"/>
                <w:color w:val="auto"/>
              </w:rPr>
            </w:pPr>
            <w:r>
              <w:rPr>
                <w:rFonts w:ascii="Arial" w:cs="Arial" w:eastAsia="Arial" w:hAnsi="Arial"/>
                <w:sz w:val="17"/>
                <w:szCs w:val="17"/>
                <w:color w:val="auto"/>
              </w:rPr>
              <w:t>21.1</w:t>
            </w:r>
          </w:p>
        </w:tc>
        <w:tc>
          <w:tcPr>
            <w:tcW w:w="2260" w:type="dxa"/>
            <w:vAlign w:val="bottom"/>
          </w:tcPr>
          <w:p>
            <w:pPr>
              <w:jc w:val="center"/>
              <w:ind w:right="879"/>
              <w:spacing w:after="0"/>
              <w:rPr>
                <w:sz w:val="20"/>
                <w:szCs w:val="20"/>
                <w:color w:val="auto"/>
              </w:rPr>
            </w:pPr>
            <w:r>
              <w:rPr>
                <w:rFonts w:ascii="Arial" w:cs="Arial" w:eastAsia="Arial" w:hAnsi="Arial"/>
                <w:sz w:val="17"/>
                <w:szCs w:val="17"/>
                <w:color w:val="auto"/>
                <w:w w:val="99"/>
              </w:rPr>
              <w:t>November 17,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275651</w:t>
            </w:r>
          </w:p>
        </w:tc>
        <w:tc>
          <w:tcPr>
            <w:tcW w:w="680" w:type="dxa"/>
            <w:vAlign w:val="bottom"/>
          </w:tcPr>
          <w:p>
            <w:pPr>
              <w:spacing w:after="0"/>
              <w:rPr>
                <w:sz w:val="19"/>
                <w:szCs w:val="19"/>
                <w:color w:val="auto"/>
              </w:rPr>
            </w:pPr>
          </w:p>
        </w:tc>
        <w:tc>
          <w:tcPr>
            <w:tcW w:w="2260" w:type="dxa"/>
            <w:vAlign w:val="bottom"/>
          </w:tcPr>
          <w:p>
            <w:pPr>
              <w:jc w:val="center"/>
              <w:ind w:right="879"/>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24"/>
        </w:trPr>
        <w:tc>
          <w:tcPr>
            <w:tcW w:w="980" w:type="dxa"/>
            <w:vAlign w:val="bottom"/>
          </w:tcPr>
          <w:p>
            <w:pPr>
              <w:spacing w:after="0"/>
              <w:rPr>
                <w:sz w:val="20"/>
                <w:szCs w:val="20"/>
                <w:color w:val="auto"/>
              </w:rPr>
            </w:pPr>
            <w:r>
              <w:rPr>
                <w:rFonts w:ascii="Arial" w:cs="Arial" w:eastAsia="Arial" w:hAnsi="Arial"/>
                <w:sz w:val="15"/>
                <w:szCs w:val="15"/>
                <w:color w:val="auto"/>
              </w:rPr>
              <w:t>23.1</w:t>
            </w:r>
          </w:p>
        </w:tc>
        <w:tc>
          <w:tcPr>
            <w:tcW w:w="3140" w:type="dxa"/>
            <w:vAlign w:val="bottom"/>
            <w:gridSpan w:val="28"/>
          </w:tcPr>
          <w:p>
            <w:pPr>
              <w:spacing w:after="0"/>
              <w:rPr>
                <w:sz w:val="20"/>
                <w:szCs w:val="20"/>
                <w:color w:val="auto"/>
              </w:rPr>
            </w:pPr>
            <w:r>
              <w:rPr>
                <w:rFonts w:ascii="Arial" w:cs="Arial" w:eastAsia="Arial" w:hAnsi="Arial"/>
                <w:sz w:val="15"/>
                <w:szCs w:val="15"/>
                <w:color w:val="0000EE"/>
              </w:rPr>
              <w:t>Consent of Ernst &amp; Young LLP, Independent</w:t>
            </w: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60" w:type="dxa"/>
            <w:vAlign w:val="bottom"/>
          </w:tcPr>
          <w:p>
            <w:pPr>
              <w:ind w:left="176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380" w:type="dxa"/>
            <w:vAlign w:val="bottom"/>
            <w:tcBorders>
              <w:top w:val="single" w:sz="8" w:color="0000EE"/>
              <w:bottom w:val="single" w:sz="8" w:color="0000EE"/>
            </w:tcBorders>
            <w:gridSpan w:val="11"/>
          </w:tcPr>
          <w:p>
            <w:pPr>
              <w:spacing w:after="0" w:line="157" w:lineRule="exact"/>
              <w:rPr>
                <w:sz w:val="20"/>
                <w:szCs w:val="20"/>
                <w:color w:val="auto"/>
              </w:rPr>
            </w:pPr>
            <w:r>
              <w:rPr>
                <w:rFonts w:ascii="Arial" w:cs="Arial" w:eastAsia="Arial" w:hAnsi="Arial"/>
                <w:sz w:val="15"/>
                <w:szCs w:val="15"/>
                <w:color w:val="0000EE"/>
              </w:rPr>
              <w:t>Registered Public Accounting Firm.</w:t>
            </w:r>
          </w:p>
        </w:tc>
        <w:tc>
          <w:tcPr>
            <w:tcW w:w="580" w:type="dxa"/>
            <w:vAlign w:val="bottom"/>
            <w:tcBorders>
              <w:top w:val="single" w:sz="8" w:color="0000EE"/>
            </w:tcBorders>
            <w:gridSpan w:val="9"/>
          </w:tcPr>
          <w:p>
            <w:pPr>
              <w:spacing w:after="0"/>
              <w:rPr>
                <w:sz w:val="13"/>
                <w:szCs w:val="13"/>
                <w:color w:val="auto"/>
              </w:rPr>
            </w:pPr>
          </w:p>
        </w:tc>
        <w:tc>
          <w:tcPr>
            <w:tcW w:w="18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24.1</w:t>
            </w:r>
          </w:p>
        </w:tc>
        <w:tc>
          <w:tcPr>
            <w:tcW w:w="3100" w:type="dxa"/>
            <w:vAlign w:val="bottom"/>
            <w:tcBorders>
              <w:bottom w:val="single" w:sz="8" w:color="0000FF"/>
            </w:tcBorders>
            <w:gridSpan w:val="26"/>
          </w:tcPr>
          <w:p>
            <w:pPr>
              <w:spacing w:after="0"/>
              <w:rPr>
                <w:sz w:val="20"/>
                <w:szCs w:val="20"/>
                <w:color w:val="auto"/>
              </w:rPr>
            </w:pPr>
            <w:r>
              <w:rPr>
                <w:rFonts w:ascii="Arial" w:cs="Arial" w:eastAsia="Arial" w:hAnsi="Arial"/>
                <w:sz w:val="15"/>
                <w:szCs w:val="15"/>
                <w:color w:val="0000FF"/>
              </w:rPr>
              <w:t>Powers of Attorney (included on the signature</w:t>
            </w:r>
          </w:p>
        </w:tc>
        <w:tc>
          <w:tcPr>
            <w:tcW w:w="4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40" w:type="dxa"/>
            <w:vAlign w:val="bottom"/>
            <w:gridSpan w:val="28"/>
          </w:tcPr>
          <w:p>
            <w:pPr>
              <w:spacing w:after="0" w:line="157" w:lineRule="exact"/>
              <w:rPr>
                <w:sz w:val="20"/>
                <w:szCs w:val="20"/>
                <w:color w:val="auto"/>
              </w:rPr>
            </w:pPr>
            <w:r>
              <w:rPr>
                <w:rFonts w:ascii="Arial" w:cs="Arial" w:eastAsia="Arial" w:hAnsi="Arial"/>
                <w:sz w:val="15"/>
                <w:szCs w:val="15"/>
                <w:color w:val="0000FF"/>
              </w:rPr>
              <w:t>page).</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3"/>
        </w:trPr>
        <w:tc>
          <w:tcPr>
            <w:tcW w:w="9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218"/>
              <w:spacing w:after="0"/>
              <w:rPr>
                <w:sz w:val="20"/>
                <w:szCs w:val="20"/>
                <w:color w:val="auto"/>
              </w:rPr>
            </w:pPr>
            <w:r>
              <w:rPr>
                <w:rFonts w:ascii="Arial" w:cs="Arial" w:eastAsia="Arial" w:hAnsi="Arial"/>
                <w:sz w:val="17"/>
                <w:szCs w:val="17"/>
                <w:color w:val="auto"/>
              </w:rPr>
              <w:t>197</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9" w:right="1440" w:bottom="1440" w:gutter="0" w:footer="0" w:header="0"/>
        </w:sectPr>
      </w:pPr>
    </w:p>
    <w:bookmarkStart w:id="197" w:name="page198"/>
    <w:bookmarkEnd w:id="19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80" w:type="dxa"/>
            <w:vAlign w:val="bottom"/>
          </w:tcPr>
          <w:p>
            <w:pPr>
              <w:spacing w:after="0"/>
              <w:rPr>
                <w:sz w:val="20"/>
                <w:szCs w:val="20"/>
                <w:color w:val="auto"/>
              </w:rPr>
            </w:pPr>
            <w:r>
              <w:rPr>
                <w:rFonts w:ascii="Arial" w:cs="Arial" w:eastAsia="Arial" w:hAnsi="Arial"/>
                <w:sz w:val="15"/>
                <w:szCs w:val="15"/>
                <w:color w:val="auto"/>
              </w:rPr>
              <w:t>31.1</w:t>
            </w:r>
          </w:p>
        </w:tc>
        <w:tc>
          <w:tcPr>
            <w:tcW w:w="280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0000EE"/>
              </w:rPr>
              <w:t>Certification of Principal Executive Officer</w:t>
            </w:r>
          </w:p>
        </w:tc>
        <w:tc>
          <w:tcPr>
            <w:tcW w:w="32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gridSpan w:val="10"/>
          </w:tcPr>
          <w:p>
            <w:pPr>
              <w:spacing w:after="0" w:line="157" w:lineRule="exact"/>
              <w:rPr>
                <w:sz w:val="20"/>
                <w:szCs w:val="20"/>
                <w:color w:val="auto"/>
              </w:rPr>
            </w:pPr>
            <w:r>
              <w:rPr>
                <w:rFonts w:ascii="Arial" w:cs="Arial" w:eastAsia="Arial" w:hAnsi="Arial"/>
                <w:sz w:val="15"/>
                <w:szCs w:val="15"/>
                <w:color w:val="0000EE"/>
              </w:rPr>
              <w:t>pursuant to Rules 13a-14(a) and 15d-14(a)</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tcBorders>
              <w:bottom w:val="single" w:sz="8" w:color="0000EE"/>
            </w:tcBorders>
            <w:gridSpan w:val="10"/>
          </w:tcPr>
          <w:p>
            <w:pPr>
              <w:spacing w:after="0" w:line="157" w:lineRule="exact"/>
              <w:rPr>
                <w:sz w:val="20"/>
                <w:szCs w:val="20"/>
                <w:color w:val="auto"/>
              </w:rPr>
            </w:pPr>
            <w:r>
              <w:rPr>
                <w:rFonts w:ascii="Arial" w:cs="Arial" w:eastAsia="Arial" w:hAnsi="Arial"/>
                <w:sz w:val="15"/>
                <w:szCs w:val="15"/>
                <w:color w:val="0000EE"/>
              </w:rPr>
              <w:t>under the Securities Exchange Act of 1934, as</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20" w:type="dxa"/>
            <w:vAlign w:val="bottom"/>
            <w:tcBorders>
              <w:bottom w:val="single" w:sz="8" w:color="0000EE"/>
            </w:tcBorders>
            <w:gridSpan w:val="2"/>
          </w:tcPr>
          <w:p>
            <w:pPr>
              <w:spacing w:after="0" w:line="157" w:lineRule="exact"/>
              <w:rPr>
                <w:sz w:val="20"/>
                <w:szCs w:val="20"/>
                <w:color w:val="auto"/>
              </w:rPr>
            </w:pPr>
            <w:r>
              <w:rPr>
                <w:rFonts w:ascii="Arial" w:cs="Arial" w:eastAsia="Arial" w:hAnsi="Arial"/>
                <w:sz w:val="15"/>
                <w:szCs w:val="15"/>
                <w:color w:val="0000EE"/>
              </w:rPr>
              <w:t>adopted pursuant to Section 302 of the</w:t>
            </w:r>
          </w:p>
        </w:tc>
        <w:tc>
          <w:tcPr>
            <w:tcW w:w="500" w:type="dxa"/>
            <w:vAlign w:val="bottom"/>
            <w:gridSpan w:val="8"/>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gridSpan w:val="10"/>
          </w:tcPr>
          <w:p>
            <w:pPr>
              <w:spacing w:after="0" w:line="157" w:lineRule="exact"/>
              <w:rPr>
                <w:sz w:val="20"/>
                <w:szCs w:val="20"/>
                <w:color w:val="auto"/>
              </w:rPr>
            </w:pPr>
            <w:r>
              <w:rPr>
                <w:rFonts w:ascii="Arial" w:cs="Arial" w:eastAsia="Arial" w:hAnsi="Arial"/>
                <w:sz w:val="15"/>
                <w:szCs w:val="15"/>
                <w:color w:val="0000EE"/>
              </w:rPr>
              <w:t>Sarbanes-Oxley Act of 2002.</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31.2</w:t>
            </w:r>
          </w:p>
        </w:tc>
        <w:tc>
          <w:tcPr>
            <w:tcW w:w="2760" w:type="dxa"/>
            <w:vAlign w:val="bottom"/>
            <w:tcBorders>
              <w:bottom w:val="single" w:sz="8" w:color="0000EE"/>
            </w:tcBorders>
            <w:gridSpan w:val="5"/>
          </w:tcPr>
          <w:p>
            <w:pPr>
              <w:spacing w:after="0"/>
              <w:rPr>
                <w:sz w:val="20"/>
                <w:szCs w:val="20"/>
                <w:color w:val="auto"/>
              </w:rPr>
            </w:pPr>
            <w:r>
              <w:rPr>
                <w:rFonts w:ascii="Arial" w:cs="Arial" w:eastAsia="Arial" w:hAnsi="Arial"/>
                <w:sz w:val="15"/>
                <w:szCs w:val="15"/>
                <w:color w:val="0000EE"/>
              </w:rPr>
              <w:t>Certification of Principal Financial Officer</w:t>
            </w:r>
          </w:p>
        </w:tc>
        <w:tc>
          <w:tcPr>
            <w:tcW w:w="360" w:type="dxa"/>
            <w:vAlign w:val="bottom"/>
            <w:gridSpan w:val="5"/>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gridSpan w:val="10"/>
          </w:tcPr>
          <w:p>
            <w:pPr>
              <w:spacing w:after="0" w:line="157" w:lineRule="exact"/>
              <w:rPr>
                <w:sz w:val="20"/>
                <w:szCs w:val="20"/>
                <w:color w:val="auto"/>
              </w:rPr>
            </w:pPr>
            <w:r>
              <w:rPr>
                <w:rFonts w:ascii="Arial" w:cs="Arial" w:eastAsia="Arial" w:hAnsi="Arial"/>
                <w:sz w:val="15"/>
                <w:szCs w:val="15"/>
                <w:color w:val="0000EE"/>
              </w:rPr>
              <w:t>pursuant to Rules 13a-14(a) and 15d-14(a)</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tcBorders>
              <w:bottom w:val="single" w:sz="8" w:color="0000EE"/>
            </w:tcBorders>
            <w:gridSpan w:val="10"/>
          </w:tcPr>
          <w:p>
            <w:pPr>
              <w:spacing w:after="0" w:line="157" w:lineRule="exact"/>
              <w:rPr>
                <w:sz w:val="20"/>
                <w:szCs w:val="20"/>
                <w:color w:val="auto"/>
              </w:rPr>
            </w:pPr>
            <w:r>
              <w:rPr>
                <w:rFonts w:ascii="Arial" w:cs="Arial" w:eastAsia="Arial" w:hAnsi="Arial"/>
                <w:sz w:val="15"/>
                <w:szCs w:val="15"/>
                <w:color w:val="0000EE"/>
              </w:rPr>
              <w:t>under the Securities Exchange Act of 1934, as</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20" w:type="dxa"/>
            <w:vAlign w:val="bottom"/>
            <w:tcBorders>
              <w:bottom w:val="single" w:sz="8" w:color="0000EE"/>
            </w:tcBorders>
            <w:gridSpan w:val="2"/>
          </w:tcPr>
          <w:p>
            <w:pPr>
              <w:spacing w:after="0" w:line="157" w:lineRule="exact"/>
              <w:rPr>
                <w:sz w:val="20"/>
                <w:szCs w:val="20"/>
                <w:color w:val="auto"/>
              </w:rPr>
            </w:pPr>
            <w:r>
              <w:rPr>
                <w:rFonts w:ascii="Arial" w:cs="Arial" w:eastAsia="Arial" w:hAnsi="Arial"/>
                <w:sz w:val="15"/>
                <w:szCs w:val="15"/>
                <w:color w:val="0000EE"/>
              </w:rPr>
              <w:t>adopted pursuant to Section 302 of the</w:t>
            </w:r>
          </w:p>
        </w:tc>
        <w:tc>
          <w:tcPr>
            <w:tcW w:w="500" w:type="dxa"/>
            <w:vAlign w:val="bottom"/>
            <w:gridSpan w:val="8"/>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gridSpan w:val="10"/>
          </w:tcPr>
          <w:p>
            <w:pPr>
              <w:spacing w:after="0" w:line="157" w:lineRule="exact"/>
              <w:rPr>
                <w:sz w:val="20"/>
                <w:szCs w:val="20"/>
                <w:color w:val="auto"/>
              </w:rPr>
            </w:pPr>
            <w:r>
              <w:rPr>
                <w:rFonts w:ascii="Arial" w:cs="Arial" w:eastAsia="Arial" w:hAnsi="Arial"/>
                <w:sz w:val="15"/>
                <w:szCs w:val="15"/>
                <w:color w:val="0000EE"/>
              </w:rPr>
              <w:t>Sarbanes-Oxley Act of 2002.</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5"/>
                <w:szCs w:val="15"/>
                <w:color w:val="auto"/>
              </w:rPr>
              <w:t>32.1˄</w:t>
            </w:r>
          </w:p>
        </w:tc>
        <w:tc>
          <w:tcPr>
            <w:tcW w:w="19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vMerge w:val="continue"/>
          </w:tcPr>
          <w:p>
            <w:pPr>
              <w:spacing w:after="0"/>
              <w:rPr>
                <w:sz w:val="21"/>
                <w:szCs w:val="21"/>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0000EE"/>
              </w:rPr>
              <w:t>Certification of Principal Executive Officer</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40" w:type="dxa"/>
            <w:vAlign w:val="bottom"/>
            <w:tcBorders>
              <w:top w:val="single" w:sz="8" w:color="0000EE"/>
              <w:bottom w:val="single" w:sz="8" w:color="0000EE"/>
            </w:tcBorders>
            <w:gridSpan w:val="3"/>
          </w:tcPr>
          <w:p>
            <w:pPr>
              <w:spacing w:after="0" w:line="157" w:lineRule="exact"/>
              <w:rPr>
                <w:sz w:val="20"/>
                <w:szCs w:val="20"/>
                <w:color w:val="auto"/>
              </w:rPr>
            </w:pPr>
            <w:r>
              <w:rPr>
                <w:rFonts w:ascii="Arial" w:cs="Arial" w:eastAsia="Arial" w:hAnsi="Arial"/>
                <w:sz w:val="15"/>
                <w:szCs w:val="15"/>
                <w:color w:val="0000EE"/>
              </w:rPr>
              <w:t>pursuant to 18 U.S.C. Section 1350, as</w:t>
            </w:r>
          </w:p>
        </w:tc>
        <w:tc>
          <w:tcPr>
            <w:tcW w:w="140" w:type="dxa"/>
            <w:vAlign w:val="bottom"/>
            <w:tcBorders>
              <w:top w:val="single" w:sz="8" w:color="0000EE"/>
            </w:tcBorders>
            <w:gridSpan w:val="3"/>
          </w:tcPr>
          <w:p>
            <w:pPr>
              <w:spacing w:after="0"/>
              <w:rPr>
                <w:sz w:val="13"/>
                <w:szCs w:val="13"/>
                <w:color w:val="auto"/>
              </w:rPr>
            </w:pPr>
          </w:p>
        </w:tc>
        <w:tc>
          <w:tcPr>
            <w:tcW w:w="340" w:type="dxa"/>
            <w:vAlign w:val="bottom"/>
            <w:gridSpan w:val="4"/>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20" w:type="dxa"/>
            <w:vAlign w:val="bottom"/>
            <w:tcBorders>
              <w:bottom w:val="single" w:sz="8" w:color="0000EE"/>
            </w:tcBorders>
            <w:gridSpan w:val="2"/>
          </w:tcPr>
          <w:p>
            <w:pPr>
              <w:spacing w:after="0" w:line="157" w:lineRule="exact"/>
              <w:rPr>
                <w:sz w:val="20"/>
                <w:szCs w:val="20"/>
                <w:color w:val="auto"/>
              </w:rPr>
            </w:pPr>
            <w:r>
              <w:rPr>
                <w:rFonts w:ascii="Arial" w:cs="Arial" w:eastAsia="Arial" w:hAnsi="Arial"/>
                <w:sz w:val="15"/>
                <w:szCs w:val="15"/>
                <w:color w:val="0000EE"/>
              </w:rPr>
              <w:t>adopted pursuant to Section 906 of the</w:t>
            </w:r>
          </w:p>
        </w:tc>
        <w:tc>
          <w:tcPr>
            <w:tcW w:w="500" w:type="dxa"/>
            <w:vAlign w:val="bottom"/>
            <w:gridSpan w:val="8"/>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gridSpan w:val="10"/>
          </w:tcPr>
          <w:p>
            <w:pPr>
              <w:spacing w:after="0" w:line="157" w:lineRule="exact"/>
              <w:rPr>
                <w:sz w:val="20"/>
                <w:szCs w:val="20"/>
                <w:color w:val="auto"/>
              </w:rPr>
            </w:pPr>
            <w:r>
              <w:rPr>
                <w:rFonts w:ascii="Arial" w:cs="Arial" w:eastAsia="Arial" w:hAnsi="Arial"/>
                <w:sz w:val="15"/>
                <w:szCs w:val="15"/>
                <w:color w:val="0000EE"/>
              </w:rPr>
              <w:t>Sarbanes-Oxley Act of 2002.</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5"/>
                <w:szCs w:val="15"/>
                <w:color w:val="auto"/>
              </w:rPr>
              <w:t>32.2˄</w:t>
            </w:r>
          </w:p>
        </w:tc>
        <w:tc>
          <w:tcPr>
            <w:tcW w:w="194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vMerge w:val="continue"/>
          </w:tcPr>
          <w:p>
            <w:pPr>
              <w:spacing w:after="0"/>
              <w:rPr>
                <w:sz w:val="21"/>
                <w:szCs w:val="21"/>
                <w:color w:val="auto"/>
              </w:rPr>
            </w:pPr>
          </w:p>
        </w:tc>
        <w:tc>
          <w:tcPr>
            <w:tcW w:w="274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rPr>
              <w:t>Certification of Principal Financial Officer</w:t>
            </w:r>
          </w:p>
        </w:tc>
        <w:tc>
          <w:tcPr>
            <w:tcW w:w="380" w:type="dxa"/>
            <w:vAlign w:val="bottom"/>
            <w:gridSpan w:val="6"/>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40" w:type="dxa"/>
            <w:vAlign w:val="bottom"/>
            <w:tcBorders>
              <w:bottom w:val="single" w:sz="8" w:color="0000EE"/>
            </w:tcBorders>
            <w:gridSpan w:val="3"/>
          </w:tcPr>
          <w:p>
            <w:pPr>
              <w:spacing w:after="0" w:line="157" w:lineRule="exact"/>
              <w:rPr>
                <w:sz w:val="20"/>
                <w:szCs w:val="20"/>
                <w:color w:val="auto"/>
              </w:rPr>
            </w:pPr>
            <w:r>
              <w:rPr>
                <w:rFonts w:ascii="Arial" w:cs="Arial" w:eastAsia="Arial" w:hAnsi="Arial"/>
                <w:sz w:val="15"/>
                <w:szCs w:val="15"/>
                <w:color w:val="0000EE"/>
              </w:rPr>
              <w:t>pursuant to 18 U.S.C. Section 1350, as</w:t>
            </w:r>
          </w:p>
        </w:tc>
        <w:tc>
          <w:tcPr>
            <w:tcW w:w="480" w:type="dxa"/>
            <w:vAlign w:val="bottom"/>
            <w:gridSpan w:val="7"/>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620" w:type="dxa"/>
            <w:vAlign w:val="bottom"/>
            <w:tcBorders>
              <w:bottom w:val="single" w:sz="8" w:color="0000EE"/>
            </w:tcBorders>
            <w:gridSpan w:val="2"/>
          </w:tcPr>
          <w:p>
            <w:pPr>
              <w:spacing w:after="0" w:line="157" w:lineRule="exact"/>
              <w:rPr>
                <w:sz w:val="20"/>
                <w:szCs w:val="20"/>
                <w:color w:val="auto"/>
              </w:rPr>
            </w:pPr>
            <w:r>
              <w:rPr>
                <w:rFonts w:ascii="Arial" w:cs="Arial" w:eastAsia="Arial" w:hAnsi="Arial"/>
                <w:sz w:val="15"/>
                <w:szCs w:val="15"/>
                <w:color w:val="0000EE"/>
              </w:rPr>
              <w:t>adopted pursuant to Section 906 of the</w:t>
            </w:r>
          </w:p>
        </w:tc>
        <w:tc>
          <w:tcPr>
            <w:tcW w:w="500" w:type="dxa"/>
            <w:vAlign w:val="bottom"/>
            <w:gridSpan w:val="8"/>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3120" w:type="dxa"/>
            <w:vAlign w:val="bottom"/>
            <w:gridSpan w:val="10"/>
          </w:tcPr>
          <w:p>
            <w:pPr>
              <w:spacing w:after="0" w:line="157" w:lineRule="exact"/>
              <w:rPr>
                <w:sz w:val="20"/>
                <w:szCs w:val="20"/>
                <w:color w:val="auto"/>
              </w:rPr>
            </w:pPr>
            <w:r>
              <w:rPr>
                <w:rFonts w:ascii="Arial" w:cs="Arial" w:eastAsia="Arial" w:hAnsi="Arial"/>
                <w:sz w:val="15"/>
                <w:szCs w:val="15"/>
                <w:color w:val="0000EE"/>
              </w:rPr>
              <w:t>Sarbanes-Oxley Act of 2002.</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Arial" w:cs="Arial" w:eastAsia="Arial" w:hAnsi="Arial"/>
                <w:sz w:val="15"/>
                <w:szCs w:val="15"/>
                <w:color w:val="auto"/>
              </w:rPr>
              <w:t>97</w:t>
            </w:r>
          </w:p>
        </w:tc>
        <w:tc>
          <w:tcPr>
            <w:tcW w:w="3020" w:type="dxa"/>
            <w:vAlign w:val="bottom"/>
            <w:tcBorders>
              <w:bottom w:val="single" w:sz="8" w:color="0000EE"/>
            </w:tcBorders>
            <w:gridSpan w:val="9"/>
          </w:tcPr>
          <w:p>
            <w:pPr>
              <w:spacing w:after="0"/>
              <w:rPr>
                <w:rFonts w:ascii="Arial" w:cs="Arial" w:eastAsia="Arial" w:hAnsi="Arial"/>
                <w:sz w:val="15"/>
                <w:szCs w:val="15"/>
                <w:color w:val="0000EE"/>
              </w:rPr>
            </w:pPr>
            <w:hyperlink r:id="rId290">
              <w:r>
                <w:rPr>
                  <w:rFonts w:ascii="Arial" w:cs="Arial" w:eastAsia="Arial" w:hAnsi="Arial"/>
                  <w:sz w:val="15"/>
                  <w:szCs w:val="15"/>
                  <w:color w:val="0000EE"/>
                </w:rPr>
                <w:t>Incentive Compensation Recoupment Policy.</w:t>
              </w:r>
            </w:hyperlink>
          </w:p>
        </w:tc>
        <w:tc>
          <w:tcPr>
            <w:tcW w:w="10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5"/>
                <w:szCs w:val="15"/>
                <w:color w:val="auto"/>
              </w:rPr>
              <w:t>10-K</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001-41608</w:t>
            </w:r>
          </w:p>
        </w:tc>
        <w:tc>
          <w:tcPr>
            <w:tcW w:w="640" w:type="dxa"/>
            <w:vAlign w:val="bottom"/>
          </w:tcPr>
          <w:p>
            <w:pPr>
              <w:jc w:val="right"/>
              <w:ind w:right="84"/>
              <w:spacing w:after="0"/>
              <w:rPr>
                <w:sz w:val="20"/>
                <w:szCs w:val="20"/>
                <w:color w:val="auto"/>
              </w:rPr>
            </w:pPr>
            <w:r>
              <w:rPr>
                <w:rFonts w:ascii="Arial" w:cs="Arial" w:eastAsia="Arial" w:hAnsi="Arial"/>
                <w:sz w:val="15"/>
                <w:szCs w:val="15"/>
                <w:color w:val="auto"/>
              </w:rPr>
              <w:t>19.1</w:t>
            </w:r>
          </w:p>
        </w:tc>
        <w:tc>
          <w:tcPr>
            <w:tcW w:w="1880" w:type="dxa"/>
            <w:vAlign w:val="bottom"/>
          </w:tcPr>
          <w:p>
            <w:pPr>
              <w:ind w:left="180"/>
              <w:spacing w:after="0"/>
              <w:rPr>
                <w:sz w:val="20"/>
                <w:szCs w:val="20"/>
                <w:color w:val="auto"/>
              </w:rPr>
            </w:pPr>
            <w:r>
              <w:rPr>
                <w:rFonts w:ascii="Arial" w:cs="Arial" w:eastAsia="Arial" w:hAnsi="Arial"/>
                <w:sz w:val="15"/>
                <w:szCs w:val="15"/>
                <w:color w:val="auto"/>
              </w:rPr>
              <w:t>March 8, 2024</w:t>
            </w:r>
          </w:p>
        </w:tc>
        <w:tc>
          <w:tcPr>
            <w:tcW w:w="0" w:type="dxa"/>
            <w:vAlign w:val="bottom"/>
          </w:tcPr>
          <w:p>
            <w:pPr>
              <w:spacing w:after="0"/>
              <w:rPr>
                <w:sz w:val="1"/>
                <w:szCs w:val="1"/>
                <w:color w:val="auto"/>
              </w:rPr>
            </w:pPr>
          </w:p>
        </w:tc>
      </w:tr>
      <w:tr>
        <w:trPr>
          <w:trHeight w:val="280"/>
        </w:trPr>
        <w:tc>
          <w:tcPr>
            <w:tcW w:w="980" w:type="dxa"/>
            <w:vAlign w:val="bottom"/>
          </w:tcPr>
          <w:p>
            <w:pPr>
              <w:spacing w:after="0"/>
              <w:rPr>
                <w:sz w:val="20"/>
                <w:szCs w:val="20"/>
                <w:color w:val="auto"/>
              </w:rPr>
            </w:pPr>
            <w:r>
              <w:rPr>
                <w:rFonts w:ascii="Arial" w:cs="Arial" w:eastAsia="Arial" w:hAnsi="Arial"/>
                <w:sz w:val="15"/>
                <w:szCs w:val="15"/>
                <w:color w:val="auto"/>
              </w:rPr>
              <w:t>101.INS</w:t>
            </w:r>
          </w:p>
        </w:tc>
        <w:tc>
          <w:tcPr>
            <w:tcW w:w="3120" w:type="dxa"/>
            <w:vAlign w:val="bottom"/>
            <w:gridSpan w:val="10"/>
          </w:tcPr>
          <w:p>
            <w:pPr>
              <w:spacing w:after="0"/>
              <w:rPr>
                <w:sz w:val="20"/>
                <w:szCs w:val="20"/>
                <w:color w:val="auto"/>
              </w:rPr>
            </w:pPr>
            <w:r>
              <w:rPr>
                <w:rFonts w:ascii="Arial" w:cs="Arial" w:eastAsia="Arial" w:hAnsi="Arial"/>
                <w:sz w:val="15"/>
                <w:szCs w:val="15"/>
                <w:color w:val="auto"/>
              </w:rPr>
              <w:t>Inline XBRL Instance Document</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255"/>
        </w:trPr>
        <w:tc>
          <w:tcPr>
            <w:tcW w:w="980" w:type="dxa"/>
            <w:vAlign w:val="bottom"/>
          </w:tcPr>
          <w:p>
            <w:pPr>
              <w:spacing w:after="0"/>
              <w:rPr>
                <w:sz w:val="20"/>
                <w:szCs w:val="20"/>
                <w:color w:val="auto"/>
              </w:rPr>
            </w:pPr>
            <w:r>
              <w:rPr>
                <w:rFonts w:ascii="Arial" w:cs="Arial" w:eastAsia="Arial" w:hAnsi="Arial"/>
                <w:sz w:val="15"/>
                <w:szCs w:val="15"/>
                <w:color w:val="auto"/>
              </w:rPr>
              <w:t>101.SCH</w:t>
            </w:r>
          </w:p>
        </w:tc>
        <w:tc>
          <w:tcPr>
            <w:tcW w:w="3120" w:type="dxa"/>
            <w:vAlign w:val="bottom"/>
            <w:gridSpan w:val="10"/>
          </w:tcPr>
          <w:p>
            <w:pPr>
              <w:spacing w:after="0"/>
              <w:rPr>
                <w:sz w:val="20"/>
                <w:szCs w:val="20"/>
                <w:color w:val="auto"/>
              </w:rPr>
            </w:pPr>
            <w:r>
              <w:rPr>
                <w:rFonts w:ascii="Arial" w:cs="Arial" w:eastAsia="Arial" w:hAnsi="Arial"/>
                <w:sz w:val="15"/>
                <w:szCs w:val="15"/>
                <w:color w:val="auto"/>
              </w:rPr>
              <w:t>Inline XBRL Taxonomy Extension Schema</w:t>
            </w: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auto"/>
              </w:rPr>
              <w:t>Document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5"/>
                <w:szCs w:val="15"/>
                <w:color w:val="auto"/>
              </w:rPr>
              <w:t>101.CAL</w:t>
            </w:r>
          </w:p>
        </w:tc>
        <w:tc>
          <w:tcPr>
            <w:tcW w:w="3120" w:type="dxa"/>
            <w:vAlign w:val="bottom"/>
            <w:gridSpan w:val="10"/>
          </w:tcPr>
          <w:p>
            <w:pPr>
              <w:spacing w:after="0"/>
              <w:rPr>
                <w:sz w:val="20"/>
                <w:szCs w:val="20"/>
                <w:color w:val="auto"/>
              </w:rPr>
            </w:pPr>
            <w:r>
              <w:rPr>
                <w:rFonts w:ascii="Arial" w:cs="Arial" w:eastAsia="Arial" w:hAnsi="Arial"/>
                <w:sz w:val="15"/>
                <w:szCs w:val="15"/>
                <w:color w:val="auto"/>
              </w:rPr>
              <w:t>Inline XBRL Taxonomy Extension Calculation</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auto"/>
              </w:rPr>
              <w:t>Linkbase Document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5"/>
                <w:szCs w:val="15"/>
                <w:color w:val="auto"/>
              </w:rPr>
              <w:t>101.DEF</w:t>
            </w:r>
          </w:p>
        </w:tc>
        <w:tc>
          <w:tcPr>
            <w:tcW w:w="3120" w:type="dxa"/>
            <w:vAlign w:val="bottom"/>
            <w:gridSpan w:val="10"/>
          </w:tcPr>
          <w:p>
            <w:pPr>
              <w:spacing w:after="0"/>
              <w:rPr>
                <w:sz w:val="20"/>
                <w:szCs w:val="20"/>
                <w:color w:val="auto"/>
              </w:rPr>
            </w:pPr>
            <w:r>
              <w:rPr>
                <w:rFonts w:ascii="Arial" w:cs="Arial" w:eastAsia="Arial" w:hAnsi="Arial"/>
                <w:sz w:val="15"/>
                <w:szCs w:val="15"/>
                <w:color w:val="auto"/>
              </w:rPr>
              <w:t>Inline XBRL Taxonomy Extension Definition</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auto"/>
              </w:rPr>
              <w:t>Linkbase Document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5"/>
                <w:szCs w:val="15"/>
                <w:color w:val="auto"/>
              </w:rPr>
              <w:t>101.LAB</w:t>
            </w:r>
          </w:p>
        </w:tc>
        <w:tc>
          <w:tcPr>
            <w:tcW w:w="3120" w:type="dxa"/>
            <w:vAlign w:val="bottom"/>
            <w:gridSpan w:val="10"/>
          </w:tcPr>
          <w:p>
            <w:pPr>
              <w:spacing w:after="0"/>
              <w:rPr>
                <w:sz w:val="20"/>
                <w:szCs w:val="20"/>
                <w:color w:val="auto"/>
              </w:rPr>
            </w:pPr>
            <w:r>
              <w:rPr>
                <w:rFonts w:ascii="Arial" w:cs="Arial" w:eastAsia="Arial" w:hAnsi="Arial"/>
                <w:sz w:val="15"/>
                <w:szCs w:val="15"/>
                <w:color w:val="auto"/>
              </w:rPr>
              <w:t>XBRL Taxonomy Extension Labels Linkbase</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auto"/>
              </w:rPr>
              <w:t>Document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5"/>
                <w:szCs w:val="15"/>
                <w:color w:val="auto"/>
              </w:rPr>
              <w:t>101.PRE</w:t>
            </w:r>
          </w:p>
        </w:tc>
        <w:tc>
          <w:tcPr>
            <w:tcW w:w="3120" w:type="dxa"/>
            <w:vAlign w:val="bottom"/>
            <w:gridSpan w:val="10"/>
          </w:tcPr>
          <w:p>
            <w:pPr>
              <w:spacing w:after="0"/>
              <w:rPr>
                <w:sz w:val="20"/>
                <w:szCs w:val="20"/>
                <w:color w:val="auto"/>
              </w:rPr>
            </w:pPr>
            <w:r>
              <w:rPr>
                <w:rFonts w:ascii="Arial" w:cs="Arial" w:eastAsia="Arial" w:hAnsi="Arial"/>
                <w:sz w:val="15"/>
                <w:szCs w:val="15"/>
                <w:color w:val="auto"/>
              </w:rPr>
              <w:t>XBRL Taxonomy Extension Presentation</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auto"/>
              </w:rPr>
              <w:t>Linkbase Document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5"/>
                <w:szCs w:val="15"/>
                <w:color w:val="auto"/>
              </w:rPr>
              <w:t>104</w:t>
            </w:r>
          </w:p>
        </w:tc>
        <w:tc>
          <w:tcPr>
            <w:tcW w:w="3120" w:type="dxa"/>
            <w:vAlign w:val="bottom"/>
            <w:gridSpan w:val="10"/>
          </w:tcPr>
          <w:p>
            <w:pPr>
              <w:spacing w:after="0"/>
              <w:rPr>
                <w:sz w:val="20"/>
                <w:szCs w:val="20"/>
                <w:color w:val="auto"/>
              </w:rPr>
            </w:pPr>
            <w:r>
              <w:rPr>
                <w:rFonts w:ascii="Arial" w:cs="Arial" w:eastAsia="Arial" w:hAnsi="Arial"/>
                <w:sz w:val="15"/>
                <w:szCs w:val="15"/>
                <w:color w:val="auto"/>
              </w:rPr>
              <w:t>Cover Page Interactive Data File (embedded</w:t>
            </w: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tcPr>
          <w:p>
            <w:pPr>
              <w:ind w:left="1780"/>
              <w:spacing w:after="0"/>
              <w:rPr>
                <w:sz w:val="20"/>
                <w:szCs w:val="20"/>
                <w:color w:val="auto"/>
              </w:rPr>
            </w:pPr>
            <w:r>
              <w:rPr>
                <w:rFonts w:ascii="Arial" w:cs="Arial" w:eastAsia="Arial" w:hAnsi="Arial"/>
                <w:sz w:val="15"/>
                <w:szCs w:val="15"/>
                <w:color w:val="auto"/>
                <w:w w:val="79"/>
              </w:rPr>
              <w:t>X</w:t>
            </w:r>
          </w:p>
        </w:tc>
        <w:tc>
          <w:tcPr>
            <w:tcW w:w="0" w:type="dxa"/>
            <w:vAlign w:val="bottom"/>
          </w:tcPr>
          <w:p>
            <w:pPr>
              <w:spacing w:after="0"/>
              <w:rPr>
                <w:sz w:val="1"/>
                <w:szCs w:val="1"/>
                <w:color w:val="auto"/>
              </w:rPr>
            </w:pPr>
          </w:p>
        </w:tc>
      </w:tr>
      <w:tr>
        <w:trPr>
          <w:trHeight w:val="199"/>
        </w:trPr>
        <w:tc>
          <w:tcPr>
            <w:tcW w:w="98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5"/>
                <w:szCs w:val="15"/>
                <w:color w:val="auto"/>
              </w:rPr>
              <w:t>within the Inline XBRL document)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57785</wp:posOffset>
            </wp:positionV>
            <wp:extent cx="1418590"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1418590" cy="15875"/>
                    </a:xfrm>
                    <a:prstGeom prst="rect">
                      <a:avLst/>
                    </a:prstGeom>
                    <a:noFill/>
                  </pic:spPr>
                </pic:pic>
              </a:graphicData>
            </a:graphic>
          </wp:anchor>
        </w:drawing>
      </w:r>
    </w:p>
    <w:p>
      <w:pPr>
        <w:spacing w:after="0" w:line="164" w:lineRule="exact"/>
        <w:rPr>
          <w:sz w:val="20"/>
          <w:szCs w:val="20"/>
          <w:color w:val="auto"/>
        </w:rPr>
      </w:pPr>
    </w:p>
    <w:p>
      <w:pPr>
        <w:ind w:left="340" w:hanging="295"/>
        <w:spacing w:after="0"/>
        <w:tabs>
          <w:tab w:leader="none" w:pos="3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103" w:lineRule="exact"/>
        <w:rPr>
          <w:sz w:val="20"/>
          <w:szCs w:val="20"/>
          <w:color w:val="auto"/>
        </w:rPr>
      </w:pPr>
    </w:p>
    <w:p>
      <w:pPr>
        <w:ind w:left="340" w:right="119" w:hanging="295"/>
        <w:spacing w:after="0" w:line="264" w:lineRule="auto"/>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Pursuant to Item 601(b)(10)(iv) of Regulation S-K promulgated by the SEC, certain portions of this exhibit have been redacted because they are both not material and is the type that the Registrant treats as private or confidential. The Registrant hereby agrees to furnish supplementally to the SEC, upon its request, an unredacted copy of this exhibit.</w:t>
      </w:r>
    </w:p>
    <w:p>
      <w:pPr>
        <w:spacing w:after="0" w:line="62" w:lineRule="exact"/>
        <w:rPr>
          <w:sz w:val="20"/>
          <w:szCs w:val="20"/>
          <w:color w:val="auto"/>
        </w:rPr>
      </w:pPr>
    </w:p>
    <w:p>
      <w:pPr>
        <w:ind w:left="340" w:right="79" w:hanging="295"/>
        <w:spacing w:after="0" w:line="264" w:lineRule="auto"/>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certifications attached as Exhibits 32.1 and 32.2 accompanying this Annual Report on Form 10-K are not deemed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8" w:name="page199"/>
    <w:bookmarkEnd w:id="19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16. Form 10–K Summary.</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334645</wp:posOffset>
            </wp:positionV>
            <wp:extent cx="5666740" cy="241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9" w:name="page200"/>
    <w:bookmarkEnd w:id="19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96" w:lineRule="exact"/>
        <w:rPr>
          <w:sz w:val="20"/>
          <w:szCs w:val="20"/>
          <w:color w:val="auto"/>
        </w:rPr>
      </w:pPr>
    </w:p>
    <w:p>
      <w:pPr>
        <w:ind w:left="40" w:right="239"/>
        <w:spacing w:after="0" w:line="24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registration statement to be signed on its behalf by the undersigned, thereunto duly authorized, in the City of San Francisco, State of California, on February 27, 2025.</w:t>
      </w:r>
    </w:p>
    <w:p>
      <w:pPr>
        <w:spacing w:after="0" w:line="177"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STRUCTURE</w:t>
      </w:r>
    </w:p>
    <w:p>
      <w:pPr>
        <w:spacing w:after="0" w:line="10"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THERAPEUTICS INC.</w:t>
      </w:r>
    </w:p>
    <w:p>
      <w:pPr>
        <w:spacing w:after="0" w:line="79"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7"/>
          <w:szCs w:val="17"/>
          <w:color w:val="auto"/>
        </w:rPr>
        <w:t>By:</w:t>
        <w:tab/>
        <w:t>/s/ Raymond Stevens,</w:t>
      </w:r>
    </w:p>
    <w:p>
      <w:pPr>
        <w:spacing w:after="0" w:line="10"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Ph.D.</w:t>
      </w:r>
    </w:p>
    <w:p>
      <w:pPr>
        <w:spacing w:after="0" w:line="9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Raymond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-120650</wp:posOffset>
            </wp:positionV>
            <wp:extent cx="12503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7"/>
          <w:szCs w:val="17"/>
          <w:color w:val="auto"/>
        </w:rPr>
        <w:t>Ph.D.</w:t>
      </w:r>
    </w:p>
    <w:p>
      <w:pPr>
        <w:ind w:left="4660"/>
        <w:spacing w:after="0"/>
        <w:rPr>
          <w:sz w:val="20"/>
          <w:szCs w:val="20"/>
          <w:color w:val="auto"/>
        </w:rPr>
      </w:pPr>
      <w:r>
        <w:rPr>
          <w:rFonts w:ascii="Arial" w:cs="Arial" w:eastAsia="Arial" w:hAnsi="Arial"/>
          <w:sz w:val="17"/>
          <w:szCs w:val="17"/>
          <w:i w:val="1"/>
          <w:iCs w:val="1"/>
          <w:color w:val="auto"/>
        </w:rPr>
        <w:t>Chief Executive Officer</w:t>
      </w:r>
    </w:p>
    <w:p>
      <w:pPr>
        <w:spacing w:after="0" w:line="167"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7"/>
          <w:szCs w:val="17"/>
          <w:color w:val="auto"/>
        </w:rPr>
        <w:t>By:</w:t>
        <w:tab/>
        <w:t>/s/ Jun Yoon</w:t>
      </w:r>
    </w:p>
    <w:p>
      <w:pPr>
        <w:spacing w:after="0" w:line="107"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-120650</wp:posOffset>
            </wp:positionV>
            <wp:extent cx="12503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327660</wp:posOffset>
            </wp:positionV>
            <wp:extent cx="5666740"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00" w:name="page201"/>
    <w:bookmarkEnd w:id="20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196" w:lineRule="exact"/>
        <w:rPr>
          <w:sz w:val="20"/>
          <w:szCs w:val="20"/>
          <w:color w:val="auto"/>
        </w:rPr>
      </w:pPr>
    </w:p>
    <w:p>
      <w:pPr>
        <w:ind w:left="40" w:right="99"/>
        <w:spacing w:after="0" w:line="236"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Raymond Stevens and Jun Yoon,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176" w:lineRule="exact"/>
        <w:rPr>
          <w:sz w:val="20"/>
          <w:szCs w:val="20"/>
          <w:color w:val="auto"/>
        </w:rPr>
      </w:pPr>
    </w:p>
    <w:p>
      <w:pPr>
        <w:ind w:left="40" w:right="479"/>
        <w:spacing w:after="0" w:line="296" w:lineRule="auto"/>
        <w:rPr>
          <w:sz w:val="20"/>
          <w:szCs w:val="20"/>
          <w:color w:val="auto"/>
        </w:rPr>
      </w:pPr>
      <w:r>
        <w:rPr>
          <w:rFonts w:ascii="Arial" w:cs="Arial" w:eastAsia="Arial" w:hAnsi="Arial"/>
          <w:sz w:val="16"/>
          <w:szCs w:val="16"/>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9019"/>
          </w:cols>
          <w:pgMar w:left="1440" w:top="489" w:right="1440" w:bottom="1440" w:gutter="0" w:footer="0" w:header="0"/>
        </w:sectPr>
      </w:pPr>
    </w:p>
    <w:p>
      <w:pPr>
        <w:spacing w:after="0" w:line="127" w:lineRule="exact"/>
        <w:rPr>
          <w:sz w:val="20"/>
          <w:szCs w:val="20"/>
          <w:color w:val="auto"/>
        </w:rPr>
      </w:pPr>
    </w:p>
    <w:p>
      <w:pPr>
        <w:jc w:val="center"/>
        <w:ind w:left="22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6985</wp:posOffset>
            </wp:positionV>
            <wp:extent cx="16992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75"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Raymond Stevens, Ph.D.</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Raymond Stevens,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Jun Yoon</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Daniel Welch</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Daniel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Eric Dobmeier</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Eric Dobmeier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Ted W. Love, M.D.</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Ted W. Love,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Angus Russell</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Angus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 Sharon Tetlow</w:t>
      </w:r>
    </w:p>
    <w:p>
      <w:pPr>
        <w:spacing w:after="0" w:line="107"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Sharon Tetlow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163"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Joanne Waldstreicher, M.D.</w:t>
      </w:r>
    </w:p>
    <w:p>
      <w:pPr>
        <w:spacing w:after="0" w:line="11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Joanne Waldstreicher,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-120650</wp:posOffset>
            </wp:positionV>
            <wp:extent cx="16992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1699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6985</wp:posOffset>
            </wp:positionV>
            <wp:extent cx="24282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2428240" cy="8255"/>
                    </a:xfrm>
                    <a:prstGeom prst="rect">
                      <a:avLst/>
                    </a:prstGeom>
                    <a:noFill/>
                  </pic:spPr>
                </pic:pic>
              </a:graphicData>
            </a:graphic>
          </wp:anchor>
        </w:drawing>
      </w:r>
    </w:p>
    <w:p>
      <w:pPr>
        <w:spacing w:after="0" w:line="7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Chief Executive Officer and Director</w:t>
      </w:r>
    </w:p>
    <w:p>
      <w:pPr>
        <w:spacing w:after="0" w:line="9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(Principal Executive Officer)</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Chief Financial Officer and Director</w:t>
      </w:r>
    </w:p>
    <w:p>
      <w:pPr>
        <w:spacing w:after="0" w:line="97"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Chairman</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6985</wp:posOffset>
            </wp:positionV>
            <wp:extent cx="12261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312" w:lineRule="exact"/>
        <w:rPr>
          <w:sz w:val="20"/>
          <w:szCs w:val="20"/>
          <w:color w:val="auto"/>
        </w:rPr>
      </w:pPr>
    </w:p>
    <w:p>
      <w:pPr>
        <w:sectPr>
          <w:pgSz w:w="11900" w:h="16838" w:orient="portrait"/>
          <w:cols w:equalWidth="0" w:num="3">
            <w:col w:w="2540" w:space="720"/>
            <w:col w:w="3320" w:space="720"/>
            <w:col w:w="1719"/>
          </w:cols>
          <w:pgMar w:left="1440" w:top="4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334645</wp:posOffset>
            </wp:positionV>
            <wp:extent cx="5666740" cy="24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5666740" cy="24130"/>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type w:val="continuous"/>
        </w:sectPr>
      </w:pPr>
    </w:p>
    <w:bookmarkStart w:id="201" w:name="page202"/>
    <w:bookmarkEnd w:id="201"/>
    <w:p>
      <w:pPr>
        <w:jc w:val="right"/>
        <w:spacing w:after="0"/>
        <w:rPr>
          <w:sz w:val="20"/>
          <w:szCs w:val="20"/>
          <w:color w:val="auto"/>
        </w:rPr>
      </w:pPr>
      <w:r>
        <w:rPr>
          <w:rFonts w:ascii="Times New Roman" w:cs="Times New Roman" w:eastAsia="Times New Roman" w:hAnsi="Times New Roman"/>
          <w:sz w:val="20"/>
          <w:szCs w:val="20"/>
          <w:b w:val="1"/>
          <w:bCs w:val="1"/>
          <w:color w:val="auto"/>
        </w:rPr>
        <w:t>Exhibit 10.19</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tructure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or consultant to Structure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for his or her Board service. An Eligible Director may decline all or any portion of his or her compensation by giving notice to the Company prior to the date cash may be paid or equity awards are to be granted, as the case may be. This policy first became effective commencing as of February 2, 2023 and has subsequently been amended, most recently on January 21, 2025, and may be further amended at any time in the sole discretion of the Board or the Compensation Committee of the Board.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for the first fiscal quarter in which the Eligible Director provides the service and regular full quarterly payments thereafter. All annual cash fees are vested upon payment.</w:t>
      </w:r>
    </w:p>
    <w:p>
      <w:pPr>
        <w:spacing w:after="0" w:line="130" w:lineRule="exact"/>
        <w:rPr>
          <w:sz w:val="20"/>
          <w:szCs w:val="20"/>
          <w:color w:val="auto"/>
        </w:rPr>
      </w:pPr>
    </w:p>
    <w:p>
      <w:pPr>
        <w:ind w:left="600" w:hanging="598"/>
        <w:spacing w:after="0"/>
        <w:tabs>
          <w:tab w:leader="none" w:pos="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19" w:lineRule="exact"/>
        <w:rPr>
          <w:rFonts w:ascii="Times New Roman" w:cs="Times New Roman" w:eastAsia="Times New Roman" w:hAnsi="Times New Roman"/>
          <w:sz w:val="20"/>
          <w:szCs w:val="20"/>
          <w:color w:val="auto"/>
        </w:rPr>
      </w:pP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$45,000</w:t>
      </w:r>
    </w:p>
    <w:p>
      <w:pPr>
        <w:ind w:left="1220" w:hanging="612"/>
        <w:spacing w:after="0" w:line="24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Non-Executive Chair of the Board Service Retainer (in addition to Eligible Director Service Retainer): $179,000</w:t>
      </w:r>
    </w:p>
    <w:p>
      <w:pPr>
        <w:spacing w:after="0" w:line="123"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w:t>
      </w:r>
      <w:r>
        <w:rPr>
          <w:rFonts w:ascii="Times New Roman" w:cs="Times New Roman" w:eastAsia="Times New Roman" w:hAnsi="Times New Roman"/>
          <w:sz w:val="20"/>
          <w:szCs w:val="20"/>
          <w:color w:val="auto"/>
        </w:rPr>
        <w:t>:</w:t>
      </w:r>
    </w:p>
    <w:p>
      <w:pPr>
        <w:spacing w:after="0" w:line="19" w:lineRule="exact"/>
        <w:rPr>
          <w:rFonts w:ascii="Times New Roman" w:cs="Times New Roman" w:eastAsia="Times New Roman" w:hAnsi="Times New Roman"/>
          <w:sz w:val="20"/>
          <w:szCs w:val="20"/>
          <w:color w:val="auto"/>
        </w:rPr>
      </w:pP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Audit Committee: $20,000</w:t>
      </w: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Compensation Committee: $15,000</w:t>
      </w: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Research and Development Committee: $15,000</w:t>
      </w:r>
    </w:p>
    <w:p>
      <w:pPr>
        <w:ind w:left="1220" w:hanging="612"/>
        <w:spacing w:after="0"/>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 of the Nominating and Corporate Governance Committee: $10,000</w:t>
      </w:r>
    </w:p>
    <w:p>
      <w:pPr>
        <w:spacing w:after="0" w:line="139"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Member Service Retainer (not applicable to Committee Chairs)</w:t>
      </w:r>
      <w:r>
        <w:rPr>
          <w:rFonts w:ascii="Times New Roman" w:cs="Times New Roman" w:eastAsia="Times New Roman" w:hAnsi="Times New Roman"/>
          <w:sz w:val="20"/>
          <w:szCs w:val="20"/>
          <w:color w:val="auto"/>
        </w:rPr>
        <w:t>:</w:t>
      </w:r>
    </w:p>
    <w:p>
      <w:pPr>
        <w:spacing w:after="0" w:line="19" w:lineRule="exact"/>
        <w:rPr>
          <w:rFonts w:ascii="Times New Roman" w:cs="Times New Roman" w:eastAsia="Times New Roman" w:hAnsi="Times New Roman"/>
          <w:sz w:val="20"/>
          <w:szCs w:val="20"/>
          <w:color w:val="auto"/>
        </w:rPr>
      </w:pP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$10,000</w:t>
      </w: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$7,500</w:t>
      </w:r>
    </w:p>
    <w:p>
      <w:pPr>
        <w:ind w:left="1220" w:hanging="612"/>
        <w:spacing w:after="0" w:line="237" w:lineRule="auto"/>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Research and Development Committee: $7,500</w:t>
      </w:r>
    </w:p>
    <w:p>
      <w:pPr>
        <w:ind w:left="1220" w:hanging="612"/>
        <w:spacing w:after="0"/>
        <w:tabs>
          <w:tab w:leader="none" w:pos="12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$5,000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equity compensation set forth below will be granted under the Company’s 2023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All share options granted under this policy will be nonstatutory share options, with an exercise price per share equal to 100% of the Fair Market Value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554355</wp:posOffset>
            </wp:positionV>
            <wp:extent cx="6307455" cy="241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202" w:name="page203"/>
    <w:bookmarkEnd w:id="202"/>
    <w:p>
      <w:pPr>
        <w:jc w:val="both"/>
        <w:spacing w:after="0" w:line="248" w:lineRule="auto"/>
        <w:rPr>
          <w:sz w:val="20"/>
          <w:szCs w:val="20"/>
          <w:color w:val="auto"/>
        </w:rPr>
      </w:pPr>
      <w:r>
        <w:rPr>
          <w:rFonts w:ascii="Times New Roman" w:cs="Times New Roman" w:eastAsia="Times New Roman" w:hAnsi="Times New Roman"/>
          <w:sz w:val="20"/>
          <w:szCs w:val="20"/>
          <w:color w:val="auto"/>
        </w:rPr>
        <w:t>Plan) of the underlying Shares (as defined in the Plan) on the date of grant and a term of ten years from the date of grant, subject to earlier termination in connection with a termination of service as provided in the Plan, provided that upon a termination of service other than for death or Cause (as defined in the Plan), the post-termination exercise period will be 12 months from the date of termination, except as otherwise provided in Section 4 below.</w:t>
      </w:r>
    </w:p>
    <w:p>
      <w:pPr>
        <w:spacing w:after="0" w:line="123" w:lineRule="exact"/>
        <w:rPr>
          <w:sz w:val="20"/>
          <w:szCs w:val="20"/>
          <w:color w:val="auto"/>
        </w:rPr>
      </w:pPr>
    </w:p>
    <w:p>
      <w:pPr>
        <w:jc w:val="both"/>
        <w:ind w:firstLine="2"/>
        <w:spacing w:after="0" w:line="241" w:lineRule="auto"/>
        <w:tabs>
          <w:tab w:leader="none" w:pos="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Grant</w:t>
      </w:r>
      <w:r>
        <w:rPr>
          <w:rFonts w:ascii="Times New Roman" w:cs="Times New Roman" w:eastAsia="Times New Roman" w:hAnsi="Times New Roman"/>
          <w:sz w:val="20"/>
          <w:szCs w:val="20"/>
          <w:color w:val="auto"/>
        </w:rPr>
        <w:t>: For each Eligible Director who is first elected or appointed to the Board,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share option to purchase Shares with an aggregate value equal to $800,000, provided that such share option does not exceed 0.060% of the total number of Shares (as defined in the Plan) of the Company outstanding on the date of grant (the “</w:t>
      </w:r>
      <w:r>
        <w:rPr>
          <w:rFonts w:ascii="Times New Roman" w:cs="Times New Roman" w:eastAsia="Times New Roman" w:hAnsi="Times New Roman"/>
          <w:sz w:val="20"/>
          <w:szCs w:val="20"/>
          <w:b w:val="1"/>
          <w:bCs w:val="1"/>
          <w:i w:val="1"/>
          <w:iCs w:val="1"/>
          <w:color w:val="auto"/>
        </w:rPr>
        <w:t>Initial Grant</w:t>
      </w:r>
      <w:r>
        <w:rPr>
          <w:rFonts w:ascii="Times New Roman" w:cs="Times New Roman" w:eastAsia="Times New Roman" w:hAnsi="Times New Roman"/>
          <w:sz w:val="20"/>
          <w:szCs w:val="20"/>
          <w:color w:val="auto"/>
        </w:rPr>
        <w:t>”). Each Initial Grant will vest in equal monthly installments over a three-year period such that the option is fully vested on the third anniversary of the date of grant, subject to the Eligible Director’s Continuous Service (as defined in the Plan) through each such vesting date.</w:t>
      </w:r>
    </w:p>
    <w:p>
      <w:pPr>
        <w:spacing w:after="0" w:line="146" w:lineRule="exact"/>
        <w:rPr>
          <w:rFonts w:ascii="Times New Roman" w:cs="Times New Roman" w:eastAsia="Times New Roman" w:hAnsi="Times New Roman"/>
          <w:sz w:val="20"/>
          <w:szCs w:val="20"/>
          <w:color w:val="auto"/>
        </w:rPr>
      </w:pPr>
    </w:p>
    <w:p>
      <w:pPr>
        <w:jc w:val="both"/>
        <w:ind w:firstLine="2"/>
        <w:spacing w:after="0"/>
        <w:tabs>
          <w:tab w:leader="none" w:pos="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Grant</w:t>
      </w:r>
      <w:r>
        <w:rPr>
          <w:rFonts w:ascii="Times New Roman" w:cs="Times New Roman" w:eastAsia="Times New Roman" w:hAnsi="Times New Roman"/>
          <w:sz w:val="20"/>
          <w:szCs w:val="20"/>
          <w:color w:val="auto"/>
        </w:rPr>
        <w:t>: On the date of each annual shareholder meeting of the Company, each Eligible Director who continues to serve as a non-employee member of the Board following such annual shareholder meeting will be automatically, and without further action by the Board or Compensation Committee of the Board, granted a share option to purchase Shares with an aggregate value equal to $400,000, provided that such share option does not exceed 0.030% of the total number of Shares (as defined in the Plan) of the Company outstanding on the date of grant (the “</w:t>
      </w:r>
      <w:r>
        <w:rPr>
          <w:rFonts w:ascii="Times New Roman" w:cs="Times New Roman" w:eastAsia="Times New Roman" w:hAnsi="Times New Roman"/>
          <w:sz w:val="20"/>
          <w:szCs w:val="20"/>
          <w:b w:val="1"/>
          <w:bCs w:val="1"/>
          <w:i w:val="1"/>
          <w:iCs w:val="1"/>
          <w:color w:val="auto"/>
        </w:rPr>
        <w:t>Annual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Grant</w:t>
      </w:r>
      <w:r>
        <w:rPr>
          <w:rFonts w:ascii="Times New Roman" w:cs="Times New Roman" w:eastAsia="Times New Roman" w:hAnsi="Times New Roman"/>
          <w:sz w:val="20"/>
          <w:szCs w:val="20"/>
          <w:color w:val="auto"/>
        </w:rPr>
        <w:t>”). Each Annual Grant will vest in equal monthly installments over the 12 months following the date of grant,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provided that the Annual Grant will in any case be fully vested on the date immediately prior to the date of the Company’s next annual shareholder meeting, subject to the Eligible Director’s Continuous Service (as defined in the Plan) through each such vesting date. With respect to an Eligible Director who was first elected or appointed to the Board on a date other than the date of the Company’s annual shareholder meeting, upon the Company’s first annual shareholder meeting following such Eligible Director’s first joining the Board, such Eligible Director’s first Annual Grant will be pro-rated to reflect the time between such Eligible Director’s election or appointment date and the date of such first annual shareholder meeting.</w:t>
      </w:r>
    </w:p>
    <w:p>
      <w:pPr>
        <w:spacing w:after="0" w:line="357" w:lineRule="exact"/>
        <w:rPr>
          <w:rFonts w:ascii="Times New Roman" w:cs="Times New Roman" w:eastAsia="Times New Roman" w:hAnsi="Times New Roman"/>
          <w:sz w:val="20"/>
          <w:szCs w:val="20"/>
          <w:color w:val="auto"/>
        </w:rPr>
      </w:pPr>
    </w:p>
    <w:p>
      <w:pPr>
        <w:jc w:val="both"/>
        <w:ind w:firstLine="2"/>
        <w:spacing w:after="0" w:line="242" w:lineRule="auto"/>
        <w:tabs>
          <w:tab w:leader="none" w:pos="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Calculation of Number of Shares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The number of ADSs underlying each Initial Grant and Annual Grant shall be determined by dividing the aggregate value of the share option by the grant date “fair value” of an ADS the Company uses for financial reporting purposes, rounding down to the nearest ADS;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for purposes of calculating the grant date “fair value,” the grant date fair market value shall be assumed to be the average closing price per ADS based on the 30 trading day period ending on and including the seventh calendar day prior to the applicable date of grant. The number of Shares underlying each Initial Grant and Annual Grant shall be determined by multiplying the number of ADSs underlying the applicable share option by three.</w:t>
      </w:r>
    </w:p>
    <w:p>
      <w:pPr>
        <w:spacing w:after="0" w:line="131" w:lineRule="exact"/>
        <w:rPr>
          <w:rFonts w:ascii="Times New Roman" w:cs="Times New Roman" w:eastAsia="Times New Roman" w:hAnsi="Times New Roman"/>
          <w:sz w:val="20"/>
          <w:szCs w:val="20"/>
          <w:color w:val="auto"/>
        </w:rPr>
      </w:pPr>
    </w:p>
    <w:p>
      <w:pPr>
        <w:jc w:val="both"/>
        <w:ind w:firstLine="2"/>
        <w:spacing w:after="0" w:line="253" w:lineRule="auto"/>
        <w:tabs>
          <w:tab w:leader="none" w:pos="60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the foregoing, each Initial Grant and Annual Grant will vest in full upon a Change in Control (as defined in the Plan), subject to the Eligible Director’s Continuous Service (as defined in the Plan) through the date of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563880</wp:posOffset>
            </wp:positionV>
            <wp:extent cx="630745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6307455" cy="1587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3" w:name="page204"/>
    <w:bookmarkEnd w:id="203"/>
    <w:p>
      <w:pPr>
        <w:jc w:val="both"/>
        <w:ind w:firstLine="2"/>
        <w:spacing w:after="0" w:line="245" w:lineRule="auto"/>
        <w:tabs>
          <w:tab w:leader="none" w:pos="60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to Trust</w:t>
      </w:r>
      <w:r>
        <w:rPr>
          <w:rFonts w:ascii="Times New Roman" w:cs="Times New Roman" w:eastAsia="Times New Roman" w:hAnsi="Times New Roman"/>
          <w:sz w:val="20"/>
          <w:szCs w:val="20"/>
          <w:color w:val="auto"/>
        </w:rPr>
        <w:t>: Notwithstanding the foregoing, in the event that any vested share option held by an Eligible Director is transferred to a trust for estate planning purposes, (a) upon such Eligible Director’s termination of service other than for Cause, the post-termination exercise period will begin on the date of termination and end on the option’s applicable expiration date and (b) the exercise price applicable to any such option may be paid via a “net exercise” arrangement, as further described in the applicable option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 Compensation Limit</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the aggregate value of all compensation granted or paid, as applicable, to any individual for service as a Non-Employee Director (as defined in the Plan) shall in no event exceed the limits set forth in Section 3(d)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630745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6307455" cy="1587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2"/>
          <w:szCs w:val="12"/>
          <w:b w:val="1"/>
          <w:bCs w:val="1"/>
          <w:color w:val="auto"/>
        </w:rPr>
        <w:t>tructure</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9"/>
          <w:szCs w:val="19"/>
          <w:b w:val="1"/>
          <w:bCs w:val="1"/>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85090</wp:posOffset>
            </wp:positionV>
            <wp:extent cx="63074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630745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2"/>
          <w:szCs w:val="12"/>
          <w:b w:val="1"/>
          <w:bCs w:val="1"/>
          <w:color w:val="auto"/>
        </w:rPr>
        <w:t>rinciples</w:t>
      </w:r>
    </w:p>
    <w:p>
      <w:pPr>
        <w:spacing w:after="0" w:line="196" w:lineRule="exact"/>
        <w:rPr>
          <w:sz w:val="20"/>
          <w:szCs w:val="20"/>
          <w:color w:val="auto"/>
        </w:rPr>
      </w:pPr>
    </w:p>
    <w:p>
      <w:pPr>
        <w:jc w:val="both"/>
        <w:ind w:left="600" w:hanging="295"/>
        <w:spacing w:after="0" w:line="294" w:lineRule="auto"/>
        <w:tabs>
          <w:tab w:leader="none" w:pos="6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directors and designated consultants (each a “</w:t>
      </w:r>
      <w:r>
        <w:rPr>
          <w:rFonts w:ascii="Times New Roman" w:cs="Times New Roman" w:eastAsia="Times New Roman" w:hAnsi="Times New Roman"/>
          <w:sz w:val="17"/>
          <w:szCs w:val="17"/>
          <w:b w:val="1"/>
          <w:bCs w:val="1"/>
          <w:i w:val="1"/>
          <w:iCs w:val="1"/>
          <w:color w:val="auto"/>
        </w:rPr>
        <w:t>Covered Person</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i w:val="1"/>
          <w:iCs w:val="1"/>
          <w:color w:val="auto"/>
        </w:rPr>
        <w:t>Covered Persons</w:t>
      </w:r>
      <w:r>
        <w:rPr>
          <w:rFonts w:ascii="Times New Roman" w:cs="Times New Roman" w:eastAsia="Times New Roman" w:hAnsi="Times New Roman"/>
          <w:sz w:val="17"/>
          <w:szCs w:val="17"/>
          <w:color w:val="auto"/>
        </w:rPr>
        <w:t>”) of Structure Therapeutics Inc. and its subsidiaries (together,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are responsible for understanding the obligations that come with having access to material nonpublic information and wanting to transact in the Company’s securities.</w:t>
      </w:r>
    </w:p>
    <w:p>
      <w:pPr>
        <w:spacing w:after="0" w:line="133" w:lineRule="exact"/>
        <w:rPr>
          <w:rFonts w:ascii="Times New Roman" w:cs="Times New Roman" w:eastAsia="Times New Roman" w:hAnsi="Times New Roman"/>
          <w:sz w:val="17"/>
          <w:szCs w:val="17"/>
          <w:color w:val="auto"/>
        </w:rPr>
      </w:pPr>
    </w:p>
    <w:p>
      <w:pPr>
        <w:ind w:left="600" w:hanging="295"/>
        <w:spacing w:after="0" w:line="319" w:lineRule="auto"/>
        <w:tabs>
          <w:tab w:leader="none" w:pos="6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Persons who are aware of material nonpublic information relating to the Company may not engage in transactions in the Company’s securities except as permitted by this Insider Trading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and applicable law.</w:t>
      </w:r>
    </w:p>
    <w:p>
      <w:pPr>
        <w:spacing w:after="0" w:line="111" w:lineRule="exact"/>
        <w:rPr>
          <w:rFonts w:ascii="Times New Roman" w:cs="Times New Roman" w:eastAsia="Times New Roman" w:hAnsi="Times New Roman"/>
          <w:sz w:val="17"/>
          <w:szCs w:val="17"/>
          <w:color w:val="auto"/>
        </w:rPr>
      </w:pPr>
    </w:p>
    <w:p>
      <w:pPr>
        <w:ind w:left="600" w:hanging="295"/>
        <w:spacing w:after="0" w:line="260" w:lineRule="auto"/>
        <w:tabs>
          <w:tab w:leader="none" w:pos="6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may not disclose material nonpublic information outside of the Company unless the disclosure is made in accordance with a specific Company policy that authorizes such disclosure.</w:t>
      </w:r>
    </w:p>
    <w:p>
      <w:pPr>
        <w:spacing w:after="0" w:line="157" w:lineRule="exact"/>
        <w:rPr>
          <w:rFonts w:ascii="Times New Roman" w:cs="Times New Roman" w:eastAsia="Times New Roman" w:hAnsi="Times New Roman"/>
          <w:sz w:val="19"/>
          <w:szCs w:val="19"/>
          <w:color w:val="auto"/>
        </w:rPr>
      </w:pPr>
    </w:p>
    <w:p>
      <w:pPr>
        <w:ind w:left="600" w:hanging="295"/>
        <w:spacing w:after="0" w:line="260" w:lineRule="auto"/>
        <w:tabs>
          <w:tab w:leader="none" w:pos="6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may not disclose material nonpublic information to persons within the Company whose jobs do not require them to have that information.</w:t>
      </w:r>
    </w:p>
    <w:p>
      <w:pPr>
        <w:spacing w:after="0" w:line="157" w:lineRule="exact"/>
        <w:rPr>
          <w:rFonts w:ascii="Times New Roman" w:cs="Times New Roman" w:eastAsia="Times New Roman" w:hAnsi="Times New Roman"/>
          <w:sz w:val="19"/>
          <w:szCs w:val="19"/>
          <w:color w:val="auto"/>
        </w:rPr>
      </w:pPr>
    </w:p>
    <w:p>
      <w:pPr>
        <w:ind w:left="600" w:hanging="295"/>
        <w:spacing w:after="0"/>
        <w:tabs>
          <w:tab w:leader="none" w:pos="6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may not recommend the purchase or sale of any Company’s securities.</w:t>
      </w:r>
    </w:p>
    <w:p>
      <w:pPr>
        <w:spacing w:after="0" w:line="192" w:lineRule="exact"/>
        <w:rPr>
          <w:rFonts w:ascii="Times New Roman" w:cs="Times New Roman" w:eastAsia="Times New Roman" w:hAnsi="Times New Roman"/>
          <w:sz w:val="19"/>
          <w:szCs w:val="19"/>
          <w:color w:val="auto"/>
        </w:rPr>
      </w:pPr>
    </w:p>
    <w:p>
      <w:pPr>
        <w:ind w:left="600" w:hanging="295"/>
        <w:spacing w:after="0" w:line="266" w:lineRule="auto"/>
        <w:tabs>
          <w:tab w:leader="none" w:pos="6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to this Policy require approval by the Company’s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or a duly appointed committee of the Board.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9"/>
          <w:szCs w:val="19"/>
          <w:b w:val="1"/>
          <w:bCs w:val="1"/>
          <w:color w:val="auto"/>
        </w:rPr>
        <w:t xml:space="preserve"> Q&amp;A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Scope and Purpose</w:t>
      </w:r>
    </w:p>
    <w:p>
      <w:pPr>
        <w:spacing w:after="0" w:line="198" w:lineRule="exact"/>
        <w:rPr>
          <w:sz w:val="20"/>
          <w:szCs w:val="20"/>
          <w:color w:val="auto"/>
        </w:rPr>
      </w:pPr>
    </w:p>
    <w:p>
      <w:pPr>
        <w:ind w:left="600" w:hanging="598"/>
        <w:spacing w:after="0"/>
        <w:tabs>
          <w:tab w:leader="none" w:pos="600"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Why do we have an insider trading policy?</w:t>
      </w:r>
    </w:p>
    <w:p>
      <w:pPr>
        <w:spacing w:after="0" w:line="202" w:lineRule="exact"/>
        <w:rPr>
          <w:sz w:val="20"/>
          <w:szCs w:val="20"/>
          <w:color w:val="auto"/>
        </w:rPr>
      </w:pPr>
    </w:p>
    <w:p>
      <w:pPr>
        <w:jc w:val="both"/>
        <w:ind w:left="600" w:hanging="598"/>
        <w:spacing w:after="0" w:line="272"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course of your relationship with the Company, you may receive material information that is not yet publicly available (“</w:t>
      </w:r>
      <w:r>
        <w:rPr>
          <w:rFonts w:ascii="Times New Roman" w:cs="Times New Roman" w:eastAsia="Times New Roman" w:hAnsi="Times New Roman"/>
          <w:sz w:val="17"/>
          <w:szCs w:val="17"/>
          <w:b w:val="1"/>
          <w:bCs w:val="1"/>
          <w:i w:val="1"/>
          <w:iCs w:val="1"/>
          <w:color w:val="auto"/>
        </w:rPr>
        <w:t>material nonpublic information</w:t>
      </w:r>
      <w:r>
        <w:rPr>
          <w:rFonts w:ascii="Times New Roman" w:cs="Times New Roman" w:eastAsia="Times New Roman" w:hAnsi="Times New Roman"/>
          <w:sz w:val="17"/>
          <w:szCs w:val="17"/>
          <w:color w:val="auto"/>
        </w:rPr>
        <w:t>”) about the Company or other publicly traded companies with which the Company has business relationships, including but not limited to a customer, licensor, licensee, supplier, partner or other collaborator of the Company or an economically-linked company such as a competitor of the Company.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spacing w:after="0" w:line="149" w:lineRule="exact"/>
        <w:rPr>
          <w:sz w:val="20"/>
          <w:szCs w:val="20"/>
          <w:color w:val="auto"/>
        </w:rPr>
      </w:pPr>
    </w:p>
    <w:p>
      <w:pPr>
        <w:ind w:left="600" w:hanging="598"/>
        <w:spacing w:after="0"/>
        <w:tabs>
          <w:tab w:leader="none" w:pos="600" w:val="left"/>
        </w:tabs>
        <w:numPr>
          <w:ilvl w:val="0"/>
          <w:numId w:val="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 is subject to this Policy?</w:t>
      </w:r>
    </w:p>
    <w:p>
      <w:pPr>
        <w:spacing w:after="0" w:line="202" w:lineRule="exact"/>
        <w:rPr>
          <w:sz w:val="20"/>
          <w:szCs w:val="20"/>
          <w:color w:val="auto"/>
        </w:rPr>
      </w:pPr>
    </w:p>
    <w:p>
      <w:pPr>
        <w:jc w:val="both"/>
        <w:ind w:left="600" w:hanging="598"/>
        <w:spacing w:after="0" w:line="243" w:lineRule="auto"/>
        <w:tabs>
          <w:tab w:leader="none" w:pos="6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573405</wp:posOffset>
            </wp:positionV>
            <wp:extent cx="6307455" cy="241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205" w:name="page206"/>
    <w:bookmarkEnd w:id="205"/>
    <w:p>
      <w:pPr>
        <w:jc w:val="both"/>
        <w:ind w:left="600"/>
        <w:spacing w:after="0" w:line="248" w:lineRule="auto"/>
        <w:rPr>
          <w:sz w:val="20"/>
          <w:szCs w:val="20"/>
          <w:color w:val="auto"/>
        </w:rPr>
      </w:pPr>
      <w:r>
        <w:rPr>
          <w:rFonts w:ascii="Times New Roman" w:cs="Times New Roman" w:eastAsia="Times New Roman" w:hAnsi="Times New Roman"/>
          <w:sz w:val="19"/>
          <w:szCs w:val="19"/>
          <w:color w:val="auto"/>
        </w:rPr>
        <w:t>investment fund, if you influence, direct, or control transactions by the fund). The foregoing persons who are deemed subject to this Policy are referred to in this Policy as “</w:t>
      </w:r>
      <w:r>
        <w:rPr>
          <w:rFonts w:ascii="Times New Roman" w:cs="Times New Roman" w:eastAsia="Times New Roman" w:hAnsi="Times New Roman"/>
          <w:sz w:val="19"/>
          <w:szCs w:val="19"/>
          <w:b w:val="1"/>
          <w:bCs w:val="1"/>
          <w:i w:val="1"/>
          <w:iCs w:val="1"/>
          <w:color w:val="auto"/>
        </w:rPr>
        <w:t>Related Persons</w:t>
      </w:r>
      <w:r>
        <w:rPr>
          <w:rFonts w:ascii="Times New Roman" w:cs="Times New Roman" w:eastAsia="Times New Roman" w:hAnsi="Times New Roman"/>
          <w:sz w:val="19"/>
          <w:szCs w:val="19"/>
          <w:color w:val="auto"/>
        </w:rPr>
        <w:t>.” You are responsible for making sure that your Related Persons comply with this Policy.</w:t>
      </w:r>
    </w:p>
    <w:p>
      <w:pPr>
        <w:spacing w:after="0" w:line="169" w:lineRule="exact"/>
        <w:rPr>
          <w:sz w:val="20"/>
          <w:szCs w:val="20"/>
          <w:color w:val="auto"/>
        </w:rPr>
      </w:pPr>
    </w:p>
    <w:p>
      <w:pPr>
        <w:jc w:val="both"/>
        <w:ind w:left="600"/>
        <w:spacing w:after="0" w:line="241" w:lineRule="auto"/>
        <w:rPr>
          <w:sz w:val="20"/>
          <w:szCs w:val="20"/>
          <w:color w:val="auto"/>
        </w:rPr>
      </w:pPr>
      <w:r>
        <w:rPr>
          <w:rFonts w:ascii="Times New Roman" w:cs="Times New Roman" w:eastAsia="Times New Roman" w:hAnsi="Times New Roman"/>
          <w:sz w:val="19"/>
          <w:szCs w:val="19"/>
          <w:color w:val="auto"/>
        </w:rPr>
        <w:t xml:space="preserve">In addition, if you are an officer or director of the Company, or an employee or designated consultant of the Company described on </w:t>
      </w:r>
      <w:r>
        <w:rPr>
          <w:rFonts w:ascii="Times New Roman" w:cs="Times New Roman" w:eastAsia="Times New Roman" w:hAnsi="Times New Roman"/>
          <w:sz w:val="19"/>
          <w:szCs w:val="19"/>
          <w:b w:val="1"/>
          <w:bCs w:val="1"/>
          <w:color w:val="auto"/>
        </w:rPr>
        <w:t>Appendix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Specified Personnel</w:t>
      </w:r>
      <w:r>
        <w:rPr>
          <w:rFonts w:ascii="Times New Roman" w:cs="Times New Roman" w:eastAsia="Times New Roman" w:hAnsi="Times New Roman"/>
          <w:sz w:val="19"/>
          <w:szCs w:val="19"/>
          <w:color w:val="auto"/>
        </w:rPr>
        <w:t>”), you and your Related Persons are subject to the quarterly and other trading blackout periods described below. Officers, directors and other applicable members of management who have been notified that they are subject to pre-clearance requirements and their Related Persons also have to pre-clear and provide advance notice of transactions as described further below.</w:t>
      </w:r>
    </w:p>
    <w:p>
      <w:pPr>
        <w:spacing w:after="0" w:line="174" w:lineRule="exact"/>
        <w:rPr>
          <w:sz w:val="20"/>
          <w:szCs w:val="20"/>
          <w:color w:val="auto"/>
        </w:rPr>
      </w:pPr>
    </w:p>
    <w:p>
      <w:pPr>
        <w:ind w:left="600" w:hanging="598"/>
        <w:spacing w:after="0"/>
        <w:tabs>
          <w:tab w:leader="none" w:pos="600"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Whose responsibility is it to comply with this Policy?</w:t>
      </w:r>
    </w:p>
    <w:p>
      <w:pPr>
        <w:spacing w:after="0" w:line="202" w:lineRule="exact"/>
        <w:rPr>
          <w:sz w:val="20"/>
          <w:szCs w:val="20"/>
          <w:color w:val="auto"/>
        </w:rPr>
      </w:pPr>
    </w:p>
    <w:p>
      <w:pPr>
        <w:jc w:val="both"/>
        <w:ind w:left="600" w:hanging="598"/>
        <w:spacing w:after="0" w:line="239" w:lineRule="auto"/>
        <w:tabs>
          <w:tab w:leader="none" w:pos="60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spacing w:after="0" w:line="174" w:lineRule="exact"/>
        <w:rPr>
          <w:sz w:val="20"/>
          <w:szCs w:val="20"/>
          <w:color w:val="auto"/>
        </w:rPr>
      </w:pPr>
    </w:p>
    <w:p>
      <w:pPr>
        <w:ind w:left="600" w:hanging="598"/>
        <w:spacing w:after="0"/>
        <w:tabs>
          <w:tab w:leader="none" w:pos="600" w:val="left"/>
        </w:tabs>
        <w:numPr>
          <w:ilvl w:val="0"/>
          <w:numId w:val="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transactions are subject to this Policy?</w:t>
      </w:r>
    </w:p>
    <w:p>
      <w:pPr>
        <w:spacing w:after="0" w:line="202" w:lineRule="exact"/>
        <w:rPr>
          <w:sz w:val="20"/>
          <w:szCs w:val="20"/>
          <w:color w:val="auto"/>
        </w:rPr>
      </w:pPr>
    </w:p>
    <w:p>
      <w:pPr>
        <w:jc w:val="both"/>
        <w:ind w:left="600" w:hanging="598"/>
        <w:spacing w:after="0" w:line="239" w:lineRule="auto"/>
        <w:tabs>
          <w:tab w:leader="none" w:pos="6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19"/>
          <w:szCs w:val="19"/>
          <w:b w:val="1"/>
          <w:bCs w:val="1"/>
          <w:i w:val="1"/>
          <w:iCs w:val="1"/>
          <w:color w:val="auto"/>
        </w:rPr>
        <w:t>trade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trading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 include not only purchases and sales of the Company’s American Depositary Shares (“</w:t>
      </w:r>
      <w:r>
        <w:rPr>
          <w:rFonts w:ascii="Times New Roman" w:cs="Times New Roman" w:eastAsia="Times New Roman" w:hAnsi="Times New Roman"/>
          <w:sz w:val="19"/>
          <w:szCs w:val="19"/>
          <w:b w:val="1"/>
          <w:bCs w:val="1"/>
          <w:i w:val="1"/>
          <w:iCs w:val="1"/>
          <w:color w:val="auto"/>
        </w:rPr>
        <w:t>ADSs</w:t>
      </w:r>
      <w:r>
        <w:rPr>
          <w:rFonts w:ascii="Times New Roman" w:cs="Times New Roman" w:eastAsia="Times New Roman" w:hAnsi="Times New Roman"/>
          <w:sz w:val="19"/>
          <w:szCs w:val="19"/>
          <w:color w:val="auto"/>
        </w:rPr>
        <w:t>”) or ordinary shares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 In addition, from time to time. the Company may engage in transactions in its securities. It is the Company's policy to comply with applicable laws and regulations relating to insider trading.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Insider Trading and Material Nonpublic Information</w:t>
      </w:r>
    </w:p>
    <w:p>
      <w:pPr>
        <w:spacing w:after="0" w:line="198" w:lineRule="exact"/>
        <w:rPr>
          <w:sz w:val="20"/>
          <w:szCs w:val="20"/>
          <w:color w:val="auto"/>
        </w:rPr>
      </w:pPr>
    </w:p>
    <w:p>
      <w:pPr>
        <w:ind w:left="600" w:hanging="598"/>
        <w:spacing w:after="0"/>
        <w:tabs>
          <w:tab w:leader="none" w:pos="600" w:val="left"/>
        </w:tabs>
        <w:numPr>
          <w:ilvl w:val="0"/>
          <w:numId w:val="8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insider trading?</w:t>
      </w:r>
    </w:p>
    <w:p>
      <w:pPr>
        <w:spacing w:after="0" w:line="202" w:lineRule="exact"/>
        <w:rPr>
          <w:sz w:val="20"/>
          <w:szCs w:val="20"/>
          <w:color w:val="auto"/>
        </w:rPr>
      </w:pPr>
    </w:p>
    <w:p>
      <w:pPr>
        <w:jc w:val="both"/>
        <w:ind w:left="600" w:hanging="598"/>
        <w:spacing w:after="0" w:line="271" w:lineRule="auto"/>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speaking, insider trading is the buying or selling of American depositary shares, ordinary shares,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shares. It does not matter whether the decision to buy or sell was influenced by the material nonpublic information, how many shares you buy or sell, or whether it has an effect on the share price. Bottom line: If you are aware of material nonpublic information about the Company or another publicly traded company, including but not limited to, another publicly traded company that the Company has business relationships with, including but not limited to a customer, licensor, licensee, supplier, partner or other collaborator of the Company or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6" w:name="page207"/>
    <w:bookmarkEnd w:id="206"/>
    <w:p>
      <w:pPr>
        <w:ind w:left="600"/>
        <w:spacing w:after="0" w:line="261" w:lineRule="auto"/>
        <w:rPr>
          <w:sz w:val="20"/>
          <w:szCs w:val="20"/>
          <w:color w:val="auto"/>
        </w:rPr>
      </w:pPr>
      <w:r>
        <w:rPr>
          <w:rFonts w:ascii="Times New Roman" w:cs="Times New Roman" w:eastAsia="Times New Roman" w:hAnsi="Times New Roman"/>
          <w:sz w:val="19"/>
          <w:szCs w:val="19"/>
          <w:color w:val="auto"/>
        </w:rPr>
        <w:t>an economically-linked company such as a competitor of the Company, and you trade in the Company’s or such other company’s securities, you have broken the law.</w:t>
      </w:r>
    </w:p>
    <w:p>
      <w:pPr>
        <w:spacing w:after="0" w:line="153" w:lineRule="exact"/>
        <w:rPr>
          <w:sz w:val="20"/>
          <w:szCs w:val="20"/>
          <w:color w:val="auto"/>
        </w:rPr>
      </w:pPr>
    </w:p>
    <w:p>
      <w:pPr>
        <w:ind w:left="600" w:hanging="598"/>
        <w:spacing w:after="0"/>
        <w:tabs>
          <w:tab w:leader="none" w:pos="600" w:val="left"/>
        </w:tabs>
        <w:numPr>
          <w:ilvl w:val="0"/>
          <w:numId w:val="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Why is insider trading illegal?</w:t>
      </w:r>
    </w:p>
    <w:p>
      <w:pPr>
        <w:spacing w:after="0" w:line="202" w:lineRule="exact"/>
        <w:rPr>
          <w:sz w:val="20"/>
          <w:szCs w:val="20"/>
          <w:color w:val="auto"/>
        </w:rPr>
      </w:pPr>
    </w:p>
    <w:p>
      <w:pPr>
        <w:jc w:val="both"/>
        <w:ind w:left="600" w:hanging="598"/>
        <w:spacing w:after="0" w:line="248" w:lineRule="auto"/>
        <w:tabs>
          <w:tab w:leader="none" w:pos="60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64" w:lineRule="exact"/>
        <w:rPr>
          <w:sz w:val="20"/>
          <w:szCs w:val="20"/>
          <w:color w:val="auto"/>
        </w:rPr>
      </w:pPr>
    </w:p>
    <w:p>
      <w:pPr>
        <w:ind w:left="600" w:hanging="598"/>
        <w:spacing w:after="0"/>
        <w:tabs>
          <w:tab w:leader="none" w:pos="600" w:val="left"/>
        </w:tabs>
        <w:numPr>
          <w:ilvl w:val="0"/>
          <w:numId w:val="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material information?</w:t>
      </w:r>
    </w:p>
    <w:p>
      <w:pPr>
        <w:spacing w:after="0" w:line="202" w:lineRule="exact"/>
        <w:rPr>
          <w:sz w:val="20"/>
          <w:szCs w:val="20"/>
          <w:color w:val="auto"/>
        </w:rPr>
      </w:pPr>
    </w:p>
    <w:p>
      <w:pPr>
        <w:jc w:val="both"/>
        <w:ind w:left="600" w:hanging="598"/>
        <w:spacing w:after="0" w:line="241" w:lineRule="auto"/>
        <w:tabs>
          <w:tab w:leader="none" w:pos="6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4" w:lineRule="exact"/>
        <w:rPr>
          <w:sz w:val="20"/>
          <w:szCs w:val="20"/>
          <w:color w:val="auto"/>
        </w:rPr>
      </w:pPr>
    </w:p>
    <w:p>
      <w:pPr>
        <w:ind w:left="600" w:hanging="598"/>
        <w:spacing w:after="0"/>
        <w:tabs>
          <w:tab w:leader="none" w:pos="600"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examples of material information?</w:t>
      </w:r>
    </w:p>
    <w:p>
      <w:pPr>
        <w:spacing w:after="0" w:line="202" w:lineRule="exact"/>
        <w:rPr>
          <w:sz w:val="20"/>
          <w:szCs w:val="20"/>
          <w:color w:val="auto"/>
        </w:rPr>
      </w:pPr>
    </w:p>
    <w:p>
      <w:pPr>
        <w:jc w:val="both"/>
        <w:ind w:left="600" w:hanging="598"/>
        <w:spacing w:after="0" w:line="241" w:lineRule="auto"/>
        <w:tabs>
          <w:tab w:leader="none" w:pos="6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or forecasts;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status of product or product candidate development or regulatory approvals;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plans, timing, progress and results related to preclinical studies or clinical trials;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new products or processes;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dispositions or other strategic transactions;</w:t>
      </w:r>
    </w:p>
    <w:p>
      <w:pPr>
        <w:spacing w:after="0" w:line="97" w:lineRule="exact"/>
        <w:rPr>
          <w:rFonts w:ascii="Times New Roman" w:cs="Times New Roman" w:eastAsia="Times New Roman" w:hAnsi="Times New Roman"/>
          <w:sz w:val="19"/>
          <w:szCs w:val="19"/>
          <w:color w:val="auto"/>
        </w:rPr>
      </w:pPr>
    </w:p>
    <w:p>
      <w:pPr>
        <w:ind w:left="920" w:hanging="312"/>
        <w:spacing w:after="0" w:line="260" w:lineRule="auto"/>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the Company’s securities (e.g., repurchase plans, public or private equity or debt offerings, or changes in the Company’s dividend policies or amounts);</w:t>
      </w:r>
    </w:p>
    <w:p>
      <w:pPr>
        <w:spacing w:after="0" w:line="56"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contracts or contract cancellations;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gain or loss of a significant licensor, licensee or supplier;</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changes or developments in corporate partner relationships or collaborations;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or control changes;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restatements or significant writeoffs;</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layoffs;</w:t>
      </w:r>
    </w:p>
    <w:p>
      <w:pPr>
        <w:spacing w:after="0" w:line="97" w:lineRule="exact"/>
        <w:rPr>
          <w:rFonts w:ascii="Times New Roman" w:cs="Times New Roman" w:eastAsia="Times New Roman" w:hAnsi="Times New Roman"/>
          <w:sz w:val="19"/>
          <w:szCs w:val="19"/>
          <w:color w:val="auto"/>
        </w:rPr>
      </w:pPr>
    </w:p>
    <w:p>
      <w:pPr>
        <w:ind w:left="920" w:hanging="312"/>
        <w:spacing w:after="0" w:line="260" w:lineRule="auto"/>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breach or unauthorized access of the Company’s property or assets, including its facilities or information technology infrastructure;</w:t>
      </w:r>
    </w:p>
    <w:p>
      <w:pPr>
        <w:spacing w:after="0" w:line="56"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tender offers or proxy fights;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7" w:name="page208"/>
    <w:bookmarkEnd w:id="207"/>
    <w:p>
      <w:pPr>
        <w:ind w:left="920" w:hanging="312"/>
        <w:spacing w:after="0" w:line="266" w:lineRule="auto"/>
        <w:tabs>
          <w:tab w:leader="none" w:pos="92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threatened major litigation, Securities and Exchange Commission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or other investigations, or a major development in or the resolution of any such litigation or investigation;</w:t>
      </w:r>
    </w:p>
    <w:p>
      <w:pPr>
        <w:spacing w:after="0" w:line="51"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impending bankruptcy;</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communications with government agencies; and</w:t>
      </w:r>
    </w:p>
    <w:p>
      <w:pPr>
        <w:spacing w:after="0" w:line="97" w:lineRule="exact"/>
        <w:rPr>
          <w:rFonts w:ascii="Times New Roman" w:cs="Times New Roman" w:eastAsia="Times New Roman" w:hAnsi="Times New Roman"/>
          <w:sz w:val="19"/>
          <w:szCs w:val="19"/>
          <w:color w:val="auto"/>
        </w:rPr>
      </w:pPr>
    </w:p>
    <w:p>
      <w:pPr>
        <w:ind w:left="920" w:hanging="312"/>
        <w:spacing w:after="0"/>
        <w:tabs>
          <w:tab w:leader="none" w:pos="92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patents, trademarks or other intellectual property rights.</w:t>
      </w:r>
    </w:p>
    <w:p>
      <w:pPr>
        <w:spacing w:after="0" w:line="194" w:lineRule="exact"/>
        <w:rPr>
          <w:rFonts w:ascii="Times New Roman" w:cs="Times New Roman" w:eastAsia="Times New Roman" w:hAnsi="Times New Roman"/>
          <w:sz w:val="19"/>
          <w:szCs w:val="19"/>
          <w:color w:val="auto"/>
        </w:rPr>
      </w:pPr>
    </w:p>
    <w:p>
      <w:pPr>
        <w:ind w:left="600" w:hanging="598"/>
        <w:spacing w:after="0"/>
        <w:tabs>
          <w:tab w:leader="none" w:pos="600"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When is information considered public?</w:t>
      </w:r>
    </w:p>
    <w:p>
      <w:pPr>
        <w:spacing w:after="0" w:line="202" w:lineRule="exact"/>
        <w:rPr>
          <w:sz w:val="20"/>
          <w:szCs w:val="20"/>
          <w:color w:val="auto"/>
        </w:rPr>
      </w:pPr>
    </w:p>
    <w:p>
      <w:pPr>
        <w:jc w:val="both"/>
        <w:ind w:left="600" w:hanging="598"/>
        <w:spacing w:after="0" w:line="238" w:lineRule="auto"/>
        <w:tabs>
          <w:tab w:leader="none" w:pos="6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(2)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spacing w:after="0" w:line="173" w:lineRule="exact"/>
        <w:rPr>
          <w:sz w:val="20"/>
          <w:szCs w:val="20"/>
          <w:color w:val="auto"/>
        </w:rPr>
      </w:pPr>
    </w:p>
    <w:p>
      <w:pPr>
        <w:ind w:left="600" w:hanging="598"/>
        <w:spacing w:after="0"/>
        <w:tabs>
          <w:tab w:leader="none" w:pos="600"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 can be guilty of insider trading?</w:t>
      </w:r>
    </w:p>
    <w:p>
      <w:pPr>
        <w:spacing w:after="0" w:line="202" w:lineRule="exact"/>
        <w:rPr>
          <w:sz w:val="20"/>
          <w:szCs w:val="20"/>
          <w:color w:val="auto"/>
        </w:rPr>
      </w:pPr>
    </w:p>
    <w:p>
      <w:pPr>
        <w:jc w:val="both"/>
        <w:ind w:left="600" w:hanging="598"/>
        <w:spacing w:after="0" w:line="241" w:lineRule="auto"/>
        <w:tabs>
          <w:tab w:leader="none" w:pos="60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spacing w:after="0" w:line="174" w:lineRule="exact"/>
        <w:rPr>
          <w:sz w:val="20"/>
          <w:szCs w:val="20"/>
          <w:color w:val="auto"/>
        </w:rPr>
      </w:pPr>
    </w:p>
    <w:p>
      <w:pPr>
        <w:ind w:left="600" w:hanging="598"/>
        <w:spacing w:after="0" w:line="264" w:lineRule="auto"/>
        <w:tabs>
          <w:tab w:leader="none" w:pos="600" w:val="left"/>
        </w:tabs>
        <w:numPr>
          <w:ilvl w:val="0"/>
          <w:numId w:val="9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I am aware of material nonpublic information when I trade, but the reason I trade is because of something else, like to pay medical bills?</w:t>
      </w:r>
    </w:p>
    <w:p>
      <w:pPr>
        <w:spacing w:after="0" w:line="154" w:lineRule="exact"/>
        <w:rPr>
          <w:sz w:val="20"/>
          <w:szCs w:val="20"/>
          <w:color w:val="auto"/>
        </w:rPr>
      </w:pPr>
    </w:p>
    <w:p>
      <w:pPr>
        <w:jc w:val="both"/>
        <w:ind w:left="600" w:hanging="598"/>
        <w:spacing w:after="0" w:line="243" w:lineRule="auto"/>
        <w:tabs>
          <w:tab w:leader="none" w:pos="60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171" w:lineRule="exact"/>
        <w:rPr>
          <w:sz w:val="20"/>
          <w:szCs w:val="20"/>
          <w:color w:val="auto"/>
        </w:rPr>
      </w:pPr>
    </w:p>
    <w:p>
      <w:pPr>
        <w:ind w:left="600" w:hanging="598"/>
        <w:spacing w:after="0" w:line="264" w:lineRule="auto"/>
        <w:tabs>
          <w:tab w:leader="none" w:pos="600"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 the U.S. securities laws take into account mitigating circumstance, like avoiding a loss or planning a transaction before I had material nonpublic information?</w:t>
      </w:r>
    </w:p>
    <w:p>
      <w:pPr>
        <w:spacing w:after="0" w:line="154" w:lineRule="exact"/>
        <w:rPr>
          <w:sz w:val="20"/>
          <w:szCs w:val="20"/>
          <w:color w:val="auto"/>
        </w:rPr>
      </w:pPr>
    </w:p>
    <w:p>
      <w:pPr>
        <w:jc w:val="both"/>
        <w:ind w:left="600" w:hanging="598"/>
        <w:spacing w:after="0" w:line="243" w:lineRule="auto"/>
        <w:tabs>
          <w:tab w:leader="none" w:pos="60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8" w:name="page209"/>
    <w:bookmarkEnd w:id="208"/>
    <w:p>
      <w:pPr>
        <w:ind w:left="600"/>
        <w:spacing w:after="0" w:line="261" w:lineRule="auto"/>
        <w:rPr>
          <w:sz w:val="20"/>
          <w:szCs w:val="20"/>
          <w:color w:val="auto"/>
        </w:rPr>
      </w:pPr>
      <w:r>
        <w:rPr>
          <w:rFonts w:ascii="Times New Roman" w:cs="Times New Roman" w:eastAsia="Times New Roman" w:hAnsi="Times New Roman"/>
          <w:sz w:val="19"/>
          <w:szCs w:val="19"/>
          <w:color w:val="auto"/>
        </w:rPr>
        <w:t>material nonpublic information. So, even if you believe you may suffer an economic loss or sacrifice an anticipated profit by waiting to trade, you must wait.</w:t>
      </w:r>
    </w:p>
    <w:p>
      <w:pPr>
        <w:spacing w:after="0" w:line="153" w:lineRule="exact"/>
        <w:rPr>
          <w:sz w:val="20"/>
          <w:szCs w:val="20"/>
          <w:color w:val="auto"/>
        </w:rPr>
      </w:pPr>
    </w:p>
    <w:p>
      <w:pPr>
        <w:ind w:left="600" w:hanging="598"/>
        <w:spacing w:after="0" w:line="264" w:lineRule="auto"/>
        <w:tabs>
          <w:tab w:leader="none" w:pos="600" w:val="left"/>
        </w:tabs>
        <w:numPr>
          <w:ilvl w:val="0"/>
          <w:numId w:val="10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I don’t buy or sell anything, but I tell someone else material nonpublic information and he or she buys or sells?</w:t>
      </w:r>
    </w:p>
    <w:p>
      <w:pPr>
        <w:spacing w:after="0" w:line="154" w:lineRule="exact"/>
        <w:rPr>
          <w:sz w:val="20"/>
          <w:szCs w:val="20"/>
          <w:color w:val="auto"/>
        </w:rPr>
      </w:pPr>
    </w:p>
    <w:p>
      <w:pPr>
        <w:jc w:val="both"/>
        <w:ind w:left="600" w:hanging="598"/>
        <w:spacing w:after="0" w:line="239" w:lineRule="auto"/>
        <w:tabs>
          <w:tab w:leader="none" w:pos="60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177" w:lineRule="exact"/>
        <w:rPr>
          <w:rFonts w:ascii="Times New Roman" w:cs="Times New Roman" w:eastAsia="Times New Roman" w:hAnsi="Times New Roman"/>
          <w:sz w:val="19"/>
          <w:szCs w:val="19"/>
          <w:color w:val="auto"/>
        </w:rPr>
      </w:pPr>
    </w:p>
    <w:p>
      <w:pPr>
        <w:jc w:val="both"/>
        <w:ind w:left="600"/>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19"/>
          <w:szCs w:val="19"/>
          <w:b w:val="1"/>
          <w:bCs w:val="1"/>
          <w:i w:val="1"/>
          <w:iCs w:val="1"/>
          <w:color w:val="auto"/>
        </w:rPr>
        <w:t>For these and other reasons, no employee, director or consultant of the Company (or any other person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spacing w:after="0" w:line="177" w:lineRule="exact"/>
        <w:rPr>
          <w:sz w:val="20"/>
          <w:szCs w:val="20"/>
          <w:color w:val="auto"/>
        </w:rPr>
      </w:pPr>
    </w:p>
    <w:p>
      <w:pPr>
        <w:ind w:left="600" w:hanging="598"/>
        <w:spacing w:after="0"/>
        <w:tabs>
          <w:tab w:leader="none" w:pos="600" w:val="left"/>
        </w:tabs>
        <w:numPr>
          <w:ilvl w:val="0"/>
          <w:numId w:val="1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I don’t tell someone inside information itself; I just tell him or her whether to buy or sell?</w:t>
      </w:r>
    </w:p>
    <w:p>
      <w:pPr>
        <w:spacing w:after="0" w:line="202" w:lineRule="exact"/>
        <w:rPr>
          <w:sz w:val="20"/>
          <w:szCs w:val="20"/>
          <w:color w:val="auto"/>
        </w:rPr>
      </w:pPr>
    </w:p>
    <w:p>
      <w:pPr>
        <w:jc w:val="both"/>
        <w:ind w:left="600" w:hanging="598"/>
        <w:spacing w:after="0" w:line="248" w:lineRule="auto"/>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still tipping, and you can still be responsible for insider trading. You may never recommend to another person that they buy, hold or sell the Company’s ADSs or ordinary shares or any derivative security related to the Company’s ordinary shares while you are in possession of material nonpublic information, since that could be a form of tipping.</w:t>
      </w:r>
    </w:p>
    <w:p>
      <w:pPr>
        <w:spacing w:after="0" w:line="164" w:lineRule="exact"/>
        <w:rPr>
          <w:sz w:val="20"/>
          <w:szCs w:val="20"/>
          <w:color w:val="auto"/>
        </w:rPr>
      </w:pPr>
    </w:p>
    <w:p>
      <w:pPr>
        <w:ind w:left="600" w:hanging="598"/>
        <w:spacing w:after="0" w:line="264" w:lineRule="auto"/>
        <w:tabs>
          <w:tab w:leader="none" w:pos="600" w:val="left"/>
        </w:tabs>
        <w:numPr>
          <w:ilvl w:val="0"/>
          <w:numId w:val="1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So if I do not trade Company securities when I have material nonpublic information, and I don’t “tip” other people, I am in the clear, right?</w:t>
      </w:r>
    </w:p>
    <w:p>
      <w:pPr>
        <w:spacing w:after="0" w:line="154" w:lineRule="exact"/>
        <w:rPr>
          <w:sz w:val="20"/>
          <w:szCs w:val="20"/>
          <w:color w:val="auto"/>
        </w:rPr>
      </w:pPr>
    </w:p>
    <w:p>
      <w:pPr>
        <w:jc w:val="both"/>
        <w:ind w:left="600" w:hanging="598"/>
        <w:spacing w:after="0" w:line="241" w:lineRule="auto"/>
        <w:tabs>
          <w:tab w:leader="none" w:pos="60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necessarily. Even if you do not violate U.S. law, you may still violate our policies. For example, employees and consultants may violate our policies by breaching their confidentiality obligations or by recommending Company securities as an investment, even if these actions do not violate securities laws. Our policies are stricter than the law requires so that we and our employees and consultants can avoid even the appearance of wrongdoing. Therefore, please review all Company policies that apply to you carefully.</w:t>
      </w:r>
    </w:p>
    <w:p>
      <w:pPr>
        <w:spacing w:after="0" w:line="174" w:lineRule="exact"/>
        <w:rPr>
          <w:sz w:val="20"/>
          <w:szCs w:val="20"/>
          <w:color w:val="auto"/>
        </w:rPr>
      </w:pPr>
    </w:p>
    <w:p>
      <w:pPr>
        <w:ind w:left="600" w:hanging="598"/>
        <w:spacing w:after="0"/>
        <w:tabs>
          <w:tab w:leader="none" w:pos="600" w:val="left"/>
        </w:tabs>
        <w:numPr>
          <w:ilvl w:val="0"/>
          <w:numId w:val="1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Does this Policy or the insider trading laws apply to me if I work outside the U.S.?</w:t>
      </w:r>
    </w:p>
    <w:p>
      <w:pPr>
        <w:spacing w:after="0" w:line="202" w:lineRule="exact"/>
        <w:rPr>
          <w:sz w:val="20"/>
          <w:szCs w:val="20"/>
          <w:color w:val="auto"/>
        </w:rPr>
      </w:pPr>
    </w:p>
    <w:p>
      <w:pPr>
        <w:jc w:val="both"/>
        <w:ind w:left="600" w:hanging="598"/>
        <w:spacing w:after="0" w:line="243" w:lineRule="auto"/>
        <w:tabs>
          <w:tab w:leader="none" w:pos="6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The same rules apply to U.S. and foreign employees and consultants. Because ADSs representing the Company’s ordinary shares trade on a U.S. securities exchange, the insider trading laws of the United States apply. The SEC (the U.S. government agency in charge of investor protection) and the Financial Industry Regulatory Authority (a private regulator that oversees U.S. securities exchanges) routinely investigate trading in a company’s securities conducted by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9" w:name="page210"/>
    <w:bookmarkEnd w:id="209"/>
    <w:p>
      <w:pPr>
        <w:ind w:left="600"/>
        <w:spacing w:after="0" w:line="261" w:lineRule="auto"/>
        <w:rPr>
          <w:sz w:val="20"/>
          <w:szCs w:val="20"/>
          <w:color w:val="auto"/>
        </w:rPr>
      </w:pPr>
      <w:r>
        <w:rPr>
          <w:rFonts w:ascii="Times New Roman" w:cs="Times New Roman" w:eastAsia="Times New Roman" w:hAnsi="Times New Roman"/>
          <w:sz w:val="19"/>
          <w:szCs w:val="19"/>
          <w:color w:val="auto"/>
        </w:rPr>
        <w:t>individuals and firms based abroad. In addition, as a director, employee or consultant of the Company, our policies apply to you no matter where you work.</w:t>
      </w:r>
    </w:p>
    <w:p>
      <w:pPr>
        <w:spacing w:after="0" w:line="153" w:lineRule="exact"/>
        <w:rPr>
          <w:sz w:val="20"/>
          <w:szCs w:val="20"/>
          <w:color w:val="auto"/>
        </w:rPr>
      </w:pPr>
    </w:p>
    <w:p>
      <w:pPr>
        <w:ind w:left="600" w:hanging="598"/>
        <w:spacing w:after="0" w:line="264" w:lineRule="auto"/>
        <w:tabs>
          <w:tab w:leader="none" w:pos="600" w:val="left"/>
        </w:tabs>
        <w:numPr>
          <w:ilvl w:val="0"/>
          <w:numId w:val="1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 I restricted from trading securities of any companies other than the Company, for example a partner or competitor of the Company?</w:t>
      </w:r>
    </w:p>
    <w:p>
      <w:pPr>
        <w:spacing w:after="0" w:line="154" w:lineRule="exact"/>
        <w:rPr>
          <w:sz w:val="20"/>
          <w:szCs w:val="20"/>
          <w:color w:val="auto"/>
        </w:rPr>
      </w:pPr>
    </w:p>
    <w:p>
      <w:pPr>
        <w:jc w:val="both"/>
        <w:ind w:left="600" w:hanging="598"/>
        <w:spacing w:after="0" w:line="239" w:lineRule="auto"/>
        <w:tabs>
          <w:tab w:leader="none" w:pos="60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or if you learn material nonpublic information about any company that could affect the share price of another publicly traded company, you should not trade in that company’s or the other publicly traded company’s securities. You should be particularly conscious of this restriction if, through your position at the Company, you sometimes obtain sensitive, material information about other companies and their business dealings with the Company.</w:t>
      </w:r>
    </w:p>
    <w:p>
      <w:pPr>
        <w:spacing w:after="0" w:line="177" w:lineRule="exact"/>
        <w:rPr>
          <w:sz w:val="20"/>
          <w:szCs w:val="20"/>
          <w:color w:val="auto"/>
        </w:rPr>
      </w:pPr>
    </w:p>
    <w:p>
      <w:pPr>
        <w:ind w:left="600" w:hanging="598"/>
        <w:spacing w:after="0"/>
        <w:tabs>
          <w:tab w:leader="none" w:pos="600" w:val="left"/>
        </w:tabs>
        <w:numPr>
          <w:ilvl w:val="0"/>
          <w:numId w:val="1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So when can I buy or sell my Company securities?</w:t>
      </w:r>
    </w:p>
    <w:p>
      <w:pPr>
        <w:spacing w:after="0" w:line="202" w:lineRule="exact"/>
        <w:rPr>
          <w:sz w:val="20"/>
          <w:szCs w:val="20"/>
          <w:color w:val="auto"/>
        </w:rPr>
      </w:pPr>
    </w:p>
    <w:p>
      <w:pPr>
        <w:jc w:val="both"/>
        <w:ind w:left="600" w:hanging="598"/>
        <w:spacing w:after="0" w:line="270" w:lineRule="auto"/>
        <w:tabs>
          <w:tab w:leader="none" w:pos="6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are aware of material nonpublic information, you may not buy or sell ADSs or ordinary shares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 w:cs="Times New Roman" w:eastAsia="Times New Roman" w:hAnsi="Times New Roman"/>
          <w:sz w:val="17"/>
          <w:szCs w:val="17"/>
          <w:b w:val="1"/>
          <w:bCs w:val="1"/>
          <w:color w:val="auto"/>
        </w:rPr>
        <w:t>In addition, as discussed further below, even if you are not aware of any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nonpublic information, you may not trade ADSs or ordinary shares of the Company during any trading “blackout” period that applies to you</w:t>
      </w:r>
      <w:r>
        <w:rPr>
          <w:rFonts w:ascii="Times New Roman" w:cs="Times New Roman" w:eastAsia="Times New Roman" w:hAnsi="Times New Roman"/>
          <w:sz w:val="17"/>
          <w:szCs w:val="17"/>
          <w:color w:val="auto"/>
        </w:rPr>
        <w:t>. This Policy describes the quarterly trading blackout period, and additional event-driven trading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blackout periods (which may apply to you even if the quarterly trading blackout periods do not) may be announced by email.</w:t>
      </w:r>
    </w:p>
    <w:p>
      <w:pPr>
        <w:spacing w:after="0" w:line="150" w:lineRule="exact"/>
        <w:rPr>
          <w:sz w:val="20"/>
          <w:szCs w:val="20"/>
          <w:color w:val="auto"/>
        </w:rPr>
      </w:pPr>
    </w:p>
    <w:p>
      <w:pPr>
        <w:ind w:left="600" w:hanging="598"/>
        <w:spacing w:after="0"/>
        <w:tabs>
          <w:tab w:leader="none" w:pos="600" w:val="left"/>
        </w:tabs>
        <w:numPr>
          <w:ilvl w:val="0"/>
          <w:numId w:val="1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my relationship with the Company ends?</w:t>
      </w:r>
    </w:p>
    <w:p>
      <w:pPr>
        <w:spacing w:after="0" w:line="202" w:lineRule="exact"/>
        <w:rPr>
          <w:sz w:val="20"/>
          <w:szCs w:val="20"/>
          <w:color w:val="auto"/>
        </w:rPr>
      </w:pPr>
    </w:p>
    <w:p>
      <w:pPr>
        <w:jc w:val="both"/>
        <w:ind w:left="600" w:hanging="598"/>
        <w:spacing w:after="0" w:line="274" w:lineRule="auto"/>
        <w:tabs>
          <w:tab w:leader="none" w:pos="6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continues to apply to your transactions in the Company’s securities or the securities of other public companies engaged in business transactions with the Company even after your relationship with the Company has ended. If you are aware of material nonpublic information when your relationship with the Company ends, you may not trade the Company’s securities or the securities of other applicable companies until the material nonpublic information has been publicly disseminated or is no longer material. Further, if you leave the Company during a trading blackout period, then you may not trade the Company’s securities or the securities of other applicable companies until the trading blackout period has ended.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Blackout Periods</w:t>
      </w:r>
    </w:p>
    <w:p>
      <w:pPr>
        <w:spacing w:after="0" w:line="198" w:lineRule="exact"/>
        <w:rPr>
          <w:sz w:val="20"/>
          <w:szCs w:val="20"/>
          <w:color w:val="auto"/>
        </w:rPr>
      </w:pPr>
    </w:p>
    <w:p>
      <w:pPr>
        <w:ind w:left="600" w:hanging="598"/>
        <w:spacing w:after="0"/>
        <w:tabs>
          <w:tab w:leader="none" w:pos="600"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a quarterly trading blackout period?</w:t>
      </w:r>
    </w:p>
    <w:p>
      <w:pPr>
        <w:spacing w:after="0" w:line="202" w:lineRule="exact"/>
        <w:rPr>
          <w:sz w:val="20"/>
          <w:szCs w:val="20"/>
          <w:color w:val="auto"/>
        </w:rPr>
      </w:pPr>
    </w:p>
    <w:p>
      <w:pPr>
        <w:jc w:val="both"/>
        <w:ind w:left="600" w:hanging="598"/>
        <w:spacing w:after="0" w:line="241" w:lineRule="auto"/>
        <w:tabs>
          <w:tab w:leader="none" w:pos="60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minimize even the appearance of insider trading by the Company’s officers, directors, Specified Personnel,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Personnel, and their Related Persons will be able to trade in Company securities </w:t>
      </w:r>
      <w:r>
        <w:rPr>
          <w:rFonts w:ascii="Times New Roman" w:cs="Times New Roman" w:eastAsia="Times New Roman" w:hAnsi="Times New Roman"/>
          <w:sz w:val="19"/>
          <w:szCs w:val="19"/>
          <w:u w:val="single" w:color="auto"/>
          <w:color w:val="auto"/>
        </w:rPr>
        <w:t>only</w:t>
      </w:r>
      <w:r>
        <w:rPr>
          <w:rFonts w:ascii="Times New Roman" w:cs="Times New Roman" w:eastAsia="Times New Roman" w:hAnsi="Times New Roman"/>
          <w:sz w:val="19"/>
          <w:szCs w:val="19"/>
          <w:color w:val="auto"/>
        </w:rPr>
        <w:t xml:space="preserve"> during limited open trading window periods that generally will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0" w:name="page211"/>
    <w:bookmarkEnd w:id="210"/>
    <w:p>
      <w:pPr>
        <w:jc w:val="both"/>
        <w:ind w:left="600"/>
        <w:spacing w:after="0" w:line="244" w:lineRule="auto"/>
        <w:rPr>
          <w:sz w:val="20"/>
          <w:szCs w:val="20"/>
          <w:color w:val="auto"/>
        </w:rPr>
      </w:pPr>
      <w:r>
        <w:rPr>
          <w:rFonts w:ascii="Times New Roman" w:cs="Times New Roman" w:eastAsia="Times New Roman" w:hAnsi="Times New Roman"/>
          <w:sz w:val="19"/>
          <w:szCs w:val="19"/>
          <w:color w:val="auto"/>
        </w:rPr>
        <w:t>begin after two (2) full trading days have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p>
    <w:p>
      <w:pPr>
        <w:spacing w:after="0" w:line="169" w:lineRule="exact"/>
        <w:rPr>
          <w:sz w:val="20"/>
          <w:szCs w:val="20"/>
          <w:color w:val="auto"/>
        </w:rPr>
      </w:pPr>
    </w:p>
    <w:p>
      <w:pPr>
        <w:ind w:left="600" w:hanging="598"/>
        <w:spacing w:after="0"/>
        <w:tabs>
          <w:tab w:leader="none" w:pos="600" w:val="left"/>
        </w:tabs>
        <w:numPr>
          <w:ilvl w:val="0"/>
          <w:numId w:val="1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the Company’s quarterly trading blackout periods?</w:t>
      </w:r>
    </w:p>
    <w:p>
      <w:pPr>
        <w:spacing w:after="0" w:line="196" w:lineRule="exact"/>
        <w:rPr>
          <w:sz w:val="20"/>
          <w:szCs w:val="20"/>
          <w:color w:val="auto"/>
        </w:rPr>
      </w:pPr>
    </w:p>
    <w:p>
      <w:pPr>
        <w:ind w:left="600" w:hanging="598"/>
        <w:spacing w:after="0"/>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w:t>
      </w:r>
      <w:r>
        <w:rPr>
          <w:rFonts w:ascii="Times New Roman" w:cs="Times New Roman" w:eastAsia="Times New Roman" w:hAnsi="Times New Roman"/>
          <w:sz w:val="17"/>
          <w:szCs w:val="17"/>
          <w:b w:val="1"/>
          <w:bCs w:val="1"/>
          <w:i w:val="1"/>
          <w:iCs w:val="1"/>
          <w:color w:val="auto"/>
        </w:rPr>
        <w:t>quarterly trading blackout period</w:t>
      </w:r>
      <w:r>
        <w:rPr>
          <w:rFonts w:ascii="Times New Roman" w:cs="Times New Roman" w:eastAsia="Times New Roman" w:hAnsi="Times New Roman"/>
          <w:sz w:val="17"/>
          <w:szCs w:val="17"/>
          <w:color w:val="auto"/>
        </w:rPr>
        <w:t>” will generally begin on the last trading day of each fiscal quarter and end after two</w:t>
      </w:r>
    </w:p>
    <w:p>
      <w:pPr>
        <w:spacing w:after="0" w:line="4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(2) full trading days have elapsed since the public dissemination of the Company’s financial results for that quarter.</w:t>
      </w:r>
    </w:p>
    <w:p>
      <w:pPr>
        <w:spacing w:after="0" w:line="174" w:lineRule="exact"/>
        <w:rPr>
          <w:sz w:val="20"/>
          <w:szCs w:val="20"/>
          <w:color w:val="auto"/>
        </w:rPr>
      </w:pPr>
    </w:p>
    <w:p>
      <w:pPr>
        <w:ind w:left="600" w:hanging="598"/>
        <w:spacing w:after="0"/>
        <w:tabs>
          <w:tab w:leader="none" w:pos="600" w:val="left"/>
        </w:tabs>
        <w:numPr>
          <w:ilvl w:val="0"/>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the Company’s quarterly trading blackout periods change?</w:t>
      </w:r>
    </w:p>
    <w:p>
      <w:pPr>
        <w:spacing w:after="0" w:line="202" w:lineRule="exact"/>
        <w:rPr>
          <w:sz w:val="20"/>
          <w:szCs w:val="20"/>
          <w:color w:val="auto"/>
        </w:rPr>
      </w:pPr>
    </w:p>
    <w:p>
      <w:pPr>
        <w:jc w:val="both"/>
        <w:ind w:left="600" w:hanging="598"/>
        <w:spacing w:after="0" w:line="241" w:lineRule="auto"/>
        <w:tabs>
          <w:tab w:leader="none" w:pos="6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quarterly trading blackout period may commence early or may be extended if, in the judgment of the Chief Executive Officer or Chief Financial Officer, there exists undisclosed information that would make trades by Company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4" w:lineRule="exact"/>
        <w:rPr>
          <w:sz w:val="20"/>
          <w:szCs w:val="20"/>
          <w:color w:val="auto"/>
        </w:rPr>
      </w:pPr>
    </w:p>
    <w:p>
      <w:pPr>
        <w:ind w:left="600" w:hanging="598"/>
        <w:spacing w:after="0"/>
        <w:tabs>
          <w:tab w:leader="none" w:pos="600" w:val="left"/>
        </w:tabs>
        <w:numPr>
          <w:ilvl w:val="0"/>
          <w:numId w:val="1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Does the Company have blackout periods other than quarterly trading blackout periods?</w:t>
      </w:r>
    </w:p>
    <w:p>
      <w:pPr>
        <w:spacing w:after="0" w:line="202" w:lineRule="exact"/>
        <w:rPr>
          <w:sz w:val="20"/>
          <w:szCs w:val="20"/>
          <w:color w:val="auto"/>
        </w:rPr>
      </w:pPr>
    </w:p>
    <w:p>
      <w:pPr>
        <w:jc w:val="both"/>
        <w:ind w:left="600" w:hanging="598"/>
        <w:spacing w:after="0"/>
        <w:tabs>
          <w:tab w:leader="none" w:pos="60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From time to time, an event may occur that is material to the Company and is known by only a few officers, directors and/or other employees. So long as the event remains material and nonpublic, the persons designated by the Chief Executive Officer or Chief Financial Officer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w:t>
      </w:r>
    </w:p>
    <w:p>
      <w:pPr>
        <w:spacing w:after="0" w:line="175" w:lineRule="exact"/>
        <w:rPr>
          <w:sz w:val="20"/>
          <w:szCs w:val="20"/>
          <w:color w:val="auto"/>
        </w:rPr>
      </w:pPr>
    </w:p>
    <w:p>
      <w:pPr>
        <w:ind w:left="600" w:hanging="598"/>
        <w:spacing w:after="0" w:line="264" w:lineRule="auto"/>
        <w:tabs>
          <w:tab w:leader="none" w:pos="600"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If I am subject to a blackout period and I have an open order to buy or sell Company securities on the date a blackout period commences, can I leave it to my broker to cancel the open order and avoid executing the trade?</w:t>
      </w:r>
    </w:p>
    <w:p>
      <w:pPr>
        <w:spacing w:after="0" w:line="154" w:lineRule="exact"/>
        <w:rPr>
          <w:sz w:val="20"/>
          <w:szCs w:val="20"/>
          <w:color w:val="auto"/>
        </w:rPr>
      </w:pPr>
    </w:p>
    <w:p>
      <w:pPr>
        <w:jc w:val="both"/>
        <w:ind w:left="600" w:hanging="598"/>
        <w:spacing w:after="0" w:line="243" w:lineRule="auto"/>
        <w:tabs>
          <w:tab w:leader="none" w:pos="60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spacing w:after="0" w:line="171" w:lineRule="exact"/>
        <w:rPr>
          <w:sz w:val="20"/>
          <w:szCs w:val="20"/>
          <w:color w:val="auto"/>
        </w:rPr>
      </w:pPr>
    </w:p>
    <w:p>
      <w:pPr>
        <w:ind w:left="600" w:hanging="598"/>
        <w:spacing w:after="0"/>
        <w:tabs>
          <w:tab w:leader="none" w:pos="600"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 I subject to trading blackout periods if I am no longer an employee, director or consultant of the Company?</w:t>
      </w:r>
    </w:p>
    <w:p>
      <w:pPr>
        <w:spacing w:after="0" w:line="202" w:lineRule="exact"/>
        <w:rPr>
          <w:sz w:val="20"/>
          <w:szCs w:val="20"/>
          <w:color w:val="auto"/>
        </w:rPr>
      </w:pPr>
    </w:p>
    <w:p>
      <w:pPr>
        <w:jc w:val="both"/>
        <w:ind w:left="600" w:hanging="598"/>
        <w:spacing w:after="0"/>
        <w:tabs>
          <w:tab w:leader="none" w:pos="60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9"/>
          <w:szCs w:val="19"/>
          <w:b w:val="1"/>
          <w:bCs w:val="1"/>
          <w:color w:val="auto"/>
        </w:rPr>
        <w:t>Exceptions to this Policy</w:t>
      </w:r>
    </w:p>
    <w:p>
      <w:pPr>
        <w:spacing w:after="0" w:line="197" w:lineRule="exact"/>
        <w:rPr>
          <w:sz w:val="20"/>
          <w:szCs w:val="20"/>
          <w:color w:val="auto"/>
        </w:rPr>
      </w:pPr>
    </w:p>
    <w:p>
      <w:pPr>
        <w:ind w:left="600" w:hanging="598"/>
        <w:spacing w:after="0"/>
        <w:tabs>
          <w:tab w:leader="none" w:pos="600" w:val="left"/>
        </w:tabs>
        <w:numPr>
          <w:ilvl w:val="0"/>
          <w:numId w:val="1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Are there any exceptions to this policy?</w:t>
      </w:r>
    </w:p>
    <w:p>
      <w:pPr>
        <w:spacing w:after="0" w:line="202" w:lineRule="exact"/>
        <w:rPr>
          <w:sz w:val="20"/>
          <w:szCs w:val="20"/>
          <w:color w:val="auto"/>
        </w:rPr>
      </w:pPr>
    </w:p>
    <w:p>
      <w:pPr>
        <w:ind w:left="600" w:hanging="598"/>
        <w:spacing w:after="0"/>
        <w:tabs>
          <w:tab w:leader="none" w:pos="60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exceptions to this Policy, except as specifically noted below.</w:t>
      </w:r>
    </w:p>
    <w:p>
      <w:pPr>
        <w:spacing w:after="0" w:line="194" w:lineRule="exact"/>
        <w:rPr>
          <w:sz w:val="20"/>
          <w:szCs w:val="20"/>
          <w:color w:val="auto"/>
        </w:rPr>
      </w:pPr>
    </w:p>
    <w:p>
      <w:pPr>
        <w:ind w:left="600" w:hanging="598"/>
        <w:spacing w:after="0" w:line="264" w:lineRule="auto"/>
        <w:tabs>
          <w:tab w:leader="none" w:pos="600" w:val="left"/>
        </w:tabs>
        <w:numPr>
          <w:ilvl w:val="0"/>
          <w:numId w:val="1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exercise options granted to me by the Company, or participate in a Company employee share purchase plan, during a trading blackout period or when I possess material nonpublic information?</w:t>
      </w:r>
    </w:p>
    <w:p>
      <w:pPr>
        <w:spacing w:after="0" w:line="154" w:lineRule="exact"/>
        <w:rPr>
          <w:sz w:val="20"/>
          <w:szCs w:val="20"/>
          <w:color w:val="auto"/>
        </w:rPr>
      </w:pPr>
    </w:p>
    <w:p>
      <w:pPr>
        <w:jc w:val="both"/>
        <w:ind w:left="600" w:hanging="598"/>
        <w:spacing w:after="0" w:line="241" w:lineRule="auto"/>
        <w:tabs>
          <w:tab w:leader="none" w:pos="60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Yes. You may purchase shares by exercising your options or participating in a Company employee share purchase plan, but you may not sell the shares (even to pay the exercise price or any taxes due) during a trading blackout period, subject to the sell-to-cover situation addressed below, or any time that you are aware of material nonpublic information. To be clear, you may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174" w:lineRule="exact"/>
        <w:rPr>
          <w:sz w:val="20"/>
          <w:szCs w:val="20"/>
          <w:color w:val="auto"/>
        </w:rPr>
      </w:pPr>
    </w:p>
    <w:p>
      <w:pPr>
        <w:ind w:left="600" w:hanging="598"/>
        <w:spacing w:after="0"/>
        <w:tabs>
          <w:tab w:leader="none" w:pos="600" w:val="left"/>
        </w:tabs>
        <w:numPr>
          <w:ilvl w:val="0"/>
          <w:numId w:val="1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tax withholding transactions are not restricted by this Policy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600" w:hanging="598"/>
        <w:spacing w:after="0" w:line="237" w:lineRule="auto"/>
        <w:tabs>
          <w:tab w:leader="none" w:pos="6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Policy does not apply to the surrender of securities directly to the Company to satisfy tax withholding obligations as a result of the issuance of shares upon exercise of options or settlement of restricted share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issued by the Company. Of course, any market sale of the securities received upon exercise or settlement of any such equity awards remains subject to all provisions of this Policy whether or not for the purpose of generating the cash needed to pay the exercise price or pay taxes; provided, that employees may sell-to-cover that number of shares of the Company’s ADSs or ordinary shares necessary to satisfy the Company’s tax withholding obligations upon the settlement of RSUs granted under the Company’s equity incentive plans if such sell-to-cover arrangement is effected pursuant to either (i) a program implemented by the Board or a duly appointed committee of the Board or (ii) a written election by the individual employee, provided that in the case of an individual election (a) the election (including any changes to or termination of any election) is made during an open trading window period prior to the settlement of such RSUs and (b) at the time of such election, change or termination, as applicable, such individual was not in possession of material nonpublic information about the Company. For the avoidance of doubt, the subsequent sale of the shares acquired upon the delivery of the remaining vested RSUs is subject to all provisions of this Policy.</w:t>
      </w:r>
    </w:p>
    <w:p>
      <w:pPr>
        <w:spacing w:after="0" w:line="183" w:lineRule="exact"/>
        <w:rPr>
          <w:sz w:val="20"/>
          <w:szCs w:val="20"/>
          <w:color w:val="auto"/>
        </w:rPr>
      </w:pPr>
    </w:p>
    <w:p>
      <w:pPr>
        <w:ind w:left="600" w:hanging="598"/>
        <w:spacing w:after="0"/>
        <w:tabs>
          <w:tab w:leader="none" w:pos="600" w:val="left"/>
        </w:tabs>
        <w:numPr>
          <w:ilvl w:val="0"/>
          <w:numId w:val="1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Are mutual funds holding Company ADSs or ordinary shares subject to the trading blackout periods?</w:t>
      </w:r>
    </w:p>
    <w:p>
      <w:pPr>
        <w:spacing w:after="0" w:line="202" w:lineRule="exact"/>
        <w:rPr>
          <w:sz w:val="20"/>
          <w:szCs w:val="20"/>
          <w:color w:val="auto"/>
        </w:rPr>
      </w:pPr>
    </w:p>
    <w:p>
      <w:pPr>
        <w:ind w:left="600" w:hanging="598"/>
        <w:spacing w:after="0"/>
        <w:tabs>
          <w:tab w:leader="none" w:pos="60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You may trade in mutual funds holding Company ADSs or ordinary shares at any time.</w:t>
      </w:r>
    </w:p>
    <w:p>
      <w:pPr>
        <w:spacing w:after="0" w:line="194" w:lineRule="exact"/>
        <w:rPr>
          <w:sz w:val="20"/>
          <w:szCs w:val="20"/>
          <w:color w:val="auto"/>
        </w:rPr>
      </w:pPr>
    </w:p>
    <w:p>
      <w:pPr>
        <w:ind w:left="600" w:hanging="598"/>
        <w:spacing w:after="0"/>
        <w:tabs>
          <w:tab w:leader="none" w:pos="600" w:val="left"/>
        </w:tabs>
        <w:numPr>
          <w:ilvl w:val="0"/>
          <w:numId w:val="1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the rules that apply to 10b5-1 Automatic Trading Programs?</w:t>
      </w:r>
    </w:p>
    <w:p>
      <w:pPr>
        <w:spacing w:after="0" w:line="196" w:lineRule="exact"/>
        <w:rPr>
          <w:sz w:val="20"/>
          <w:szCs w:val="20"/>
          <w:color w:val="auto"/>
        </w:rPr>
      </w:pPr>
    </w:p>
    <w:p>
      <w:pPr>
        <w:jc w:val="both"/>
        <w:ind w:left="600" w:hanging="598"/>
        <w:spacing w:after="0"/>
        <w:tabs>
          <w:tab w:leader="none" w:pos="60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Rule 10b5-1 of the Securities Exchange Act of 1934, as amended (the “</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any person may establish a trading plan under which a broker is instructed to buy and sell Company securities based on pre-determined criteria (a “</w:t>
      </w:r>
      <w:r>
        <w:rPr>
          <w:rFonts w:ascii="Times New Roman" w:cs="Times New Roman" w:eastAsia="Times New Roman" w:hAnsi="Times New Roman"/>
          <w:sz w:val="19"/>
          <w:szCs w:val="19"/>
          <w:b w:val="1"/>
          <w:bCs w:val="1"/>
          <w:i w:val="1"/>
          <w:iCs w:val="1"/>
          <w:color w:val="auto"/>
        </w:rPr>
        <w:t>Trading Plan</w:t>
      </w:r>
      <w:r>
        <w:rPr>
          <w:rFonts w:ascii="Times New Roman" w:cs="Times New Roman" w:eastAsia="Times New Roman" w:hAnsi="Times New Roman"/>
          <w:sz w:val="19"/>
          <w:szCs w:val="19"/>
          <w:color w:val="auto"/>
        </w:rPr>
        <w:t>”). So long as a Trading Plan is properly established, purchases and sales of Company securities pursuant to that Trading 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they were not otherwise subject to a trading blackout period. Moreover, all Trading Plans to be adopted by officers, directors, Specified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212" w:name="page213"/>
    <w:bookmarkEnd w:id="212"/>
    <w:p>
      <w:pPr>
        <w:jc w:val="both"/>
        <w:ind w:left="600"/>
        <w:spacing w:after="0" w:line="248" w:lineRule="auto"/>
        <w:rPr>
          <w:sz w:val="20"/>
          <w:szCs w:val="20"/>
          <w:color w:val="auto"/>
        </w:rPr>
      </w:pPr>
      <w:r>
        <w:rPr>
          <w:rFonts w:ascii="Times New Roman" w:cs="Times New Roman" w:eastAsia="Times New Roman" w:hAnsi="Times New Roman"/>
          <w:sz w:val="19"/>
          <w:szCs w:val="19"/>
          <w:color w:val="auto"/>
        </w:rPr>
        <w:t>Personnel and their Related Persons must be reviewed and approved by the Company before being established to confirm that the Trading Plan complies with all pertinent company policies and applicable securities laws. See “Pre-Clearance of Transactions in Company ADSs or Ordinary Shares” below.</w:t>
      </w:r>
    </w:p>
    <w:p>
      <w:pPr>
        <w:spacing w:after="0" w:line="165" w:lineRule="exact"/>
        <w:rPr>
          <w:sz w:val="20"/>
          <w:szCs w:val="20"/>
          <w:color w:val="auto"/>
        </w:rPr>
      </w:pPr>
    </w:p>
    <w:p>
      <w:pPr>
        <w:ind w:left="600" w:hanging="598"/>
        <w:spacing w:after="0" w:line="264" w:lineRule="auto"/>
        <w:tabs>
          <w:tab w:leader="none" w:pos="600" w:val="left"/>
        </w:tabs>
        <w:numPr>
          <w:ilvl w:val="0"/>
          <w:numId w:val="1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gift ADSs or ordinary shares while I possess material nonpublic information or during a trading blackout period?</w:t>
      </w:r>
    </w:p>
    <w:p>
      <w:pPr>
        <w:spacing w:after="0" w:line="154" w:lineRule="exact"/>
        <w:rPr>
          <w:sz w:val="20"/>
          <w:szCs w:val="20"/>
          <w:color w:val="auto"/>
        </w:rPr>
      </w:pPr>
    </w:p>
    <w:p>
      <w:pPr>
        <w:jc w:val="both"/>
        <w:ind w:left="600" w:hanging="598"/>
        <w:spacing w:after="0" w:line="243" w:lineRule="auto"/>
        <w:tabs>
          <w:tab w:leader="none" w:pos="60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 gift of ADSs or ordinary shares could subject the donor to insider trading liability if the donor was aware of material nonpublic information at the time of the gift and knew or was reckless in not knowing that the done would sell the securities prior to the disclosure of such information. Therefore, gifts may only be made when you are not in possession of material nonpublic information and not subject to a trading blackout period.</w:t>
      </w:r>
    </w:p>
    <w:p>
      <w:pPr>
        <w:spacing w:after="0" w:line="171" w:lineRule="exact"/>
        <w:rPr>
          <w:sz w:val="20"/>
          <w:szCs w:val="20"/>
          <w:color w:val="auto"/>
        </w:rPr>
      </w:pPr>
    </w:p>
    <w:p>
      <w:pPr>
        <w:ind w:left="600" w:hanging="598"/>
        <w:spacing w:after="0"/>
        <w:tabs>
          <w:tab w:leader="none" w:pos="600" w:val="left"/>
        </w:tabs>
        <w:numPr>
          <w:ilvl w:val="0"/>
          <w:numId w:val="1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Are purchases of Company securities in a 401(k) plan allowed by this Policy?</w:t>
      </w:r>
    </w:p>
    <w:p>
      <w:pPr>
        <w:spacing w:after="0" w:line="198" w:lineRule="exact"/>
        <w:rPr>
          <w:sz w:val="20"/>
          <w:szCs w:val="20"/>
          <w:color w:val="auto"/>
        </w:rPr>
      </w:pPr>
    </w:p>
    <w:p>
      <w:pPr>
        <w:jc w:val="both"/>
        <w:ind w:left="600" w:hanging="605"/>
        <w:spacing w:after="0" w:line="239" w:lineRule="auto"/>
        <w:tabs>
          <w:tab w:leader="none" w:pos="580" w:val="left"/>
        </w:tabs>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securities fund; (b) an election to make an intra-plan transfer of an existing account balance into or out of the Company securities fund; (c) an election to borrow money against your 401(k) plan account if the loan will result in a liquidation of some or all of the balance of your Company securities fund; and (d) an election to pre-pay a plan loan if the pre-payment will result in allocation of loan proceeds to the Company securities fund.</w:t>
      </w:r>
    </w:p>
    <w:p>
      <w:pPr>
        <w:spacing w:after="0" w:line="178" w:lineRule="exact"/>
        <w:rPr>
          <w:sz w:val="20"/>
          <w:szCs w:val="20"/>
          <w:color w:val="auto"/>
        </w:rPr>
      </w:pPr>
    </w:p>
    <w:p>
      <w:pPr>
        <w:ind w:left="600" w:hanging="598"/>
        <w:spacing w:after="0" w:line="264" w:lineRule="auto"/>
        <w:tabs>
          <w:tab w:leader="none" w:pos="600" w:val="left"/>
        </w:tabs>
        <w:numPr>
          <w:ilvl w:val="0"/>
          <w:numId w:val="1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Are purchases or sales of Company securities by directors or executive officers during 401(k) or pension plan “blackout periods” allowed by this Policy?</w:t>
      </w:r>
    </w:p>
    <w:p>
      <w:pPr>
        <w:spacing w:after="0" w:line="150" w:lineRule="exact"/>
        <w:rPr>
          <w:sz w:val="20"/>
          <w:szCs w:val="20"/>
          <w:color w:val="auto"/>
        </w:rPr>
      </w:pPr>
    </w:p>
    <w:p>
      <w:pPr>
        <w:jc w:val="both"/>
        <w:ind w:left="600" w:hanging="605"/>
        <w:spacing w:after="0" w:line="268" w:lineRule="auto"/>
        <w:tabs>
          <w:tab w:leader="none" w:pos="580" w:val="left"/>
        </w:tabs>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7"/>
          <w:szCs w:val="17"/>
          <w:color w:val="auto"/>
        </w:rPr>
        <w:t>No. If the Company is required to impose a 401(k) or pension plan “blackout period” (as defined in Regulation BTR under the Exchange Act) on a 401(k) or pension plan maintained by the Company, no director or executive officer of the Company may, directly or indirectly, purchase, sell or otherwise transfer any equity security of the Company (other than an exempt security) during any such “blackout period”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The Company will notify each director and executive officer of any blackout periods in accordance with the provisions of Regulation BTR. Because Regulation BTR is very complex, no director or executive officer of the Company should engage in any transactions in the Company’s securities, even if believed to be exempt from Regulation BTR, without first consulting with the Company’s Compliance Officer.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Margin Accounts, Pledging Securities, Hedging and Other Speculation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3" w:name="page214"/>
    <w:bookmarkEnd w:id="213"/>
    <w:p>
      <w:pPr>
        <w:ind w:left="600" w:hanging="598"/>
        <w:spacing w:after="0"/>
        <w:tabs>
          <w:tab w:leader="none" w:pos="600" w:val="left"/>
        </w:tabs>
        <w:numPr>
          <w:ilvl w:val="0"/>
          <w:numId w:val="1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purchase Company securities on margin or hold them in a margin account?</w:t>
      </w:r>
    </w:p>
    <w:p>
      <w:pPr>
        <w:spacing w:after="0" w:line="201" w:lineRule="exact"/>
        <w:rPr>
          <w:sz w:val="20"/>
          <w:szCs w:val="20"/>
          <w:color w:val="auto"/>
        </w:rPr>
      </w:pPr>
    </w:p>
    <w:p>
      <w:pPr>
        <w:jc w:val="both"/>
        <w:ind w:left="600" w:hanging="598"/>
        <w:spacing w:after="0" w:line="243" w:lineRule="auto"/>
        <w:tabs>
          <w:tab w:leader="none" w:pos="60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ADSs or ordinary shares on margin or hold it in a margin account at any time.</w:t>
      </w:r>
    </w:p>
    <w:p>
      <w:pPr>
        <w:spacing w:after="0" w:line="171" w:lineRule="exact"/>
        <w:rPr>
          <w:sz w:val="20"/>
          <w:szCs w:val="20"/>
          <w:color w:val="auto"/>
        </w:rPr>
      </w:pPr>
    </w:p>
    <w:p>
      <w:pPr>
        <w:ind w:left="600" w:hanging="598"/>
        <w:spacing w:after="0"/>
        <w:tabs>
          <w:tab w:leader="none" w:pos="600" w:val="left"/>
        </w:tabs>
        <w:numPr>
          <w:ilvl w:val="0"/>
          <w:numId w:val="1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pledge my Company ADSs or ordinary shares as collateral for a loan?</w:t>
      </w:r>
    </w:p>
    <w:p>
      <w:pPr>
        <w:spacing w:after="0" w:line="202" w:lineRule="exact"/>
        <w:rPr>
          <w:sz w:val="20"/>
          <w:szCs w:val="20"/>
          <w:color w:val="auto"/>
        </w:rPr>
      </w:pPr>
    </w:p>
    <w:p>
      <w:pPr>
        <w:jc w:val="both"/>
        <w:ind w:left="600" w:hanging="598"/>
        <w:spacing w:after="0" w:line="248" w:lineRule="auto"/>
        <w:tabs>
          <w:tab w:leader="none" w:pos="60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Pledging your ADSs or ordinary shares as collateral for a loan could cause the pledgee to transfer your securities during a trading blackout period or when you are otherwise aware of material nonpublic information. As a result, you may not pledge your ADSs or ordinary shares as collateral for a loan.</w:t>
      </w:r>
    </w:p>
    <w:p>
      <w:pPr>
        <w:spacing w:after="0" w:line="164" w:lineRule="exact"/>
        <w:rPr>
          <w:sz w:val="20"/>
          <w:szCs w:val="20"/>
          <w:color w:val="auto"/>
        </w:rPr>
      </w:pPr>
    </w:p>
    <w:p>
      <w:pPr>
        <w:ind w:left="600" w:hanging="598"/>
        <w:spacing w:after="0"/>
        <w:tabs>
          <w:tab w:leader="none" w:pos="600" w:val="left"/>
        </w:tabs>
        <w:numPr>
          <w:ilvl w:val="0"/>
          <w:numId w:val="1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problematic about margin accounts and pledged securities?</w:t>
      </w:r>
    </w:p>
    <w:p>
      <w:pPr>
        <w:spacing w:after="0" w:line="202" w:lineRule="exact"/>
        <w:rPr>
          <w:sz w:val="20"/>
          <w:szCs w:val="20"/>
          <w:color w:val="auto"/>
        </w:rPr>
      </w:pPr>
    </w:p>
    <w:p>
      <w:pPr>
        <w:jc w:val="both"/>
        <w:ind w:left="600" w:hanging="598"/>
        <w:spacing w:after="0"/>
        <w:tabs>
          <w:tab w:leader="none" w:pos="60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 securities as collateral for a loan.</w:t>
      </w:r>
    </w:p>
    <w:p>
      <w:pPr>
        <w:spacing w:after="0" w:line="175" w:lineRule="exact"/>
        <w:rPr>
          <w:sz w:val="20"/>
          <w:szCs w:val="20"/>
          <w:color w:val="auto"/>
        </w:rPr>
      </w:pPr>
    </w:p>
    <w:p>
      <w:pPr>
        <w:ind w:left="600" w:hanging="598"/>
        <w:spacing w:after="0"/>
        <w:tabs>
          <w:tab w:leader="none" w:pos="600" w:val="left"/>
        </w:tabs>
        <w:numPr>
          <w:ilvl w:val="0"/>
          <w:numId w:val="1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Can I hedge my ownership position in the Company?</w:t>
      </w:r>
    </w:p>
    <w:p>
      <w:pPr>
        <w:spacing w:after="0" w:line="202" w:lineRule="exact"/>
        <w:rPr>
          <w:sz w:val="20"/>
          <w:szCs w:val="20"/>
          <w:color w:val="auto"/>
        </w:rPr>
      </w:pPr>
    </w:p>
    <w:p>
      <w:pPr>
        <w:ind w:left="600" w:hanging="598"/>
        <w:spacing w:after="0" w:line="260" w:lineRule="auto"/>
        <w:tabs>
          <w:tab w:leader="none" w:pos="6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Hedging or monetization transactions, including through the use of financial instruments such as prepaid variable forwards, equity swaps, collars and exchange funds are prohibited by this Policy.</w:t>
      </w:r>
    </w:p>
    <w:p>
      <w:pPr>
        <w:spacing w:after="0" w:line="154" w:lineRule="exact"/>
        <w:rPr>
          <w:sz w:val="20"/>
          <w:szCs w:val="20"/>
          <w:color w:val="auto"/>
        </w:rPr>
      </w:pPr>
    </w:p>
    <w:p>
      <w:pPr>
        <w:ind w:left="600" w:hanging="598"/>
        <w:spacing w:after="0"/>
        <w:tabs>
          <w:tab w:leader="none" w:pos="600" w:val="left"/>
        </w:tabs>
        <w:numPr>
          <w:ilvl w:val="0"/>
          <w:numId w:val="1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Why are hedging transactions prohibited?</w:t>
      </w:r>
    </w:p>
    <w:p>
      <w:pPr>
        <w:spacing w:after="0" w:line="202" w:lineRule="exact"/>
        <w:rPr>
          <w:sz w:val="20"/>
          <w:szCs w:val="20"/>
          <w:color w:val="auto"/>
        </w:rPr>
      </w:pPr>
    </w:p>
    <w:p>
      <w:pPr>
        <w:jc w:val="both"/>
        <w:ind w:left="600" w:hanging="598"/>
        <w:spacing w:after="0" w:line="243" w:lineRule="auto"/>
        <w:tabs>
          <w:tab w:leader="none" w:pos="60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shareholders. Therefore, all persons subject to this Policy are prohibited from engaging in any such transactions.</w:t>
      </w:r>
    </w:p>
    <w:p>
      <w:pPr>
        <w:spacing w:after="0" w:line="171" w:lineRule="exact"/>
        <w:rPr>
          <w:sz w:val="20"/>
          <w:szCs w:val="20"/>
          <w:color w:val="auto"/>
        </w:rPr>
      </w:pPr>
    </w:p>
    <w:p>
      <w:pPr>
        <w:ind w:left="600" w:hanging="598"/>
        <w:spacing w:after="0"/>
        <w:tabs>
          <w:tab w:leader="none" w:pos="600" w:val="left"/>
        </w:tabs>
        <w:numPr>
          <w:ilvl w:val="0"/>
          <w:numId w:val="1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 I allowed to trade derivative securities of Company ADSs or ordinary shares?</w:t>
      </w:r>
    </w:p>
    <w:p>
      <w:pPr>
        <w:spacing w:after="0" w:line="202" w:lineRule="exact"/>
        <w:rPr>
          <w:sz w:val="20"/>
          <w:szCs w:val="20"/>
          <w:color w:val="auto"/>
        </w:rPr>
      </w:pPr>
    </w:p>
    <w:p>
      <w:pPr>
        <w:ind w:left="600" w:hanging="598"/>
        <w:spacing w:after="0" w:line="319" w:lineRule="auto"/>
        <w:tabs>
          <w:tab w:leader="none" w:pos="6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You may not trade in derivative securities related to Company ADSs or ordinary shares, which include publicly traded call and put options. In addition, you may not engage in short selling of Company ADSs or ordinary shares at any time.</w:t>
      </w:r>
    </w:p>
    <w:p>
      <w:pPr>
        <w:spacing w:after="0" w:line="107" w:lineRule="exact"/>
        <w:rPr>
          <w:sz w:val="20"/>
          <w:szCs w:val="20"/>
          <w:color w:val="auto"/>
        </w:rPr>
      </w:pPr>
    </w:p>
    <w:p>
      <w:pPr>
        <w:ind w:left="600" w:hanging="598"/>
        <w:spacing w:after="0"/>
        <w:tabs>
          <w:tab w:leader="none" w:pos="600" w:val="left"/>
        </w:tabs>
        <w:numPr>
          <w:ilvl w:val="0"/>
          <w:numId w:val="1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derivative securities?</w:t>
      </w:r>
    </w:p>
    <w:p>
      <w:pPr>
        <w:spacing w:after="0" w:line="202" w:lineRule="exact"/>
        <w:rPr>
          <w:sz w:val="20"/>
          <w:szCs w:val="20"/>
          <w:color w:val="auto"/>
        </w:rPr>
      </w:pPr>
    </w:p>
    <w:p>
      <w:pPr>
        <w:jc w:val="both"/>
        <w:ind w:left="600" w:hanging="598"/>
        <w:spacing w:after="0" w:line="243" w:lineRule="auto"/>
        <w:tabs>
          <w:tab w:leader="none" w:pos="60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“Derivative securities” are securities other than ADSs or ordinary shares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214" w:name="page215"/>
    <w:bookmarkEnd w:id="214"/>
    <w:p>
      <w:pPr>
        <w:ind w:left="600" w:hanging="598"/>
        <w:spacing w:after="0"/>
        <w:tabs>
          <w:tab w:leader="none" w:pos="600" w:val="left"/>
        </w:tabs>
        <w:numPr>
          <w:ilvl w:val="0"/>
          <w:numId w:val="1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short selling?</w:t>
      </w:r>
    </w:p>
    <w:p>
      <w:pPr>
        <w:spacing w:after="0" w:line="203" w:lineRule="exact"/>
        <w:rPr>
          <w:sz w:val="20"/>
          <w:szCs w:val="20"/>
          <w:color w:val="auto"/>
        </w:rPr>
      </w:pPr>
    </w:p>
    <w:p>
      <w:pPr>
        <w:jc w:val="both"/>
        <w:ind w:left="600" w:hanging="598"/>
        <w:spacing w:after="0" w:line="248" w:lineRule="auto"/>
        <w:tabs>
          <w:tab w:leader="none" w:pos="60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 selling” is profiting when you expect the price of the securities to decline, and includes transactions in which you borrow securities from a broker, sell it, and eventually buy it back on the market to return the borrowed securities to the broker. Profit is realized if the price of the security decreases during the period of borrowing.</w:t>
      </w:r>
    </w:p>
    <w:p>
      <w:pPr>
        <w:spacing w:after="0" w:line="164" w:lineRule="exact"/>
        <w:rPr>
          <w:sz w:val="20"/>
          <w:szCs w:val="20"/>
          <w:color w:val="auto"/>
        </w:rPr>
      </w:pPr>
    </w:p>
    <w:p>
      <w:pPr>
        <w:ind w:left="600" w:hanging="598"/>
        <w:spacing w:after="0"/>
        <w:tabs>
          <w:tab w:leader="none" w:pos="600" w:val="left"/>
        </w:tabs>
        <w:numPr>
          <w:ilvl w:val="0"/>
          <w:numId w:val="1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Why does the Company prohibit trading in derivative securities and short selling?</w:t>
      </w:r>
    </w:p>
    <w:p>
      <w:pPr>
        <w:spacing w:after="0" w:line="202" w:lineRule="exact"/>
        <w:rPr>
          <w:sz w:val="20"/>
          <w:szCs w:val="20"/>
          <w:color w:val="auto"/>
        </w:rPr>
      </w:pPr>
    </w:p>
    <w:p>
      <w:pPr>
        <w:jc w:val="both"/>
        <w:ind w:left="600" w:hanging="598"/>
        <w:spacing w:after="0" w:line="241" w:lineRule="auto"/>
        <w:tabs>
          <w:tab w:leader="none" w:pos="60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Many companies with volatile share prices have adopted similar policies because of the temptation it represents to try to benefit from a relatively low-cost method of trading on short-term swings in share prices, without actually holding the underlying ADSs or ordinary shares, and encourages speculative trading. The Company is dedicated to building shareholder value; short selling the Company’s ADSs or ordinary shares conflicts with its values and would not be well-received by its shareholders.</w:t>
      </w:r>
    </w:p>
    <w:p>
      <w:pPr>
        <w:spacing w:after="0" w:line="174" w:lineRule="exact"/>
        <w:rPr>
          <w:sz w:val="20"/>
          <w:szCs w:val="20"/>
          <w:color w:val="auto"/>
        </w:rPr>
      </w:pPr>
    </w:p>
    <w:p>
      <w:pPr>
        <w:ind w:left="600" w:hanging="598"/>
        <w:spacing w:after="0"/>
        <w:tabs>
          <w:tab w:leader="none" w:pos="600" w:val="left"/>
        </w:tabs>
        <w:numPr>
          <w:ilvl w:val="0"/>
          <w:numId w:val="1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if I purchased publicly traded options or other derivative securities before I became subject to this Policy?</w:t>
      </w:r>
    </w:p>
    <w:p>
      <w:pPr>
        <w:spacing w:after="0" w:line="202" w:lineRule="exact"/>
        <w:rPr>
          <w:sz w:val="20"/>
          <w:szCs w:val="20"/>
          <w:color w:val="auto"/>
        </w:rPr>
      </w:pPr>
    </w:p>
    <w:p>
      <w:pPr>
        <w:ind w:left="600" w:hanging="598"/>
        <w:spacing w:after="0" w:line="319" w:lineRule="auto"/>
        <w:tabs>
          <w:tab w:leader="none" w:pos="60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same rules apply as for employee share options. You may exercise the publicly traded options at any time, but you may not sell the securities during a trading blackout period or at any time that you are aware of material nonpublic information.</w:t>
      </w:r>
    </w:p>
    <w:p>
      <w:pPr>
        <w:spacing w:after="0" w:line="107" w:lineRule="exact"/>
        <w:rPr>
          <w:sz w:val="20"/>
          <w:szCs w:val="20"/>
          <w:color w:val="auto"/>
        </w:rPr>
      </w:pPr>
    </w:p>
    <w:p>
      <w:pPr>
        <w:ind w:left="600" w:hanging="598"/>
        <w:spacing w:after="0"/>
        <w:tabs>
          <w:tab w:leader="none" w:pos="600" w:val="left"/>
        </w:tabs>
        <w:numPr>
          <w:ilvl w:val="0"/>
          <w:numId w:val="1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the concerns about standing and limit order</w:t>
      </w:r>
      <w:r>
        <w:rPr>
          <w:rFonts w:ascii="Times New Roman" w:cs="Times New Roman" w:eastAsia="Times New Roman" w:hAnsi="Times New Roman"/>
          <w:sz w:val="19"/>
          <w:szCs w:val="19"/>
          <w:color w:val="auto"/>
        </w:rPr>
        <w:t>s?</w:t>
      </w:r>
    </w:p>
    <w:p>
      <w:pPr>
        <w:spacing w:after="0" w:line="202" w:lineRule="exact"/>
        <w:rPr>
          <w:sz w:val="20"/>
          <w:szCs w:val="20"/>
          <w:color w:val="auto"/>
        </w:rPr>
      </w:pPr>
    </w:p>
    <w:p>
      <w:pPr>
        <w:jc w:val="both"/>
        <w:ind w:left="600" w:hanging="598"/>
        <w:spacing w:after="0" w:line="238" w:lineRule="auto"/>
        <w:tabs>
          <w:tab w:leader="none" w:pos="60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and other blackout periods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Pre-Clearance of Transactions in ADSs or Ordinary Shares</w:t>
      </w:r>
    </w:p>
    <w:p>
      <w:pPr>
        <w:spacing w:after="0" w:line="198" w:lineRule="exact"/>
        <w:rPr>
          <w:sz w:val="20"/>
          <w:szCs w:val="20"/>
          <w:color w:val="auto"/>
        </w:rPr>
      </w:pPr>
    </w:p>
    <w:p>
      <w:pPr>
        <w:ind w:left="600" w:hanging="598"/>
        <w:spacing w:after="0"/>
        <w:tabs>
          <w:tab w:leader="none" w:pos="600" w:val="left"/>
        </w:tabs>
        <w:numPr>
          <w:ilvl w:val="0"/>
          <w:numId w:val="1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 is required to pre-clear and provide advance notice of transactions?</w:t>
      </w:r>
    </w:p>
    <w:p>
      <w:pPr>
        <w:spacing w:after="0" w:line="202" w:lineRule="exact"/>
        <w:rPr>
          <w:sz w:val="20"/>
          <w:szCs w:val="20"/>
          <w:color w:val="auto"/>
        </w:rPr>
      </w:pPr>
    </w:p>
    <w:p>
      <w:pPr>
        <w:jc w:val="both"/>
        <w:ind w:left="600" w:hanging="598"/>
        <w:spacing w:after="0" w:line="266" w:lineRule="auto"/>
        <w:tabs>
          <w:tab w:leader="none" w:pos="60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above, officers, directors and other applicable members of management who have been notified that they are subject to pre-clearance requirements and their Related Persons face a further restriction: Even during an open trading window, they may not engage in any transaction in the Company’s securities without first obtaining pre-clearance of the transaction from the Compliance Coordinator at least two (2) business days in advance of the proposed transaction. If the Compliance Coordinator determines that the transaction does not violate the federal securities laws or a specific provision of this Policy, the transaction may proceed and the Compliance Coordinator will help comply with any required reporting requirements under Section 16(a) of the Exchange Act. Pre-cleared transactions not completed within two</w:t>
      </w:r>
    </w:p>
    <w:p>
      <w:pPr>
        <w:spacing w:after="0" w:line="5"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(2) business days will require new pre-clearance. The Company may choose to shorten this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5" w:name="page216"/>
    <w:bookmarkEnd w:id="215"/>
    <w:p>
      <w:pPr>
        <w:ind w:left="600" w:hanging="598"/>
        <w:spacing w:after="0" w:line="263" w:lineRule="auto"/>
        <w:tabs>
          <w:tab w:leader="none" w:pos="600" w:val="left"/>
        </w:tabs>
        <w:numPr>
          <w:ilvl w:val="0"/>
          <w:numId w:val="1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Are individuals subject to pre-clearance required to provide advanced notice of option exercises or sell-to-cover arrangements for RSUs?</w:t>
      </w:r>
    </w:p>
    <w:p>
      <w:pPr>
        <w:spacing w:after="0" w:line="155" w:lineRule="exact"/>
        <w:rPr>
          <w:sz w:val="20"/>
          <w:szCs w:val="20"/>
          <w:color w:val="auto"/>
        </w:rPr>
      </w:pPr>
    </w:p>
    <w:p>
      <w:pPr>
        <w:jc w:val="both"/>
        <w:ind w:left="600" w:hanging="598"/>
        <w:spacing w:after="0" w:line="243" w:lineRule="auto"/>
        <w:tabs>
          <w:tab w:leader="none" w:pos="60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Yes. Persons subject to pre-clearance must also give advance notice of their plans to exercise an outstanding option or enter into a sell-to-cover arrangement with respect to an outstanding RSU to the Compliance Coordinator. Once any transaction takes place, the officer, director or applicable member of management must immediately notify the Compliance Coordinator so that the Company may assist in any Section 16 reporting obligations.</w:t>
      </w:r>
    </w:p>
    <w:p>
      <w:pPr>
        <w:spacing w:after="0" w:line="171" w:lineRule="exact"/>
        <w:rPr>
          <w:sz w:val="20"/>
          <w:szCs w:val="20"/>
          <w:color w:val="auto"/>
        </w:rPr>
      </w:pPr>
    </w:p>
    <w:p>
      <w:pPr>
        <w:ind w:left="600" w:hanging="598"/>
        <w:spacing w:after="0"/>
        <w:tabs>
          <w:tab w:leader="none" w:pos="600" w:val="left"/>
        </w:tabs>
        <w:numPr>
          <w:ilvl w:val="0"/>
          <w:numId w:val="1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additional requirements apply to individuals subject to Section 16?</w:t>
      </w:r>
    </w:p>
    <w:p>
      <w:pPr>
        <w:spacing w:after="0" w:line="202" w:lineRule="exact"/>
        <w:rPr>
          <w:sz w:val="20"/>
          <w:szCs w:val="20"/>
          <w:color w:val="auto"/>
        </w:rPr>
      </w:pPr>
    </w:p>
    <w:p>
      <w:pPr>
        <w:jc w:val="both"/>
        <w:ind w:left="600" w:hanging="598"/>
        <w:spacing w:after="0" w:line="241" w:lineRule="auto"/>
        <w:tabs>
          <w:tab w:leader="none" w:pos="600"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Sanctions and Other Information</w:t>
      </w:r>
    </w:p>
    <w:p>
      <w:pPr>
        <w:spacing w:after="0" w:line="198" w:lineRule="exact"/>
        <w:rPr>
          <w:sz w:val="20"/>
          <w:szCs w:val="20"/>
          <w:color w:val="auto"/>
        </w:rPr>
      </w:pPr>
    </w:p>
    <w:p>
      <w:pPr>
        <w:ind w:left="600" w:hanging="598"/>
        <w:spacing w:after="0"/>
        <w:tabs>
          <w:tab w:leader="none" w:pos="600" w:val="left"/>
        </w:tabs>
        <w:numPr>
          <w:ilvl w:val="0"/>
          <w:numId w:val="1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happens if I violate this Policy?</w:t>
      </w:r>
    </w:p>
    <w:p>
      <w:pPr>
        <w:spacing w:after="0" w:line="202" w:lineRule="exact"/>
        <w:rPr>
          <w:sz w:val="20"/>
          <w:szCs w:val="20"/>
          <w:color w:val="auto"/>
        </w:rPr>
      </w:pPr>
    </w:p>
    <w:p>
      <w:pPr>
        <w:ind w:left="600" w:hanging="598"/>
        <w:spacing w:after="0" w:line="260" w:lineRule="auto"/>
        <w:tabs>
          <w:tab w:leader="none" w:pos="60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Violating the Company’s policies may result in disciplinary action, which may include termination of your employment or other relationship with the Company.</w:t>
      </w:r>
    </w:p>
    <w:p>
      <w:pPr>
        <w:spacing w:after="0" w:line="154" w:lineRule="exact"/>
        <w:rPr>
          <w:sz w:val="20"/>
          <w:szCs w:val="20"/>
          <w:color w:val="auto"/>
        </w:rPr>
      </w:pPr>
    </w:p>
    <w:p>
      <w:pPr>
        <w:ind w:left="600" w:hanging="598"/>
        <w:spacing w:after="0"/>
        <w:tabs>
          <w:tab w:leader="none" w:pos="600" w:val="left"/>
        </w:tabs>
        <w:numPr>
          <w:ilvl w:val="0"/>
          <w:numId w:val="1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are the sanctions if I trade on material nonpublic information or tip off someone else?</w:t>
      </w:r>
    </w:p>
    <w:p>
      <w:pPr>
        <w:spacing w:after="0" w:line="202" w:lineRule="exact"/>
        <w:rPr>
          <w:sz w:val="20"/>
          <w:szCs w:val="20"/>
          <w:color w:val="auto"/>
        </w:rPr>
      </w:pPr>
    </w:p>
    <w:p>
      <w:pPr>
        <w:jc w:val="both"/>
        <w:ind w:left="600" w:hanging="598"/>
        <w:spacing w:after="0"/>
        <w:tabs>
          <w:tab w:leader="none" w:pos="60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75" w:lineRule="exact"/>
        <w:rPr>
          <w:sz w:val="20"/>
          <w:szCs w:val="20"/>
          <w:color w:val="auto"/>
        </w:rPr>
      </w:pPr>
    </w:p>
    <w:p>
      <w:pPr>
        <w:ind w:left="600" w:hanging="598"/>
        <w:spacing w:after="0"/>
        <w:tabs>
          <w:tab w:leader="none" w:pos="600" w:val="left"/>
        </w:tabs>
        <w:numPr>
          <w:ilvl w:val="0"/>
          <w:numId w:val="1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What is “loss avoided”?</w:t>
      </w:r>
    </w:p>
    <w:p>
      <w:pPr>
        <w:spacing w:after="0" w:line="202" w:lineRule="exact"/>
        <w:rPr>
          <w:sz w:val="20"/>
          <w:szCs w:val="20"/>
          <w:color w:val="auto"/>
        </w:rPr>
      </w:pPr>
    </w:p>
    <w:p>
      <w:pPr>
        <w:jc w:val="both"/>
        <w:ind w:left="600" w:hanging="598"/>
        <w:spacing w:after="0" w:line="248" w:lineRule="auto"/>
        <w:tabs>
          <w:tab w:leader="none" w:pos="60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sell the Company’s ADSs or ordinary shares or a related derivative security before negative news is publicly announced, and as a result of the announcement the price of the Company ADSs or ordinary shares declines, you have avoided the loss caused by the negative news.</w:t>
      </w:r>
    </w:p>
    <w:p>
      <w:pPr>
        <w:spacing w:after="0" w:line="164" w:lineRule="exact"/>
        <w:rPr>
          <w:sz w:val="20"/>
          <w:szCs w:val="20"/>
          <w:color w:val="auto"/>
        </w:rPr>
      </w:pPr>
    </w:p>
    <w:p>
      <w:pPr>
        <w:ind w:left="600" w:hanging="598"/>
        <w:spacing w:after="0"/>
        <w:tabs>
          <w:tab w:leader="none" w:pos="600" w:val="left"/>
        </w:tabs>
        <w:numPr>
          <w:ilvl w:val="0"/>
          <w:numId w:val="1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Who should I contact if I have questions about this Policy or specific trades?</w:t>
      </w:r>
    </w:p>
    <w:p>
      <w:pPr>
        <w:spacing w:after="0" w:line="202" w:lineRule="exact"/>
        <w:rPr>
          <w:sz w:val="20"/>
          <w:szCs w:val="20"/>
          <w:color w:val="auto"/>
        </w:rPr>
      </w:pPr>
    </w:p>
    <w:p>
      <w:pPr>
        <w:ind w:left="600" w:hanging="598"/>
        <w:spacing w:after="0"/>
        <w:tabs>
          <w:tab w:leader="none" w:pos="600"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should email the Company’s Compliance Officer at complianceofficer@structuretx.com.</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16" w:lineRule="exact"/>
        <w:rPr>
          <w:rFonts w:ascii="Times New Roman" w:cs="Times New Roman" w:eastAsia="Times New Roman" w:hAnsi="Times New Roman"/>
          <w:sz w:val="19"/>
          <w:szCs w:val="19"/>
          <w:color w:val="auto"/>
        </w:rPr>
      </w:pPr>
    </w:p>
    <w:p>
      <w:pPr>
        <w:ind w:left="48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216" w:name="page217"/>
    <w:bookmarkEnd w:id="216"/>
    <w:p>
      <w:pPr>
        <w:ind w:left="600" w:hanging="598"/>
        <w:spacing w:after="0"/>
        <w:tabs>
          <w:tab w:leader="none" w:pos="600" w:val="left"/>
        </w:tabs>
        <w:numPr>
          <w:ilvl w:val="0"/>
          <w:numId w:val="1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Do changes to this Policy require approval by the Board?</w:t>
      </w:r>
    </w:p>
    <w:p>
      <w:pPr>
        <w:spacing w:after="0" w:line="201" w:lineRule="exact"/>
        <w:rPr>
          <w:sz w:val="20"/>
          <w:szCs w:val="20"/>
          <w:color w:val="auto"/>
        </w:rPr>
      </w:pPr>
    </w:p>
    <w:p>
      <w:pPr>
        <w:jc w:val="both"/>
        <w:ind w:left="600" w:hanging="598"/>
        <w:spacing w:after="0" w:line="282" w:lineRule="auto"/>
        <w:tabs>
          <w:tab w:leader="none" w:pos="60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Changes to this Policy require approval by the Board or a duly appointed committee of the Board. 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Compliance Coordinator at complianceofficer@structuretx.com.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Amended by the Board of Directors: [•],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6307455" cy="241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217" w:name="page218"/>
    <w:bookmarkEnd w:id="217"/>
    <w:p>
      <w:pPr>
        <w:jc w:val="center"/>
        <w:ind w:right="-460"/>
        <w:spacing w:after="0"/>
        <w:rPr>
          <w:sz w:val="20"/>
          <w:szCs w:val="20"/>
          <w:color w:val="auto"/>
        </w:rPr>
      </w:pPr>
      <w:r>
        <w:rPr>
          <w:rFonts w:ascii="Times New Roman" w:cs="Times New Roman" w:eastAsia="Times New Roman" w:hAnsi="Times New Roman"/>
          <w:sz w:val="19"/>
          <w:szCs w:val="19"/>
          <w:b w:val="1"/>
          <w:bCs w:val="1"/>
          <w:u w:val="single" w:color="auto"/>
          <w:color w:val="auto"/>
        </w:rPr>
        <w:t>Appendix A</w:t>
      </w:r>
    </w:p>
    <w:p>
      <w:pPr>
        <w:spacing w:after="0" w:line="1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Specified Personnel</w:t>
      </w:r>
    </w:p>
    <w:p>
      <w:pPr>
        <w:spacing w:after="0" w:line="2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(Non-Officer Employees and Designated Consultants</w:t>
      </w:r>
    </w:p>
    <w:p>
      <w:pPr>
        <w:spacing w:after="0" w:line="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Subject to Quarterly Trading Blackout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459740</wp:posOffset>
            </wp:positionV>
            <wp:extent cx="6307455" cy="241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479"/>
          </w:cols>
          <w:pgMar w:left="980" w:top="116" w:right="1440" w:bottom="1440" w:gutter="0" w:footer="0" w:header="0"/>
        </w:sectPr>
      </w:pPr>
    </w:p>
    <w:bookmarkStart w:id="218" w:name="page219"/>
    <w:bookmarkEnd w:id="218"/>
    <w:p>
      <w:pPr>
        <w:jc w:val="center"/>
        <w:spacing w:after="0"/>
        <w:rPr>
          <w:sz w:val="20"/>
          <w:szCs w:val="20"/>
          <w:color w:val="auto"/>
        </w:rPr>
      </w:pPr>
      <w:r>
        <w:rPr>
          <w:rFonts w:ascii="Georgia" w:cs="Georgia" w:eastAsia="Georgia" w:hAnsi="Georgia"/>
          <w:sz w:val="17"/>
          <w:szCs w:val="17"/>
          <w:color w:val="auto"/>
        </w:rPr>
        <w:t>Consent of Independent Registered Public Accounting Firm</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w:t>
      </w:r>
    </w:p>
    <w:p>
      <w:pPr>
        <w:spacing w:after="0" w:line="208" w:lineRule="exact"/>
        <w:rPr>
          <w:sz w:val="20"/>
          <w:szCs w:val="20"/>
          <w:color w:val="auto"/>
        </w:rPr>
      </w:pPr>
    </w:p>
    <w:p>
      <w:pPr>
        <w:ind w:left="600" w:hanging="295"/>
        <w:spacing w:after="0" w:line="275" w:lineRule="auto"/>
        <w:tabs>
          <w:tab w:leader="none" w:pos="6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333-269601) pertaining to the 2019 Equity Incentive Plan, the 2023 Equity Incentive Plan and 2023 Employee Share Purchase Plan of Structure Therapeutics Inc., and</w:t>
      </w:r>
    </w:p>
    <w:p>
      <w:pPr>
        <w:spacing w:after="0" w:line="157" w:lineRule="exact"/>
        <w:rPr>
          <w:rFonts w:ascii="Times New Roman" w:cs="Times New Roman" w:eastAsia="Times New Roman" w:hAnsi="Times New Roman"/>
          <w:sz w:val="17"/>
          <w:szCs w:val="17"/>
          <w:color w:val="auto"/>
        </w:rPr>
      </w:pPr>
    </w:p>
    <w:p>
      <w:pPr>
        <w:ind w:left="600" w:hanging="295"/>
        <w:spacing w:after="0" w:line="275" w:lineRule="auto"/>
        <w:tabs>
          <w:tab w:leader="none" w:pos="6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333-277789) pertaining to the 2023 Equity Incentive Plan and 2023 Employee Share Purchase Plan of Structure Therapeutics Inc.;</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of our reports dated February 27, 2025, with respect to the consolidated financial statements of Structure Therapeutics Inc. and the effectiveness of internal control over financial reporting of Structure Therapeutics Inc. included in this Annual Report (Form 10-K) for the year ended December 31, 2024</w:t>
      </w:r>
      <w:r>
        <w:rPr>
          <w:rFonts w:ascii="Georgia" w:cs="Georgia" w:eastAsia="Georgia" w:hAnsi="Georgia"/>
          <w:sz w:val="17"/>
          <w:szCs w:val="17"/>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165" w:lineRule="exact"/>
        <w:rPr>
          <w:sz w:val="20"/>
          <w:szCs w:val="20"/>
          <w:color w:val="auto"/>
        </w:rPr>
      </w:pPr>
    </w:p>
    <w:p>
      <w:pPr>
        <w:jc w:val="right"/>
        <w:spacing w:after="0"/>
        <w:rPr>
          <w:sz w:val="20"/>
          <w:szCs w:val="20"/>
          <w:color w:val="auto"/>
        </w:rPr>
      </w:pPr>
      <w:r>
        <w:rPr>
          <w:rFonts w:ascii="Georgia" w:cs="Georgia" w:eastAsia="Georgia" w:hAnsi="Georgia"/>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561975</wp:posOffset>
            </wp:positionV>
            <wp:extent cx="630745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6307455" cy="15875"/>
                    </a:xfrm>
                    <a:prstGeom prst="rect">
                      <a:avLst/>
                    </a:prstGeom>
                    <a:noFill/>
                  </pic:spPr>
                </pic:pic>
              </a:graphicData>
            </a:graphic>
          </wp:anchor>
        </w:drawing>
      </w:r>
    </w:p>
    <w:p>
      <w:pPr>
        <w:sectPr>
          <w:pgSz w:w="11900" w:h="16838" w:orient="portrait"/>
          <w:cols w:equalWidth="0" w:num="1">
            <w:col w:w="9920"/>
          </w:cols>
          <w:pgMar w:left="980" w:top="916" w:right="99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Raymond Stevens, Ph.D., certify that:</w:t>
      </w:r>
    </w:p>
    <w:p>
      <w:pPr>
        <w:spacing w:after="0" w:line="246" w:lineRule="exact"/>
        <w:rPr>
          <w:sz w:val="20"/>
          <w:szCs w:val="20"/>
          <w:color w:val="auto"/>
        </w:rPr>
      </w:pPr>
    </w:p>
    <w:p>
      <w:pPr>
        <w:ind w:left="400" w:hanging="399"/>
        <w:spacing w:after="0"/>
        <w:tabs>
          <w:tab w:leader="none" w:pos="40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Structure Therapeutics Inc.;</w:t>
      </w:r>
    </w:p>
    <w:p>
      <w:pPr>
        <w:spacing w:after="0" w:line="233" w:lineRule="exact"/>
        <w:rPr>
          <w:rFonts w:ascii="Times New Roman" w:cs="Times New Roman" w:eastAsia="Times New Roman" w:hAnsi="Times New Roman"/>
          <w:sz w:val="17"/>
          <w:szCs w:val="17"/>
          <w:color w:val="auto"/>
        </w:rPr>
      </w:pPr>
    </w:p>
    <w:p>
      <w:pPr>
        <w:ind w:left="400" w:right="120" w:hanging="399"/>
        <w:spacing w:after="0" w:line="292" w:lineRule="auto"/>
        <w:tabs>
          <w:tab w:leader="none" w:pos="40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7"/>
          <w:szCs w:val="17"/>
          <w:color w:val="auto"/>
        </w:rPr>
      </w:pPr>
    </w:p>
    <w:p>
      <w:pPr>
        <w:ind w:left="400" w:right="400" w:hanging="399"/>
        <w:spacing w:after="0" w:line="340" w:lineRule="auto"/>
        <w:tabs>
          <w:tab w:leader="none" w:pos="40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6"/>
          <w:szCs w:val="16"/>
          <w:color w:val="auto"/>
        </w:rPr>
      </w:pPr>
    </w:p>
    <w:p>
      <w:pPr>
        <w:ind w:left="400" w:right="280" w:hanging="399"/>
        <w:spacing w:after="0" w:line="296" w:lineRule="auto"/>
        <w:tabs>
          <w:tab w:leader="none" w:pos="40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13a-15(f) and 15d-15(f)) for the registrant and have:</w:t>
      </w:r>
    </w:p>
    <w:p>
      <w:pPr>
        <w:spacing w:after="0" w:line="246" w:lineRule="exact"/>
        <w:rPr>
          <w:rFonts w:ascii="Times New Roman" w:cs="Times New Roman" w:eastAsia="Times New Roman" w:hAnsi="Times New Roman"/>
          <w:sz w:val="16"/>
          <w:szCs w:val="16"/>
          <w:color w:val="auto"/>
        </w:rPr>
      </w:pPr>
    </w:p>
    <w:p>
      <w:pPr>
        <w:ind w:left="800" w:right="100" w:hanging="395"/>
        <w:spacing w:after="0" w:line="292" w:lineRule="auto"/>
        <w:tabs>
          <w:tab w:leader="none" w:pos="8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ind w:left="800" w:right="160" w:hanging="395"/>
        <w:spacing w:after="0" w:line="292" w:lineRule="auto"/>
        <w:tabs>
          <w:tab w:leader="none" w:pos="8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7"/>
          <w:szCs w:val="17"/>
          <w:color w:val="auto"/>
        </w:rPr>
      </w:pPr>
    </w:p>
    <w:p>
      <w:pPr>
        <w:ind w:left="800" w:right="20" w:hanging="395"/>
        <w:spacing w:after="0" w:line="292" w:lineRule="auto"/>
        <w:tabs>
          <w:tab w:leader="none" w:pos="8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7"/>
          <w:szCs w:val="17"/>
          <w:color w:val="auto"/>
        </w:rPr>
      </w:pPr>
    </w:p>
    <w:p>
      <w:pPr>
        <w:ind w:left="800" w:hanging="395"/>
        <w:spacing w:after="0" w:line="292" w:lineRule="auto"/>
        <w:tabs>
          <w:tab w:leader="none" w:pos="8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7"/>
          <w:szCs w:val="17"/>
          <w:color w:val="auto"/>
        </w:rPr>
      </w:pPr>
    </w:p>
    <w:p>
      <w:pPr>
        <w:ind w:left="400" w:right="360" w:hanging="399"/>
        <w:spacing w:after="0" w:line="292" w:lineRule="auto"/>
        <w:tabs>
          <w:tab w:leader="none" w:pos="40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7"/>
          <w:szCs w:val="17"/>
          <w:color w:val="auto"/>
        </w:rPr>
      </w:pPr>
    </w:p>
    <w:p>
      <w:pPr>
        <w:ind w:left="800" w:right="200" w:hanging="395"/>
        <w:spacing w:after="0" w:line="306" w:lineRule="auto"/>
        <w:tabs>
          <w:tab w:leader="none" w:pos="8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7"/>
          <w:szCs w:val="17"/>
          <w:color w:val="auto"/>
        </w:rPr>
      </w:pPr>
    </w:p>
    <w:p>
      <w:pPr>
        <w:ind w:left="800" w:right="480" w:hanging="395"/>
        <w:spacing w:after="0" w:line="306" w:lineRule="auto"/>
        <w:tabs>
          <w:tab w:leader="none" w:pos="800"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98" w:lineRule="exact"/>
        <w:rPr>
          <w:sz w:val="20"/>
          <w:szCs w:val="20"/>
          <w:color w:val="auto"/>
        </w:rPr>
      </w:pPr>
    </w:p>
    <w:p>
      <w:pPr>
        <w:ind w:left="100"/>
        <w:spacing w:after="0"/>
        <w:tabs>
          <w:tab w:leader="none" w:pos="4920" w:val="left"/>
          <w:tab w:leader="none" w:pos="6620" w:val="left"/>
        </w:tabs>
        <w:rPr>
          <w:sz w:val="20"/>
          <w:szCs w:val="20"/>
          <w:color w:val="auto"/>
        </w:rPr>
      </w:pPr>
      <w:r>
        <w:rPr>
          <w:rFonts w:ascii="Times New Roman" w:cs="Times New Roman" w:eastAsia="Times New Roman" w:hAnsi="Times New Roman"/>
          <w:sz w:val="17"/>
          <w:szCs w:val="17"/>
          <w:color w:val="auto"/>
        </w:rPr>
        <w:t>Date: February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Raymond Stevens, Ph.D.</w:t>
      </w:r>
    </w:p>
    <w:p>
      <w:pPr>
        <w:spacing w:after="0" w:line="5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Raymond Stevens,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-118745</wp:posOffset>
            </wp:positionV>
            <wp:extent cx="29254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2925445" cy="8255"/>
                    </a:xfrm>
                    <a:prstGeom prst="rect">
                      <a:avLst/>
                    </a:prstGeom>
                    <a:noFill/>
                  </pic:spPr>
                </pic:pic>
              </a:graphicData>
            </a:graphic>
          </wp:anchor>
        </w:drawing>
      </w:r>
    </w:p>
    <w:p>
      <w:pPr>
        <w:spacing w:after="0" w:line="2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4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6275705" cy="24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6275705" cy="24130"/>
                    </a:xfrm>
                    <a:prstGeom prst="rect">
                      <a:avLst/>
                    </a:prstGeom>
                    <a:noFill/>
                  </pic:spPr>
                </pic:pic>
              </a:graphicData>
            </a:graphic>
          </wp:anchor>
        </w:drawing>
      </w:r>
    </w:p>
    <w:p>
      <w:pPr>
        <w:sectPr>
          <w:pgSz w:w="11900" w:h="16838" w:orient="portrait"/>
          <w:cols w:equalWidth="0" w:num="1">
            <w:col w:w="9880"/>
          </w:cols>
          <w:pgMar w:left="1000" w:top="359" w:right="1019" w:bottom="1440"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636905</wp:posOffset>
            </wp:positionH>
            <wp:positionV relativeFrom="page">
              <wp:posOffset>1323340</wp:posOffset>
            </wp:positionV>
            <wp:extent cx="627570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6275705"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Jun Yoon, certify that:</w:t>
      </w:r>
    </w:p>
    <w:p>
      <w:pPr>
        <w:spacing w:after="0" w:line="246" w:lineRule="exact"/>
        <w:rPr>
          <w:sz w:val="20"/>
          <w:szCs w:val="20"/>
          <w:color w:val="auto"/>
        </w:rPr>
      </w:pPr>
    </w:p>
    <w:p>
      <w:pPr>
        <w:ind w:left="400" w:hanging="399"/>
        <w:spacing w:after="0"/>
        <w:tabs>
          <w:tab w:leader="none" w:pos="40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Structure Therapeutics Inc.;</w:t>
      </w:r>
    </w:p>
    <w:p>
      <w:pPr>
        <w:spacing w:after="0" w:line="233" w:lineRule="exact"/>
        <w:rPr>
          <w:rFonts w:ascii="Times New Roman" w:cs="Times New Roman" w:eastAsia="Times New Roman" w:hAnsi="Times New Roman"/>
          <w:sz w:val="17"/>
          <w:szCs w:val="17"/>
          <w:color w:val="auto"/>
        </w:rPr>
      </w:pPr>
    </w:p>
    <w:p>
      <w:pPr>
        <w:ind w:left="400" w:right="120" w:hanging="399"/>
        <w:spacing w:after="0" w:line="292" w:lineRule="auto"/>
        <w:tabs>
          <w:tab w:leader="none" w:pos="40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7"/>
          <w:szCs w:val="17"/>
          <w:color w:val="auto"/>
        </w:rPr>
      </w:pPr>
    </w:p>
    <w:p>
      <w:pPr>
        <w:ind w:left="400" w:right="400" w:hanging="399"/>
        <w:spacing w:after="0" w:line="340" w:lineRule="auto"/>
        <w:tabs>
          <w:tab w:leader="none" w:pos="40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6"/>
          <w:szCs w:val="16"/>
          <w:color w:val="auto"/>
        </w:rPr>
      </w:pPr>
    </w:p>
    <w:p>
      <w:pPr>
        <w:ind w:left="400" w:right="280" w:hanging="399"/>
        <w:spacing w:after="0" w:line="296" w:lineRule="auto"/>
        <w:tabs>
          <w:tab w:leader="none" w:pos="40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13a-15(f) and 15d-15(f)) for the registrant and have:</w:t>
      </w:r>
    </w:p>
    <w:p>
      <w:pPr>
        <w:spacing w:after="0" w:line="246" w:lineRule="exact"/>
        <w:rPr>
          <w:rFonts w:ascii="Times New Roman" w:cs="Times New Roman" w:eastAsia="Times New Roman" w:hAnsi="Times New Roman"/>
          <w:sz w:val="16"/>
          <w:szCs w:val="16"/>
          <w:color w:val="auto"/>
        </w:rPr>
      </w:pPr>
    </w:p>
    <w:p>
      <w:pPr>
        <w:ind w:left="800" w:right="100" w:hanging="395"/>
        <w:spacing w:after="0" w:line="292" w:lineRule="auto"/>
        <w:tabs>
          <w:tab w:leader="none" w:pos="80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ind w:left="800" w:right="160" w:hanging="395"/>
        <w:spacing w:after="0" w:line="292" w:lineRule="auto"/>
        <w:tabs>
          <w:tab w:leader="none" w:pos="80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7"/>
          <w:szCs w:val="17"/>
          <w:color w:val="auto"/>
        </w:rPr>
      </w:pPr>
    </w:p>
    <w:p>
      <w:pPr>
        <w:ind w:left="800" w:right="20" w:hanging="395"/>
        <w:spacing w:after="0" w:line="292" w:lineRule="auto"/>
        <w:tabs>
          <w:tab w:leader="none" w:pos="80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7"/>
          <w:szCs w:val="17"/>
          <w:color w:val="auto"/>
        </w:rPr>
      </w:pPr>
    </w:p>
    <w:p>
      <w:pPr>
        <w:ind w:left="800" w:hanging="395"/>
        <w:spacing w:after="0" w:line="292" w:lineRule="auto"/>
        <w:tabs>
          <w:tab w:leader="none" w:pos="80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7"/>
          <w:szCs w:val="17"/>
          <w:color w:val="auto"/>
        </w:rPr>
      </w:pPr>
    </w:p>
    <w:p>
      <w:pPr>
        <w:ind w:left="400" w:right="360" w:hanging="399"/>
        <w:spacing w:after="0" w:line="292" w:lineRule="auto"/>
        <w:tabs>
          <w:tab w:leader="none" w:pos="40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7"/>
          <w:szCs w:val="17"/>
          <w:color w:val="auto"/>
        </w:rPr>
      </w:pPr>
    </w:p>
    <w:p>
      <w:pPr>
        <w:ind w:left="800" w:right="200" w:hanging="395"/>
        <w:spacing w:after="0" w:line="306" w:lineRule="auto"/>
        <w:tabs>
          <w:tab w:leader="none" w:pos="80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7"/>
          <w:szCs w:val="17"/>
          <w:color w:val="auto"/>
        </w:rPr>
      </w:pPr>
    </w:p>
    <w:p>
      <w:pPr>
        <w:ind w:left="800" w:right="480" w:hanging="395"/>
        <w:spacing w:after="0" w:line="306" w:lineRule="auto"/>
        <w:tabs>
          <w:tab w:leader="none" w:pos="80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98" w:lineRule="exact"/>
        <w:rPr>
          <w:sz w:val="20"/>
          <w:szCs w:val="20"/>
          <w:color w:val="auto"/>
        </w:rPr>
      </w:pPr>
    </w:p>
    <w:p>
      <w:pPr>
        <w:ind w:left="100"/>
        <w:spacing w:after="0"/>
        <w:tabs>
          <w:tab w:leader="none" w:pos="4920" w:val="left"/>
          <w:tab w:leader="none" w:pos="7140" w:val="left"/>
        </w:tabs>
        <w:rPr>
          <w:sz w:val="20"/>
          <w:szCs w:val="20"/>
          <w:color w:val="auto"/>
        </w:rPr>
      </w:pPr>
      <w:r>
        <w:rPr>
          <w:rFonts w:ascii="Times New Roman" w:cs="Times New Roman" w:eastAsia="Times New Roman" w:hAnsi="Times New Roman"/>
          <w:sz w:val="17"/>
          <w:szCs w:val="17"/>
          <w:color w:val="auto"/>
        </w:rPr>
        <w:t>Date: February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Jun Yoon</w:t>
      </w:r>
    </w:p>
    <w:p>
      <w:pPr>
        <w:spacing w:after="0" w:line="53"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7"/>
          <w:szCs w:val="17"/>
          <w:b w:val="1"/>
          <w:bCs w:val="1"/>
          <w:color w:val="auto"/>
        </w:rPr>
        <w:t>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-118745</wp:posOffset>
            </wp:positionV>
            <wp:extent cx="2933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spacing w:after="0" w:line="24"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44"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7"/>
          <w:szCs w:val="17"/>
          <w:b w:val="1"/>
          <w:bCs w:val="1"/>
          <w:color w:val="auto"/>
        </w:rPr>
        <w:t>(Principal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506095</wp:posOffset>
            </wp:positionV>
            <wp:extent cx="6275705" cy="241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6275705" cy="24130"/>
                    </a:xfrm>
                    <a:prstGeom prst="rect">
                      <a:avLst/>
                    </a:prstGeom>
                    <a:noFill/>
                  </pic:spPr>
                </pic:pic>
              </a:graphicData>
            </a:graphic>
          </wp:anchor>
        </w:drawing>
      </w:r>
    </w:p>
    <w:p>
      <w:pPr>
        <w:sectPr>
          <w:pgSz w:w="11900" w:h="16838" w:orient="portrait"/>
          <w:cols w:equalWidth="0" w:num="1">
            <w:col w:w="9880"/>
          </w:cols>
          <w:pgMar w:left="1000" w:top="359" w:right="1019" w:bottom="1440" w:gutter="0" w:footer="0" w:header="0"/>
        </w:sectPr>
      </w:pPr>
    </w:p>
    <w:bookmarkStart w:id="222" w:name="page223"/>
    <w:bookmarkEnd w:id="222"/>
    <w:p>
      <w:pPr>
        <w:ind w:left="6060"/>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665480</wp:posOffset>
            </wp:positionV>
            <wp:extent cx="627570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6275705" cy="1587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8" w:lineRule="exact"/>
        <w:rPr>
          <w:sz w:val="20"/>
          <w:szCs w:val="20"/>
          <w:color w:val="auto"/>
        </w:rPr>
      </w:pPr>
    </w:p>
    <w:p>
      <w:pPr>
        <w:ind w:right="80" w:firstLine="412"/>
        <w:spacing w:after="0" w:line="300" w:lineRule="auto"/>
        <w:rPr>
          <w:sz w:val="20"/>
          <w:szCs w:val="20"/>
          <w:color w:val="auto"/>
        </w:rPr>
      </w:pPr>
      <w:r>
        <w:rPr>
          <w:rFonts w:ascii="Times New Roman" w:cs="Times New Roman" w:eastAsia="Times New Roman" w:hAnsi="Times New Roman"/>
          <w:sz w:val="17"/>
          <w:szCs w:val="17"/>
          <w:color w:val="auto"/>
        </w:rPr>
        <w:t>In connection with the Annual Report of Structure Therapeutics Inc. (the “Company”) on Form 10-K for the year ended December 31, 2024 as filed with the Securities and Exchange Commission on the date hereof (the “Report”), I certify, pursuant to 18 U.S.C. § 1350, as adopted pursuant to § 906 of the Sarbanes-Oxley Act of 2002, that, to the best of my knowledge:</w:t>
      </w:r>
    </w:p>
    <w:p>
      <w:pPr>
        <w:spacing w:after="0" w:line="163" w:lineRule="exact"/>
        <w:rPr>
          <w:sz w:val="20"/>
          <w:szCs w:val="20"/>
          <w:color w:val="auto"/>
        </w:rPr>
      </w:pPr>
    </w:p>
    <w:p>
      <w:pPr>
        <w:ind w:left="820" w:hanging="414"/>
        <w:spacing w:after="0"/>
        <w:tabs>
          <w:tab w:leader="none" w:pos="8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17"/>
          <w:szCs w:val="17"/>
          <w:color w:val="auto"/>
        </w:rPr>
      </w:pPr>
    </w:p>
    <w:p>
      <w:pPr>
        <w:ind w:left="820" w:right="140" w:hanging="414"/>
        <w:spacing w:after="0" w:line="306" w:lineRule="auto"/>
        <w:tabs>
          <w:tab w:leader="none" w:pos="8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398" w:lineRule="exact"/>
        <w:rPr>
          <w:sz w:val="20"/>
          <w:szCs w:val="20"/>
          <w:color w:val="auto"/>
        </w:rPr>
      </w:pPr>
    </w:p>
    <w:p>
      <w:pPr>
        <w:ind w:left="100"/>
        <w:spacing w:after="0"/>
        <w:tabs>
          <w:tab w:leader="none" w:pos="4940" w:val="left"/>
          <w:tab w:leader="none" w:pos="6640" w:val="left"/>
        </w:tabs>
        <w:rPr>
          <w:sz w:val="20"/>
          <w:szCs w:val="20"/>
          <w:color w:val="auto"/>
        </w:rPr>
      </w:pPr>
      <w:r>
        <w:rPr>
          <w:rFonts w:ascii="Times New Roman" w:cs="Times New Roman" w:eastAsia="Times New Roman" w:hAnsi="Times New Roman"/>
          <w:sz w:val="17"/>
          <w:szCs w:val="17"/>
          <w:color w:val="auto"/>
        </w:rPr>
        <w:t>Date: February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Raymond Stevens, Ph.D.</w:t>
      </w:r>
    </w:p>
    <w:p>
      <w:pPr>
        <w:spacing w:after="0" w:line="5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Raymond Stevens,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-118745</wp:posOffset>
            </wp:positionV>
            <wp:extent cx="2933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spacing w:after="0" w:line="2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4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12"/>
        <w:spacing w:after="0" w:line="326" w:lineRule="auto"/>
        <w:rPr>
          <w:sz w:val="20"/>
          <w:szCs w:val="20"/>
          <w:color w:val="auto"/>
        </w:rPr>
      </w:pPr>
      <w:r>
        <w:rPr>
          <w:rFonts w:ascii="Times New Roman" w:cs="Times New Roman" w:eastAsia="Times New Roman" w:hAnsi="Times New Roman"/>
          <w:sz w:val="16"/>
          <w:szCs w:val="16"/>
          <w:color w:val="auto"/>
        </w:rPr>
        <w:t>This certification accompanies the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287655</wp:posOffset>
            </wp:positionV>
            <wp:extent cx="6307455" cy="24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8" w:lineRule="exact"/>
        <w:rPr>
          <w:sz w:val="20"/>
          <w:szCs w:val="20"/>
          <w:color w:val="auto"/>
        </w:rPr>
      </w:pPr>
    </w:p>
    <w:p>
      <w:pPr>
        <w:ind w:right="80" w:firstLine="412"/>
        <w:spacing w:after="0" w:line="300" w:lineRule="auto"/>
        <w:rPr>
          <w:sz w:val="20"/>
          <w:szCs w:val="20"/>
          <w:color w:val="auto"/>
        </w:rPr>
      </w:pPr>
      <w:r>
        <w:rPr>
          <w:rFonts w:ascii="Times New Roman" w:cs="Times New Roman" w:eastAsia="Times New Roman" w:hAnsi="Times New Roman"/>
          <w:sz w:val="17"/>
          <w:szCs w:val="17"/>
          <w:color w:val="auto"/>
        </w:rPr>
        <w:t>In connection with the Annual Report of Structure Therapeutics Inc. (the “Company”) on Form 10-K for the year ended December 31, 2024 as filed with the Securities and Exchange Commission on the date hereof (the “Report”), I certify, pursuant to 18 U.S.C. § 1350, as adopted pursuant to § 906 of the Sarbanes-Oxley Act of 2002, that, to the best of my knowledge:</w:t>
      </w:r>
    </w:p>
    <w:p>
      <w:pPr>
        <w:spacing w:after="0" w:line="163" w:lineRule="exact"/>
        <w:rPr>
          <w:sz w:val="20"/>
          <w:szCs w:val="20"/>
          <w:color w:val="auto"/>
        </w:rPr>
      </w:pPr>
    </w:p>
    <w:p>
      <w:pPr>
        <w:ind w:left="820" w:hanging="414"/>
        <w:spacing w:after="0"/>
        <w:tabs>
          <w:tab w:leader="none" w:pos="8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17"/>
          <w:szCs w:val="17"/>
          <w:color w:val="auto"/>
        </w:rPr>
      </w:pPr>
    </w:p>
    <w:p>
      <w:pPr>
        <w:ind w:left="820" w:right="140" w:hanging="414"/>
        <w:spacing w:after="0" w:line="306" w:lineRule="auto"/>
        <w:tabs>
          <w:tab w:leader="none" w:pos="82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398" w:lineRule="exact"/>
        <w:rPr>
          <w:sz w:val="20"/>
          <w:szCs w:val="20"/>
          <w:color w:val="auto"/>
        </w:rPr>
      </w:pPr>
    </w:p>
    <w:p>
      <w:pPr>
        <w:ind w:left="100"/>
        <w:spacing w:after="0"/>
        <w:tabs>
          <w:tab w:leader="none" w:pos="4940" w:val="left"/>
          <w:tab w:leader="none" w:pos="7160" w:val="left"/>
        </w:tabs>
        <w:rPr>
          <w:sz w:val="20"/>
          <w:szCs w:val="20"/>
          <w:color w:val="auto"/>
        </w:rPr>
      </w:pPr>
      <w:r>
        <w:rPr>
          <w:rFonts w:ascii="Times New Roman" w:cs="Times New Roman" w:eastAsia="Times New Roman" w:hAnsi="Times New Roman"/>
          <w:sz w:val="17"/>
          <w:szCs w:val="17"/>
          <w:color w:val="auto"/>
        </w:rPr>
        <w:t>Date: February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Jun Yoon</w:t>
      </w:r>
    </w:p>
    <w:p>
      <w:pPr>
        <w:spacing w:after="0" w:line="53"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-118745</wp:posOffset>
            </wp:positionV>
            <wp:extent cx="2933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spacing w:after="0" w:line="2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4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(Principal Financial Officer and</w:t>
      </w:r>
    </w:p>
    <w:p>
      <w:pPr>
        <w:spacing w:after="0" w:line="4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412"/>
        <w:spacing w:after="0" w:line="326" w:lineRule="auto"/>
        <w:rPr>
          <w:sz w:val="20"/>
          <w:szCs w:val="20"/>
          <w:color w:val="auto"/>
        </w:rPr>
      </w:pPr>
      <w:r>
        <w:rPr>
          <w:rFonts w:ascii="Times New Roman" w:cs="Times New Roman" w:eastAsia="Times New Roman" w:hAnsi="Times New Roman"/>
          <w:sz w:val="16"/>
          <w:szCs w:val="16"/>
          <w:color w:val="auto"/>
        </w:rPr>
        <w:t>This certification accompanies the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431800</wp:posOffset>
            </wp:positionV>
            <wp:extent cx="6307455" cy="241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6307455" cy="24130"/>
                    </a:xfrm>
                    <a:prstGeom prst="rect">
                      <a:avLst/>
                    </a:prstGeom>
                    <a:noFill/>
                  </pic:spPr>
                </pic:pic>
              </a:graphicData>
            </a:graphic>
          </wp:anchor>
        </w:drawing>
      </w:r>
    </w:p>
    <w:sectPr>
      <w:pgSz w:w="11900" w:h="16838" w:orient="portrait"/>
      <w:cols w:equalWidth="0" w:num="1">
        <w:col w:w="9920"/>
      </w:cols>
      <w:pgMar w:left="980" w:top="35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1."/>
      <w:numFmt w:val="upperLetter"/>
      <w:start w:val="35"/>
    </w:lvl>
  </w:abstractNum>
  <w:abstractNum w:abstractNumId="4">
    <w:nsid w:val="60EF0119"/>
    <w:multiLevelType w:val="hybridMultilevel"/>
    <w:lvl w:ilvl="0">
      <w:lvlJc w:val="left"/>
      <w:lvlText w:val=" "/>
      <w:numFmt w:val="bullet"/>
      <w:start w:val="1"/>
    </w:lvl>
  </w:abstractNum>
  <w:abstractNum w:abstractNumId="5">
    <w:nsid w:val="26F324BA"/>
    <w:multiLevelType w:val="hybridMultilevel"/>
    <w:lvl w:ilvl="0">
      <w:lvlJc w:val="left"/>
      <w:lvlText w:val=" "/>
      <w:numFmt w:val="bullet"/>
      <w:start w:val="1"/>
    </w:lvl>
  </w:abstractNum>
  <w:abstractNum w:abstractNumId="6">
    <w:nsid w:val="7F01579B"/>
    <w:multiLevelType w:val="hybridMultilevel"/>
    <w:lvl w:ilvl="0">
      <w:lvlJc w:val="left"/>
      <w:lvlText w:val=" "/>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lvl w:ilvl="1">
      <w:lvlJc w:val="left"/>
      <w:lvlText w:val="o"/>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1)"/>
      <w:numFmt w:val="lowerRoman"/>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1)"/>
      <w:numFmt w:val="lowerLetter"/>
      <w:start w:val="3"/>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
      <w:numFmt w:val="bullet"/>
      <w:start w:val="1"/>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1)"/>
      <w:numFmt w:val="lowerRoman"/>
      <w:start w:val="2"/>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
      <w:numFmt w:val="bullet"/>
      <w:start w:val="1"/>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1)"/>
      <w:numFmt w:val="lowerRoman"/>
      <w:start w:val="1"/>
    </w:lvl>
  </w:abstractNum>
  <w:abstractNum w:abstractNumId="63">
    <w:nsid w:val="4F97E3E4"/>
    <w:multiLevelType w:val="hybridMultilevel"/>
    <w:lvl w:ilvl="0">
      <w:lvlJc w:val="left"/>
      <w:lvlText w:val=" "/>
      <w:numFmt w:val="bullet"/>
      <w:start w:val="1"/>
    </w:lvl>
  </w:abstractNum>
  <w:abstractNum w:abstractNumId="64">
    <w:nsid w:val="53B0A9E"/>
    <w:multiLevelType w:val="hybridMultilevel"/>
    <w:lvl w:ilvl="0">
      <w:lvlJc w:val="left"/>
      <w:lvlText w:val=" "/>
      <w:numFmt w:val="bullet"/>
      <w:start w:val="1"/>
    </w:lvl>
  </w:abstractNum>
  <w:abstractNum w:abstractNumId="65">
    <w:nsid w:val="34FD6B4F"/>
    <w:multiLevelType w:val="hybridMultilevel"/>
    <w:lvl w:ilvl="0">
      <w:lvlJc w:val="left"/>
      <w:lvlText w:val=" "/>
      <w:numFmt w:val="bullet"/>
      <w:start w:val="1"/>
    </w:lvl>
  </w:abstractNum>
  <w:abstractNum w:abstractNumId="66">
    <w:nsid w:val="5915FF32"/>
    <w:multiLevelType w:val="hybridMultilevel"/>
    <w:lvl w:ilvl="0">
      <w:lvlJc w:val="left"/>
      <w:lvlText w:val=" "/>
      <w:numFmt w:val="bullet"/>
      <w:start w:val="1"/>
    </w:lvl>
  </w:abstractNum>
  <w:abstractNum w:abstractNumId="67">
    <w:nsid w:val="56438D15"/>
    <w:multiLevelType w:val="hybridMultilevel"/>
    <w:lvl w:ilvl="0">
      <w:lvlJc w:val="left"/>
      <w:lvlText w:val="●"/>
      <w:numFmt w:val="bullet"/>
      <w:start w:val="1"/>
    </w:lvl>
  </w:abstractNum>
  <w:abstractNum w:abstractNumId="68">
    <w:nsid w:val="519E3149"/>
    <w:multiLevelType w:val="hybridMultilevel"/>
    <w:lvl w:ilvl="0">
      <w:lvlJc w:val="left"/>
      <w:lvlText w:val="●"/>
      <w:numFmt w:val="bullet"/>
      <w:start w:val="1"/>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1."/>
      <w:numFmt w:val="decimal"/>
      <w:start w:val="1"/>
    </w:lvl>
    <w:lvl w:ilvl="1">
      <w:lvlJc w:val="left"/>
      <w:lvlText w:val="%2."/>
      <w:numFmt w:val="lowerLetter"/>
      <w:start w:val="1"/>
    </w:lvl>
  </w:abstractNum>
  <w:abstractNum w:abstractNumId="73">
    <w:nsid w:val="5D888A08"/>
    <w:multiLevelType w:val="hybridMultilevel"/>
    <w:lvl w:ilvl="0">
      <w:lvlJc w:val="left"/>
      <w:lvlText w:val="%1."/>
      <w:numFmt w:val="decimal"/>
      <w:start w:val="1"/>
    </w:lvl>
  </w:abstractNum>
  <w:abstractNum w:abstractNumId="74">
    <w:nsid w:val="2A082C70"/>
    <w:multiLevelType w:val="hybridMultilevel"/>
    <w:lvl w:ilvl="0">
      <w:lvlJc w:val="left"/>
      <w:lvlText w:val="%1."/>
      <w:numFmt w:val="decimal"/>
      <w:start w:val="5"/>
    </w:lvl>
  </w:abstractNum>
  <w:abstractNum w:abstractNumId="75">
    <w:nsid w:val="5EC6AFD4"/>
    <w:multiLevelType w:val="hybridMultilevel"/>
    <w:lvl w:ilvl="0">
      <w:lvlJc w:val="left"/>
      <w:lvlText w:val="●"/>
      <w:numFmt w:val="bullet"/>
      <w:start w:val="1"/>
    </w:lvl>
  </w:abstractNum>
  <w:abstractNum w:abstractNumId="76">
    <w:nsid w:val="19E21BB2"/>
    <w:multiLevelType w:val="hybridMultilevel"/>
    <w:lvl w:ilvl="0">
      <w:lvlJc w:val="left"/>
      <w:lvlText w:val="%1:"/>
      <w:numFmt w:val="upperLetter"/>
      <w:start w:val="17"/>
    </w:lvl>
  </w:abstractNum>
  <w:abstractNum w:abstractNumId="77">
    <w:nsid w:val="75E0858A"/>
    <w:multiLevelType w:val="hybridMultilevel"/>
    <w:lvl w:ilvl="0">
      <w:lvlJc w:val="left"/>
      <w:lvlText w:val="%1:"/>
      <w:numFmt w:val="upperLetter"/>
      <w:start w:val="1"/>
    </w:lvl>
  </w:abstractNum>
  <w:abstractNum w:abstractNumId="78">
    <w:nsid w:val="57A61A29"/>
    <w:multiLevelType w:val="hybridMultilevel"/>
    <w:lvl w:ilvl="0">
      <w:lvlJc w:val="left"/>
      <w:lvlText w:val="%1:"/>
      <w:numFmt w:val="upperLetter"/>
      <w:start w:val="17"/>
    </w:lvl>
  </w:abstractNum>
  <w:abstractNum w:abstractNumId="79">
    <w:nsid w:val="5399C654"/>
    <w:multiLevelType w:val="hybridMultilevel"/>
    <w:lvl w:ilvl="0">
      <w:lvlJc w:val="left"/>
      <w:lvlText w:val="%1:"/>
      <w:numFmt w:val="upperLetter"/>
      <w:start w:val="1"/>
    </w:lvl>
  </w:abstractNum>
  <w:abstractNum w:abstractNumId="80">
    <w:nsid w:val="20EE1348"/>
    <w:multiLevelType w:val="hybridMultilevel"/>
    <w:lvl w:ilvl="0">
      <w:lvlJc w:val="left"/>
      <w:lvlText w:val="%1:"/>
      <w:numFmt w:val="upperLetter"/>
      <w:start w:val="17"/>
    </w:lvl>
  </w:abstractNum>
  <w:abstractNum w:abstractNumId="81">
    <w:nsid w:val="4427069A"/>
    <w:multiLevelType w:val="hybridMultilevel"/>
    <w:lvl w:ilvl="0">
      <w:lvlJc w:val="left"/>
      <w:lvlText w:val="%1:"/>
      <w:numFmt w:val="upperLetter"/>
      <w:start w:val="1"/>
    </w:lvl>
  </w:abstractNum>
  <w:abstractNum w:abstractNumId="82">
    <w:nsid w:val="B37E80A"/>
    <w:multiLevelType w:val="hybridMultilevel"/>
    <w:lvl w:ilvl="0">
      <w:lvlJc w:val="left"/>
      <w:lvlText w:val="%1:"/>
      <w:numFmt w:val="upperLetter"/>
      <w:start w:val="17"/>
    </w:lvl>
  </w:abstractNum>
  <w:abstractNum w:abstractNumId="83">
    <w:nsid w:val="2157F6BC"/>
    <w:multiLevelType w:val="hybridMultilevel"/>
    <w:lvl w:ilvl="0">
      <w:lvlJc w:val="left"/>
      <w:lvlText w:val="%1:"/>
      <w:numFmt w:val="upperLetter"/>
      <w:start w:val="1"/>
    </w:lvl>
  </w:abstractNum>
  <w:abstractNum w:abstractNumId="84">
    <w:nsid w:val="704E1DD5"/>
    <w:multiLevelType w:val="hybridMultilevel"/>
    <w:lvl w:ilvl="0">
      <w:lvlJc w:val="left"/>
      <w:lvlText w:val="%1:"/>
      <w:numFmt w:val="upperLetter"/>
      <w:start w:val="17"/>
    </w:lvl>
  </w:abstractNum>
  <w:abstractNum w:abstractNumId="85">
    <w:nsid w:val="57D2F10E"/>
    <w:multiLevelType w:val="hybridMultilevel"/>
    <w:lvl w:ilvl="0">
      <w:lvlJc w:val="left"/>
      <w:lvlText w:val="%1:"/>
      <w:numFmt w:val="upperLetter"/>
      <w:start w:val="1"/>
    </w:lvl>
  </w:abstractNum>
  <w:abstractNum w:abstractNumId="86">
    <w:nsid w:val="BFFAE18"/>
    <w:multiLevelType w:val="hybridMultilevel"/>
    <w:lvl w:ilvl="0">
      <w:lvlJc w:val="left"/>
      <w:lvlText w:val="%1:"/>
      <w:numFmt w:val="upperLetter"/>
      <w:start w:val="17"/>
    </w:lvl>
  </w:abstractNum>
  <w:abstractNum w:abstractNumId="87">
    <w:nsid w:val="E3E47A8"/>
    <w:multiLevelType w:val="hybridMultilevel"/>
    <w:lvl w:ilvl="0">
      <w:lvlJc w:val="left"/>
      <w:lvlText w:val="%1:"/>
      <w:numFmt w:val="upperLetter"/>
      <w:start w:val="1"/>
    </w:lvl>
  </w:abstractNum>
  <w:abstractNum w:abstractNumId="88">
    <w:nsid w:val="2E48F044"/>
    <w:multiLevelType w:val="hybridMultilevel"/>
    <w:lvl w:ilvl="0">
      <w:lvlJc w:val="left"/>
      <w:lvlText w:val="%1:"/>
      <w:numFmt w:val="upperLetter"/>
      <w:start w:val="17"/>
    </w:lvl>
  </w:abstractNum>
  <w:abstractNum w:abstractNumId="89">
    <w:nsid w:val="49D0FEAC"/>
    <w:multiLevelType w:val="hybridMultilevel"/>
    <w:lvl w:ilvl="0">
      <w:lvlJc w:val="left"/>
      <w:lvlText w:val="%1:"/>
      <w:numFmt w:val="upperLetter"/>
      <w:start w:val="1"/>
    </w:lvl>
  </w:abstractNum>
  <w:abstractNum w:abstractNumId="90">
    <w:nsid w:val="4BEE5A5B"/>
    <w:multiLevelType w:val="hybridMultilevel"/>
    <w:lvl w:ilvl="0">
      <w:lvlJc w:val="left"/>
      <w:lvlText w:val="%1:"/>
      <w:numFmt w:val="upperLetter"/>
      <w:start w:val="17"/>
    </w:lvl>
  </w:abstractNum>
  <w:abstractNum w:abstractNumId="91">
    <w:nsid w:val="5551B9F3"/>
    <w:multiLevelType w:val="hybridMultilevel"/>
    <w:lvl w:ilvl="0">
      <w:lvlJc w:val="left"/>
      <w:lvlText w:val="%1:"/>
      <w:numFmt w:val="upperLetter"/>
      <w:start w:val="1"/>
    </w:lvl>
    <w:lvl w:ilvl="1">
      <w:lvlJc w:val="left"/>
      <w:lvlText w:val="●"/>
      <w:numFmt w:val="bullet"/>
      <w:start w:val="1"/>
    </w:lvl>
  </w:abstractNum>
  <w:abstractNum w:abstractNumId="92">
    <w:nsid w:val="24F6AB8E"/>
    <w:multiLevelType w:val="hybridMultilevel"/>
    <w:lvl w:ilvl="0">
      <w:lvlJc w:val="left"/>
      <w:lvlText w:val="%1:"/>
      <w:numFmt w:val="upperLetter"/>
      <w:start w:val="16"/>
    </w:lvl>
    <w:lvl w:ilvl="1">
      <w:lvlJc w:val="left"/>
      <w:lvlText w:val="●"/>
      <w:numFmt w:val="bullet"/>
      <w:start w:val="1"/>
    </w:lvl>
  </w:abstractNum>
  <w:abstractNum w:abstractNumId="93">
    <w:nsid w:val="634C574C"/>
    <w:multiLevelType w:val="hybridMultilevel"/>
    <w:lvl w:ilvl="0">
      <w:lvlJc w:val="left"/>
      <w:lvlText w:val="%1:"/>
      <w:numFmt w:val="upperLetter"/>
      <w:start w:val="1"/>
    </w:lvl>
  </w:abstractNum>
  <w:abstractNum w:abstractNumId="94">
    <w:nsid w:val="24E99DD7"/>
    <w:multiLevelType w:val="hybridMultilevel"/>
    <w:lvl w:ilvl="0">
      <w:lvlJc w:val="left"/>
      <w:lvlText w:val="%1:"/>
      <w:numFmt w:val="upperLetter"/>
      <w:start w:val="17"/>
    </w:lvl>
  </w:abstractNum>
  <w:abstractNum w:abstractNumId="95">
    <w:nsid w:val="2A31B62D"/>
    <w:multiLevelType w:val="hybridMultilevel"/>
    <w:lvl w:ilvl="0">
      <w:lvlJc w:val="left"/>
      <w:lvlText w:val="%1:"/>
      <w:numFmt w:val="upperLetter"/>
      <w:start w:val="1"/>
    </w:lvl>
  </w:abstractNum>
  <w:abstractNum w:abstractNumId="96">
    <w:nsid w:val="1849C29B"/>
    <w:multiLevelType w:val="hybridMultilevel"/>
    <w:lvl w:ilvl="0">
      <w:lvlJc w:val="left"/>
      <w:lvlText w:val="%1:"/>
      <w:numFmt w:val="upperLetter"/>
      <w:start w:val="17"/>
    </w:lvl>
  </w:abstractNum>
  <w:abstractNum w:abstractNumId="97">
    <w:nsid w:val="7DFF9D09"/>
    <w:multiLevelType w:val="hybridMultilevel"/>
    <w:lvl w:ilvl="0">
      <w:lvlJc w:val="left"/>
      <w:lvlText w:val="%1:"/>
      <w:numFmt w:val="upperLetter"/>
      <w:start w:val="1"/>
    </w:lvl>
  </w:abstractNum>
  <w:abstractNum w:abstractNumId="98">
    <w:nsid w:val="754342"/>
    <w:multiLevelType w:val="hybridMultilevel"/>
    <w:lvl w:ilvl="0">
      <w:lvlJc w:val="left"/>
      <w:lvlText w:val="%1:"/>
      <w:numFmt w:val="upperLetter"/>
      <w:start w:val="17"/>
    </w:lvl>
  </w:abstractNum>
  <w:abstractNum w:abstractNumId="99">
    <w:nsid w:val="69E7F3E5"/>
    <w:multiLevelType w:val="hybridMultilevel"/>
    <w:lvl w:ilvl="0">
      <w:lvlJc w:val="left"/>
      <w:lvlText w:val="%1:"/>
      <w:numFmt w:val="upperLetter"/>
      <w:start w:val="1"/>
    </w:lvl>
  </w:abstractNum>
  <w:abstractNum w:abstractNumId="100">
    <w:nsid w:val="2A6DE806"/>
    <w:multiLevelType w:val="hybridMultilevel"/>
    <w:lvl w:ilvl="0">
      <w:lvlJc w:val="left"/>
      <w:lvlText w:val="%1:"/>
      <w:numFmt w:val="upperLetter"/>
      <w:start w:val="17"/>
    </w:lvl>
  </w:abstractNum>
  <w:abstractNum w:abstractNumId="101">
    <w:nsid w:val="1816F8C4"/>
    <w:multiLevelType w:val="hybridMultilevel"/>
    <w:lvl w:ilvl="0">
      <w:lvlJc w:val="left"/>
      <w:lvlText w:val="%1:"/>
      <w:numFmt w:val="upperLetter"/>
      <w:start w:val="1"/>
    </w:lvl>
  </w:abstractNum>
  <w:abstractNum w:abstractNumId="102">
    <w:nsid w:val="37DF2233"/>
    <w:multiLevelType w:val="hybridMultilevel"/>
    <w:lvl w:ilvl="0">
      <w:lvlJc w:val="left"/>
      <w:lvlText w:val="%1:"/>
      <w:numFmt w:val="upperLetter"/>
      <w:start w:val="17"/>
    </w:lvl>
  </w:abstractNum>
  <w:abstractNum w:abstractNumId="103">
    <w:nsid w:val="7AB49DAF"/>
    <w:multiLevelType w:val="hybridMultilevel"/>
    <w:lvl w:ilvl="0">
      <w:lvlJc w:val="left"/>
      <w:lvlText w:val="%1:"/>
      <w:numFmt w:val="upperLetter"/>
      <w:start w:val="1"/>
    </w:lvl>
  </w:abstractNum>
  <w:abstractNum w:abstractNumId="104">
    <w:nsid w:val="759F82CD"/>
    <w:multiLevelType w:val="hybridMultilevel"/>
    <w:lvl w:ilvl="0">
      <w:lvlJc w:val="left"/>
      <w:lvlText w:val="%1:"/>
      <w:numFmt w:val="upperLetter"/>
      <w:start w:val="17"/>
    </w:lvl>
  </w:abstractNum>
  <w:abstractNum w:abstractNumId="105">
    <w:nsid w:val="61E74EA3"/>
    <w:multiLevelType w:val="hybridMultilevel"/>
    <w:lvl w:ilvl="0">
      <w:lvlJc w:val="left"/>
      <w:lvlText w:val="%1:"/>
      <w:numFmt w:val="upperLetter"/>
      <w:start w:val="1"/>
    </w:lvl>
  </w:abstractNum>
  <w:abstractNum w:abstractNumId="106">
    <w:nsid w:val="597B4D84"/>
    <w:multiLevelType w:val="hybridMultilevel"/>
    <w:lvl w:ilvl="0">
      <w:lvlJc w:val="left"/>
      <w:lvlText w:val="%1:"/>
      <w:numFmt w:val="upperLetter"/>
      <w:start w:val="17"/>
    </w:lvl>
  </w:abstractNum>
  <w:abstractNum w:abstractNumId="107">
    <w:nsid w:val="F819E7F"/>
    <w:multiLevelType w:val="hybridMultilevel"/>
    <w:lvl w:ilvl="0">
      <w:lvlJc w:val="left"/>
      <w:lvlText w:val="%1:"/>
      <w:numFmt w:val="upperLetter"/>
      <w:start w:val="1"/>
    </w:lvl>
  </w:abstractNum>
  <w:abstractNum w:abstractNumId="108">
    <w:nsid w:val="57C7D42D"/>
    <w:multiLevelType w:val="hybridMultilevel"/>
    <w:lvl w:ilvl="0">
      <w:lvlJc w:val="left"/>
      <w:lvlText w:val="%1:"/>
      <w:numFmt w:val="upperLetter"/>
      <w:start w:val="17"/>
    </w:lvl>
  </w:abstractNum>
  <w:abstractNum w:abstractNumId="109">
    <w:nsid w:val="312167AD"/>
    <w:multiLevelType w:val="hybridMultilevel"/>
    <w:lvl w:ilvl="0">
      <w:lvlJc w:val="left"/>
      <w:lvlText w:val="%1:"/>
      <w:numFmt w:val="upperLetter"/>
      <w:start w:val="1"/>
    </w:lvl>
  </w:abstractNum>
  <w:abstractNum w:abstractNumId="110">
    <w:nsid w:val="631B64D4"/>
    <w:multiLevelType w:val="hybridMultilevel"/>
    <w:lvl w:ilvl="0">
      <w:lvlJc w:val="left"/>
      <w:lvlText w:val="%1:"/>
      <w:numFmt w:val="upperLetter"/>
      <w:start w:val="17"/>
    </w:lvl>
  </w:abstractNum>
  <w:abstractNum w:abstractNumId="111">
    <w:nsid w:val="78B5E776"/>
    <w:multiLevelType w:val="hybridMultilevel"/>
    <w:lvl w:ilvl="0">
      <w:lvlJc w:val="left"/>
      <w:lvlText w:val="%1:"/>
      <w:numFmt w:val="upperLetter"/>
      <w:start w:val="1"/>
    </w:lvl>
  </w:abstractNum>
  <w:abstractNum w:abstractNumId="112">
    <w:nsid w:val="75486E47"/>
    <w:multiLevelType w:val="hybridMultilevel"/>
    <w:lvl w:ilvl="0">
      <w:lvlJc w:val="left"/>
      <w:lvlText w:val="%1:"/>
      <w:numFmt w:val="upperLetter"/>
      <w:start w:val="17"/>
    </w:lvl>
  </w:abstractNum>
  <w:abstractNum w:abstractNumId="113">
    <w:nsid w:val="6E534CDE"/>
    <w:multiLevelType w:val="hybridMultilevel"/>
    <w:lvl w:ilvl="0">
      <w:lvlJc w:val="left"/>
      <w:lvlText w:val="%1:"/>
      <w:numFmt w:val="upperLetter"/>
      <w:start w:val="1"/>
    </w:lvl>
  </w:abstractNum>
  <w:abstractNum w:abstractNumId="114">
    <w:nsid w:val="1A0DDE32"/>
    <w:multiLevelType w:val="hybridMultilevel"/>
    <w:lvl w:ilvl="0">
      <w:lvlJc w:val="left"/>
      <w:lvlText w:val="%1:"/>
      <w:numFmt w:val="upperLetter"/>
      <w:start w:val="17"/>
    </w:lvl>
  </w:abstractNum>
  <w:abstractNum w:abstractNumId="115">
    <w:nsid w:val="65968C1C"/>
    <w:multiLevelType w:val="hybridMultilevel"/>
    <w:lvl w:ilvl="0">
      <w:lvlJc w:val="left"/>
      <w:lvlText w:val="%1:"/>
      <w:numFmt w:val="upperLetter"/>
      <w:start w:val="1"/>
    </w:lvl>
  </w:abstractNum>
  <w:abstractNum w:abstractNumId="116">
    <w:nsid w:val="46263DEC"/>
    <w:multiLevelType w:val="hybridMultilevel"/>
    <w:lvl w:ilvl="0">
      <w:lvlJc w:val="left"/>
      <w:lvlText w:val="%1:"/>
      <w:numFmt w:val="upperLetter"/>
      <w:start w:val="17"/>
    </w:lvl>
  </w:abstractNum>
  <w:abstractNum w:abstractNumId="117">
    <w:nsid w:val="260D8C4A"/>
    <w:multiLevelType w:val="hybridMultilevel"/>
    <w:lvl w:ilvl="0">
      <w:lvlJc w:val="left"/>
      <w:lvlText w:val="%1:"/>
      <w:numFmt w:val="upperLetter"/>
      <w:start w:val="1"/>
    </w:lvl>
  </w:abstractNum>
  <w:abstractNum w:abstractNumId="118">
    <w:nsid w:val="73D4D3C4"/>
    <w:multiLevelType w:val="hybridMultilevel"/>
    <w:lvl w:ilvl="0">
      <w:lvlJc w:val="left"/>
      <w:lvlText w:val="%1:"/>
      <w:numFmt w:val="upperLetter"/>
      <w:start w:val="17"/>
    </w:lvl>
  </w:abstractNum>
  <w:abstractNum w:abstractNumId="119">
    <w:nsid w:val="746F2E30"/>
    <w:multiLevelType w:val="hybridMultilevel"/>
    <w:lvl w:ilvl="0">
      <w:lvlJc w:val="left"/>
      <w:lvlText w:val="%1."/>
      <w:numFmt w:val="upperLetter"/>
      <w:start w:val="1"/>
    </w:lvl>
  </w:abstractNum>
  <w:abstractNum w:abstractNumId="120">
    <w:nsid w:val="6FDE8AF6"/>
    <w:multiLevelType w:val="hybridMultilevel"/>
    <w:lvl w:ilvl="0">
      <w:lvlJc w:val="left"/>
      <w:lvlText w:val="%1:"/>
      <w:numFmt w:val="upperLetter"/>
      <w:start w:val="17"/>
    </w:lvl>
  </w:abstractNum>
  <w:abstractNum w:abstractNumId="121">
    <w:nsid w:val="3FC32E20"/>
    <w:multiLevelType w:val="hybridMultilevel"/>
    <w:lvl w:ilvl="0">
      <w:lvlJc w:val="left"/>
      <w:lvlText w:val="%1:"/>
      <w:numFmt w:val="upperLetter"/>
      <w:start w:val="1"/>
    </w:lvl>
  </w:abstractNum>
  <w:abstractNum w:abstractNumId="122">
    <w:nsid w:val="49C0E823"/>
    <w:multiLevelType w:val="hybridMultilevel"/>
    <w:lvl w:ilvl="0">
      <w:lvlJc w:val="left"/>
      <w:lvlText w:val="%1:"/>
      <w:numFmt w:val="upperLetter"/>
      <w:start w:val="17"/>
    </w:lvl>
  </w:abstractNum>
  <w:abstractNum w:abstractNumId="123">
    <w:nsid w:val="14D53685"/>
    <w:multiLevelType w:val="hybridMultilevel"/>
    <w:lvl w:ilvl="0">
      <w:lvlJc w:val="left"/>
      <w:lvlText w:val="%1:"/>
      <w:numFmt w:val="upperLetter"/>
      <w:start w:val="1"/>
    </w:lvl>
  </w:abstractNum>
  <w:abstractNum w:abstractNumId="124">
    <w:nsid w:val="230F856C"/>
    <w:multiLevelType w:val="hybridMultilevel"/>
    <w:lvl w:ilvl="0">
      <w:lvlJc w:val="left"/>
      <w:lvlText w:val="%1:"/>
      <w:numFmt w:val="upperLetter"/>
      <w:start w:val="17"/>
    </w:lvl>
  </w:abstractNum>
  <w:abstractNum w:abstractNumId="125">
    <w:nsid w:val="6EAA85FB"/>
    <w:multiLevelType w:val="hybridMultilevel"/>
    <w:lvl w:ilvl="0">
      <w:lvlJc w:val="left"/>
      <w:lvlText w:val="%1:"/>
      <w:numFmt w:val="upperLetter"/>
      <w:start w:val="1"/>
    </w:lvl>
  </w:abstractNum>
  <w:abstractNum w:abstractNumId="126">
    <w:nsid w:val="3F06ECB2"/>
    <w:multiLevelType w:val="hybridMultilevel"/>
    <w:lvl w:ilvl="0">
      <w:lvlJc w:val="left"/>
      <w:lvlText w:val="%1:"/>
      <w:numFmt w:val="upperLetter"/>
      <w:start w:val="17"/>
    </w:lvl>
  </w:abstractNum>
  <w:abstractNum w:abstractNumId="127">
    <w:nsid w:val="3B594807"/>
    <w:multiLevelType w:val="hybridMultilevel"/>
    <w:lvl w:ilvl="0">
      <w:lvlJc w:val="left"/>
      <w:lvlText w:val="%1:"/>
      <w:numFmt w:val="upperLetter"/>
      <w:start w:val="1"/>
    </w:lvl>
  </w:abstractNum>
  <w:abstractNum w:abstractNumId="128">
    <w:nsid w:val="6CAA2304"/>
    <w:multiLevelType w:val="hybridMultilevel"/>
    <w:lvl w:ilvl="0">
      <w:lvlJc w:val="left"/>
      <w:lvlText w:val="%1:"/>
      <w:numFmt w:val="upperLetter"/>
      <w:start w:val="17"/>
    </w:lvl>
  </w:abstractNum>
  <w:abstractNum w:abstractNumId="129">
    <w:nsid w:val="3F7C2FF4"/>
    <w:multiLevelType w:val="hybridMultilevel"/>
    <w:lvl w:ilvl="0">
      <w:lvlJc w:val="left"/>
      <w:lvlText w:val="%1:"/>
      <w:numFmt w:val="upperLetter"/>
      <w:start w:val="1"/>
    </w:lvl>
  </w:abstractNum>
  <w:abstractNum w:abstractNumId="130">
    <w:nsid w:val="25413BEC"/>
    <w:multiLevelType w:val="hybridMultilevel"/>
    <w:lvl w:ilvl="0">
      <w:lvlJc w:val="left"/>
      <w:lvlText w:val="%1:"/>
      <w:numFmt w:val="upperLetter"/>
      <w:start w:val="17"/>
    </w:lvl>
  </w:abstractNum>
  <w:abstractNum w:abstractNumId="131">
    <w:nsid w:val="17180B0B"/>
    <w:multiLevelType w:val="hybridMultilevel"/>
    <w:lvl w:ilvl="0">
      <w:lvlJc w:val="left"/>
      <w:lvlText w:val="%1:"/>
      <w:numFmt w:val="upperLetter"/>
      <w:start w:val="1"/>
    </w:lvl>
  </w:abstractNum>
  <w:abstractNum w:abstractNumId="132">
    <w:nsid w:val="579328B9"/>
    <w:multiLevelType w:val="hybridMultilevel"/>
    <w:lvl w:ilvl="0">
      <w:lvlJc w:val="left"/>
      <w:lvlText w:val="%1:"/>
      <w:numFmt w:val="upperLetter"/>
      <w:start w:val="17"/>
    </w:lvl>
  </w:abstractNum>
  <w:abstractNum w:abstractNumId="133">
    <w:nsid w:val="5D205E20"/>
    <w:multiLevelType w:val="hybridMultilevel"/>
    <w:lvl w:ilvl="0">
      <w:lvlJc w:val="left"/>
      <w:lvlText w:val="%1:"/>
      <w:numFmt w:val="upperLetter"/>
      <w:start w:val="1"/>
    </w:lvl>
  </w:abstractNum>
  <w:abstractNum w:abstractNumId="134">
    <w:nsid w:val="11CCA8BA"/>
    <w:multiLevelType w:val="hybridMultilevel"/>
    <w:lvl w:ilvl="0">
      <w:lvlJc w:val="left"/>
      <w:lvlText w:val="%1:"/>
      <w:numFmt w:val="upperLetter"/>
      <w:start w:val="17"/>
    </w:lvl>
  </w:abstractNum>
  <w:abstractNum w:abstractNumId="135">
    <w:nsid w:val="4D32AB86"/>
    <w:multiLevelType w:val="hybridMultilevel"/>
    <w:lvl w:ilvl="0">
      <w:lvlJc w:val="left"/>
      <w:lvlText w:val="%1:"/>
      <w:numFmt w:val="upperLetter"/>
      <w:start w:val="1"/>
    </w:lvl>
  </w:abstractNum>
  <w:abstractNum w:abstractNumId="136">
    <w:nsid w:val="3F07ACC3"/>
    <w:multiLevelType w:val="hybridMultilevel"/>
    <w:lvl w:ilvl="0">
      <w:lvlJc w:val="left"/>
      <w:lvlText w:val="%1:"/>
      <w:numFmt w:val="upperLetter"/>
      <w:start w:val="17"/>
    </w:lvl>
  </w:abstractNum>
  <w:abstractNum w:abstractNumId="137">
    <w:nsid w:val="6B47F63E"/>
    <w:multiLevelType w:val="hybridMultilevel"/>
    <w:lvl w:ilvl="0">
      <w:lvlJc w:val="left"/>
      <w:lvlText w:val="%1:"/>
      <w:numFmt w:val="upperLetter"/>
      <w:start w:val="1"/>
    </w:lvl>
  </w:abstractNum>
  <w:abstractNum w:abstractNumId="138">
    <w:nsid w:val="5CB44A05"/>
    <w:multiLevelType w:val="hybridMultilevel"/>
    <w:lvl w:ilvl="0">
      <w:lvlJc w:val="left"/>
      <w:lvlText w:val="%1:"/>
      <w:numFmt w:val="upperLetter"/>
      <w:start w:val="17"/>
    </w:lvl>
  </w:abstractNum>
  <w:abstractNum w:abstractNumId="139">
    <w:nsid w:val="16CF80F1"/>
    <w:multiLevelType w:val="hybridMultilevel"/>
    <w:lvl w:ilvl="0">
      <w:lvlJc w:val="left"/>
      <w:lvlText w:val="%1:"/>
      <w:numFmt w:val="upperLetter"/>
      <w:start w:val="17"/>
    </w:lvl>
  </w:abstractNum>
  <w:abstractNum w:abstractNumId="140">
    <w:nsid w:val="1C695DEC"/>
    <w:multiLevelType w:val="hybridMultilevel"/>
    <w:lvl w:ilvl="0">
      <w:lvlJc w:val="left"/>
      <w:lvlText w:val="%1:"/>
      <w:numFmt w:val="upperLetter"/>
      <w:start w:val="17"/>
    </w:lvl>
  </w:abstractNum>
  <w:abstractNum w:abstractNumId="141">
    <w:nsid w:val="3FCFAED9"/>
    <w:multiLevelType w:val="hybridMultilevel"/>
    <w:lvl w:ilvl="0">
      <w:lvlJc w:val="left"/>
      <w:lvlText w:val="%1:"/>
      <w:numFmt w:val="upperLetter"/>
      <w:start w:val="1"/>
    </w:lvl>
  </w:abstractNum>
  <w:abstractNum w:abstractNumId="142">
    <w:nsid w:val="F856867"/>
    <w:multiLevelType w:val="hybridMultilevel"/>
    <w:lvl w:ilvl="0">
      <w:lvlJc w:val="left"/>
      <w:lvlText w:val="%1:"/>
      <w:numFmt w:val="upperLetter"/>
      <w:start w:val="17"/>
    </w:lvl>
  </w:abstractNum>
  <w:abstractNum w:abstractNumId="143">
    <w:nsid w:val="11B1CC33"/>
    <w:multiLevelType w:val="hybridMultilevel"/>
    <w:lvl w:ilvl="0">
      <w:lvlJc w:val="left"/>
      <w:lvlText w:val="%1:"/>
      <w:numFmt w:val="upperLetter"/>
      <w:start w:val="1"/>
    </w:lvl>
  </w:abstractNum>
  <w:abstractNum w:abstractNumId="144">
    <w:nsid w:val="2E22FBB7"/>
    <w:multiLevelType w:val="hybridMultilevel"/>
    <w:lvl w:ilvl="0">
      <w:lvlJc w:val="left"/>
      <w:lvlText w:val="%1:"/>
      <w:numFmt w:val="upperLetter"/>
      <w:start w:val="17"/>
    </w:lvl>
  </w:abstractNum>
  <w:abstractNum w:abstractNumId="145">
    <w:nsid w:val="29934699"/>
    <w:multiLevelType w:val="hybridMultilevel"/>
    <w:lvl w:ilvl="0">
      <w:lvlJc w:val="left"/>
      <w:lvlText w:val="%1:"/>
      <w:numFmt w:val="upperLetter"/>
      <w:start w:val="1"/>
    </w:lvl>
  </w:abstractNum>
  <w:abstractNum w:abstractNumId="146">
    <w:nsid w:val="77485850"/>
    <w:multiLevelType w:val="hybridMultilevel"/>
    <w:lvl w:ilvl="0">
      <w:lvlJc w:val="left"/>
      <w:lvlText w:val="%1:"/>
      <w:numFmt w:val="upperLetter"/>
      <w:start w:val="17"/>
    </w:lvl>
  </w:abstractNum>
  <w:abstractNum w:abstractNumId="147">
    <w:nsid w:val="744939A3"/>
    <w:multiLevelType w:val="hybridMultilevel"/>
    <w:lvl w:ilvl="0">
      <w:lvlJc w:val="left"/>
      <w:lvlText w:val="%1:"/>
      <w:numFmt w:val="upperLetter"/>
      <w:start w:val="1"/>
    </w:lvl>
  </w:abstractNum>
  <w:abstractNum w:abstractNumId="148">
    <w:nsid w:val="4FA0D2E3"/>
    <w:multiLevelType w:val="hybridMultilevel"/>
    <w:lvl w:ilvl="0">
      <w:lvlJc w:val="left"/>
      <w:lvlText w:val="%1:"/>
      <w:numFmt w:val="upperLetter"/>
      <w:start w:val="17"/>
    </w:lvl>
  </w:abstractNum>
  <w:abstractNum w:abstractNumId="149">
    <w:nsid w:val="6B1D2C14"/>
    <w:multiLevelType w:val="hybridMultilevel"/>
    <w:lvl w:ilvl="0">
      <w:lvlJc w:val="left"/>
      <w:lvlText w:val="%1:"/>
      <w:numFmt w:val="upperLetter"/>
      <w:start w:val="1"/>
    </w:lvl>
  </w:abstractNum>
  <w:abstractNum w:abstractNumId="150">
    <w:nsid w:val="68B867D3"/>
    <w:multiLevelType w:val="hybridMultilevel"/>
    <w:lvl w:ilvl="0">
      <w:lvlJc w:val="left"/>
      <w:lvlText w:val="%1:"/>
      <w:numFmt w:val="upperLetter"/>
      <w:start w:val="17"/>
    </w:lvl>
  </w:abstractNum>
  <w:abstractNum w:abstractNumId="151">
    <w:nsid w:val="3F7F5DD9"/>
    <w:multiLevelType w:val="hybridMultilevel"/>
    <w:lvl w:ilvl="0">
      <w:lvlJc w:val="left"/>
      <w:lvlText w:val="%1:"/>
      <w:numFmt w:val="upperLetter"/>
      <w:start w:val="1"/>
    </w:lvl>
  </w:abstractNum>
  <w:abstractNum w:abstractNumId="152">
    <w:nsid w:val="2AE05A34"/>
    <w:multiLevelType w:val="hybridMultilevel"/>
    <w:lvl w:ilvl="0">
      <w:lvlJc w:val="left"/>
      <w:lvlText w:val="%1:"/>
      <w:numFmt w:val="upperLetter"/>
      <w:start w:val="17"/>
    </w:lvl>
  </w:abstractNum>
  <w:abstractNum w:abstractNumId="153">
    <w:nsid w:val="32794FF7"/>
    <w:multiLevelType w:val="hybridMultilevel"/>
    <w:lvl w:ilvl="0">
      <w:lvlJc w:val="left"/>
      <w:lvlText w:val="%1:"/>
      <w:numFmt w:val="upperLetter"/>
      <w:start w:val="1"/>
    </w:lvl>
  </w:abstractNum>
  <w:abstractNum w:abstractNumId="154">
    <w:nsid w:val="5454945E"/>
    <w:multiLevelType w:val="hybridMultilevel"/>
    <w:lvl w:ilvl="0">
      <w:lvlJc w:val="left"/>
      <w:lvlText w:val="%1:"/>
      <w:numFmt w:val="upperLetter"/>
      <w:start w:val="17"/>
    </w:lvl>
  </w:abstractNum>
  <w:abstractNum w:abstractNumId="155">
    <w:nsid w:val="4DEFDFA0"/>
    <w:multiLevelType w:val="hybridMultilevel"/>
    <w:lvl w:ilvl="0">
      <w:lvlJc w:val="left"/>
      <w:lvlText w:val="%1:"/>
      <w:numFmt w:val="upperLetter"/>
      <w:start w:val="1"/>
    </w:lvl>
  </w:abstractNum>
  <w:abstractNum w:abstractNumId="156">
    <w:nsid w:val="2123D5F2"/>
    <w:multiLevelType w:val="hybridMultilevel"/>
    <w:lvl w:ilvl="0">
      <w:lvlJc w:val="left"/>
      <w:lvlText w:val="%1:"/>
      <w:numFmt w:val="upperLetter"/>
      <w:start w:val="17"/>
    </w:lvl>
  </w:abstractNum>
  <w:abstractNum w:abstractNumId="157">
    <w:nsid w:val="135B8110"/>
    <w:multiLevelType w:val="hybridMultilevel"/>
    <w:lvl w:ilvl="0">
      <w:lvlJc w:val="left"/>
      <w:lvlText w:val="%1:"/>
      <w:numFmt w:val="upperLetter"/>
      <w:start w:val="1"/>
    </w:lvl>
  </w:abstractNum>
  <w:abstractNum w:abstractNumId="158">
    <w:nsid w:val="94927A8"/>
    <w:multiLevelType w:val="hybridMultilevel"/>
    <w:lvl w:ilvl="0">
      <w:lvlJc w:val="left"/>
      <w:lvlText w:val="%1:"/>
      <w:numFmt w:val="upperLetter"/>
      <w:start w:val="17"/>
    </w:lvl>
  </w:abstractNum>
  <w:abstractNum w:abstractNumId="159">
    <w:nsid w:val="DCDF8F6"/>
    <w:multiLevelType w:val="hybridMultilevel"/>
    <w:lvl w:ilvl="0">
      <w:lvlJc w:val="left"/>
      <w:lvlText w:val="%1:"/>
      <w:numFmt w:val="upperLetter"/>
      <w:start w:val="1"/>
    </w:lvl>
  </w:abstractNum>
  <w:abstractNum w:abstractNumId="160">
    <w:nsid w:val="52D7B105"/>
    <w:multiLevelType w:val="hybridMultilevel"/>
    <w:lvl w:ilvl="0">
      <w:lvlJc w:val="left"/>
      <w:lvlText w:val="%1:"/>
      <w:numFmt w:val="upperLetter"/>
      <w:start w:val="17"/>
    </w:lvl>
  </w:abstractNum>
  <w:abstractNum w:abstractNumId="161">
    <w:nsid w:val="2E8A6394"/>
    <w:multiLevelType w:val="hybridMultilevel"/>
    <w:lvl w:ilvl="0">
      <w:lvlJc w:val="left"/>
      <w:lvlText w:val="%1:"/>
      <w:numFmt w:val="upperLetter"/>
      <w:start w:val="1"/>
    </w:lvl>
  </w:abstractNum>
  <w:abstractNum w:abstractNumId="162">
    <w:nsid w:val="24E60401"/>
    <w:multiLevelType w:val="hybridMultilevel"/>
    <w:lvl w:ilvl="0">
      <w:lvlJc w:val="left"/>
      <w:lvlText w:val="%1:"/>
      <w:numFmt w:val="upperLetter"/>
      <w:start w:val="17"/>
    </w:lvl>
  </w:abstractNum>
  <w:abstractNum w:abstractNumId="163">
    <w:nsid w:val="2A6AD9BE"/>
    <w:multiLevelType w:val="hybridMultilevel"/>
    <w:lvl w:ilvl="0">
      <w:lvlJc w:val="left"/>
      <w:lvlText w:val="%1:"/>
      <w:numFmt w:val="upperLetter"/>
      <w:start w:val="1"/>
    </w:lvl>
  </w:abstractNum>
  <w:abstractNum w:abstractNumId="164">
    <w:nsid w:val="BAAC1B4"/>
    <w:multiLevelType w:val="hybridMultilevel"/>
    <w:lvl w:ilvl="0">
      <w:lvlJc w:val="left"/>
      <w:lvlText w:val="%1:"/>
      <w:numFmt w:val="upperLetter"/>
      <w:start w:val="17"/>
    </w:lvl>
  </w:abstractNum>
  <w:abstractNum w:abstractNumId="165">
    <w:nsid w:val="36B2ACBC"/>
    <w:multiLevelType w:val="hybridMultilevel"/>
    <w:lvl w:ilvl="0">
      <w:lvlJc w:val="left"/>
      <w:lvlText w:val="%1:"/>
      <w:numFmt w:val="upperLetter"/>
      <w:start w:val="1"/>
    </w:lvl>
  </w:abstractNum>
  <w:abstractNum w:abstractNumId="166">
    <w:nsid w:val="779D8544"/>
    <w:multiLevelType w:val="hybridMultilevel"/>
    <w:lvl w:ilvl="0">
      <w:lvlJc w:val="left"/>
      <w:lvlText w:val="%1:"/>
      <w:numFmt w:val="upperLetter"/>
      <w:start w:val="17"/>
    </w:lvl>
  </w:abstractNum>
  <w:abstractNum w:abstractNumId="167">
    <w:nsid w:val="4AB26E78"/>
    <w:multiLevelType w:val="hybridMultilevel"/>
    <w:lvl w:ilvl="0">
      <w:lvlJc w:val="left"/>
      <w:lvlText w:val="%1:"/>
      <w:numFmt w:val="upperLetter"/>
      <w:start w:val="1"/>
    </w:lvl>
  </w:abstractNum>
  <w:abstractNum w:abstractNumId="168">
    <w:nsid w:val="21FAA2FA"/>
    <w:multiLevelType w:val="hybridMultilevel"/>
    <w:lvl w:ilvl="0">
      <w:lvlJc w:val="left"/>
      <w:lvlText w:val="%1:"/>
      <w:numFmt w:val="upperLetter"/>
      <w:start w:val="17"/>
    </w:lvl>
  </w:abstractNum>
  <w:abstractNum w:abstractNumId="169">
    <w:nsid w:val="5451CF49"/>
    <w:multiLevelType w:val="hybridMultilevel"/>
    <w:lvl w:ilvl="0">
      <w:lvlJc w:val="left"/>
      <w:lvlText w:val="%1:"/>
      <w:numFmt w:val="upperLetter"/>
      <w:start w:val="1"/>
    </w:lvl>
  </w:abstractNum>
  <w:abstractNum w:abstractNumId="170">
    <w:nsid w:val="6181EF69"/>
    <w:multiLevelType w:val="hybridMultilevel"/>
    <w:lvl w:ilvl="0">
      <w:lvlJc w:val="left"/>
      <w:lvlText w:val="%1:"/>
      <w:numFmt w:val="upperLetter"/>
      <w:start w:val="17"/>
    </w:lvl>
  </w:abstractNum>
  <w:abstractNum w:abstractNumId="171">
    <w:nsid w:val="3E6400E6"/>
    <w:multiLevelType w:val="hybridMultilevel"/>
    <w:lvl w:ilvl="0">
      <w:lvlJc w:val="left"/>
      <w:lvlText w:val="%1:"/>
      <w:numFmt w:val="upperLetter"/>
      <w:start w:val="1"/>
    </w:lvl>
  </w:abstractNum>
  <w:abstractNum w:abstractNumId="172">
    <w:nsid w:val="14217E23"/>
    <w:multiLevelType w:val="hybridMultilevel"/>
    <w:lvl w:ilvl="0">
      <w:lvlJc w:val="left"/>
      <w:lvlText w:val="%1:"/>
      <w:numFmt w:val="upperLetter"/>
      <w:start w:val="17"/>
    </w:lvl>
  </w:abstractNum>
  <w:abstractNum w:abstractNumId="173">
    <w:nsid w:val="710757D0"/>
    <w:multiLevelType w:val="hybridMultilevel"/>
    <w:lvl w:ilvl="0">
      <w:lvlJc w:val="left"/>
      <w:lvlText w:val="%1:"/>
      <w:numFmt w:val="upperLetter"/>
      <w:start w:val="1"/>
    </w:lvl>
  </w:abstractNum>
  <w:abstractNum w:abstractNumId="174">
    <w:nsid w:val="5015CD1A"/>
    <w:multiLevelType w:val="hybridMultilevel"/>
    <w:lvl w:ilvl="0">
      <w:lvlJc w:val="left"/>
      <w:lvlText w:val="%1:"/>
      <w:numFmt w:val="upperLetter"/>
      <w:start w:val="17"/>
    </w:lvl>
  </w:abstractNum>
  <w:abstractNum w:abstractNumId="175">
    <w:nsid w:val="424479DA"/>
    <w:multiLevelType w:val="hybridMultilevel"/>
    <w:lvl w:ilvl="0">
      <w:lvlJc w:val="left"/>
      <w:lvlText w:val="%1:"/>
      <w:numFmt w:val="upperLetter"/>
      <w:start w:val="1"/>
    </w:lvl>
  </w:abstractNum>
  <w:abstractNum w:abstractNumId="176">
    <w:nsid w:val="1A9A9E69"/>
    <w:multiLevelType w:val="hybridMultilevel"/>
    <w:lvl w:ilvl="0">
      <w:lvlJc w:val="left"/>
      <w:lvlText w:val="%1:"/>
      <w:numFmt w:val="upperLetter"/>
      <w:start w:val="17"/>
    </w:lvl>
  </w:abstractNum>
  <w:abstractNum w:abstractNumId="177">
    <w:nsid w:val="475E256A"/>
    <w:multiLevelType w:val="hybridMultilevel"/>
    <w:lvl w:ilvl="0">
      <w:lvlJc w:val="left"/>
      <w:lvlText w:val="%1:"/>
      <w:numFmt w:val="upperLetter"/>
      <w:start w:val="1"/>
    </w:lvl>
  </w:abstractNum>
  <w:abstractNum w:abstractNumId="178">
    <w:nsid w:val="368DB37E"/>
    <w:multiLevelType w:val="hybridMultilevel"/>
    <w:lvl w:ilvl="0">
      <w:lvlJc w:val="left"/>
      <w:lvlText w:val="(%1)"/>
      <w:numFmt w:val="decimal"/>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76"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262" Type="http://schemas.openxmlformats.org/officeDocument/2006/relationships/hyperlink" Target="https://www.sec.gov/Archives/edgar/data/1888886/000110465923011717/tm235639d1_ex3-1.htm" TargetMode="External"/><Relationship Id="rId263" Type="http://schemas.openxmlformats.org/officeDocument/2006/relationships/hyperlink" Target="https://www.sec.gov/Archives/edgar/data/1888886/000110465923007657/tm225197d15_ex4-1.htm" TargetMode="External"/><Relationship Id="rId264" Type="http://schemas.openxmlformats.org/officeDocument/2006/relationships/hyperlink" Target="https://www.sec.gov/Archives/edgar/data/1888886/000110465923007657/tm225197d15_ex4-2.htm" TargetMode="External"/><Relationship Id="rId265" Type="http://schemas.openxmlformats.org/officeDocument/2006/relationships/hyperlink" Target="https://www.sec.gov/Archives/edgar/data/1888886/000155837023005141/gpcr-20221231xex4d5.htm" TargetMode="External"/><Relationship Id="rId266" Type="http://schemas.openxmlformats.org/officeDocument/2006/relationships/hyperlink" Target="https://www.sec.gov/Archives/edgar/data/1888886/000110465923003415/tm225197d11_ex10-1.htm" TargetMode="External"/><Relationship Id="rId267" Type="http://schemas.openxmlformats.org/officeDocument/2006/relationships/hyperlink" Target="https://www.sec.gov/Archives/edgar/data/1888886/000110465923003415/tm225197d11_ex10-2.htm" TargetMode="External"/><Relationship Id="rId268" Type="http://schemas.openxmlformats.org/officeDocument/2006/relationships/hyperlink" Target="https://www.sec.gov/Archives/edgar/data/1888886/000155837023005141/gpcr-20221231xex10d3.htm" TargetMode="External"/><Relationship Id="rId269" Type="http://schemas.openxmlformats.org/officeDocument/2006/relationships/hyperlink" Target="https://www.sec.gov/Archives/edgar/data/1888886/000110465923003415/tm225197d11_ex10-4.htm" TargetMode="External"/><Relationship Id="rId270" Type="http://schemas.openxmlformats.org/officeDocument/2006/relationships/hyperlink" Target="https://www.sec.gov/Archives/edgar/data/1888886/000110465923003415/tm225197d11_ex10-5.htm" TargetMode="External"/><Relationship Id="rId271" Type="http://schemas.openxmlformats.org/officeDocument/2006/relationships/hyperlink" Target="https://www.sec.gov/Archives/edgar/data/1888886/000110465923003415/tm225197d11_ex10-6.htm" TargetMode="External"/><Relationship Id="rId272" Type="http://schemas.openxmlformats.org/officeDocument/2006/relationships/hyperlink" Target="https://www.sec.gov/Archives/edgar/data/1888886/000110465923003415/tm225197d11_ex10-7.htm" TargetMode="External"/><Relationship Id="rId273" Type="http://schemas.openxmlformats.org/officeDocument/2006/relationships/hyperlink" Target="https://www.sec.gov/Archives/edgar/data/1888886/000110465923003415/tm225197d11_ex10-8.htm" TargetMode="External"/><Relationship Id="rId274" Type="http://schemas.openxmlformats.org/officeDocument/2006/relationships/hyperlink" Target="https://www.sec.gov/Archives/edgar/data/1888886/000155837023005141/gpcr-20221231xex10d9.htm" TargetMode="External"/><Relationship Id="rId275" Type="http://schemas.openxmlformats.org/officeDocument/2006/relationships/hyperlink" Target="https://www.sec.gov/Archives/edgar/data/1888886/000110465923003415/tm225197d11_ex10-10.htm" TargetMode="External"/><Relationship Id="rId277" Type="http://schemas.openxmlformats.org/officeDocument/2006/relationships/hyperlink" Target="https://www.sec.gov/Archives/edgar/data/1888886/000110465923003415/tm225197d11_ex10-11.htm" TargetMode="External"/><Relationship Id="rId278" Type="http://schemas.openxmlformats.org/officeDocument/2006/relationships/hyperlink" Target="https://www.sec.gov/Archives/edgar/data/1888886/000110465923003415/tm225197d11_ex10-12.htm" TargetMode="External"/><Relationship Id="rId279" Type="http://schemas.openxmlformats.org/officeDocument/2006/relationships/hyperlink" Target="https://www.sec.gov/Archives/edgar/data/0001888886/000155837024015531/gpcr-20240930xex10d2.htm" TargetMode="External"/><Relationship Id="rId280" Type="http://schemas.openxmlformats.org/officeDocument/2006/relationships/hyperlink" Target="https://www.sec.gov/Archives/edgar/data/0001888886/000155837024015531/gpcr-20240930xex10d3.htm" TargetMode="External"/><Relationship Id="rId281" Type="http://schemas.openxmlformats.org/officeDocument/2006/relationships/hyperlink" Target="https://www.sec.gov/Archives/edgar/data/0001888886/000155837024015531/gpcr-20240930xex10d1.htm" TargetMode="External"/><Relationship Id="rId282" Type="http://schemas.openxmlformats.org/officeDocument/2006/relationships/hyperlink" Target="https://www.sec.gov/Archives/edgar/data/0001888886/000155837024007642/gpcr-20240331xex10d1.htm" TargetMode="External"/><Relationship Id="rId283" Type="http://schemas.openxmlformats.org/officeDocument/2006/relationships/hyperlink" Target="https://www.sec.gov/Archives/edgar/data/1888886/000110465923003415/tm225197d11_ex10-16.htm" TargetMode="External"/><Relationship Id="rId284" Type="http://schemas.openxmlformats.org/officeDocument/2006/relationships/hyperlink" Target="https://www.sec.gov/Archives/edgar/data/1888886/000110465923003415/tm225197d11_ex10-17.htm" TargetMode="External"/><Relationship Id="rId285" Type="http://schemas.openxmlformats.org/officeDocument/2006/relationships/hyperlink" Target="https://www.sec.gov/Archives/edgar/data/1888886/000110465923003415/tm225197d11_ex10-23.htm" TargetMode="External"/><Relationship Id="rId286" Type="http://schemas.openxmlformats.org/officeDocument/2006/relationships/hyperlink" Target="https://www.sec.gov/Archives/edgar/data/1888886/000110465923003415/tm225197d11_ex10-24.htm" TargetMode="External"/><Relationship Id="rId287" Type="http://schemas.openxmlformats.org/officeDocument/2006/relationships/hyperlink" Target="https://www.sec.gov/Archives/edgar/data/1888886/000155837023019203/gpcr-20230930xex10d4.htm" TargetMode="External"/><Relationship Id="rId288" Type="http://schemas.openxmlformats.org/officeDocument/2006/relationships/hyperlink" Target="https://www.sec.gov/Archives/edgar/data/1888886/000110465923118241/tm2329572d10_ex10-1.htm" TargetMode="External"/><Relationship Id="rId289" Type="http://schemas.openxmlformats.org/officeDocument/2006/relationships/hyperlink" Target="https://www.sec.gov/Archives/edgar/data/1888886/000110465923119620/tm2329572d4_ex21-1.htm" TargetMode="External"/><Relationship Id="rId290" Type="http://schemas.openxmlformats.org/officeDocument/2006/relationships/hyperlink" Target="https://www.sec.gov/Archives/edgar/data/1888886/000155837024002791/gpcr-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2025-02-27T17:29:21Z</dcterms:created>
  <dcterms:modified xsi:type="dcterms:W3CDTF">2025-02-27T17:29:21Z</dcterms:modified>
</cp:coreProperties>
</file>