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415925</wp:posOffset>
            </wp:positionV>
            <wp:extent cx="5650230"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0230" cy="3365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474980</wp:posOffset>
            </wp:positionV>
            <wp:extent cx="5650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10-Q/A</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(Amendment No. 1)</w:t>
      </w:r>
    </w:p>
    <w:p>
      <w:pPr>
        <w:spacing w:after="0" w:line="47" w:lineRule="exact"/>
        <w:rPr>
          <w:sz w:val="24"/>
          <w:szCs w:val="24"/>
          <w:color w:val="auto"/>
        </w:rPr>
      </w:pPr>
    </w:p>
    <w:p>
      <w:pPr>
        <w:ind w:left="3000" w:right="1399" w:hanging="2951"/>
        <w:spacing w:after="0" w:line="331" w:lineRule="auto"/>
        <w:tabs>
          <w:tab w:leader="none" w:pos="370"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OR</w:t>
      </w:r>
    </w:p>
    <w:p>
      <w:pPr>
        <w:spacing w:after="0" w:line="68" w:lineRule="exact"/>
        <w:rPr>
          <w:sz w:val="24"/>
          <w:szCs w:val="24"/>
          <w:color w:val="auto"/>
        </w:rPr>
      </w:pPr>
    </w:p>
    <w:p>
      <w:pPr>
        <w:ind w:left="360" w:hanging="311"/>
        <w:spacing w:after="0"/>
        <w:tabs>
          <w:tab w:leader="none" w:pos="36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5" w:lineRule="exact"/>
        <w:rPr>
          <w:rFonts w:ascii="MS PGothic" w:cs="MS PGothic" w:eastAsia="MS PGothic" w:hAnsi="MS PGothic"/>
          <w:sz w:val="12"/>
          <w:szCs w:val="12"/>
          <w:color w:val="auto"/>
          <w:highlight w:val="black"/>
        </w:rPr>
      </w:pPr>
    </w:p>
    <w:p>
      <w:pPr>
        <w:ind w:left="3480"/>
        <w:spacing w:after="0"/>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For The Transition Period From To</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001-41608</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Structure Therapeutics Inc.</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2"/>
          <w:szCs w:val="12"/>
          <w:color w:val="auto"/>
        </w:rPr>
        <w:t>(Exact name of registrant as specified in its charter)</w:t>
      </w:r>
    </w:p>
    <w:p>
      <w:pPr>
        <w:spacing w:after="0" w:line="47" w:lineRule="exact"/>
        <w:rPr>
          <w:sz w:val="24"/>
          <w:szCs w:val="24"/>
          <w:color w:val="auto"/>
        </w:rPr>
      </w:pPr>
    </w:p>
    <w:tbl>
      <w:tblPr>
        <w:tblLayout w:type="fixed"/>
        <w:tblInd w:w="600" w:type="dxa"/>
        <w:tblCellMar>
          <w:top w:w="0" w:type="dxa"/>
          <w:left w:w="0" w:type="dxa"/>
          <w:bottom w:w="0" w:type="dxa"/>
          <w:right w:w="0" w:type="dxa"/>
        </w:tblCellMar>
      </w:tblPr>
      <w:tr>
        <w:trPr>
          <w:trHeight w:val="139"/>
        </w:trPr>
        <w:tc>
          <w:tcPr>
            <w:tcW w:w="4240" w:type="dxa"/>
            <w:vAlign w:val="bottom"/>
          </w:tcPr>
          <w:p>
            <w:pPr>
              <w:jc w:val="center"/>
              <w:ind w:right="918"/>
              <w:spacing w:after="0"/>
              <w:rPr>
                <w:sz w:val="20"/>
                <w:szCs w:val="20"/>
                <w:color w:val="auto"/>
              </w:rPr>
            </w:pPr>
            <w:r>
              <w:rPr>
                <w:rFonts w:ascii="Arial" w:cs="Arial" w:eastAsia="Arial" w:hAnsi="Arial"/>
                <w:sz w:val="12"/>
                <w:szCs w:val="12"/>
                <w:b w:val="1"/>
                <w:bCs w:val="1"/>
                <w:color w:val="auto"/>
              </w:rPr>
              <w:t>Cayman Islands</w:t>
            </w:r>
          </w:p>
        </w:tc>
        <w:tc>
          <w:tcPr>
            <w:tcW w:w="2880" w:type="dxa"/>
            <w:vAlign w:val="bottom"/>
          </w:tcPr>
          <w:p>
            <w:pPr>
              <w:jc w:val="right"/>
              <w:ind w:right="558"/>
              <w:spacing w:after="0"/>
              <w:rPr>
                <w:sz w:val="20"/>
                <w:szCs w:val="20"/>
                <w:color w:val="auto"/>
              </w:rPr>
            </w:pPr>
            <w:r>
              <w:rPr>
                <w:rFonts w:ascii="Arial" w:cs="Arial" w:eastAsia="Arial" w:hAnsi="Arial"/>
                <w:sz w:val="12"/>
                <w:szCs w:val="12"/>
                <w:b w:val="1"/>
                <w:bCs w:val="1"/>
                <w:color w:val="auto"/>
              </w:rPr>
              <w:t>98-1480821</w:t>
            </w:r>
          </w:p>
        </w:tc>
        <w:tc>
          <w:tcPr>
            <w:tcW w:w="0" w:type="dxa"/>
            <w:vAlign w:val="bottom"/>
          </w:tcPr>
          <w:p>
            <w:pPr>
              <w:spacing w:after="0"/>
              <w:rPr>
                <w:sz w:val="1"/>
                <w:szCs w:val="1"/>
                <w:color w:val="auto"/>
              </w:rPr>
            </w:pPr>
          </w:p>
        </w:tc>
      </w:tr>
      <w:tr>
        <w:trPr>
          <w:trHeight w:val="127"/>
        </w:trPr>
        <w:tc>
          <w:tcPr>
            <w:tcW w:w="4240" w:type="dxa"/>
            <w:vAlign w:val="bottom"/>
          </w:tcPr>
          <w:p>
            <w:pPr>
              <w:jc w:val="center"/>
              <w:ind w:right="898"/>
              <w:spacing w:after="0" w:line="127" w:lineRule="exact"/>
              <w:rPr>
                <w:sz w:val="20"/>
                <w:szCs w:val="20"/>
                <w:color w:val="auto"/>
              </w:rPr>
            </w:pPr>
            <w:r>
              <w:rPr>
                <w:rFonts w:ascii="Arial" w:cs="Arial" w:eastAsia="Arial" w:hAnsi="Arial"/>
                <w:sz w:val="12"/>
                <w:szCs w:val="12"/>
                <w:color w:val="auto"/>
              </w:rPr>
              <w:t>(State of Other Jurisdiction of incorporation or Organization)</w:t>
            </w:r>
          </w:p>
        </w:tc>
        <w:tc>
          <w:tcPr>
            <w:tcW w:w="2880" w:type="dxa"/>
            <w:vAlign w:val="bottom"/>
          </w:tcPr>
          <w:p>
            <w:pPr>
              <w:jc w:val="center"/>
              <w:ind w:left="918"/>
              <w:spacing w:after="0" w:line="127" w:lineRule="exact"/>
              <w:rPr>
                <w:sz w:val="20"/>
                <w:szCs w:val="20"/>
                <w:color w:val="auto"/>
              </w:rPr>
            </w:pPr>
            <w:r>
              <w:rPr>
                <w:rFonts w:ascii="Arial" w:cs="Arial" w:eastAsia="Arial" w:hAnsi="Arial"/>
                <w:sz w:val="12"/>
                <w:szCs w:val="12"/>
                <w:color w:val="auto"/>
              </w:rPr>
              <w:t>(I.R.S. Employer Identification No.)</w:t>
            </w:r>
          </w:p>
        </w:tc>
        <w:tc>
          <w:tcPr>
            <w:tcW w:w="0" w:type="dxa"/>
            <w:vAlign w:val="bottom"/>
          </w:tcPr>
          <w:p>
            <w:pPr>
              <w:spacing w:after="0"/>
              <w:rPr>
                <w:sz w:val="1"/>
                <w:szCs w:val="1"/>
                <w:color w:val="auto"/>
              </w:rPr>
            </w:pPr>
          </w:p>
        </w:tc>
      </w:tr>
      <w:tr>
        <w:trPr>
          <w:trHeight w:val="133"/>
        </w:trPr>
        <w:tc>
          <w:tcPr>
            <w:tcW w:w="4240" w:type="dxa"/>
            <w:vAlign w:val="bottom"/>
          </w:tcPr>
          <w:p>
            <w:pPr>
              <w:jc w:val="center"/>
              <w:ind w:right="918"/>
              <w:spacing w:after="0" w:line="133" w:lineRule="exact"/>
              <w:rPr>
                <w:sz w:val="20"/>
                <w:szCs w:val="20"/>
                <w:color w:val="auto"/>
              </w:rPr>
            </w:pPr>
            <w:r>
              <w:rPr>
                <w:rFonts w:ascii="Arial" w:cs="Arial" w:eastAsia="Arial" w:hAnsi="Arial"/>
                <w:sz w:val="12"/>
                <w:szCs w:val="12"/>
                <w:b w:val="1"/>
                <w:bCs w:val="1"/>
                <w:color w:val="auto"/>
              </w:rPr>
              <w:t>601 Gateway Blvd., Suite 900</w:t>
            </w:r>
          </w:p>
        </w:tc>
        <w:tc>
          <w:tcPr>
            <w:tcW w:w="2880" w:type="dxa"/>
            <w:vAlign w:val="bottom"/>
            <w:vMerge w:val="restart"/>
          </w:tcPr>
          <w:p>
            <w:pPr>
              <w:jc w:val="right"/>
              <w:ind w:right="718"/>
              <w:spacing w:after="0"/>
              <w:rPr>
                <w:sz w:val="20"/>
                <w:szCs w:val="20"/>
                <w:color w:val="auto"/>
              </w:rPr>
            </w:pPr>
            <w:r>
              <w:rPr>
                <w:rFonts w:ascii="Arial" w:cs="Arial" w:eastAsia="Arial" w:hAnsi="Arial"/>
                <w:sz w:val="12"/>
                <w:szCs w:val="12"/>
                <w:b w:val="1"/>
                <w:bCs w:val="1"/>
                <w:color w:val="auto"/>
              </w:rPr>
              <w:t>94080</w:t>
            </w:r>
          </w:p>
        </w:tc>
        <w:tc>
          <w:tcPr>
            <w:tcW w:w="0" w:type="dxa"/>
            <w:vAlign w:val="bottom"/>
          </w:tcPr>
          <w:p>
            <w:pPr>
              <w:spacing w:after="0"/>
              <w:rPr>
                <w:sz w:val="1"/>
                <w:szCs w:val="1"/>
                <w:color w:val="auto"/>
              </w:rPr>
            </w:pPr>
          </w:p>
        </w:tc>
      </w:tr>
      <w:tr>
        <w:trPr>
          <w:trHeight w:val="139"/>
        </w:trPr>
        <w:tc>
          <w:tcPr>
            <w:tcW w:w="4240" w:type="dxa"/>
            <w:vAlign w:val="bottom"/>
          </w:tcPr>
          <w:p>
            <w:pPr>
              <w:jc w:val="center"/>
              <w:ind w:right="918"/>
              <w:spacing w:after="0"/>
              <w:rPr>
                <w:sz w:val="20"/>
                <w:szCs w:val="20"/>
                <w:color w:val="auto"/>
              </w:rPr>
            </w:pPr>
            <w:r>
              <w:rPr>
                <w:rFonts w:ascii="Arial" w:cs="Arial" w:eastAsia="Arial" w:hAnsi="Arial"/>
                <w:sz w:val="12"/>
                <w:szCs w:val="12"/>
                <w:b w:val="1"/>
                <w:bCs w:val="1"/>
                <w:color w:val="auto"/>
              </w:rPr>
              <w:t>South San Francisco, California</w:t>
            </w: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tcPr>
          <w:p>
            <w:pPr>
              <w:jc w:val="center"/>
              <w:ind w:right="898"/>
              <w:spacing w:after="0"/>
              <w:rPr>
                <w:sz w:val="20"/>
                <w:szCs w:val="20"/>
                <w:color w:val="auto"/>
              </w:rPr>
            </w:pPr>
            <w:r>
              <w:rPr>
                <w:rFonts w:ascii="Arial" w:cs="Arial" w:eastAsia="Arial" w:hAnsi="Arial"/>
                <w:sz w:val="12"/>
                <w:szCs w:val="12"/>
                <w:color w:val="auto"/>
              </w:rPr>
              <w:t>(Address of principal executive offices)</w:t>
            </w:r>
          </w:p>
        </w:tc>
        <w:tc>
          <w:tcPr>
            <w:tcW w:w="2880" w:type="dxa"/>
            <w:vAlign w:val="bottom"/>
          </w:tcPr>
          <w:p>
            <w:pPr>
              <w:jc w:val="center"/>
              <w:ind w:left="918"/>
              <w:spacing w:after="0"/>
              <w:rPr>
                <w:sz w:val="20"/>
                <w:szCs w:val="20"/>
                <w:color w:val="auto"/>
              </w:rPr>
            </w:pPr>
            <w:r>
              <w:rPr>
                <w:rFonts w:ascii="Arial" w:cs="Arial" w:eastAsia="Arial" w:hAnsi="Arial"/>
                <w:sz w:val="12"/>
                <w:szCs w:val="12"/>
                <w:color w:val="auto"/>
                <w:w w:val="99"/>
              </w:rPr>
              <w:t>(Zip code)</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2240"/>
        <w:spacing w:after="0"/>
        <w:rPr>
          <w:sz w:val="20"/>
          <w:szCs w:val="20"/>
          <w:color w:val="auto"/>
        </w:rPr>
      </w:pPr>
      <w:r>
        <w:rPr>
          <w:rFonts w:ascii="Arial" w:cs="Arial" w:eastAsia="Arial" w:hAnsi="Arial"/>
          <w:sz w:val="14"/>
          <w:szCs w:val="14"/>
          <w:b w:val="1"/>
          <w:bCs w:val="1"/>
          <w:color w:val="auto"/>
        </w:rPr>
        <w:t>Registrant's telephone number, including area code: (628) 229-9277</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53" w:lineRule="exact"/>
        <w:rPr>
          <w:sz w:val="24"/>
          <w:szCs w:val="24"/>
          <w:color w:val="auto"/>
        </w:rPr>
      </w:pPr>
    </w:p>
    <w:tbl>
      <w:tblPr>
        <w:tblLayout w:type="fixed"/>
        <w:tblInd w:w="60" w:type="dxa"/>
        <w:tblCellMar>
          <w:top w:w="0" w:type="dxa"/>
          <w:left w:w="0" w:type="dxa"/>
          <w:bottom w:w="0" w:type="dxa"/>
          <w:right w:w="0" w:type="dxa"/>
        </w:tblCellMar>
      </w:tblPr>
      <w:tr>
        <w:trPr>
          <w:trHeight w:val="138"/>
        </w:trPr>
        <w:tc>
          <w:tcPr>
            <w:tcW w:w="36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rPr>
              <w:t>Title of Each Class</w:t>
            </w:r>
          </w:p>
        </w:tc>
        <w:tc>
          <w:tcPr>
            <w:tcW w:w="22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Name Of Each Exchange</w:t>
            </w:r>
          </w:p>
        </w:tc>
        <w:tc>
          <w:tcPr>
            <w:tcW w:w="2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On Which Registered</w:t>
            </w:r>
          </w:p>
        </w:tc>
        <w:tc>
          <w:tcPr>
            <w:tcW w:w="0" w:type="dxa"/>
            <w:vAlign w:val="bottom"/>
          </w:tcPr>
          <w:p>
            <w:pPr>
              <w:spacing w:after="0"/>
              <w:rPr>
                <w:sz w:val="1"/>
                <w:szCs w:val="1"/>
                <w:color w:val="auto"/>
              </w:rPr>
            </w:pPr>
          </w:p>
        </w:tc>
      </w:tr>
      <w:tr>
        <w:trPr>
          <w:trHeight w:val="153"/>
        </w:trPr>
        <w:tc>
          <w:tcPr>
            <w:tcW w:w="3640" w:type="dxa"/>
            <w:vAlign w:val="bottom"/>
            <w:gridSpan w:val="2"/>
            <w:vMerge w:val="continue"/>
          </w:tcPr>
          <w:p>
            <w:pPr>
              <w:spacing w:after="0"/>
              <w:rPr>
                <w:sz w:val="13"/>
                <w:szCs w:val="13"/>
                <w:color w:val="auto"/>
              </w:rPr>
            </w:pPr>
          </w:p>
        </w:tc>
        <w:tc>
          <w:tcPr>
            <w:tcW w:w="22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Trading Symbol(s)</w:t>
            </w:r>
          </w:p>
        </w:tc>
        <w:tc>
          <w:tcPr>
            <w:tcW w:w="2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8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American Depositary Shares (ADSs), each representing</w:t>
            </w:r>
          </w:p>
        </w:tc>
        <w:tc>
          <w:tcPr>
            <w:tcW w:w="160" w:type="dxa"/>
            <w:vAlign w:val="bottom"/>
          </w:tcPr>
          <w:p>
            <w:pPr>
              <w:spacing w:after="0"/>
              <w:rPr>
                <w:sz w:val="9"/>
                <w:szCs w:val="9"/>
                <w:color w:val="auto"/>
              </w:rPr>
            </w:pPr>
          </w:p>
        </w:tc>
        <w:tc>
          <w:tcPr>
            <w:tcW w:w="212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7"/>
              </w:rPr>
              <w:t>GPCR</w:t>
            </w:r>
          </w:p>
        </w:tc>
        <w:tc>
          <w:tcPr>
            <w:tcW w:w="160" w:type="dxa"/>
            <w:vAlign w:val="bottom"/>
          </w:tcPr>
          <w:p>
            <w:pPr>
              <w:spacing w:after="0"/>
              <w:rPr>
                <w:sz w:val="9"/>
                <w:szCs w:val="9"/>
                <w:color w:val="auto"/>
              </w:rPr>
            </w:pPr>
          </w:p>
        </w:tc>
        <w:tc>
          <w:tcPr>
            <w:tcW w:w="298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Nasdaq Global Market</w:t>
            </w:r>
          </w:p>
        </w:tc>
        <w:tc>
          <w:tcPr>
            <w:tcW w:w="0" w:type="dxa"/>
            <w:vAlign w:val="bottom"/>
          </w:tcPr>
          <w:p>
            <w:pPr>
              <w:spacing w:after="0"/>
              <w:rPr>
                <w:sz w:val="1"/>
                <w:szCs w:val="1"/>
                <w:color w:val="auto"/>
              </w:rPr>
            </w:pPr>
          </w:p>
        </w:tc>
      </w:tr>
      <w:tr>
        <w:trPr>
          <w:trHeight w:val="133"/>
        </w:trPr>
        <w:tc>
          <w:tcPr>
            <w:tcW w:w="364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three ordinary shares, par value $0.0001 per ordinary</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Nasdaq Global Market*</w:t>
            </w:r>
          </w:p>
        </w:tc>
        <w:tc>
          <w:tcPr>
            <w:tcW w:w="0" w:type="dxa"/>
            <w:vAlign w:val="bottom"/>
          </w:tcPr>
          <w:p>
            <w:pPr>
              <w:spacing w:after="0"/>
              <w:rPr>
                <w:sz w:val="1"/>
                <w:szCs w:val="1"/>
                <w:color w:val="auto"/>
              </w:rPr>
            </w:pPr>
          </w:p>
        </w:tc>
      </w:tr>
      <w:tr>
        <w:trPr>
          <w:trHeight w:val="133"/>
        </w:trPr>
        <w:tc>
          <w:tcPr>
            <w:tcW w:w="3640" w:type="dxa"/>
            <w:vAlign w:val="bottom"/>
            <w:gridSpan w:val="2"/>
          </w:tcPr>
          <w:p>
            <w:pPr>
              <w:jc w:val="center"/>
              <w:ind w:right="180"/>
              <w:spacing w:after="0" w:line="133" w:lineRule="exact"/>
              <w:rPr>
                <w:sz w:val="20"/>
                <w:szCs w:val="20"/>
                <w:color w:val="auto"/>
              </w:rPr>
            </w:pPr>
            <w:r>
              <w:rPr>
                <w:rFonts w:ascii="Arial" w:cs="Arial" w:eastAsia="Arial" w:hAnsi="Arial"/>
                <w:sz w:val="12"/>
                <w:szCs w:val="12"/>
                <w:b w:val="1"/>
                <w:bCs w:val="1"/>
                <w:color w:val="auto"/>
              </w:rPr>
              <w:t>share</w:t>
            </w:r>
          </w:p>
        </w:tc>
        <w:tc>
          <w:tcPr>
            <w:tcW w:w="2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Ordinary shares, par value $0.0001 per share*</w:t>
            </w: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Not for trading, but only in connection with the registration of the American Depositary Shares</w:t>
      </w:r>
    </w:p>
    <w:p>
      <w:pPr>
        <w:spacing w:after="0" w:line="207" w:lineRule="exact"/>
        <w:rPr>
          <w:sz w:val="24"/>
          <w:szCs w:val="24"/>
          <w:color w:val="auto"/>
        </w:rPr>
      </w:pPr>
    </w:p>
    <w:p>
      <w:pPr>
        <w:jc w:val="both"/>
        <w:ind w:left="40" w:right="79"/>
        <w:spacing w:after="0" w:line="247"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ind w:left="40"/>
        <w:spacing w:after="0" w:line="138" w:lineRule="exact"/>
        <w:rPr>
          <w:sz w:val="20"/>
          <w:szCs w:val="20"/>
          <w:color w:val="auto"/>
        </w:rPr>
      </w:pPr>
      <w:r>
        <w:rPr>
          <w:rFonts w:ascii="Arial" w:cs="Arial" w:eastAsia="Arial" w:hAnsi="Arial"/>
          <w:sz w:val="12"/>
          <w:szCs w:val="12"/>
          <w:color w:val="auto"/>
        </w:rPr>
        <w:t xml:space="preserve">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jc w:val="both"/>
        <w:ind w:left="40" w:right="79"/>
        <w:spacing w:after="0" w:line="161"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0" w:lineRule="exact"/>
        <w:rPr>
          <w:sz w:val="24"/>
          <w:szCs w:val="24"/>
          <w:color w:val="auto"/>
        </w:rPr>
      </w:pPr>
    </w:p>
    <w:p>
      <w:pPr>
        <w:jc w:val="both"/>
        <w:ind w:left="40" w:right="119"/>
        <w:spacing w:after="0" w:line="24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ind w:left="7360"/>
        <w:spacing w:after="0"/>
        <w:rPr>
          <w:sz w:val="20"/>
          <w:szCs w:val="20"/>
          <w:color w:val="auto"/>
        </w:rPr>
      </w:pPr>
      <w:r>
        <w:rPr>
          <w:rFonts w:ascii="Arial" w:cs="Arial" w:eastAsia="Arial" w:hAnsi="Arial"/>
          <w:sz w:val="12"/>
          <w:szCs w:val="12"/>
          <w:color w:val="auto"/>
        </w:rPr>
        <w:t>Emerging growth company</w:t>
      </w:r>
    </w:p>
    <w:p>
      <w:pPr>
        <w:spacing w:after="0" w:line="13" w:lineRule="exact"/>
        <w:rPr>
          <w:sz w:val="24"/>
          <w:szCs w:val="24"/>
          <w:color w:val="auto"/>
        </w:rPr>
      </w:pPr>
    </w:p>
    <w:p>
      <w:pPr>
        <w:ind w:left="40"/>
        <w:spacing w:after="0" w:line="138" w:lineRule="exact"/>
        <w:tabs>
          <w:tab w:leader="none" w:pos="1880" w:val="left"/>
          <w:tab w:leader="none" w:pos="3640" w:val="left"/>
          <w:tab w:leader="none" w:pos="5500" w:val="left"/>
          <w:tab w:leader="none" w:pos="734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56" w:lineRule="exact"/>
        <w:rPr>
          <w:sz w:val="24"/>
          <w:szCs w:val="24"/>
          <w:color w:val="auto"/>
        </w:rPr>
      </w:pPr>
    </w:p>
    <w:p>
      <w:pPr>
        <w:ind w:left="40" w:right="479"/>
        <w:spacing w:after="0" w:line="16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72" w:lineRule="exact"/>
        <w:rPr>
          <w:sz w:val="24"/>
          <w:szCs w:val="24"/>
          <w:color w:val="auto"/>
        </w:rPr>
      </w:pPr>
    </w:p>
    <w:p>
      <w:pPr>
        <w:ind w:left="4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19" w:lineRule="exact"/>
        <w:rPr>
          <w:sz w:val="24"/>
          <w:szCs w:val="24"/>
          <w:color w:val="auto"/>
        </w:rPr>
      </w:pPr>
    </w:p>
    <w:p>
      <w:pPr>
        <w:jc w:val="center"/>
        <w:ind w:left="1500" w:right="60"/>
        <w:spacing w:after="0" w:line="290" w:lineRule="auto"/>
        <w:rPr>
          <w:sz w:val="20"/>
          <w:szCs w:val="20"/>
          <w:color w:val="auto"/>
        </w:rPr>
      </w:pPr>
      <w:r>
        <w:rPr>
          <w:rFonts w:ascii="Arial" w:cs="Arial" w:eastAsia="Arial" w:hAnsi="Arial"/>
          <w:sz w:val="12"/>
          <w:szCs w:val="12"/>
          <w:b w:val="1"/>
          <w:bCs w:val="1"/>
          <w:color w:val="auto"/>
        </w:rPr>
        <w:t>The aggregate number of outstanding ordinary shares of the registrant, each with par value $0.0001 per share, as of August 3, 2023, was 114,805,483, comprised of 107,394,965 ordinary shares and 7,410,518 non-voting ordinary shares. 84,684,093 ordinary shares were held in the form of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678180</wp:posOffset>
            </wp:positionV>
            <wp:extent cx="565023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0230" cy="25400"/>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247650</wp:posOffset>
            </wp:positionV>
            <wp:extent cx="5650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0230" cy="825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306705</wp:posOffset>
            </wp:positionV>
            <wp:extent cx="565023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0230" cy="3365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15"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Structure Therapeutics Inc., or “we,” “us,” and “our,” is filing this Amendment No. 1 on Form 10-Q/A (this “Amended Filing”) to amend our Quarterly Report on Form 10-Q for the quarter ended June 30, 2023 (the “Quarterly Report”), which was originally filed with the Securities and Exchange Commission (“SEC”) on August 10, 2023 (the “Original Filing”). This Amended Filing is being filed solely for the purpose of indicating that an independent registered public accounting firm did not review the interim unaudited condensed consolidated financial statements as of and for the three and six months ended June 30, 2022 (the “2022 Interim Financial Statements”). As a result, the Quarterly Report is deemed substantially deficient until the reviews of the 2022 Interim Financial Statements are completed by an independent registered public accounting firm. The headings in the columns of the 2022 Interim Financial Statements and related notes thereto have been amended to state “Not Reviewed”. Except as described herein, no other changes have been made to the Original Filing. This Amended Filing speaks as of the filing date of the Original Filing and does not reflect events occurring after the filing date of the Original Filing or modify or update any of the other information contained in the Original Filing in any way other than as expressly described in this Amended Filing. Accordingly, this Amended Filing should be read in conjunction with the Original Filing. A review of the Company’s interim unaudited financial statements may result in changes to the financial statements contained herein. We plan to file an additional amendment to our Quarterly Report when the review is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40" w:type="dxa"/>
        <w:tblCellMar>
          <w:top w:w="0" w:type="dxa"/>
          <w:left w:w="0" w:type="dxa"/>
          <w:bottom w:w="0" w:type="dxa"/>
          <w:right w:w="0" w:type="dxa"/>
        </w:tblCellMar>
      </w:tblPr>
      <w:tr>
        <w:trPr>
          <w:trHeight w:val="248"/>
        </w:trPr>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60" w:type="dxa"/>
            <w:vAlign w:val="bottom"/>
            <w:gridSpan w:val="16"/>
          </w:tcPr>
          <w:p>
            <w:pPr>
              <w:ind w:left="54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3660" w:type="dxa"/>
            <w:vAlign w:val="bottom"/>
            <w:gridSpan w:val="11"/>
            <w:vMerge w:val="restart"/>
          </w:tcPr>
          <w:p>
            <w:pPr>
              <w:spacing w:after="0"/>
              <w:rPr>
                <w:sz w:val="20"/>
                <w:szCs w:val="20"/>
                <w:color w:val="auto"/>
              </w:rPr>
            </w:pPr>
            <w:r>
              <w:rPr>
                <w:rFonts w:ascii="Arial" w:cs="Arial" w:eastAsia="Arial" w:hAnsi="Arial"/>
                <w:sz w:val="18"/>
                <w:szCs w:val="18"/>
                <w:b w:val="1"/>
                <w:bCs w:val="1"/>
                <w:color w:val="0000EE"/>
              </w:rPr>
              <w:t>Part I</w:t>
            </w: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3"/>
        </w:trPr>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3660" w:type="dxa"/>
            <w:vAlign w:val="bottom"/>
            <w:gridSpan w:val="11"/>
            <w:vMerge w:val="continue"/>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80" w:type="dxa"/>
            <w:vAlign w:val="bottom"/>
            <w:gridSpan w:val="2"/>
          </w:tcPr>
          <w:p>
            <w:pPr>
              <w:spacing w:after="0" w:line="193" w:lineRule="exact"/>
              <w:rPr>
                <w:sz w:val="20"/>
                <w:szCs w:val="20"/>
                <w:color w:val="auto"/>
              </w:rPr>
            </w:pPr>
            <w:r>
              <w:rPr>
                <w:rFonts w:ascii="Arial" w:cs="Arial" w:eastAsia="Arial" w:hAnsi="Arial"/>
                <w:sz w:val="18"/>
                <w:szCs w:val="18"/>
                <w:color w:val="0000EE"/>
              </w:rPr>
              <w:t>Item 1.</w:t>
            </w:r>
          </w:p>
        </w:tc>
        <w:tc>
          <w:tcPr>
            <w:tcW w:w="3100" w:type="dxa"/>
            <w:vAlign w:val="bottom"/>
            <w:gridSpan w:val="10"/>
          </w:tcPr>
          <w:p>
            <w:pPr>
              <w:spacing w:after="0" w:line="193" w:lineRule="exact"/>
              <w:rPr>
                <w:sz w:val="20"/>
                <w:szCs w:val="20"/>
                <w:color w:val="auto"/>
              </w:rPr>
            </w:pPr>
            <w:r>
              <w:rPr>
                <w:rFonts w:ascii="Arial" w:cs="Arial" w:eastAsia="Arial" w:hAnsi="Arial"/>
                <w:sz w:val="18"/>
                <w:szCs w:val="18"/>
                <w:color w:val="0000FF"/>
              </w:rPr>
              <w:t>Financial Statements (Unaudited)</w:t>
            </w:r>
          </w:p>
        </w:tc>
        <w:tc>
          <w:tcPr>
            <w:tcW w:w="440" w:type="dxa"/>
            <w:vAlign w:val="bottom"/>
            <w:tcBorders>
              <w:top w:val="single" w:sz="8" w:color="0000EE"/>
            </w:tcBorders>
            <w:gridSpan w:val="2"/>
          </w:tcPr>
          <w:p>
            <w:pPr>
              <w:spacing w:after="0"/>
              <w:rPr>
                <w:sz w:val="16"/>
                <w:szCs w:val="16"/>
                <w:color w:val="auto"/>
              </w:rPr>
            </w:pPr>
          </w:p>
        </w:tc>
        <w:tc>
          <w:tcPr>
            <w:tcW w:w="3220" w:type="dxa"/>
            <w:vAlign w:val="bottom"/>
            <w:gridSpan w:val="9"/>
          </w:tcPr>
          <w:p>
            <w:pPr>
              <w:spacing w:after="0"/>
              <w:rPr>
                <w:sz w:val="16"/>
                <w:szCs w:val="16"/>
                <w:color w:val="auto"/>
              </w:rPr>
            </w:pPr>
          </w:p>
        </w:tc>
        <w:tc>
          <w:tcPr>
            <w:tcW w:w="1100" w:type="dxa"/>
            <w:vAlign w:val="bottom"/>
          </w:tcPr>
          <w:p>
            <w:pPr>
              <w:jc w:val="center"/>
              <w:spacing w:after="0" w:line="193"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line="20" w:lineRule="exact"/>
              <w:rPr>
                <w:sz w:val="1"/>
                <w:szCs w:val="1"/>
                <w:color w:val="auto"/>
              </w:rPr>
            </w:pPr>
          </w:p>
        </w:tc>
      </w:tr>
      <w:tr>
        <w:trPr>
          <w:trHeight w:val="179"/>
        </w:trPr>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80" w:type="dxa"/>
            <w:vAlign w:val="bottom"/>
            <w:tcBorders>
              <w:bottom w:val="single" w:sz="8" w:color="0000FF"/>
            </w:tcBorders>
            <w:gridSpan w:val="11"/>
          </w:tcPr>
          <w:p>
            <w:pPr>
              <w:spacing w:after="0" w:line="179" w:lineRule="exact"/>
              <w:rPr>
                <w:sz w:val="20"/>
                <w:szCs w:val="20"/>
                <w:color w:val="auto"/>
              </w:rPr>
            </w:pPr>
            <w:r>
              <w:rPr>
                <w:rFonts w:ascii="Arial" w:cs="Arial" w:eastAsia="Arial" w:hAnsi="Arial"/>
                <w:sz w:val="18"/>
                <w:szCs w:val="18"/>
                <w:color w:val="0000FF"/>
                <w:w w:val="97"/>
              </w:rPr>
              <w:t>Condensed Consolidated Balance Sheets</w:t>
            </w:r>
          </w:p>
        </w:tc>
        <w:tc>
          <w:tcPr>
            <w:tcW w:w="3480" w:type="dxa"/>
            <w:vAlign w:val="bottom"/>
            <w:gridSpan w:val="10"/>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00" w:type="dxa"/>
            <w:vAlign w:val="bottom"/>
            <w:tcBorders>
              <w:bottom w:val="single" w:sz="8" w:color="0000FF"/>
            </w:tcBorders>
            <w:gridSpan w:val="19"/>
          </w:tcPr>
          <w:p>
            <w:pPr>
              <w:spacing w:after="0" w:line="179" w:lineRule="exact"/>
              <w:rPr>
                <w:sz w:val="20"/>
                <w:szCs w:val="20"/>
                <w:color w:val="auto"/>
              </w:rPr>
            </w:pPr>
            <w:r>
              <w:rPr>
                <w:rFonts w:ascii="Arial" w:cs="Arial" w:eastAsia="Arial" w:hAnsi="Arial"/>
                <w:sz w:val="18"/>
                <w:szCs w:val="18"/>
                <w:color w:val="0000FF"/>
                <w:w w:val="98"/>
              </w:rPr>
              <w:t>Condensed Consolidated Statements of Operations and Comprehensive Loss</w:t>
            </w:r>
          </w:p>
        </w:tc>
        <w:tc>
          <w:tcPr>
            <w:tcW w:w="660" w:type="dxa"/>
            <w:vAlign w:val="bottom"/>
            <w:gridSpan w:val="2"/>
          </w:tcPr>
          <w:p>
            <w:pPr>
              <w:spacing w:after="0"/>
              <w:rPr>
                <w:sz w:val="15"/>
                <w:szCs w:val="15"/>
                <w:color w:val="auto"/>
              </w:rPr>
            </w:pPr>
          </w:p>
        </w:tc>
        <w:tc>
          <w:tcPr>
            <w:tcW w:w="1100" w:type="dxa"/>
            <w:vAlign w:val="bottom"/>
          </w:tcPr>
          <w:p>
            <w:pPr>
              <w:jc w:val="center"/>
              <w:spacing w:after="0" w:line="179" w:lineRule="exact"/>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520" w:type="dxa"/>
            <w:vAlign w:val="bottom"/>
            <w:tcBorders>
              <w:bottom w:val="single" w:sz="8" w:color="0000FF"/>
            </w:tcBorders>
            <w:gridSpan w:val="20"/>
          </w:tcPr>
          <w:p>
            <w:pPr>
              <w:spacing w:after="0" w:line="179" w:lineRule="exact"/>
              <w:rPr>
                <w:sz w:val="20"/>
                <w:szCs w:val="20"/>
                <w:color w:val="auto"/>
              </w:rPr>
            </w:pPr>
            <w:r>
              <w:rPr>
                <w:rFonts w:ascii="Arial" w:cs="Arial" w:eastAsia="Arial" w:hAnsi="Arial"/>
                <w:sz w:val="18"/>
                <w:szCs w:val="18"/>
                <w:color w:val="0000FF"/>
                <w:w w:val="97"/>
              </w:rPr>
              <w:t>Condensed Consolidated Statements of Redeemable Convertible Preferred Shares</w:t>
            </w:r>
          </w:p>
        </w:tc>
        <w:tc>
          <w:tcPr>
            <w:tcW w:w="24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40" w:type="dxa"/>
            <w:vAlign w:val="bottom"/>
            <w:tcBorders>
              <w:bottom w:val="single" w:sz="8" w:color="0000FF"/>
            </w:tcBorders>
            <w:gridSpan w:val="8"/>
          </w:tcPr>
          <w:p>
            <w:pPr>
              <w:spacing w:after="0" w:line="179" w:lineRule="exact"/>
              <w:rPr>
                <w:sz w:val="20"/>
                <w:szCs w:val="20"/>
                <w:color w:val="auto"/>
              </w:rPr>
            </w:pPr>
            <w:r>
              <w:rPr>
                <w:rFonts w:ascii="Arial" w:cs="Arial" w:eastAsia="Arial" w:hAnsi="Arial"/>
                <w:sz w:val="18"/>
                <w:szCs w:val="18"/>
                <w:color w:val="0000FF"/>
                <w:w w:val="97"/>
              </w:rPr>
              <w:t>and Shareholders’ Equity (Deficit)</w:t>
            </w:r>
          </w:p>
        </w:tc>
        <w:tc>
          <w:tcPr>
            <w:tcW w:w="4120" w:type="dxa"/>
            <w:vAlign w:val="bottom"/>
            <w:gridSpan w:val="13"/>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00" w:type="dxa"/>
            <w:vAlign w:val="bottom"/>
            <w:tcBorders>
              <w:bottom w:val="single" w:sz="8" w:color="0000FF"/>
            </w:tcBorders>
            <w:gridSpan w:val="14"/>
          </w:tcPr>
          <w:p>
            <w:pPr>
              <w:spacing w:after="0" w:line="179" w:lineRule="exact"/>
              <w:rPr>
                <w:sz w:val="20"/>
                <w:szCs w:val="20"/>
                <w:color w:val="auto"/>
              </w:rPr>
            </w:pPr>
            <w:r>
              <w:rPr>
                <w:rFonts w:ascii="Arial" w:cs="Arial" w:eastAsia="Arial" w:hAnsi="Arial"/>
                <w:sz w:val="18"/>
                <w:szCs w:val="18"/>
                <w:color w:val="0000FF"/>
                <w:w w:val="97"/>
              </w:rPr>
              <w:t>Condensed Consolidated Statements of Cash Flows</w:t>
            </w:r>
          </w:p>
        </w:tc>
        <w:tc>
          <w:tcPr>
            <w:tcW w:w="2660" w:type="dxa"/>
            <w:vAlign w:val="bottom"/>
            <w:gridSpan w:val="7"/>
          </w:tcPr>
          <w:p>
            <w:pPr>
              <w:spacing w:after="0"/>
              <w:rPr>
                <w:sz w:val="15"/>
                <w:szCs w:val="15"/>
                <w:color w:val="auto"/>
              </w:rPr>
            </w:pPr>
          </w:p>
        </w:tc>
        <w:tc>
          <w:tcPr>
            <w:tcW w:w="1100" w:type="dxa"/>
            <w:vAlign w:val="bottom"/>
          </w:tcPr>
          <w:p>
            <w:pPr>
              <w:jc w:val="center"/>
              <w:spacing w:after="0" w:line="179" w:lineRule="exact"/>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179"/>
        </w:trPr>
        <w:tc>
          <w:tcPr>
            <w:tcW w:w="980" w:type="dxa"/>
            <w:vAlign w:val="bottom"/>
            <w:gridSpan w:val="2"/>
            <w:vMerge w:val="restart"/>
          </w:tcPr>
          <w:p>
            <w:pPr>
              <w:spacing w:after="0"/>
              <w:rPr>
                <w:sz w:val="20"/>
                <w:szCs w:val="20"/>
                <w:color w:val="auto"/>
              </w:rPr>
            </w:pPr>
            <w:r>
              <w:rPr>
                <w:rFonts w:ascii="Arial" w:cs="Arial" w:eastAsia="Arial" w:hAnsi="Arial"/>
                <w:sz w:val="18"/>
                <w:szCs w:val="18"/>
                <w:color w:val="0000EE"/>
              </w:rPr>
              <w:t>Item 2.</w:t>
            </w: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Notes to Unaudited Condensed Consolidated Financial Statements</w:t>
            </w:r>
          </w:p>
        </w:tc>
        <w:tc>
          <w:tcPr>
            <w:tcW w:w="1100" w:type="dxa"/>
            <w:vAlign w:val="bottom"/>
          </w:tcPr>
          <w:p>
            <w:pPr>
              <w:jc w:val="center"/>
              <w:spacing w:after="0" w:line="179" w:lineRule="exact"/>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
        </w:trPr>
        <w:tc>
          <w:tcPr>
            <w:tcW w:w="980" w:type="dxa"/>
            <w:vAlign w:val="bottom"/>
            <w:gridSpan w:val="2"/>
            <w:vMerge w:val="continue"/>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980" w:type="dxa"/>
            <w:vAlign w:val="bottom"/>
            <w:gridSpan w:val="2"/>
            <w:vMerge w:val="continue"/>
          </w:tcPr>
          <w:p>
            <w:pPr>
              <w:spacing w:after="0"/>
              <w:rPr>
                <w:sz w:val="15"/>
                <w:szCs w:val="15"/>
                <w:color w:val="auto"/>
              </w:rPr>
            </w:pP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179"/>
        </w:trPr>
        <w:tc>
          <w:tcPr>
            <w:tcW w:w="540" w:type="dxa"/>
            <w:vAlign w:val="bottom"/>
            <w:tcBorders>
              <w:top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6040" w:type="dxa"/>
            <w:vAlign w:val="bottom"/>
            <w:tcBorders>
              <w:top w:val="single" w:sz="8" w:color="0000FF"/>
            </w:tcBorders>
            <w:gridSpan w:val="18"/>
          </w:tcPr>
          <w:p>
            <w:pPr>
              <w:spacing w:after="0" w:line="179" w:lineRule="exact"/>
              <w:rPr>
                <w:sz w:val="20"/>
                <w:szCs w:val="20"/>
                <w:color w:val="auto"/>
              </w:rPr>
            </w:pPr>
            <w:r>
              <w:rPr>
                <w:rFonts w:ascii="Arial" w:cs="Arial" w:eastAsia="Arial" w:hAnsi="Arial"/>
                <w:sz w:val="18"/>
                <w:szCs w:val="18"/>
                <w:color w:val="0000FF"/>
              </w:rPr>
              <w:t>Operations.</w:t>
            </w:r>
          </w:p>
        </w:tc>
        <w:tc>
          <w:tcPr>
            <w:tcW w:w="720" w:type="dxa"/>
            <w:vAlign w:val="bottom"/>
            <w:gridSpan w:val="3"/>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2"/>
            <w:vMerge w:val="restart"/>
          </w:tcPr>
          <w:p>
            <w:pPr>
              <w:spacing w:after="0" w:line="199" w:lineRule="exact"/>
              <w:rPr>
                <w:sz w:val="20"/>
                <w:szCs w:val="20"/>
                <w:color w:val="auto"/>
              </w:rPr>
            </w:pPr>
            <w:r>
              <w:rPr>
                <w:rFonts w:ascii="Arial" w:cs="Arial" w:eastAsia="Arial" w:hAnsi="Arial"/>
                <w:sz w:val="18"/>
                <w:szCs w:val="18"/>
                <w:color w:val="0000EE"/>
              </w:rPr>
              <w:t>Item 3.</w:t>
            </w: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39</w:t>
            </w:r>
          </w:p>
        </w:tc>
        <w:tc>
          <w:tcPr>
            <w:tcW w:w="0" w:type="dxa"/>
            <w:vAlign w:val="bottom"/>
          </w:tcPr>
          <w:p>
            <w:pPr>
              <w:spacing w:after="0" w:line="20" w:lineRule="exact"/>
              <w:rPr>
                <w:sz w:val="1"/>
                <w:szCs w:val="1"/>
                <w:color w:val="auto"/>
              </w:rPr>
            </w:pPr>
          </w:p>
        </w:tc>
      </w:tr>
      <w:tr>
        <w:trPr>
          <w:trHeight w:val="179"/>
        </w:trPr>
        <w:tc>
          <w:tcPr>
            <w:tcW w:w="980" w:type="dxa"/>
            <w:vAlign w:val="bottom"/>
            <w:gridSpan w:val="2"/>
            <w:vMerge w:val="continue"/>
          </w:tcPr>
          <w:p>
            <w:pPr>
              <w:spacing w:after="0"/>
              <w:rPr>
                <w:sz w:val="15"/>
                <w:szCs w:val="15"/>
                <w:color w:val="auto"/>
              </w:rPr>
            </w:pP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Quantitative and Qualitative Disclosures About Market Risk.</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39</w:t>
            </w:r>
          </w:p>
        </w:tc>
        <w:tc>
          <w:tcPr>
            <w:tcW w:w="0" w:type="dxa"/>
            <w:vAlign w:val="bottom"/>
          </w:tcPr>
          <w:p>
            <w:pPr>
              <w:spacing w:after="0" w:line="20" w:lineRule="exact"/>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Arial" w:cs="Arial" w:eastAsia="Arial" w:hAnsi="Arial"/>
                <w:sz w:val="18"/>
                <w:szCs w:val="18"/>
                <w:color w:val="0000EE"/>
              </w:rPr>
              <w:t>Item 4.</w:t>
            </w: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Controls and Procedures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00" w:type="dxa"/>
            <w:vAlign w:val="bottom"/>
            <w:gridSpan w:val="4"/>
            <w:vMerge w:val="restart"/>
          </w:tcPr>
          <w:p>
            <w:pPr>
              <w:spacing w:after="0" w:line="199" w:lineRule="exact"/>
              <w:rPr>
                <w:sz w:val="20"/>
                <w:szCs w:val="20"/>
                <w:color w:val="auto"/>
              </w:rPr>
            </w:pPr>
            <w:r>
              <w:rPr>
                <w:rFonts w:ascii="Arial" w:cs="Arial" w:eastAsia="Arial" w:hAnsi="Arial"/>
                <w:sz w:val="18"/>
                <w:szCs w:val="18"/>
                <w:b w:val="1"/>
                <w:bCs w:val="1"/>
                <w:color w:val="0000EE"/>
                <w:w w:val="95"/>
              </w:rPr>
              <w:t>Part II</w:t>
            </w:r>
          </w:p>
        </w:tc>
        <w:tc>
          <w:tcPr>
            <w:tcW w:w="3180" w:type="dxa"/>
            <w:vAlign w:val="bottom"/>
            <w:gridSpan w:val="8"/>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80" w:type="dxa"/>
            <w:vAlign w:val="bottom"/>
            <w:gridSpan w:val="2"/>
            <w:vMerge w:val="restart"/>
          </w:tcPr>
          <w:p>
            <w:pPr>
              <w:spacing w:after="0"/>
              <w:rPr>
                <w:sz w:val="20"/>
                <w:szCs w:val="20"/>
                <w:color w:val="auto"/>
              </w:rPr>
            </w:pPr>
            <w:r>
              <w:rPr>
                <w:rFonts w:ascii="Arial" w:cs="Arial" w:eastAsia="Arial" w:hAnsi="Arial"/>
                <w:sz w:val="18"/>
                <w:szCs w:val="18"/>
                <w:color w:val="0000EE"/>
              </w:rPr>
              <w:t>Item 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500" w:type="dxa"/>
            <w:vAlign w:val="bottom"/>
            <w:tcBorders>
              <w:bottom w:val="single" w:sz="8" w:color="0000EE"/>
            </w:tcBorders>
            <w:gridSpan w:val="4"/>
            <w:vMerge w:val="continue"/>
          </w:tcPr>
          <w:p>
            <w:pPr>
              <w:spacing w:after="0"/>
              <w:rPr>
                <w:sz w:val="15"/>
                <w:szCs w:val="15"/>
                <w:color w:val="auto"/>
              </w:rPr>
            </w:pPr>
          </w:p>
        </w:tc>
        <w:tc>
          <w:tcPr>
            <w:tcW w:w="3180" w:type="dxa"/>
            <w:vAlign w:val="bottom"/>
            <w:gridSpan w:val="8"/>
            <w:vMerge w:val="continue"/>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179"/>
        </w:trPr>
        <w:tc>
          <w:tcPr>
            <w:tcW w:w="980" w:type="dxa"/>
            <w:vAlign w:val="bottom"/>
            <w:gridSpan w:val="2"/>
            <w:vMerge w:val="continue"/>
          </w:tcPr>
          <w:p>
            <w:pPr>
              <w:spacing w:after="0"/>
              <w:rPr>
                <w:sz w:val="15"/>
                <w:szCs w:val="15"/>
                <w:color w:val="auto"/>
              </w:rPr>
            </w:pP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Legal Proceedings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60" w:type="dxa"/>
            <w:vAlign w:val="bottom"/>
            <w:gridSpan w:val="10"/>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80" w:type="dxa"/>
            <w:vAlign w:val="bottom"/>
            <w:gridSpan w:val="2"/>
          </w:tcPr>
          <w:p>
            <w:pPr>
              <w:spacing w:after="0" w:line="159" w:lineRule="exact"/>
              <w:rPr>
                <w:sz w:val="20"/>
                <w:szCs w:val="20"/>
                <w:color w:val="auto"/>
              </w:rPr>
            </w:pPr>
            <w:r>
              <w:rPr>
                <w:rFonts w:ascii="Arial" w:cs="Arial" w:eastAsia="Arial" w:hAnsi="Arial"/>
                <w:sz w:val="18"/>
                <w:szCs w:val="18"/>
                <w:color w:val="0000EE"/>
              </w:rPr>
              <w:t>Item 2.</w:t>
            </w:r>
          </w:p>
        </w:tc>
        <w:tc>
          <w:tcPr>
            <w:tcW w:w="6760" w:type="dxa"/>
            <w:vAlign w:val="bottom"/>
            <w:gridSpan w:val="21"/>
          </w:tcPr>
          <w:p>
            <w:pPr>
              <w:spacing w:after="0" w:line="159" w:lineRule="exact"/>
              <w:rPr>
                <w:sz w:val="20"/>
                <w:szCs w:val="20"/>
                <w:color w:val="auto"/>
              </w:rPr>
            </w:pPr>
            <w:r>
              <w:rPr>
                <w:rFonts w:ascii="Arial" w:cs="Arial" w:eastAsia="Arial" w:hAnsi="Arial"/>
                <w:sz w:val="18"/>
                <w:szCs w:val="18"/>
                <w:color w:val="0000FF"/>
              </w:rPr>
              <w:t>Unregistered Sales of Equity Securities and Use of Proceeds</w:t>
            </w:r>
          </w:p>
        </w:tc>
        <w:tc>
          <w:tcPr>
            <w:tcW w:w="1100" w:type="dxa"/>
            <w:vAlign w:val="bottom"/>
          </w:tcPr>
          <w:p>
            <w:pPr>
              <w:jc w:val="center"/>
              <w:spacing w:after="0" w:line="159"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gridSpan w:val="10"/>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line="20" w:lineRule="exact"/>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Arial" w:cs="Arial" w:eastAsia="Arial" w:hAnsi="Arial"/>
                <w:sz w:val="18"/>
                <w:szCs w:val="18"/>
                <w:color w:val="0000EE"/>
              </w:rPr>
              <w:t>Item 3.</w:t>
            </w: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Defaults Upon Senior Securities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4260" w:type="dxa"/>
            <w:vAlign w:val="bottom"/>
            <w:gridSpan w:val="15"/>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line="20" w:lineRule="exact"/>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Arial" w:cs="Arial" w:eastAsia="Arial" w:hAnsi="Arial"/>
                <w:sz w:val="18"/>
                <w:szCs w:val="18"/>
                <w:color w:val="0000EE"/>
              </w:rPr>
              <w:t>Item 4.</w:t>
            </w: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Mine Safety Disclosures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860" w:type="dxa"/>
            <w:vAlign w:val="bottom"/>
            <w:gridSpan w:val="16"/>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line="20" w:lineRule="exact"/>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Arial" w:cs="Arial" w:eastAsia="Arial" w:hAnsi="Arial"/>
                <w:sz w:val="18"/>
                <w:szCs w:val="18"/>
                <w:color w:val="0000EE"/>
              </w:rPr>
              <w:t>Item 5.</w:t>
            </w: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Other Information</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5380" w:type="dxa"/>
            <w:vAlign w:val="bottom"/>
            <w:gridSpan w:val="18"/>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line="20" w:lineRule="exact"/>
              <w:rPr>
                <w:sz w:val="1"/>
                <w:szCs w:val="1"/>
                <w:color w:val="auto"/>
              </w:rPr>
            </w:pPr>
          </w:p>
        </w:tc>
      </w:tr>
      <w:tr>
        <w:trPr>
          <w:trHeight w:val="179"/>
        </w:trPr>
        <w:tc>
          <w:tcPr>
            <w:tcW w:w="980" w:type="dxa"/>
            <w:vAlign w:val="bottom"/>
            <w:gridSpan w:val="2"/>
          </w:tcPr>
          <w:p>
            <w:pPr>
              <w:spacing w:after="0" w:line="179" w:lineRule="exact"/>
              <w:rPr>
                <w:sz w:val="20"/>
                <w:szCs w:val="20"/>
                <w:color w:val="auto"/>
              </w:rPr>
            </w:pPr>
            <w:r>
              <w:rPr>
                <w:rFonts w:ascii="Arial" w:cs="Arial" w:eastAsia="Arial" w:hAnsi="Arial"/>
                <w:sz w:val="18"/>
                <w:szCs w:val="18"/>
                <w:color w:val="0000EE"/>
              </w:rPr>
              <w:t>Item 6.</w:t>
            </w: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Exhibits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20" w:type="dxa"/>
            <w:vAlign w:val="bottom"/>
            <w:gridSpan w:val="19"/>
          </w:tcPr>
          <w:p>
            <w:pPr>
              <w:spacing w:after="0" w:line="20" w:lineRule="exact"/>
              <w:rPr>
                <w:sz w:val="1"/>
                <w:szCs w:val="1"/>
                <w:color w:val="auto"/>
              </w:rPr>
            </w:pPr>
          </w:p>
        </w:tc>
        <w:tc>
          <w:tcPr>
            <w:tcW w:w="1100" w:type="dxa"/>
            <w:vAlign w:val="bottom"/>
            <w:vMerge w:val="restart"/>
          </w:tcPr>
          <w:p>
            <w:pPr>
              <w:jc w:val="center"/>
              <w:spacing w:after="0" w:line="199"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line="20" w:lineRule="exact"/>
              <w:rPr>
                <w:sz w:val="1"/>
                <w:szCs w:val="1"/>
                <w:color w:val="auto"/>
              </w:rPr>
            </w:pPr>
          </w:p>
        </w:tc>
      </w:tr>
      <w:tr>
        <w:trPr>
          <w:trHeight w:val="179"/>
        </w:trPr>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760" w:type="dxa"/>
            <w:vAlign w:val="bottom"/>
            <w:gridSpan w:val="21"/>
          </w:tcPr>
          <w:p>
            <w:pPr>
              <w:spacing w:after="0" w:line="179" w:lineRule="exact"/>
              <w:rPr>
                <w:sz w:val="20"/>
                <w:szCs w:val="20"/>
                <w:color w:val="auto"/>
              </w:rPr>
            </w:pPr>
            <w:r>
              <w:rPr>
                <w:rFonts w:ascii="Arial" w:cs="Arial" w:eastAsia="Arial" w:hAnsi="Arial"/>
                <w:sz w:val="18"/>
                <w:szCs w:val="18"/>
                <w:color w:val="0000FF"/>
              </w:rPr>
              <w:t>Signatures</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5"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This Quarterly Report on Form 10-Q (“Quarterly Report”), contains forward-looking statements. All statements other than statements of historical facts contained in this Quarterly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Quarterly Report, including without limitation statements regarding:</w:t>
      </w:r>
    </w:p>
    <w:p>
      <w:pPr>
        <w:spacing w:after="0" w:line="188" w:lineRule="exact"/>
        <w:rPr>
          <w:sz w:val="20"/>
          <w:szCs w:val="20"/>
          <w:color w:val="auto"/>
        </w:rPr>
      </w:pPr>
    </w:p>
    <w:p>
      <w:pPr>
        <w:ind w:left="720" w:right="699" w:hanging="326"/>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product candidates, including our product development plans and strategies;</w:t>
      </w:r>
    </w:p>
    <w:p>
      <w:pPr>
        <w:spacing w:after="0" w:line="73" w:lineRule="exact"/>
        <w:rPr>
          <w:rFonts w:ascii="Arial" w:cs="Arial" w:eastAsia="Arial" w:hAnsi="Arial"/>
          <w:sz w:val="18"/>
          <w:szCs w:val="18"/>
          <w:color w:val="auto"/>
        </w:rPr>
      </w:pPr>
    </w:p>
    <w:p>
      <w:pPr>
        <w:ind w:left="720" w:right="199" w:hanging="326"/>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and market opportunity for our product candidates and discovery platform;</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the size, scope and design of clinical trials;</w:t>
      </w:r>
    </w:p>
    <w:p>
      <w:pPr>
        <w:spacing w:after="0" w:line="111" w:lineRule="exact"/>
        <w:rPr>
          <w:rFonts w:ascii="Arial" w:cs="Arial" w:eastAsia="Arial" w:hAnsi="Arial"/>
          <w:sz w:val="18"/>
          <w:szCs w:val="18"/>
          <w:color w:val="auto"/>
        </w:rPr>
      </w:pPr>
    </w:p>
    <w:p>
      <w:pPr>
        <w:ind w:left="720" w:right="299" w:hanging="326"/>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with respect to our drug discovery efforts and potential benefits of our discovery platform;</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commercialization, and marketing plans and strategies;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hire additional personnel and our ability to attract and retain such personnel;</w:t>
      </w:r>
    </w:p>
    <w:p>
      <w:pPr>
        <w:spacing w:after="0" w:line="111" w:lineRule="exact"/>
        <w:rPr>
          <w:rFonts w:ascii="Arial" w:cs="Arial" w:eastAsia="Arial" w:hAnsi="Arial"/>
          <w:sz w:val="18"/>
          <w:szCs w:val="18"/>
          <w:color w:val="auto"/>
        </w:rPr>
      </w:pPr>
    </w:p>
    <w:p>
      <w:pPr>
        <w:ind w:left="720" w:right="539" w:hanging="326"/>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number of patients who suffer from the diseases we are targeting and potential growth in our target markets;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approval and use of our product candidates;</w:t>
      </w:r>
    </w:p>
    <w:p>
      <w:pPr>
        <w:spacing w:after="0" w:line="111" w:lineRule="exact"/>
        <w:rPr>
          <w:rFonts w:ascii="Arial" w:cs="Arial" w:eastAsia="Arial" w:hAnsi="Arial"/>
          <w:sz w:val="18"/>
          <w:szCs w:val="18"/>
          <w:color w:val="auto"/>
        </w:rPr>
      </w:pPr>
    </w:p>
    <w:p>
      <w:pPr>
        <w:ind w:left="720" w:right="759" w:hanging="326"/>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the development and impact of competing therapies that are or may become available;</w:t>
      </w:r>
    </w:p>
    <w:p>
      <w:pPr>
        <w:spacing w:after="0" w:line="73" w:lineRule="exact"/>
        <w:rPr>
          <w:rFonts w:ascii="Arial" w:cs="Arial" w:eastAsia="Arial" w:hAnsi="Arial"/>
          <w:sz w:val="18"/>
          <w:szCs w:val="18"/>
          <w:color w:val="auto"/>
        </w:rPr>
      </w:pPr>
    </w:p>
    <w:p>
      <w:pPr>
        <w:jc w:val="both"/>
        <w:ind w:left="720" w:right="239"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future events under collaboration and licensing agreements, including potential future payments, as well as our plans and strategies for entering into further collaboration and licensing agreements;</w:t>
      </w:r>
    </w:p>
    <w:p>
      <w:pPr>
        <w:spacing w:after="0" w:line="82" w:lineRule="exact"/>
        <w:rPr>
          <w:rFonts w:ascii="Arial" w:cs="Arial" w:eastAsia="Arial" w:hAnsi="Arial"/>
          <w:sz w:val="18"/>
          <w:szCs w:val="18"/>
          <w:color w:val="auto"/>
        </w:rPr>
      </w:pPr>
    </w:p>
    <w:p>
      <w:pPr>
        <w:jc w:val="both"/>
        <w:ind w:left="720" w:right="199" w:hanging="326"/>
        <w:spacing w:after="0" w:line="256"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69" w:lineRule="exact"/>
        <w:rPr>
          <w:rFonts w:ascii="Arial" w:cs="Arial" w:eastAsia="Arial" w:hAnsi="Arial"/>
          <w:sz w:val="17"/>
          <w:szCs w:val="17"/>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product candidates we may develop;</w:t>
      </w:r>
    </w:p>
    <w:p>
      <w:pPr>
        <w:spacing w:after="0" w:line="111" w:lineRule="exact"/>
        <w:rPr>
          <w:rFonts w:ascii="Arial" w:cs="Arial" w:eastAsia="Arial" w:hAnsi="Arial"/>
          <w:sz w:val="18"/>
          <w:szCs w:val="18"/>
          <w:color w:val="auto"/>
        </w:rPr>
      </w:pPr>
    </w:p>
    <w:p>
      <w:pPr>
        <w:ind w:left="720" w:right="759" w:hanging="326"/>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111" w:lineRule="exact"/>
        <w:rPr>
          <w:rFonts w:ascii="Arial" w:cs="Arial" w:eastAsia="Arial" w:hAnsi="Arial"/>
          <w:sz w:val="18"/>
          <w:szCs w:val="18"/>
          <w:color w:val="auto"/>
        </w:rPr>
      </w:pPr>
    </w:p>
    <w:p>
      <w:pPr>
        <w:ind w:left="720" w:right="99" w:hanging="326"/>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over which we estimate our existing cash, cash equivalents and short-term investments will be sufficient to fund our future operating expenses and capital expenditure requirements;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and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impact of geopolitical and macroeconomic factors.</w:t>
      </w:r>
    </w:p>
    <w:p>
      <w:pPr>
        <w:spacing w:after="0" w:line="218" w:lineRule="exact"/>
        <w:rPr>
          <w:sz w:val="20"/>
          <w:szCs w:val="20"/>
          <w:color w:val="auto"/>
        </w:rPr>
      </w:pPr>
    </w:p>
    <w:p>
      <w:pPr>
        <w:ind w:left="40" w:right="139"/>
        <w:spacing w:after="0"/>
        <w:rPr>
          <w:sz w:val="20"/>
          <w:szCs w:val="20"/>
          <w:color w:val="auto"/>
        </w:rPr>
      </w:pPr>
      <w:r>
        <w:rPr>
          <w:rFonts w:ascii="Arial" w:cs="Arial" w:eastAsia="Arial" w:hAnsi="Arial"/>
          <w:sz w:val="18"/>
          <w:szCs w:val="18"/>
          <w:color w:val="auto"/>
        </w:rPr>
        <w:t>The forward-looking statements in this Quarterly Report are only predictions and are based largely on our current expectations and projections about future events and trends that we believe may affect our financial condition, results of operations, business strategy, short-term and long-term business operations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objectives, and financial needs. These forward-looking statements speak only as of the date of this Quarterly Report and are subject to a number of known and unknown risks, uncertainties, and assumptions, including those described under Part I. Item 2 “Management’s Discussion and Analysis of Financial Condition and Results of Operations” and Part II. Item 1A. “Risk Factors” elsewhere in this Quarterly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spacing w:after="0" w:line="195"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The forward-looking statements made in this Quarterly Report relate only to events or information as of the date on which the statements are made in this Quarterly Report.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15" w:lineRule="exact"/>
        <w:rPr>
          <w:sz w:val="20"/>
          <w:szCs w:val="20"/>
          <w:color w:val="auto"/>
        </w:rPr>
      </w:pPr>
    </w:p>
    <w:p>
      <w:pPr>
        <w:ind w:left="40" w:right="79"/>
        <w:spacing w:after="0" w:line="238"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You should carefully consider these risks and uncertainties when investing in our American Depositary Shares (“ADSs”). The principal risks and uncertainties affecting our business include the following:</w:t>
      </w:r>
    </w:p>
    <w:p>
      <w:pPr>
        <w:spacing w:after="0" w:line="164" w:lineRule="exact"/>
        <w:rPr>
          <w:sz w:val="20"/>
          <w:szCs w:val="20"/>
          <w:color w:val="auto"/>
        </w:rPr>
      </w:pPr>
    </w:p>
    <w:p>
      <w:pPr>
        <w:ind w:left="720" w:right="379"/>
        <w:spacing w:after="0" w:line="250" w:lineRule="auto"/>
        <w:rPr>
          <w:sz w:val="20"/>
          <w:szCs w:val="20"/>
          <w:color w:val="auto"/>
        </w:rPr>
      </w:pPr>
      <w:r>
        <w:rPr>
          <w:rFonts w:ascii="Arial" w:cs="Arial" w:eastAsia="Arial" w:hAnsi="Arial"/>
          <w:sz w:val="18"/>
          <w:szCs w:val="18"/>
          <w:color w:val="auto"/>
        </w:rPr>
        <w:t>We have a limited operating history and have incurred significant operating losses since our inception and expect to incur significant losses for the foreseeable future.</w:t>
      </w:r>
    </w:p>
    <w:p>
      <w:pPr>
        <w:spacing w:after="0" w:line="179" w:lineRule="exact"/>
        <w:rPr>
          <w:sz w:val="20"/>
          <w:szCs w:val="20"/>
          <w:color w:val="auto"/>
        </w:rPr>
      </w:pPr>
    </w:p>
    <w:p>
      <w:pPr>
        <w:ind w:left="720" w:right="299"/>
        <w:spacing w:after="0" w:line="238" w:lineRule="auto"/>
        <w:rPr>
          <w:sz w:val="20"/>
          <w:szCs w:val="20"/>
          <w:color w:val="auto"/>
        </w:rPr>
      </w:pPr>
      <w:r>
        <w:rPr>
          <w:rFonts w:ascii="Arial" w:cs="Arial" w:eastAsia="Arial" w:hAnsi="Arial"/>
          <w:sz w:val="18"/>
          <w:szCs w:val="18"/>
          <w:color w:val="auto"/>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188" w:lineRule="exact"/>
        <w:rPr>
          <w:sz w:val="20"/>
          <w:szCs w:val="20"/>
          <w:color w:val="auto"/>
        </w:rPr>
      </w:pPr>
    </w:p>
    <w:p>
      <w:pPr>
        <w:ind w:left="720" w:right="159"/>
        <w:spacing w:after="0" w:line="250" w:lineRule="auto"/>
        <w:rPr>
          <w:sz w:val="20"/>
          <w:szCs w:val="20"/>
          <w:color w:val="auto"/>
        </w:rPr>
      </w:pPr>
      <w:r>
        <w:rPr>
          <w:rFonts w:ascii="Arial" w:cs="Arial" w:eastAsia="Arial" w:hAnsi="Arial"/>
          <w:sz w:val="18"/>
          <w:szCs w:val="18"/>
          <w:color w:val="auto"/>
        </w:rPr>
        <w:t>Our approach to the discovery of product candidates based on our technology platform is unproven, and we do not know whether we will be able to develop any products of commercial value.</w:t>
      </w:r>
    </w:p>
    <w:p>
      <w:pPr>
        <w:spacing w:after="0" w:line="179" w:lineRule="exact"/>
        <w:rPr>
          <w:sz w:val="20"/>
          <w:szCs w:val="20"/>
          <w:color w:val="auto"/>
        </w:rPr>
      </w:pPr>
    </w:p>
    <w:p>
      <w:pPr>
        <w:ind w:left="720" w:right="219"/>
        <w:spacing w:after="0" w:line="236" w:lineRule="auto"/>
        <w:rPr>
          <w:sz w:val="20"/>
          <w:szCs w:val="20"/>
          <w:color w:val="auto"/>
        </w:rPr>
      </w:pPr>
      <w:r>
        <w:rPr>
          <w:rFonts w:ascii="Arial" w:cs="Arial" w:eastAsia="Arial" w:hAnsi="Arial"/>
          <w:sz w:val="18"/>
          <w:szCs w:val="18"/>
          <w:color w:val="auto"/>
        </w:rPr>
        <w:t>We are early in our development efforts and only have two product candidates, GSBR-1290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190" w:lineRule="exact"/>
        <w:rPr>
          <w:sz w:val="20"/>
          <w:szCs w:val="20"/>
          <w:color w:val="auto"/>
        </w:rPr>
      </w:pPr>
    </w:p>
    <w:p>
      <w:pPr>
        <w:ind w:left="720" w:right="179"/>
        <w:spacing w:after="0" w:line="238" w:lineRule="auto"/>
        <w:rPr>
          <w:sz w:val="20"/>
          <w:szCs w:val="20"/>
          <w:color w:val="auto"/>
        </w:rPr>
      </w:pPr>
      <w:r>
        <w:rPr>
          <w:rFonts w:ascii="Arial" w:cs="Arial" w:eastAsia="Arial" w:hAnsi="Arial"/>
          <w:sz w:val="18"/>
          <w:szCs w:val="18"/>
          <w:color w:val="auto"/>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20" w:right="279"/>
        <w:spacing w:after="0"/>
        <w:rPr>
          <w:sz w:val="20"/>
          <w:szCs w:val="20"/>
          <w:color w:val="auto"/>
        </w:rPr>
      </w:pPr>
      <w:r>
        <w:rPr>
          <w:rFonts w:ascii="Arial" w:cs="Arial" w:eastAsia="Arial" w:hAnsi="Arial"/>
          <w:sz w:val="18"/>
          <w:szCs w:val="18"/>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Serious adverse events, undesirable side effects or other unexpected properties of our product</w:t>
      </w:r>
    </w:p>
    <w:p>
      <w:pPr>
        <w:spacing w:after="0" w:line="28" w:lineRule="exact"/>
        <w:rPr>
          <w:sz w:val="20"/>
          <w:szCs w:val="20"/>
          <w:color w:val="auto"/>
        </w:rPr>
      </w:pPr>
    </w:p>
    <w:p>
      <w:pPr>
        <w:ind w:left="720" w:right="139"/>
        <w:spacing w:after="0" w:line="234" w:lineRule="auto"/>
        <w:rPr>
          <w:sz w:val="20"/>
          <w:szCs w:val="20"/>
          <w:color w:val="auto"/>
        </w:rPr>
      </w:pPr>
      <w:r>
        <w:rPr>
          <w:rFonts w:ascii="Arial" w:cs="Arial" w:eastAsia="Arial" w:hAnsi="Arial"/>
          <w:sz w:val="18"/>
          <w:szCs w:val="18"/>
          <w:color w:val="auto"/>
        </w:rPr>
        <w:t>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spacing w:after="0" w:line="163" w:lineRule="exact"/>
        <w:rPr>
          <w:sz w:val="20"/>
          <w:szCs w:val="20"/>
          <w:color w:val="auto"/>
        </w:rPr>
      </w:pPr>
    </w:p>
    <w:p>
      <w:pPr>
        <w:ind w:left="720" w:right="819"/>
        <w:spacing w:after="0" w:line="250" w:lineRule="auto"/>
        <w:rPr>
          <w:sz w:val="20"/>
          <w:szCs w:val="20"/>
          <w:color w:val="auto"/>
        </w:rPr>
      </w:pPr>
      <w:r>
        <w:rPr>
          <w:rFonts w:ascii="Arial" w:cs="Arial" w:eastAsia="Arial" w:hAnsi="Arial"/>
          <w:sz w:val="18"/>
          <w:szCs w:val="18"/>
          <w:color w:val="auto"/>
        </w:rPr>
        <w:t>As an organization, we have never conducted later-stage clinical trials or submitted a New Drug Application (“NDA”), and may be unable to do so for any of our product candidates.</w:t>
      </w:r>
    </w:p>
    <w:p>
      <w:pPr>
        <w:spacing w:after="0" w:line="179" w:lineRule="exact"/>
        <w:rPr>
          <w:sz w:val="20"/>
          <w:szCs w:val="20"/>
          <w:color w:val="auto"/>
        </w:rPr>
      </w:pPr>
    </w:p>
    <w:p>
      <w:pPr>
        <w:ind w:left="720" w:right="359"/>
        <w:spacing w:after="0" w:line="238" w:lineRule="auto"/>
        <w:rPr>
          <w:sz w:val="20"/>
          <w:szCs w:val="20"/>
          <w:color w:val="auto"/>
        </w:rPr>
      </w:pPr>
      <w:r>
        <w:rPr>
          <w:rFonts w:ascii="Arial" w:cs="Arial" w:eastAsia="Arial" w:hAnsi="Arial"/>
          <w:sz w:val="18"/>
          <w:szCs w:val="18"/>
          <w:color w:val="auto"/>
        </w:rPr>
        <w:t>The marketing approval processes of the U.S. Food and Drug Administration (“FDA”) and applicable foreign authorities are lengthy, time consuming, expensive and inherently unpredictable, and if we are ultimately unable to obtain marketing approval for our product candidates, our business will be substantially harmed.</w:t>
      </w:r>
    </w:p>
    <w:p>
      <w:pPr>
        <w:spacing w:after="0" w:line="188" w:lineRule="exact"/>
        <w:rPr>
          <w:sz w:val="20"/>
          <w:szCs w:val="20"/>
          <w:color w:val="auto"/>
        </w:rPr>
      </w:pPr>
    </w:p>
    <w:p>
      <w:pPr>
        <w:ind w:left="720" w:right="379"/>
        <w:spacing w:after="0" w:line="238" w:lineRule="auto"/>
        <w:rPr>
          <w:sz w:val="20"/>
          <w:szCs w:val="20"/>
          <w:color w:val="auto"/>
        </w:rPr>
      </w:pPr>
      <w:r>
        <w:rPr>
          <w:rFonts w:ascii="Arial" w:cs="Arial" w:eastAsia="Arial" w:hAnsi="Arial"/>
          <w:sz w:val="18"/>
          <w:szCs w:val="18"/>
          <w:color w:val="auto"/>
        </w:rPr>
        <w:t>We have conducted, or plan to conduct, our initial clinical studies for GSBR-1290, ANPA-0073, LTSE-2578, and our other product candidates outside of the United States. However, the FDA and other foreign equivalents may not accept data from such trials, in which case our development plans will be delayed, which could materially harm our business.</w:t>
      </w:r>
    </w:p>
    <w:p>
      <w:pPr>
        <w:spacing w:after="0" w:line="188" w:lineRule="exact"/>
        <w:rPr>
          <w:sz w:val="20"/>
          <w:szCs w:val="20"/>
          <w:color w:val="auto"/>
        </w:rPr>
      </w:pPr>
    </w:p>
    <w:p>
      <w:pPr>
        <w:ind w:left="720" w:right="119"/>
        <w:spacing w:after="0" w:line="236" w:lineRule="auto"/>
        <w:rPr>
          <w:sz w:val="20"/>
          <w:szCs w:val="20"/>
          <w:color w:val="auto"/>
        </w:rPr>
      </w:pPr>
      <w:r>
        <w:rPr>
          <w:rFonts w:ascii="Arial" w:cs="Arial" w:eastAsia="Arial" w:hAnsi="Arial"/>
          <w:sz w:val="18"/>
          <w:szCs w:val="18"/>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0" w:lineRule="exact"/>
        <w:rPr>
          <w:sz w:val="20"/>
          <w:szCs w:val="20"/>
          <w:color w:val="auto"/>
        </w:rPr>
      </w:pPr>
    </w:p>
    <w:p>
      <w:pPr>
        <w:ind w:left="720" w:right="299"/>
        <w:spacing w:after="0"/>
        <w:rPr>
          <w:sz w:val="20"/>
          <w:szCs w:val="20"/>
          <w:color w:val="auto"/>
        </w:rPr>
      </w:pPr>
      <w:r>
        <w:rPr>
          <w:rFonts w:ascii="Arial" w:cs="Arial" w:eastAsia="Arial" w:hAnsi="Arial"/>
          <w:sz w:val="18"/>
          <w:szCs w:val="18"/>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89" w:lineRule="exact"/>
        <w:rPr>
          <w:sz w:val="20"/>
          <w:szCs w:val="20"/>
          <w:color w:val="auto"/>
        </w:rPr>
      </w:pPr>
    </w:p>
    <w:p>
      <w:pPr>
        <w:ind w:left="720" w:right="139"/>
        <w:spacing w:after="0" w:line="238" w:lineRule="auto"/>
        <w:rPr>
          <w:sz w:val="20"/>
          <w:szCs w:val="20"/>
          <w:color w:val="auto"/>
        </w:rPr>
      </w:pPr>
      <w:r>
        <w:rPr>
          <w:rFonts w:ascii="Arial" w:cs="Arial" w:eastAsia="Arial" w:hAnsi="Arial"/>
          <w:sz w:val="18"/>
          <w:szCs w:val="18"/>
          <w:color w:val="auto"/>
        </w:rPr>
        <w:t>We intend to rely on third parties to conduct, supervise and monitor our discovery research, preclinical studies and clinical trials. If those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88" w:lineRule="exact"/>
        <w:rPr>
          <w:sz w:val="20"/>
          <w:szCs w:val="20"/>
          <w:color w:val="auto"/>
        </w:rPr>
      </w:pPr>
    </w:p>
    <w:p>
      <w:pPr>
        <w:ind w:left="720" w:right="79"/>
        <w:spacing w:after="0" w:line="235" w:lineRule="auto"/>
        <w:rPr>
          <w:sz w:val="20"/>
          <w:szCs w:val="20"/>
          <w:color w:val="auto"/>
        </w:rPr>
      </w:pPr>
      <w:r>
        <w:rPr>
          <w:rFonts w:ascii="Arial" w:cs="Arial" w:eastAsia="Arial" w:hAnsi="Arial"/>
          <w:sz w:val="18"/>
          <w:szCs w:val="18"/>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191" w:lineRule="exact"/>
        <w:rPr>
          <w:sz w:val="20"/>
          <w:szCs w:val="20"/>
          <w:color w:val="auto"/>
        </w:rPr>
      </w:pPr>
    </w:p>
    <w:p>
      <w:pPr>
        <w:ind w:left="720" w:right="119"/>
        <w:spacing w:after="0"/>
        <w:rPr>
          <w:sz w:val="20"/>
          <w:szCs w:val="20"/>
          <w:color w:val="auto"/>
        </w:rPr>
      </w:pPr>
      <w:r>
        <w:rPr>
          <w:rFonts w:ascii="Arial" w:cs="Arial" w:eastAsia="Arial" w:hAnsi="Arial"/>
          <w:sz w:val="18"/>
          <w:szCs w:val="18"/>
          <w:color w:val="auto"/>
        </w:rPr>
        <w:t>Our existing discovery collaboration with Schrödinger, Inc. (“Schrödinger”) is important to our business. If we are unable to maintain this collaboration, or if this collaboration is not successful, our business could be adversely affected.</w:t>
      </w:r>
    </w:p>
    <w:p>
      <w:pPr>
        <w:spacing w:after="0" w:line="189" w:lineRule="exact"/>
        <w:rPr>
          <w:sz w:val="20"/>
          <w:szCs w:val="20"/>
          <w:color w:val="auto"/>
        </w:rPr>
      </w:pPr>
    </w:p>
    <w:p>
      <w:pPr>
        <w:ind w:left="720" w:right="239"/>
        <w:spacing w:after="0" w:line="250" w:lineRule="auto"/>
        <w:rPr>
          <w:sz w:val="20"/>
          <w:szCs w:val="20"/>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us.</w:t>
      </w:r>
    </w:p>
    <w:p>
      <w:pPr>
        <w:spacing w:after="0" w:line="179" w:lineRule="exact"/>
        <w:rPr>
          <w:sz w:val="20"/>
          <w:szCs w:val="20"/>
          <w:color w:val="auto"/>
        </w:rPr>
      </w:pPr>
    </w:p>
    <w:p>
      <w:pPr>
        <w:ind w:left="720" w:right="619"/>
        <w:spacing w:after="0" w:line="279" w:lineRule="auto"/>
        <w:rPr>
          <w:sz w:val="20"/>
          <w:szCs w:val="20"/>
          <w:color w:val="auto"/>
        </w:rPr>
      </w:pPr>
      <w:r>
        <w:rPr>
          <w:rFonts w:ascii="Arial" w:cs="Arial" w:eastAsia="Arial" w:hAnsi="Arial"/>
          <w:sz w:val="17"/>
          <w:szCs w:val="17"/>
          <w:color w:val="auto"/>
        </w:rPr>
        <w:t>We currently have no marketing and sales organization and have no experience as a company in commercializing products, and we may invest significant resources to develop these capabilities. If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20" w:right="179"/>
        <w:spacing w:after="0" w:line="250" w:lineRule="auto"/>
        <w:rPr>
          <w:sz w:val="20"/>
          <w:szCs w:val="20"/>
          <w:color w:val="auto"/>
        </w:rPr>
      </w:pPr>
      <w:r>
        <w:rPr>
          <w:rFonts w:ascii="Arial" w:cs="Arial" w:eastAsia="Arial" w:hAnsi="Arial"/>
          <w:sz w:val="18"/>
          <w:szCs w:val="18"/>
          <w:color w:val="auto"/>
        </w:rPr>
        <w:t>we are unable to establish marketing and sales capabilities or enter into agreements with third parties to market and sell our products, we may not be able to generate product revenue.</w:t>
      </w:r>
    </w:p>
    <w:p>
      <w:pPr>
        <w:spacing w:after="0" w:line="156" w:lineRule="exact"/>
        <w:rPr>
          <w:sz w:val="20"/>
          <w:szCs w:val="20"/>
          <w:color w:val="auto"/>
        </w:rPr>
      </w:pPr>
    </w:p>
    <w:p>
      <w:pPr>
        <w:ind w:left="720" w:right="439"/>
        <w:spacing w:after="0" w:line="236" w:lineRule="auto"/>
        <w:rPr>
          <w:sz w:val="20"/>
          <w:szCs w:val="20"/>
          <w:color w:val="auto"/>
        </w:rPr>
      </w:pPr>
      <w:r>
        <w:rPr>
          <w:rFonts w:ascii="Arial" w:cs="Arial" w:eastAsia="Arial" w:hAnsi="Arial"/>
          <w:sz w:val="18"/>
          <w:szCs w:val="18"/>
          <w:color w:val="auto"/>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p>
      <w:pPr>
        <w:spacing w:after="0" w:line="190" w:lineRule="exact"/>
        <w:rPr>
          <w:sz w:val="20"/>
          <w:szCs w:val="20"/>
          <w:color w:val="auto"/>
        </w:rPr>
      </w:pPr>
    </w:p>
    <w:p>
      <w:pPr>
        <w:ind w:left="720" w:right="159"/>
        <w:spacing w:after="0"/>
        <w:rPr>
          <w:sz w:val="20"/>
          <w:szCs w:val="20"/>
          <w:color w:val="auto"/>
        </w:rPr>
      </w:pPr>
      <w:r>
        <w:rPr>
          <w:rFonts w:ascii="Arial" w:cs="Arial" w:eastAsia="Arial" w:hAnsi="Arial"/>
          <w:sz w:val="18"/>
          <w:szCs w:val="18"/>
          <w:color w:val="auto"/>
        </w:rPr>
        <w:t>Changes in the political and economic policies of the Chinese government or in relations between China and the United States may affect our business, financial condition, results of operations and the market price of our ADSs.</w:t>
      </w:r>
    </w:p>
    <w:p>
      <w:pPr>
        <w:spacing w:after="0" w:line="189" w:lineRule="exact"/>
        <w:rPr>
          <w:sz w:val="20"/>
          <w:szCs w:val="20"/>
          <w:color w:val="auto"/>
        </w:rPr>
      </w:pPr>
    </w:p>
    <w:p>
      <w:pPr>
        <w:ind w:left="720" w:right="159"/>
        <w:spacing w:after="0" w:line="238" w:lineRule="auto"/>
        <w:rPr>
          <w:sz w:val="20"/>
          <w:szCs w:val="20"/>
          <w:color w:val="auto"/>
        </w:rPr>
      </w:pPr>
      <w:r>
        <w:rPr>
          <w:rFonts w:ascii="Arial" w:cs="Arial" w:eastAsia="Arial" w:hAnsi="Arial"/>
          <w:sz w:val="18"/>
          <w:szCs w:val="18"/>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88" w:lineRule="exact"/>
        <w:rPr>
          <w:sz w:val="20"/>
          <w:szCs w:val="20"/>
          <w:color w:val="auto"/>
        </w:rPr>
      </w:pPr>
    </w:p>
    <w:p>
      <w:pPr>
        <w:ind w:left="720" w:right="259"/>
        <w:spacing w:after="0" w:line="238" w:lineRule="auto"/>
        <w:rPr>
          <w:sz w:val="20"/>
          <w:szCs w:val="20"/>
          <w:color w:val="auto"/>
        </w:rPr>
      </w:pPr>
      <w:r>
        <w:rPr>
          <w:rFonts w:ascii="Arial" w:cs="Arial" w:eastAsia="Arial" w:hAnsi="Arial"/>
          <w:sz w:val="18"/>
          <w:szCs w:val="18"/>
          <w:color w:val="auto"/>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PART I. FINANCIAL INFORMATION</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STRUCTURE THERAPEUTICS INC.</w:t>
      </w:r>
    </w:p>
    <w:p>
      <w:pPr>
        <w:spacing w:after="0" w:line="166"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BALANCE SHEETS</w:t>
      </w:r>
    </w:p>
    <w:p>
      <w:pPr>
        <w:ind w:left="2360"/>
        <w:spacing w:after="0" w:line="215" w:lineRule="auto"/>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130810</wp:posOffset>
            </wp:positionV>
            <wp:extent cx="5650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JUNE 30,</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6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153"/>
        </w:trPr>
        <w:tc>
          <w:tcPr>
            <w:tcW w:w="6600" w:type="dxa"/>
            <w:vAlign w:val="bottom"/>
            <w:shd w:val="clear" w:color="auto" w:fill="CCEEFF"/>
          </w:tcPr>
          <w:p>
            <w:pPr>
              <w:spacing w:after="0" w:line="153" w:lineRule="exact"/>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Cash and cash equivalents</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40,591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26,091</w:t>
            </w:r>
          </w:p>
        </w:tc>
        <w:tc>
          <w:tcPr>
            <w:tcW w:w="160" w:type="dxa"/>
            <w:vAlign w:val="bottom"/>
            <w:shd w:val="clear" w:color="auto" w:fill="CCEEFF"/>
          </w:tcPr>
          <w:p>
            <w:pPr>
              <w:spacing w:after="0"/>
              <w:rPr>
                <w:sz w:val="13"/>
                <w:szCs w:val="13"/>
                <w:color w:val="auto"/>
              </w:rPr>
            </w:pPr>
          </w:p>
        </w:tc>
      </w:tr>
      <w:tr>
        <w:trPr>
          <w:trHeight w:val="159"/>
        </w:trPr>
        <w:tc>
          <w:tcPr>
            <w:tcW w:w="6600" w:type="dxa"/>
            <w:vAlign w:val="bottom"/>
          </w:tcPr>
          <w:p>
            <w:pPr>
              <w:ind w:left="100"/>
              <w:spacing w:after="0" w:line="159" w:lineRule="exact"/>
              <w:rPr>
                <w:sz w:val="20"/>
                <w:szCs w:val="20"/>
                <w:color w:val="auto"/>
              </w:rPr>
            </w:pPr>
            <w:r>
              <w:rPr>
                <w:rFonts w:ascii="Arial" w:cs="Arial" w:eastAsia="Arial" w:hAnsi="Arial"/>
                <w:sz w:val="15"/>
                <w:szCs w:val="15"/>
                <w:color w:val="auto"/>
              </w:rPr>
              <w:t>Short-term investments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5"/>
                <w:szCs w:val="15"/>
                <w:color w:val="auto"/>
              </w:rPr>
              <w:t>183,996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5"/>
                <w:szCs w:val="15"/>
                <w:color w:val="auto"/>
              </w:rPr>
              <w:t>64,750</w:t>
            </w:r>
          </w:p>
        </w:tc>
        <w:tc>
          <w:tcPr>
            <w:tcW w:w="160" w:type="dxa"/>
            <w:vAlign w:val="bottom"/>
          </w:tcPr>
          <w:p>
            <w:pPr>
              <w:spacing w:after="0"/>
              <w:rPr>
                <w:sz w:val="13"/>
                <w:szCs w:val="13"/>
                <w:color w:val="auto"/>
              </w:rPr>
            </w:pP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Prepaid expenses and other current assets</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3,635</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2,248</w:t>
            </w:r>
          </w:p>
        </w:tc>
        <w:tc>
          <w:tcPr>
            <w:tcW w:w="160" w:type="dxa"/>
            <w:vAlign w:val="bottom"/>
            <w:shd w:val="clear" w:color="auto" w:fill="CCEEFF"/>
          </w:tcPr>
          <w:p>
            <w:pPr>
              <w:spacing w:after="0"/>
              <w:rPr>
                <w:sz w:val="13"/>
                <w:szCs w:val="13"/>
                <w:color w:val="auto"/>
              </w:rPr>
            </w:pPr>
          </w:p>
        </w:tc>
      </w:tr>
      <w:tr>
        <w:trPr>
          <w:trHeight w:val="153"/>
        </w:trPr>
        <w:tc>
          <w:tcPr>
            <w:tcW w:w="6600" w:type="dxa"/>
            <w:vAlign w:val="bottom"/>
          </w:tcPr>
          <w:p>
            <w:pPr>
              <w:ind w:left="200"/>
              <w:spacing w:after="0" w:line="153" w:lineRule="exact"/>
              <w:rPr>
                <w:sz w:val="20"/>
                <w:szCs w:val="20"/>
                <w:color w:val="auto"/>
              </w:rPr>
            </w:pPr>
            <w:r>
              <w:rPr>
                <w:rFonts w:ascii="Arial" w:cs="Arial" w:eastAsia="Arial" w:hAnsi="Arial"/>
                <w:sz w:val="15"/>
                <w:szCs w:val="15"/>
                <w:color w:val="auto"/>
              </w:rPr>
              <w:t>Total current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3" w:lineRule="exact"/>
              <w:rPr>
                <w:sz w:val="20"/>
                <w:szCs w:val="20"/>
                <w:color w:val="auto"/>
              </w:rPr>
            </w:pPr>
            <w:r>
              <w:rPr>
                <w:rFonts w:ascii="Arial" w:cs="Arial" w:eastAsia="Arial" w:hAnsi="Arial"/>
                <w:sz w:val="15"/>
                <w:szCs w:val="15"/>
                <w:color w:val="auto"/>
              </w:rPr>
              <w:t>228,222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5"/>
                <w:szCs w:val="15"/>
                <w:color w:val="auto"/>
              </w:rPr>
              <w:t>93,089</w:t>
            </w:r>
          </w:p>
        </w:tc>
        <w:tc>
          <w:tcPr>
            <w:tcW w:w="160" w:type="dxa"/>
            <w:vAlign w:val="bottom"/>
          </w:tcPr>
          <w:p>
            <w:pPr>
              <w:spacing w:after="0"/>
              <w:rPr>
                <w:sz w:val="13"/>
                <w:szCs w:val="13"/>
                <w:color w:val="auto"/>
              </w:rPr>
            </w:pP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Property and equipment, net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1,078</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1,031</w:t>
            </w:r>
          </w:p>
        </w:tc>
        <w:tc>
          <w:tcPr>
            <w:tcW w:w="160" w:type="dxa"/>
            <w:vAlign w:val="bottom"/>
            <w:shd w:val="clear" w:color="auto" w:fill="CCEEFF"/>
          </w:tcPr>
          <w:p>
            <w:pPr>
              <w:spacing w:after="0"/>
              <w:rPr>
                <w:sz w:val="13"/>
                <w:szCs w:val="13"/>
                <w:color w:val="auto"/>
              </w:rPr>
            </w:pPr>
          </w:p>
        </w:tc>
      </w:tr>
      <w:tr>
        <w:trPr>
          <w:trHeight w:val="159"/>
        </w:trPr>
        <w:tc>
          <w:tcPr>
            <w:tcW w:w="6600" w:type="dxa"/>
            <w:vAlign w:val="bottom"/>
          </w:tcPr>
          <w:p>
            <w:pPr>
              <w:ind w:left="100"/>
              <w:spacing w:after="0" w:line="159" w:lineRule="exact"/>
              <w:rPr>
                <w:sz w:val="20"/>
                <w:szCs w:val="20"/>
                <w:color w:val="auto"/>
              </w:rPr>
            </w:pPr>
            <w:r>
              <w:rPr>
                <w:rFonts w:ascii="Arial" w:cs="Arial" w:eastAsia="Arial" w:hAnsi="Arial"/>
                <w:sz w:val="15"/>
                <w:szCs w:val="15"/>
                <w:color w:val="auto"/>
              </w:rPr>
              <w:t>Operating right-of-use assets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5"/>
                <w:szCs w:val="15"/>
                <w:color w:val="auto"/>
              </w:rPr>
              <w:t>90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5"/>
                <w:szCs w:val="15"/>
                <w:color w:val="auto"/>
              </w:rPr>
              <w:t>262</w:t>
            </w:r>
          </w:p>
        </w:tc>
        <w:tc>
          <w:tcPr>
            <w:tcW w:w="160" w:type="dxa"/>
            <w:vAlign w:val="bottom"/>
          </w:tcPr>
          <w:p>
            <w:pPr>
              <w:spacing w:after="0"/>
              <w:rPr>
                <w:sz w:val="13"/>
                <w:szCs w:val="13"/>
                <w:color w:val="auto"/>
              </w:rPr>
            </w:pP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Other non-current assets</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38</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3,463</w:t>
            </w:r>
          </w:p>
        </w:tc>
        <w:tc>
          <w:tcPr>
            <w:tcW w:w="160" w:type="dxa"/>
            <w:vAlign w:val="bottom"/>
            <w:shd w:val="clear" w:color="auto" w:fill="CCEEFF"/>
          </w:tcPr>
          <w:p>
            <w:pPr>
              <w:spacing w:after="0"/>
              <w:rPr>
                <w:sz w:val="13"/>
                <w:szCs w:val="13"/>
                <w:color w:val="auto"/>
              </w:rPr>
            </w:pPr>
          </w:p>
        </w:tc>
      </w:tr>
      <w:tr>
        <w:trPr>
          <w:trHeight w:val="193"/>
        </w:trPr>
        <w:tc>
          <w:tcPr>
            <w:tcW w:w="6600" w:type="dxa"/>
            <w:vAlign w:val="bottom"/>
            <w:tcBorders>
              <w:bottom w:val="single" w:sz="8" w:color="CCEEFF"/>
            </w:tcBorders>
          </w:tcPr>
          <w:p>
            <w:pPr>
              <w:ind w:left="200"/>
              <w:spacing w:after="0" w:line="153" w:lineRule="exact"/>
              <w:rPr>
                <w:sz w:val="20"/>
                <w:szCs w:val="20"/>
                <w:color w:val="auto"/>
              </w:rPr>
            </w:pPr>
            <w:r>
              <w:rPr>
                <w:rFonts w:ascii="Arial" w:cs="Arial" w:eastAsia="Arial" w:hAnsi="Arial"/>
                <w:sz w:val="15"/>
                <w:szCs w:val="15"/>
                <w:color w:val="auto"/>
              </w:rPr>
              <w:t>Total assets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229,428</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line="153"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97,845</w:t>
            </w:r>
          </w:p>
        </w:tc>
        <w:tc>
          <w:tcPr>
            <w:tcW w:w="160" w:type="dxa"/>
            <w:vAlign w:val="bottom"/>
            <w:tcBorders>
              <w:bottom w:val="single" w:sz="8" w:color="CCEEFF"/>
            </w:tcBorders>
          </w:tcPr>
          <w:p>
            <w:pPr>
              <w:spacing w:after="0"/>
              <w:rPr>
                <w:sz w:val="16"/>
                <w:szCs w:val="16"/>
                <w:color w:val="auto"/>
              </w:rPr>
            </w:pPr>
          </w:p>
        </w:tc>
      </w:tr>
      <w:tr>
        <w:trPr>
          <w:trHeight w:val="139"/>
        </w:trPr>
        <w:tc>
          <w:tcPr>
            <w:tcW w:w="6600" w:type="dxa"/>
            <w:vAlign w:val="bottom"/>
            <w:shd w:val="clear" w:color="auto" w:fill="CCEEFF"/>
          </w:tcPr>
          <w:p>
            <w:pPr>
              <w:spacing w:after="0" w:line="139" w:lineRule="exact"/>
              <w:rPr>
                <w:sz w:val="20"/>
                <w:szCs w:val="20"/>
                <w:color w:val="auto"/>
              </w:rPr>
            </w:pPr>
            <w:r>
              <w:rPr>
                <w:rFonts w:ascii="Arial" w:cs="Arial" w:eastAsia="Arial" w:hAnsi="Arial"/>
                <w:sz w:val="15"/>
                <w:szCs w:val="15"/>
                <w:b w:val="1"/>
                <w:bCs w:val="1"/>
                <w:color w:val="auto"/>
              </w:rPr>
              <w:t>Liabilities, redeemable convertible preferred shares and shareholders’ equity (deficit)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Accounts payable</w:t>
            </w:r>
          </w:p>
        </w:tc>
        <w:tc>
          <w:tcPr>
            <w:tcW w:w="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5,699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6,009</w:t>
            </w:r>
          </w:p>
        </w:tc>
        <w:tc>
          <w:tcPr>
            <w:tcW w:w="160" w:type="dxa"/>
            <w:vAlign w:val="bottom"/>
            <w:shd w:val="clear" w:color="auto" w:fill="CCEEFF"/>
          </w:tcPr>
          <w:p>
            <w:pPr>
              <w:spacing w:after="0"/>
              <w:rPr>
                <w:sz w:val="13"/>
                <w:szCs w:val="13"/>
                <w:color w:val="auto"/>
              </w:rPr>
            </w:pPr>
          </w:p>
        </w:tc>
      </w:tr>
      <w:tr>
        <w:trPr>
          <w:trHeight w:val="159"/>
        </w:trPr>
        <w:tc>
          <w:tcPr>
            <w:tcW w:w="6600" w:type="dxa"/>
            <w:vAlign w:val="bottom"/>
          </w:tcPr>
          <w:p>
            <w:pPr>
              <w:ind w:left="100"/>
              <w:spacing w:after="0" w:line="159" w:lineRule="exact"/>
              <w:rPr>
                <w:sz w:val="20"/>
                <w:szCs w:val="20"/>
                <w:color w:val="auto"/>
              </w:rPr>
            </w:pPr>
            <w:r>
              <w:rPr>
                <w:rFonts w:ascii="Arial" w:cs="Arial" w:eastAsia="Arial" w:hAnsi="Arial"/>
                <w:sz w:val="15"/>
                <w:szCs w:val="15"/>
                <w:color w:val="auto"/>
              </w:rPr>
              <w:t>Accrued expenses and other current liabilities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5"/>
                <w:szCs w:val="15"/>
                <w:color w:val="auto"/>
              </w:rPr>
              <w:t>9,241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5"/>
                <w:szCs w:val="15"/>
                <w:color w:val="auto"/>
              </w:rPr>
              <w:t>6,741</w:t>
            </w:r>
          </w:p>
        </w:tc>
        <w:tc>
          <w:tcPr>
            <w:tcW w:w="160" w:type="dxa"/>
            <w:vAlign w:val="bottom"/>
          </w:tcPr>
          <w:p>
            <w:pPr>
              <w:spacing w:after="0"/>
              <w:rPr>
                <w:sz w:val="13"/>
                <w:szCs w:val="13"/>
                <w:color w:val="auto"/>
              </w:rPr>
            </w:pP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Operating lease liabilities, current portion</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73</w:t>
            </w:r>
          </w:p>
        </w:tc>
        <w:tc>
          <w:tcPr>
            <w:tcW w:w="16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rPr>
              <w:t>260</w:t>
            </w:r>
          </w:p>
        </w:tc>
        <w:tc>
          <w:tcPr>
            <w:tcW w:w="160" w:type="dxa"/>
            <w:vAlign w:val="bottom"/>
            <w:shd w:val="clear" w:color="auto" w:fill="CCEEFF"/>
          </w:tcPr>
          <w:p>
            <w:pPr>
              <w:spacing w:after="0"/>
              <w:rPr>
                <w:sz w:val="13"/>
                <w:szCs w:val="13"/>
                <w:color w:val="auto"/>
              </w:rPr>
            </w:pPr>
          </w:p>
        </w:tc>
      </w:tr>
      <w:tr>
        <w:trPr>
          <w:trHeight w:val="153"/>
        </w:trPr>
        <w:tc>
          <w:tcPr>
            <w:tcW w:w="6600" w:type="dxa"/>
            <w:vAlign w:val="bottom"/>
            <w:tcBorders>
              <w:bottom w:val="single" w:sz="8" w:color="CCEEFF"/>
            </w:tcBorders>
          </w:tcPr>
          <w:p>
            <w:pPr>
              <w:ind w:left="200"/>
              <w:spacing w:after="0" w:line="153" w:lineRule="exact"/>
              <w:rPr>
                <w:sz w:val="20"/>
                <w:szCs w:val="20"/>
                <w:color w:val="auto"/>
              </w:rPr>
            </w:pPr>
            <w:r>
              <w:rPr>
                <w:rFonts w:ascii="Arial" w:cs="Arial" w:eastAsia="Arial" w:hAnsi="Arial"/>
                <w:sz w:val="15"/>
                <w:szCs w:val="15"/>
                <w:color w:val="auto"/>
              </w:rPr>
              <w:t>Total current liabilities</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15,013</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13,010</w:t>
            </w:r>
          </w:p>
        </w:tc>
        <w:tc>
          <w:tcPr>
            <w:tcW w:w="160" w:type="dxa"/>
            <w:vAlign w:val="bottom"/>
            <w:tcBorders>
              <w:bottom w:val="single" w:sz="8" w:color="CCEEFF"/>
            </w:tcBorders>
          </w:tcPr>
          <w:p>
            <w:pPr>
              <w:spacing w:after="0"/>
              <w:rPr>
                <w:sz w:val="13"/>
                <w:szCs w:val="13"/>
                <w:color w:val="auto"/>
              </w:rPr>
            </w:pPr>
          </w:p>
        </w:tc>
      </w:tr>
      <w:tr>
        <w:trPr>
          <w:trHeight w:val="153"/>
        </w:trPr>
        <w:tc>
          <w:tcPr>
            <w:tcW w:w="6600" w:type="dxa"/>
            <w:vAlign w:val="bottom"/>
            <w:shd w:val="clear" w:color="auto" w:fill="CCEEFF"/>
          </w:tcPr>
          <w:p>
            <w:pPr>
              <w:ind w:left="200"/>
              <w:spacing w:after="0" w:line="153" w:lineRule="exact"/>
              <w:rPr>
                <w:sz w:val="20"/>
                <w:szCs w:val="20"/>
                <w:color w:val="auto"/>
              </w:rPr>
            </w:pPr>
            <w:r>
              <w:rPr>
                <w:rFonts w:ascii="Arial" w:cs="Arial" w:eastAsia="Arial" w:hAnsi="Arial"/>
                <w:sz w:val="15"/>
                <w:szCs w:val="15"/>
                <w:color w:val="auto"/>
              </w:rPr>
              <w:t>Total liabilities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15,013</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3" w:lineRule="exact"/>
              <w:rPr>
                <w:sz w:val="20"/>
                <w:szCs w:val="20"/>
                <w:color w:val="auto"/>
              </w:rPr>
            </w:pPr>
            <w:r>
              <w:rPr>
                <w:rFonts w:ascii="Arial" w:cs="Arial" w:eastAsia="Arial" w:hAnsi="Arial"/>
                <w:sz w:val="15"/>
                <w:szCs w:val="15"/>
                <w:color w:val="auto"/>
              </w:rPr>
              <w:t>13,010</w:t>
            </w:r>
          </w:p>
        </w:tc>
        <w:tc>
          <w:tcPr>
            <w:tcW w:w="160" w:type="dxa"/>
            <w:vAlign w:val="bottom"/>
            <w:shd w:val="clear" w:color="auto" w:fill="CCEEFF"/>
          </w:tcPr>
          <w:p>
            <w:pPr>
              <w:spacing w:after="0"/>
              <w:rPr>
                <w:sz w:val="13"/>
                <w:szCs w:val="13"/>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Commitments and contingencies (Note 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66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Series A redeemable convertible preferred shares – $0.0001 par value, 0 and 19,200 shares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66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authorized, issued and outstanding as of June 30, 2023 and December 31, 2022, respectively</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9"/>
        </w:trPr>
        <w:tc>
          <w:tcPr>
            <w:tcW w:w="66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(liquidation preference of $0 and $32,001 as of June 30, 2023 and December 31, 2022,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73"/>
        </w:trPr>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respectively)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32,001</w:t>
            </w:r>
          </w:p>
        </w:tc>
        <w:tc>
          <w:tcPr>
            <w:tcW w:w="160" w:type="dxa"/>
            <w:vAlign w:val="bottom"/>
            <w:shd w:val="clear" w:color="auto" w:fill="CCEEFF"/>
          </w:tcPr>
          <w:p>
            <w:pPr>
              <w:spacing w:after="0"/>
              <w:rPr>
                <w:sz w:val="15"/>
                <w:szCs w:val="15"/>
                <w:color w:val="auto"/>
              </w:rPr>
            </w:pPr>
          </w:p>
        </w:tc>
      </w:tr>
      <w:tr>
        <w:trPr>
          <w:trHeight w:val="146"/>
        </w:trPr>
        <w:tc>
          <w:tcPr>
            <w:tcW w:w="6600" w:type="dxa"/>
            <w:vAlign w:val="bottom"/>
          </w:tcPr>
          <w:p>
            <w:pPr>
              <w:spacing w:after="0" w:line="146" w:lineRule="exact"/>
              <w:rPr>
                <w:sz w:val="20"/>
                <w:szCs w:val="20"/>
                <w:color w:val="auto"/>
              </w:rPr>
            </w:pPr>
            <w:r>
              <w:rPr>
                <w:rFonts w:ascii="Arial" w:cs="Arial" w:eastAsia="Arial" w:hAnsi="Arial"/>
                <w:sz w:val="15"/>
                <w:szCs w:val="15"/>
                <w:color w:val="auto"/>
              </w:rPr>
              <w:t>Series A+ redeemable convertible preferred shares – $0.0001 par value, 0 and 12,800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authorized, issued and outstanding as of June 30, 2023 and December 31, 2022, respectively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(liquidation preference of $0 and $26,000 as of June 30, 2023 and December 31, 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6600" w:type="dxa"/>
            <w:vAlign w:val="bottom"/>
          </w:tcPr>
          <w:p>
            <w:pPr>
              <w:spacing w:after="0"/>
              <w:rPr>
                <w:sz w:val="20"/>
                <w:szCs w:val="20"/>
                <w:color w:val="auto"/>
              </w:rPr>
            </w:pPr>
            <w:r>
              <w:rPr>
                <w:rFonts w:ascii="Arial" w:cs="Arial" w:eastAsia="Arial" w:hAnsi="Arial"/>
                <w:sz w:val="15"/>
                <w:szCs w:val="15"/>
                <w:color w:val="auto"/>
              </w:rPr>
              <w:t>respectively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26,000</w:t>
            </w:r>
          </w:p>
        </w:tc>
        <w:tc>
          <w:tcPr>
            <w:tcW w:w="160" w:type="dxa"/>
            <w:vAlign w:val="bottom"/>
          </w:tcPr>
          <w:p>
            <w:pPr>
              <w:spacing w:after="0"/>
              <w:rPr>
                <w:sz w:val="15"/>
                <w:szCs w:val="15"/>
                <w:color w:val="auto"/>
              </w:rPr>
            </w:pPr>
          </w:p>
        </w:tc>
      </w:tr>
      <w:tr>
        <w:trPr>
          <w:trHeight w:val="146"/>
        </w:trPr>
        <w:tc>
          <w:tcPr>
            <w:tcW w:w="66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Series B redeemable convertible preferred stock – $0.0001 par value, 0 and 32,857 shares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66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authorized, issued and outstanding as of June 30, 2023 and December 31, 2022, respectively</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9"/>
        </w:trPr>
        <w:tc>
          <w:tcPr>
            <w:tcW w:w="66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(liquidation preference of $0 and $133,015 as of June 30, 2023 and December 31, 2022,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73"/>
        </w:trPr>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respectively)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133,015</w:t>
            </w:r>
          </w:p>
        </w:tc>
        <w:tc>
          <w:tcPr>
            <w:tcW w:w="160" w:type="dxa"/>
            <w:vAlign w:val="bottom"/>
            <w:shd w:val="clear" w:color="auto" w:fill="CCEEFF"/>
          </w:tcPr>
          <w:p>
            <w:pPr>
              <w:spacing w:after="0"/>
              <w:rPr>
                <w:sz w:val="15"/>
                <w:szCs w:val="15"/>
                <w:color w:val="auto"/>
              </w:rPr>
            </w:pPr>
          </w:p>
        </w:tc>
      </w:tr>
      <w:tr>
        <w:trPr>
          <w:trHeight w:val="146"/>
        </w:trPr>
        <w:tc>
          <w:tcPr>
            <w:tcW w:w="6600" w:type="dxa"/>
            <w:vAlign w:val="bottom"/>
          </w:tcPr>
          <w:p>
            <w:pPr>
              <w:spacing w:after="0" w:line="146" w:lineRule="exact"/>
              <w:rPr>
                <w:sz w:val="20"/>
                <w:szCs w:val="20"/>
                <w:color w:val="auto"/>
              </w:rPr>
            </w:pPr>
            <w:r>
              <w:rPr>
                <w:rFonts w:ascii="Arial" w:cs="Arial" w:eastAsia="Arial" w:hAnsi="Arial"/>
                <w:sz w:val="15"/>
                <w:szCs w:val="15"/>
                <w:color w:val="auto"/>
              </w:rPr>
              <w:t>Series B</w:t>
            </w:r>
            <w:r>
              <w:rPr>
                <w:rFonts w:ascii="MS PGothic" w:cs="MS PGothic" w:eastAsia="MS PGothic" w:hAnsi="MS PGothic"/>
                <w:sz w:val="15"/>
                <w:szCs w:val="15"/>
                <w:color w:val="auto"/>
              </w:rPr>
              <w:t>‑</w:t>
            </w:r>
            <w:r>
              <w:rPr>
                <w:rFonts w:ascii="Arial" w:cs="Arial" w:eastAsia="Arial" w:hAnsi="Arial"/>
                <w:sz w:val="15"/>
                <w:szCs w:val="15"/>
                <w:color w:val="auto"/>
              </w:rPr>
              <w:t>1 redeemable convertible preferred stock – $0.0001 par value, 0 and 2,161 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authorized, issued and outstanding as of June 30, 2023 and December 31, 2022, respectively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(liquidation preference of $0 and $7,000 as of June 30, 2023 and December 31, 2022,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6600" w:type="dxa"/>
            <w:vAlign w:val="bottom"/>
          </w:tcPr>
          <w:p>
            <w:pPr>
              <w:spacing w:after="0"/>
              <w:rPr>
                <w:sz w:val="20"/>
                <w:szCs w:val="20"/>
                <w:color w:val="auto"/>
              </w:rPr>
            </w:pPr>
            <w:r>
              <w:rPr>
                <w:rFonts w:ascii="Arial" w:cs="Arial" w:eastAsia="Arial" w:hAnsi="Arial"/>
                <w:sz w:val="15"/>
                <w:szCs w:val="15"/>
                <w:color w:val="auto"/>
              </w:rPr>
              <w:t>respectively)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8,959</w:t>
            </w:r>
          </w:p>
        </w:tc>
        <w:tc>
          <w:tcPr>
            <w:tcW w:w="160" w:type="dxa"/>
            <w:vAlign w:val="bottom"/>
          </w:tcPr>
          <w:p>
            <w:pPr>
              <w:spacing w:after="0"/>
              <w:rPr>
                <w:sz w:val="15"/>
                <w:szCs w:val="15"/>
                <w:color w:val="auto"/>
              </w:rPr>
            </w:pPr>
          </w:p>
        </w:tc>
      </w:tr>
      <w:tr>
        <w:trPr>
          <w:trHeight w:val="159"/>
        </w:trPr>
        <w:tc>
          <w:tcPr>
            <w:tcW w:w="660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Shareholders’ equity (deficit):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6"/>
        </w:trPr>
        <w:tc>
          <w:tcPr>
            <w:tcW w:w="6600" w:type="dxa"/>
            <w:vAlign w:val="bottom"/>
          </w:tcPr>
          <w:p>
            <w:pPr>
              <w:spacing w:after="0" w:line="146" w:lineRule="exact"/>
              <w:rPr>
                <w:sz w:val="20"/>
                <w:szCs w:val="20"/>
                <w:color w:val="auto"/>
              </w:rPr>
            </w:pPr>
            <w:r>
              <w:rPr>
                <w:rFonts w:ascii="Arial" w:cs="Arial" w:eastAsia="Arial" w:hAnsi="Arial"/>
                <w:sz w:val="15"/>
                <w:szCs w:val="15"/>
                <w:color w:val="auto"/>
              </w:rPr>
              <w:t>Undesignated shares – $0.0001 par value; 100,000 and 0 shares authorized as of June 30, 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3"/>
        </w:trPr>
        <w:tc>
          <w:tcPr>
            <w:tcW w:w="6600" w:type="dxa"/>
            <w:vAlign w:val="bottom"/>
          </w:tcPr>
          <w:p>
            <w:pPr>
              <w:spacing w:after="0"/>
              <w:rPr>
                <w:sz w:val="20"/>
                <w:szCs w:val="20"/>
                <w:color w:val="auto"/>
              </w:rPr>
            </w:pPr>
            <w:r>
              <w:rPr>
                <w:rFonts w:ascii="Arial" w:cs="Arial" w:eastAsia="Arial" w:hAnsi="Arial"/>
                <w:sz w:val="15"/>
                <w:szCs w:val="15"/>
                <w:color w:val="auto"/>
              </w:rPr>
              <w:t>and December 31, 2022, respectively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r>
      <w:tr>
        <w:trPr>
          <w:trHeight w:val="146"/>
        </w:trPr>
        <w:tc>
          <w:tcPr>
            <w:tcW w:w="6600" w:type="dxa"/>
            <w:vAlign w:val="bottom"/>
            <w:shd w:val="clear" w:color="auto" w:fill="CCEEFF"/>
          </w:tcPr>
          <w:p>
            <w:pPr>
              <w:spacing w:after="0" w:line="146" w:lineRule="exact"/>
              <w:rPr>
                <w:sz w:val="20"/>
                <w:szCs w:val="20"/>
                <w:color w:val="auto"/>
              </w:rPr>
            </w:pPr>
            <w:r>
              <w:rPr>
                <w:rFonts w:ascii="Arial" w:cs="Arial" w:eastAsia="Arial" w:hAnsi="Arial"/>
                <w:sz w:val="15"/>
                <w:szCs w:val="15"/>
                <w:color w:val="auto"/>
              </w:rPr>
              <w:t>Non-voting ordinary shares – $0.0001 par value; 7,411 and 0 shares issued and outstanding as of</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73"/>
        </w:trPr>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June 30, 2023 and December 31, 2022, respectively</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r>
      <w:tr>
        <w:trPr>
          <w:trHeight w:val="146"/>
        </w:trPr>
        <w:tc>
          <w:tcPr>
            <w:tcW w:w="6600" w:type="dxa"/>
            <w:vAlign w:val="bottom"/>
          </w:tcPr>
          <w:p>
            <w:pPr>
              <w:spacing w:after="0" w:line="146" w:lineRule="exact"/>
              <w:rPr>
                <w:sz w:val="20"/>
                <w:szCs w:val="20"/>
                <w:color w:val="auto"/>
              </w:rPr>
            </w:pPr>
            <w:r>
              <w:rPr>
                <w:rFonts w:ascii="Arial" w:cs="Arial" w:eastAsia="Arial" w:hAnsi="Arial"/>
                <w:sz w:val="15"/>
                <w:szCs w:val="15"/>
                <w:color w:val="auto"/>
              </w:rPr>
              <w:t>Ordinary shares – $0.0001 par value; 500,000 and 432,982 shares authorized as of June 30, 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6600" w:type="dxa"/>
            <w:vAlign w:val="bottom"/>
          </w:tcPr>
          <w:p>
            <w:pPr>
              <w:spacing w:after="0" w:line="159" w:lineRule="exact"/>
              <w:rPr>
                <w:sz w:val="20"/>
                <w:szCs w:val="20"/>
                <w:color w:val="auto"/>
              </w:rPr>
            </w:pPr>
            <w:r>
              <w:rPr>
                <w:rFonts w:ascii="Arial" w:cs="Arial" w:eastAsia="Arial" w:hAnsi="Arial"/>
                <w:sz w:val="15"/>
                <w:szCs w:val="15"/>
                <w:color w:val="auto"/>
              </w:rPr>
              <w:t>and December 31, 2022, respectively; 107,387 and 10,527 shares issued and outstanding as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6600" w:type="dxa"/>
            <w:vAlign w:val="bottom"/>
          </w:tcPr>
          <w:p>
            <w:pPr>
              <w:spacing w:after="0"/>
              <w:rPr>
                <w:sz w:val="20"/>
                <w:szCs w:val="20"/>
                <w:color w:val="auto"/>
              </w:rPr>
            </w:pPr>
            <w:r>
              <w:rPr>
                <w:rFonts w:ascii="Arial" w:cs="Arial" w:eastAsia="Arial" w:hAnsi="Arial"/>
                <w:sz w:val="15"/>
                <w:szCs w:val="15"/>
                <w:color w:val="auto"/>
              </w:rPr>
              <w:t>June 30, 2023 and December 31, 2022, respectively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373,001</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rPr>
              <w:t>1,921</w:t>
            </w:r>
          </w:p>
        </w:tc>
        <w:tc>
          <w:tcPr>
            <w:tcW w:w="160" w:type="dxa"/>
            <w:vAlign w:val="bottom"/>
            <w:shd w:val="clear" w:color="auto" w:fill="CCEEFF"/>
          </w:tcPr>
          <w:p>
            <w:pPr>
              <w:spacing w:after="0"/>
              <w:rPr>
                <w:sz w:val="13"/>
                <w:szCs w:val="13"/>
                <w:color w:val="auto"/>
              </w:rPr>
            </w:pPr>
          </w:p>
        </w:tc>
      </w:tr>
      <w:tr>
        <w:trPr>
          <w:trHeight w:val="159"/>
        </w:trPr>
        <w:tc>
          <w:tcPr>
            <w:tcW w:w="6600" w:type="dxa"/>
            <w:vAlign w:val="bottom"/>
          </w:tcPr>
          <w:p>
            <w:pPr>
              <w:ind w:left="100"/>
              <w:spacing w:after="0" w:line="159" w:lineRule="exact"/>
              <w:rPr>
                <w:sz w:val="20"/>
                <w:szCs w:val="20"/>
                <w:color w:val="auto"/>
              </w:rPr>
            </w:pPr>
            <w:r>
              <w:rPr>
                <w:rFonts w:ascii="Arial" w:cs="Arial" w:eastAsia="Arial" w:hAnsi="Arial"/>
                <w:sz w:val="15"/>
                <w:szCs w:val="15"/>
                <w:color w:val="auto"/>
              </w:rPr>
              <w:t>Accumulated other comprehensive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5"/>
                <w:szCs w:val="15"/>
                <w:color w:val="auto"/>
              </w:rPr>
              <w:t>(390)</w:t>
            </w:r>
          </w:p>
        </w:tc>
        <w:tc>
          <w:tcPr>
            <w:tcW w:w="24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5"/>
                <w:szCs w:val="15"/>
                <w:color w:val="auto"/>
              </w:rPr>
              <w:t>(110)</w:t>
            </w:r>
          </w:p>
        </w:tc>
      </w:tr>
      <w:tr>
        <w:trPr>
          <w:trHeight w:val="159"/>
        </w:trPr>
        <w:tc>
          <w:tcPr>
            <w:tcW w:w="66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rPr>
              <w:t>Accumulated deficit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5"/>
                <w:szCs w:val="15"/>
                <w:color w:val="auto"/>
              </w:rPr>
              <w:t>(158,207)</w:t>
            </w:r>
          </w:p>
        </w:tc>
        <w:tc>
          <w:tcPr>
            <w:tcW w:w="2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5"/>
                <w:szCs w:val="15"/>
                <w:color w:val="auto"/>
              </w:rPr>
              <w:t>(116,952)</w:t>
            </w:r>
          </w:p>
        </w:tc>
      </w:tr>
      <w:tr>
        <w:trPr>
          <w:trHeight w:val="153"/>
        </w:trPr>
        <w:tc>
          <w:tcPr>
            <w:tcW w:w="6600" w:type="dxa"/>
            <w:vAlign w:val="bottom"/>
            <w:tcBorders>
              <w:bottom w:val="single" w:sz="8" w:color="CCEEFF"/>
            </w:tcBorders>
          </w:tcPr>
          <w:p>
            <w:pPr>
              <w:ind w:left="200"/>
              <w:spacing w:after="0" w:line="153" w:lineRule="exact"/>
              <w:rPr>
                <w:sz w:val="20"/>
                <w:szCs w:val="20"/>
                <w:color w:val="auto"/>
              </w:rPr>
            </w:pPr>
            <w:r>
              <w:rPr>
                <w:rFonts w:ascii="Arial" w:cs="Arial" w:eastAsia="Arial" w:hAnsi="Arial"/>
                <w:sz w:val="15"/>
                <w:szCs w:val="15"/>
                <w:color w:val="auto"/>
              </w:rPr>
              <w:t>Total shareholders’ equity (deficit)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214,415</w:t>
            </w:r>
          </w:p>
        </w:tc>
        <w:tc>
          <w:tcPr>
            <w:tcW w:w="16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5"/>
                <w:szCs w:val="15"/>
                <w:color w:val="auto"/>
              </w:rPr>
              <w:t>(115,140)</w:t>
            </w:r>
          </w:p>
        </w:tc>
        <w:tc>
          <w:tcPr>
            <w:tcW w:w="160" w:type="dxa"/>
            <w:vAlign w:val="bottom"/>
            <w:tcBorders>
              <w:bottom w:val="single" w:sz="8" w:color="CCEEFF"/>
            </w:tcBorders>
          </w:tcPr>
          <w:p>
            <w:pPr>
              <w:spacing w:after="0"/>
              <w:rPr>
                <w:sz w:val="13"/>
                <w:szCs w:val="13"/>
                <w:color w:val="auto"/>
              </w:rPr>
            </w:pPr>
          </w:p>
        </w:tc>
      </w:tr>
      <w:tr>
        <w:trPr>
          <w:trHeight w:val="153"/>
        </w:trPr>
        <w:tc>
          <w:tcPr>
            <w:tcW w:w="6600" w:type="dxa"/>
            <w:vAlign w:val="bottom"/>
            <w:tcBorders>
              <w:bottom w:val="single" w:sz="8" w:color="CCEEFF"/>
            </w:tcBorders>
            <w:shd w:val="clear" w:color="auto" w:fill="CCEEFF"/>
          </w:tcPr>
          <w:p>
            <w:pPr>
              <w:ind w:left="200"/>
              <w:spacing w:after="0" w:line="153" w:lineRule="exact"/>
              <w:rPr>
                <w:sz w:val="20"/>
                <w:szCs w:val="20"/>
                <w:color w:val="auto"/>
              </w:rPr>
            </w:pPr>
            <w:r>
              <w:rPr>
                <w:rFonts w:ascii="Arial" w:cs="Arial" w:eastAsia="Arial" w:hAnsi="Arial"/>
                <w:sz w:val="15"/>
                <w:szCs w:val="15"/>
                <w:color w:val="auto"/>
              </w:rPr>
              <w:t>Total liabilities, redeemable convertible preferred shares and shareholders’ equity (deficit)</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229,428</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5"/>
                <w:szCs w:val="15"/>
                <w:color w:val="auto"/>
              </w:rPr>
              <w:t>97,845</w:t>
            </w:r>
          </w:p>
        </w:tc>
        <w:tc>
          <w:tcPr>
            <w:tcW w:w="160" w:type="dxa"/>
            <w:vAlign w:val="bottom"/>
            <w:tcBorders>
              <w:bottom w:val="single" w:sz="8" w:color="CCEEFF"/>
            </w:tcBorders>
            <w:shd w:val="clear" w:color="auto" w:fill="CCEEFF"/>
          </w:tcPr>
          <w:p>
            <w:pPr>
              <w:spacing w:after="0"/>
              <w:rPr>
                <w:sz w:val="13"/>
                <w:szCs w:val="13"/>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100965</wp:posOffset>
            </wp:positionV>
            <wp:extent cx="5650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STRUCTURE THERAPEUTICS INC.</w:t>
      </w:r>
    </w:p>
    <w:p>
      <w:pPr>
        <w:spacing w:after="0" w:line="205" w:lineRule="exact"/>
        <w:rPr>
          <w:sz w:val="20"/>
          <w:szCs w:val="20"/>
          <w:color w:val="auto"/>
        </w:rPr>
      </w:pPr>
    </w:p>
    <w:p>
      <w:pPr>
        <w:jc w:val="center"/>
        <w:ind w:left="40" w:right="59"/>
        <w:spacing w:after="0" w:line="259"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b w:val="1"/>
          <w:bCs w:val="1"/>
          <w:i w:val="1"/>
          <w:iCs w:val="1"/>
          <w:color w:val="auto"/>
        </w:rPr>
        <w:t>(IN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254000</wp:posOffset>
            </wp:positionV>
            <wp:extent cx="56502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left="434"/>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ind w:right="134"/>
              <w:spacing w:after="0" w:line="153"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4"/>
              <w:spacing w:after="0" w:line="153"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3"/>
              <w:spacing w:after="0" w:line="153"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33"/>
              <w:spacing w:after="0" w:line="156" w:lineRule="exact"/>
              <w:rPr>
                <w:sz w:val="20"/>
                <w:szCs w:val="20"/>
                <w:color w:val="auto"/>
              </w:rPr>
            </w:pPr>
            <w:r>
              <w:rPr>
                <w:rFonts w:ascii="Arial" w:cs="Arial" w:eastAsia="Arial" w:hAnsi="Arial"/>
                <w:sz w:val="16"/>
                <w:szCs w:val="16"/>
                <w:color w:val="auto"/>
              </w:rPr>
              <w:t>NOT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253"/>
              <w:spacing w:after="0" w:line="156" w:lineRule="exact"/>
              <w:rPr>
                <w:sz w:val="20"/>
                <w:szCs w:val="20"/>
                <w:color w:val="auto"/>
              </w:rPr>
            </w:pPr>
            <w:r>
              <w:rPr>
                <w:rFonts w:ascii="Arial" w:cs="Arial" w:eastAsia="Arial" w:hAnsi="Arial"/>
                <w:sz w:val="16"/>
                <w:szCs w:val="16"/>
                <w:color w:val="auto"/>
                <w:w w:val="94"/>
              </w:rPr>
              <w:t>NOT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20"/>
              <w:spacing w:after="0" w:line="209" w:lineRule="exact"/>
              <w:rPr>
                <w:sz w:val="20"/>
                <w:szCs w:val="20"/>
                <w:color w:val="auto"/>
              </w:rPr>
            </w:pPr>
            <w:r>
              <w:rPr>
                <w:rFonts w:ascii="Arial" w:cs="Arial" w:eastAsia="Arial" w:hAnsi="Arial"/>
                <w:sz w:val="16"/>
                <w:szCs w:val="16"/>
                <w:color w:val="auto"/>
              </w:rPr>
              <w:t>REVIEWED</w:t>
            </w:r>
            <w:r>
              <w:rPr>
                <w:rFonts w:ascii="Arial" w:cs="Arial" w:eastAsia="Arial" w:hAnsi="Arial"/>
                <w:sz w:val="23"/>
                <w:szCs w:val="23"/>
                <w:color w:val="auto"/>
                <w:vertAlign w:val="superscript"/>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spacing w:after="0" w:line="209" w:lineRule="exact"/>
              <w:rPr>
                <w:sz w:val="20"/>
                <w:szCs w:val="20"/>
                <w:color w:val="auto"/>
              </w:rPr>
            </w:pPr>
            <w:r>
              <w:rPr>
                <w:rFonts w:ascii="Arial" w:cs="Arial" w:eastAsia="Arial" w:hAnsi="Arial"/>
                <w:sz w:val="16"/>
                <w:szCs w:val="16"/>
                <w:color w:val="auto"/>
              </w:rPr>
              <w:t>REVIEWED</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tcPr>
          <w:p>
            <w:pPr>
              <w:ind w:left="100"/>
              <w:spacing w:after="0" w:line="199"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19,411</w:t>
            </w:r>
          </w:p>
        </w:tc>
        <w:tc>
          <w:tcPr>
            <w:tcW w:w="80" w:type="dxa"/>
            <w:vAlign w:val="bottom"/>
          </w:tcPr>
          <w:p>
            <w:pPr>
              <w:spacing w:after="0"/>
              <w:rPr>
                <w:sz w:val="17"/>
                <w:szCs w:val="17"/>
                <w:color w:val="auto"/>
              </w:rPr>
            </w:pPr>
          </w:p>
        </w:tc>
        <w:tc>
          <w:tcPr>
            <w:tcW w:w="34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10,181</w:t>
            </w:r>
          </w:p>
        </w:tc>
        <w:tc>
          <w:tcPr>
            <w:tcW w:w="80" w:type="dxa"/>
            <w:vAlign w:val="bottom"/>
          </w:tcPr>
          <w:p>
            <w:pPr>
              <w:spacing w:after="0"/>
              <w:rPr>
                <w:sz w:val="17"/>
                <w:szCs w:val="17"/>
                <w:color w:val="auto"/>
              </w:rPr>
            </w:pPr>
          </w:p>
        </w:tc>
        <w:tc>
          <w:tcPr>
            <w:tcW w:w="2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32,546</w:t>
            </w:r>
          </w:p>
        </w:tc>
        <w:tc>
          <w:tcPr>
            <w:tcW w:w="160" w:type="dxa"/>
            <w:vAlign w:val="bottom"/>
          </w:tcPr>
          <w:p>
            <w:pPr>
              <w:spacing w:after="0"/>
              <w:rPr>
                <w:sz w:val="17"/>
                <w:szCs w:val="17"/>
                <w:color w:val="auto"/>
              </w:rPr>
            </w:pPr>
          </w:p>
        </w:tc>
        <w:tc>
          <w:tcPr>
            <w:tcW w:w="260" w:type="dxa"/>
            <w:vAlign w:val="bottom"/>
          </w:tcPr>
          <w:p>
            <w:pPr>
              <w:spacing w:after="0" w:line="19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18,673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6,576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13,090</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8,239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line="193" w:lineRule="exact"/>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25,987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8"/>
                <w:szCs w:val="18"/>
                <w:color w:val="auto"/>
              </w:rPr>
              <w:t>13,960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Arial" w:cs="Arial" w:eastAsia="Arial" w:hAnsi="Arial"/>
                <w:sz w:val="18"/>
                <w:szCs w:val="18"/>
                <w:color w:val="auto"/>
              </w:rPr>
              <w:t>45,636</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8"/>
                <w:szCs w:val="18"/>
                <w:color w:val="auto"/>
              </w:rPr>
              <w:t>26,912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(25,987)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w w:val="98"/>
              </w:rPr>
              <w:t>(13,960)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(45,636)</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w w:val="98"/>
              </w:rPr>
              <w:t>(26,912)</w:t>
            </w:r>
          </w:p>
        </w:tc>
        <w:tc>
          <w:tcPr>
            <w:tcW w:w="0" w:type="dxa"/>
            <w:vAlign w:val="bottom"/>
          </w:tcPr>
          <w:p>
            <w:pPr>
              <w:spacing w:after="0"/>
              <w:rPr>
                <w:sz w:val="1"/>
                <w:szCs w:val="1"/>
                <w:color w:val="auto"/>
              </w:rPr>
            </w:pPr>
          </w:p>
        </w:tc>
      </w:tr>
      <w:tr>
        <w:trPr>
          <w:trHeight w:val="199"/>
        </w:trPr>
        <w:tc>
          <w:tcPr>
            <w:tcW w:w="466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Interest and other income (expense), net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2,825</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4,524</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(23,162)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(13,884)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(41,112)</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(26,905)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66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(23,280)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(13,948)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(41,255)</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(27,029)</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100"/>
              <w:spacing w:after="0" w:line="187" w:lineRule="exact"/>
              <w:rPr>
                <w:sz w:val="20"/>
                <w:szCs w:val="20"/>
                <w:color w:val="auto"/>
              </w:rPr>
            </w:pPr>
            <w:r>
              <w:rPr>
                <w:rFonts w:ascii="Arial" w:cs="Arial" w:eastAsia="Arial" w:hAnsi="Arial"/>
                <w:sz w:val="18"/>
                <w:szCs w:val="18"/>
                <w:color w:val="auto"/>
              </w:rPr>
              <w:t>Less: Accretion of redeemable convertible preferred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100"/>
              <w:spacing w:after="0"/>
              <w:rPr>
                <w:sz w:val="20"/>
                <w:szCs w:val="20"/>
                <w:color w:val="auto"/>
              </w:rPr>
            </w:pPr>
            <w:r>
              <w:rPr>
                <w:rFonts w:ascii="Arial" w:cs="Arial" w:eastAsia="Arial" w:hAnsi="Arial"/>
                <w:sz w:val="18"/>
                <w:szCs w:val="18"/>
                <w:color w:val="auto"/>
              </w:rPr>
              <w:t>shares to their redemption value</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192"/>
        </w:trPr>
        <w:tc>
          <w:tcPr>
            <w:tcW w:w="46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Net loss attributable to ordinary shareholders</w:t>
            </w:r>
          </w:p>
        </w:tc>
        <w:tc>
          <w:tcPr>
            <w:tcW w:w="1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(23,280)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(15,463)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(41,255)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(28,544)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line="180" w:lineRule="exact"/>
              <w:rPr>
                <w:sz w:val="20"/>
                <w:szCs w:val="20"/>
                <w:color w:val="auto"/>
              </w:rPr>
            </w:pPr>
            <w:r>
              <w:rPr>
                <w:rFonts w:ascii="Arial" w:cs="Arial" w:eastAsia="Arial" w:hAnsi="Arial"/>
                <w:sz w:val="18"/>
                <w:szCs w:val="18"/>
                <w:color w:val="auto"/>
              </w:rPr>
              <w:t>Net loss per share attributable to ordinary shareholders,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60" w:type="dxa"/>
            <w:vAlign w:val="bottom"/>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(0.20)</w:t>
            </w:r>
          </w:p>
        </w:tc>
        <w:tc>
          <w:tcPr>
            <w:tcW w:w="3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(1.64)</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(0.44)</w:t>
            </w: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39"/>
        </w:trPr>
        <w:tc>
          <w:tcPr>
            <w:tcW w:w="4660" w:type="dxa"/>
            <w:vAlign w:val="bottom"/>
          </w:tcPr>
          <w:p>
            <w:pPr>
              <w:spacing w:after="0" w:line="199" w:lineRule="exact"/>
              <w:rPr>
                <w:sz w:val="20"/>
                <w:szCs w:val="20"/>
                <w:color w:val="auto"/>
              </w:rPr>
            </w:pPr>
            <w:r>
              <w:rPr>
                <w:rFonts w:ascii="Arial" w:cs="Arial" w:eastAsia="Arial" w:hAnsi="Arial"/>
                <w:sz w:val="18"/>
                <w:szCs w:val="18"/>
                <w:color w:val="auto"/>
              </w:rPr>
              <w:t>basic and diluted</w:t>
            </w:r>
          </w:p>
        </w:tc>
        <w:tc>
          <w:tcPr>
            <w:tcW w:w="12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46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5"/>
                <w:szCs w:val="15"/>
                <w:color w:val="auto"/>
              </w:rPr>
              <w:t>Weighted-average ordinary shares used in computing net</w:t>
            </w: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loss per share attributable to ordinary shareholders, basic</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114,759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93,325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Unrealized loss on investments, net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(537)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(280)</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line="193" w:lineRule="exact"/>
              <w:rPr>
                <w:sz w:val="20"/>
                <w:szCs w:val="20"/>
                <w:color w:val="auto"/>
              </w:rPr>
            </w:pPr>
            <w:r>
              <w:rPr>
                <w:rFonts w:ascii="Arial" w:cs="Arial" w:eastAsia="Arial" w:hAnsi="Arial"/>
                <w:sz w:val="18"/>
                <w:szCs w:val="18"/>
                <w:color w:val="auto"/>
              </w:rPr>
              <w:t>Total other comprehensive loss</w:t>
            </w: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(537)</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(23,817)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(13,998)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(41,535)</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8"/>
              </w:rPr>
              <w:t>(27,114)</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___________________________</w:t>
      </w:r>
    </w:p>
    <w:p>
      <w:pPr>
        <w:ind w:left="120" w:right="179" w:hanging="71"/>
        <w:spacing w:after="0" w:line="196" w:lineRule="auto"/>
        <w:tabs>
          <w:tab w:leader="none" w:pos="151"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color w:val="auto"/>
        </w:rPr>
        <w:t xml:space="preserve">A review, pursuant to PCAOB AS 4105, </w:t>
      </w:r>
      <w:r>
        <w:rPr>
          <w:rFonts w:ascii="Arial" w:cs="Arial" w:eastAsia="Arial" w:hAnsi="Arial"/>
          <w:sz w:val="18"/>
          <w:szCs w:val="18"/>
          <w:i w:val="1"/>
          <w:iCs w:val="1"/>
          <w:color w:val="auto"/>
        </w:rPr>
        <w:t>Reviews of Interim Financial Information</w:t>
      </w:r>
      <w:r>
        <w:rPr>
          <w:rFonts w:ascii="Arial" w:cs="Arial" w:eastAsia="Arial" w:hAnsi="Arial"/>
          <w:sz w:val="18"/>
          <w:szCs w:val="18"/>
          <w:color w:val="auto"/>
        </w:rPr>
        <w:t>, by an independent registered public accounting firm has not been completed for the indicated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STRUCTURE THERAPEUTICS INC.</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CONDENSED CONSOLIDATED STATEMENTS OF REDEEMABLE CONVERTIBLE PREFERRED SHARES AND</w:t>
      </w:r>
    </w:p>
    <w:p>
      <w:pPr>
        <w:spacing w:after="0" w:line="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SHAREHOLDERS’ EQUITY (DEFICIT)</w:t>
      </w:r>
    </w:p>
    <w:p>
      <w:pPr>
        <w:jc w:val="center"/>
        <w:ind w:right="1000"/>
        <w:spacing w:after="0" w:line="230" w:lineRule="auto"/>
        <w:rPr>
          <w:sz w:val="20"/>
          <w:szCs w:val="20"/>
          <w:color w:val="auto"/>
        </w:rPr>
      </w:pPr>
      <w:r>
        <w:rPr>
          <w:rFonts w:ascii="Arial" w:cs="Arial" w:eastAsia="Arial" w:hAnsi="Arial"/>
          <w:sz w:val="18"/>
          <w:szCs w:val="18"/>
          <w:b w:val="1"/>
          <w:bCs w:val="1"/>
          <w:i w:val="1"/>
          <w:iCs w:val="1"/>
          <w:color w:val="auto"/>
        </w:rPr>
        <w:t>(IN THOUSANDS)</w:t>
      </w:r>
    </w:p>
    <w:p>
      <w:pPr>
        <w:spacing w:after="0" w:line="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139065</wp:posOffset>
            </wp:positionV>
            <wp:extent cx="66236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3685" cy="825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380" w:type="dxa"/>
            <w:vAlign w:val="bottom"/>
            <w:gridSpan w:val="12"/>
            <w:vMerge w:val="restart"/>
          </w:tcPr>
          <w:p>
            <w:pPr>
              <w:ind w:left="20"/>
              <w:spacing w:after="0"/>
              <w:rPr>
                <w:sz w:val="20"/>
                <w:szCs w:val="20"/>
                <w:color w:val="auto"/>
              </w:rPr>
            </w:pPr>
            <w:r>
              <w:rPr>
                <w:rFonts w:ascii="Arial" w:cs="Arial" w:eastAsia="Arial" w:hAnsi="Arial"/>
                <w:sz w:val="9"/>
                <w:szCs w:val="9"/>
                <w:b w:val="1"/>
                <w:bCs w:val="1"/>
                <w:color w:val="auto"/>
              </w:rPr>
              <w:t>REDEEMABLE CONVERTIBLE PREFERRED SHARES</w:t>
            </w: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4"/>
            <w:vMerge w:val="restart"/>
          </w:tcPr>
          <w:p>
            <w:pPr>
              <w:jc w:val="center"/>
              <w:ind w:left="144"/>
              <w:spacing w:after="0"/>
              <w:rPr>
                <w:sz w:val="20"/>
                <w:szCs w:val="20"/>
                <w:color w:val="auto"/>
              </w:rPr>
            </w:pPr>
            <w:r>
              <w:rPr>
                <w:rFonts w:ascii="Arial" w:cs="Arial" w:eastAsia="Arial" w:hAnsi="Arial"/>
                <w:sz w:val="9"/>
                <w:szCs w:val="9"/>
                <w:b w:val="1"/>
                <w:bCs w:val="1"/>
                <w:color w:val="auto"/>
                <w:w w:val="99"/>
              </w:rPr>
              <w:t>ORDINARY</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5"/>
            <w:vMerge w:val="restart"/>
          </w:tcPr>
          <w:p>
            <w:pPr>
              <w:jc w:val="center"/>
              <w:ind w:right="40"/>
              <w:spacing w:after="0"/>
              <w:rPr>
                <w:sz w:val="20"/>
                <w:szCs w:val="20"/>
                <w:color w:val="auto"/>
              </w:rPr>
            </w:pPr>
            <w:r>
              <w:rPr>
                <w:rFonts w:ascii="Arial" w:cs="Arial" w:eastAsia="Arial" w:hAnsi="Arial"/>
                <w:sz w:val="9"/>
                <w:szCs w:val="9"/>
                <w:b w:val="1"/>
                <w:bCs w:val="1"/>
                <w:color w:val="auto"/>
                <w:w w:val="97"/>
              </w:rPr>
              <w:t>NON-VOTING</w:t>
            </w:r>
          </w:p>
        </w:tc>
        <w:tc>
          <w:tcPr>
            <w:tcW w:w="20" w:type="dxa"/>
            <w:vAlign w:val="bottom"/>
          </w:tcPr>
          <w:p>
            <w:pPr>
              <w:spacing w:after="0"/>
              <w:rPr>
                <w:sz w:val="8"/>
                <w:szCs w:val="8"/>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w w:val="97"/>
              </w:rPr>
              <w:t>ADDITIONAL</w:t>
            </w:r>
          </w:p>
        </w:tc>
        <w:tc>
          <w:tcPr>
            <w:tcW w:w="60" w:type="dxa"/>
            <w:vAlign w:val="bottom"/>
          </w:tcPr>
          <w:p>
            <w:pPr>
              <w:spacing w:after="0"/>
              <w:rPr>
                <w:sz w:val="8"/>
                <w:szCs w:val="8"/>
                <w:color w:val="auto"/>
              </w:rPr>
            </w:pPr>
          </w:p>
        </w:tc>
        <w:tc>
          <w:tcPr>
            <w:tcW w:w="760" w:type="dxa"/>
            <w:vAlign w:val="bottom"/>
            <w:gridSpan w:val="2"/>
          </w:tcPr>
          <w:p>
            <w:pPr>
              <w:jc w:val="center"/>
              <w:spacing w:after="0"/>
              <w:rPr>
                <w:sz w:val="20"/>
                <w:szCs w:val="20"/>
                <w:color w:val="auto"/>
              </w:rPr>
            </w:pPr>
            <w:r>
              <w:rPr>
                <w:rFonts w:ascii="Arial" w:cs="Arial" w:eastAsia="Arial" w:hAnsi="Arial"/>
                <w:sz w:val="9"/>
                <w:szCs w:val="9"/>
                <w:b w:val="1"/>
                <w:bCs w:val="1"/>
                <w:color w:val="auto"/>
                <w:w w:val="97"/>
              </w:rPr>
              <w:t>ACCUMULATED</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restart"/>
          </w:tcPr>
          <w:p>
            <w:pPr>
              <w:jc w:val="right"/>
              <w:ind w:right="159"/>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12"/>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jc w:val="center"/>
              <w:ind w:right="139"/>
              <w:spacing w:after="0"/>
              <w:rPr>
                <w:sz w:val="20"/>
                <w:szCs w:val="20"/>
                <w:color w:val="auto"/>
              </w:rPr>
            </w:pPr>
            <w:r>
              <w:rPr>
                <w:rFonts w:ascii="Arial" w:cs="Arial" w:eastAsia="Arial" w:hAnsi="Arial"/>
                <w:sz w:val="9"/>
                <w:szCs w:val="9"/>
                <w:b w:val="1"/>
                <w:bCs w:val="1"/>
                <w:color w:val="auto"/>
                <w:w w:val="95"/>
              </w:rPr>
              <w:t>OTHER</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4"/>
          </w:tcPr>
          <w:p>
            <w:pPr>
              <w:jc w:val="center"/>
              <w:spacing w:after="0" w:line="87" w:lineRule="exact"/>
              <w:rPr>
                <w:sz w:val="20"/>
                <w:szCs w:val="20"/>
                <w:color w:val="auto"/>
              </w:rPr>
            </w:pPr>
            <w:r>
              <w:rPr>
                <w:rFonts w:ascii="Arial" w:cs="Arial" w:eastAsia="Arial" w:hAnsi="Arial"/>
                <w:sz w:val="9"/>
                <w:szCs w:val="9"/>
                <w:b w:val="1"/>
                <w:bCs w:val="1"/>
                <w:color w:val="auto"/>
                <w:w w:val="95"/>
              </w:rPr>
              <w:t>SERIES A</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gridSpan w:val="5"/>
          </w:tcPr>
          <w:p>
            <w:pPr>
              <w:jc w:val="center"/>
              <w:ind w:right="60"/>
              <w:spacing w:after="0" w:line="87" w:lineRule="exact"/>
              <w:rPr>
                <w:sz w:val="20"/>
                <w:szCs w:val="20"/>
                <w:color w:val="auto"/>
              </w:rPr>
            </w:pPr>
            <w:r>
              <w:rPr>
                <w:rFonts w:ascii="Arial" w:cs="Arial" w:eastAsia="Arial" w:hAnsi="Arial"/>
                <w:sz w:val="9"/>
                <w:szCs w:val="9"/>
                <w:b w:val="1"/>
                <w:bCs w:val="1"/>
                <w:color w:val="auto"/>
                <w:w w:val="97"/>
              </w:rPr>
              <w:t>SERIES A+</w:t>
            </w:r>
          </w:p>
        </w:tc>
        <w:tc>
          <w:tcPr>
            <w:tcW w:w="1180" w:type="dxa"/>
            <w:vAlign w:val="bottom"/>
            <w:gridSpan w:val="5"/>
          </w:tcPr>
          <w:p>
            <w:pPr>
              <w:jc w:val="center"/>
              <w:ind w:right="60"/>
              <w:spacing w:after="0" w:line="87" w:lineRule="exact"/>
              <w:rPr>
                <w:sz w:val="20"/>
                <w:szCs w:val="20"/>
                <w:color w:val="auto"/>
              </w:rPr>
            </w:pPr>
            <w:r>
              <w:rPr>
                <w:rFonts w:ascii="Arial" w:cs="Arial" w:eastAsia="Arial" w:hAnsi="Arial"/>
                <w:sz w:val="9"/>
                <w:szCs w:val="9"/>
                <w:b w:val="1"/>
                <w:bCs w:val="1"/>
                <w:color w:val="auto"/>
                <w:w w:val="95"/>
              </w:rPr>
              <w:t>SERIES B</w:t>
            </w:r>
          </w:p>
        </w:tc>
        <w:tc>
          <w:tcPr>
            <w:tcW w:w="940" w:type="dxa"/>
            <w:vAlign w:val="bottom"/>
            <w:gridSpan w:val="4"/>
          </w:tcPr>
          <w:p>
            <w:pPr>
              <w:jc w:val="center"/>
              <w:spacing w:after="0" w:line="87" w:lineRule="exact"/>
              <w:rPr>
                <w:sz w:val="20"/>
                <w:szCs w:val="20"/>
                <w:color w:val="auto"/>
              </w:rPr>
            </w:pPr>
            <w:r>
              <w:rPr>
                <w:rFonts w:ascii="Arial" w:cs="Arial" w:eastAsia="Arial" w:hAnsi="Arial"/>
                <w:sz w:val="9"/>
                <w:szCs w:val="9"/>
                <w:b w:val="1"/>
                <w:bCs w:val="1"/>
                <w:color w:val="auto"/>
                <w:w w:val="99"/>
              </w:rPr>
              <w:t>SERIES B-1</w:t>
            </w:r>
          </w:p>
        </w:tc>
        <w:tc>
          <w:tcPr>
            <w:tcW w:w="100" w:type="dxa"/>
            <w:vAlign w:val="bottom"/>
          </w:tcPr>
          <w:p>
            <w:pPr>
              <w:spacing w:after="0"/>
              <w:rPr>
                <w:sz w:val="7"/>
                <w:szCs w:val="7"/>
                <w:color w:val="auto"/>
              </w:rPr>
            </w:pPr>
          </w:p>
        </w:tc>
        <w:tc>
          <w:tcPr>
            <w:tcW w:w="720" w:type="dxa"/>
            <w:vAlign w:val="bottom"/>
            <w:gridSpan w:val="4"/>
          </w:tcPr>
          <w:p>
            <w:pPr>
              <w:jc w:val="center"/>
              <w:ind w:left="144"/>
              <w:spacing w:after="0" w:line="87" w:lineRule="exact"/>
              <w:rPr>
                <w:sz w:val="20"/>
                <w:szCs w:val="20"/>
                <w:color w:val="auto"/>
              </w:rPr>
            </w:pPr>
            <w:r>
              <w:rPr>
                <w:rFonts w:ascii="Arial" w:cs="Arial" w:eastAsia="Arial" w:hAnsi="Arial"/>
                <w:sz w:val="9"/>
                <w:szCs w:val="9"/>
                <w:b w:val="1"/>
                <w:bCs w:val="1"/>
                <w:color w:val="auto"/>
                <w:w w:val="95"/>
              </w:rPr>
              <w:t>SHARES</w:t>
            </w:r>
          </w:p>
        </w:tc>
        <w:tc>
          <w:tcPr>
            <w:tcW w:w="220" w:type="dxa"/>
            <w:vAlign w:val="bottom"/>
          </w:tcPr>
          <w:p>
            <w:pPr>
              <w:spacing w:after="0"/>
              <w:rPr>
                <w:sz w:val="7"/>
                <w:szCs w:val="7"/>
                <w:color w:val="auto"/>
              </w:rPr>
            </w:pPr>
          </w:p>
        </w:tc>
        <w:tc>
          <w:tcPr>
            <w:tcW w:w="920" w:type="dxa"/>
            <w:vAlign w:val="bottom"/>
            <w:gridSpan w:val="6"/>
          </w:tcPr>
          <w:p>
            <w:pPr>
              <w:jc w:val="center"/>
              <w:spacing w:after="0" w:line="87" w:lineRule="exact"/>
              <w:rPr>
                <w:sz w:val="20"/>
                <w:szCs w:val="20"/>
                <w:color w:val="auto"/>
              </w:rPr>
            </w:pPr>
            <w:r>
              <w:rPr>
                <w:rFonts w:ascii="Arial" w:cs="Arial" w:eastAsia="Arial" w:hAnsi="Arial"/>
                <w:sz w:val="9"/>
                <w:szCs w:val="9"/>
                <w:b w:val="1"/>
                <w:bCs w:val="1"/>
                <w:color w:val="auto"/>
                <w:w w:val="97"/>
              </w:rPr>
              <w:t>ORDINARY SHARES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ind w:right="80"/>
              <w:spacing w:after="0" w:line="87" w:lineRule="exact"/>
              <w:rPr>
                <w:sz w:val="20"/>
                <w:szCs w:val="20"/>
                <w:color w:val="auto"/>
              </w:rPr>
            </w:pPr>
            <w:r>
              <w:rPr>
                <w:rFonts w:ascii="Arial" w:cs="Arial" w:eastAsia="Arial" w:hAnsi="Arial"/>
                <w:sz w:val="9"/>
                <w:szCs w:val="9"/>
                <w:b w:val="1"/>
                <w:bCs w:val="1"/>
                <w:color w:val="auto"/>
              </w:rPr>
              <w:t>PAID-IN</w:t>
            </w:r>
          </w:p>
        </w:tc>
        <w:tc>
          <w:tcPr>
            <w:tcW w:w="2340" w:type="dxa"/>
            <w:vAlign w:val="bottom"/>
            <w:gridSpan w:val="9"/>
          </w:tcPr>
          <w:p>
            <w:pPr>
              <w:ind w:left="40"/>
              <w:spacing w:after="0" w:line="87" w:lineRule="exact"/>
              <w:rPr>
                <w:sz w:val="20"/>
                <w:szCs w:val="20"/>
                <w:color w:val="auto"/>
              </w:rPr>
            </w:pPr>
            <w:r>
              <w:rPr>
                <w:rFonts w:ascii="Arial" w:cs="Arial" w:eastAsia="Arial" w:hAnsi="Arial"/>
                <w:sz w:val="9"/>
                <w:szCs w:val="9"/>
                <w:b w:val="1"/>
                <w:bCs w:val="1"/>
                <w:color w:val="auto"/>
                <w:w w:val="99"/>
              </w:rPr>
              <w:t>COMPREHENSIVE ACCUMULATED SHAREHOLDERS</w:t>
            </w:r>
          </w:p>
        </w:tc>
        <w:tc>
          <w:tcPr>
            <w:tcW w:w="0" w:type="dxa"/>
            <w:vAlign w:val="bottom"/>
          </w:tcPr>
          <w:p>
            <w:pPr>
              <w:spacing w:after="0"/>
              <w:rPr>
                <w:sz w:val="1"/>
                <w:szCs w:val="1"/>
                <w:color w:val="auto"/>
              </w:rPr>
            </w:pPr>
          </w:p>
        </w:tc>
      </w:tr>
      <w:tr>
        <w:trPr>
          <w:trHeight w:val="86"/>
        </w:trPr>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SHARES</w:t>
            </w: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6"/>
              </w:rPr>
              <w:t>AMOUNT</w:t>
            </w:r>
          </w:p>
        </w:tc>
        <w:tc>
          <w:tcPr>
            <w:tcW w:w="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SHARES</w:t>
            </w: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ind w:right="19"/>
              <w:spacing w:after="0" w:line="87" w:lineRule="exact"/>
              <w:rPr>
                <w:sz w:val="20"/>
                <w:szCs w:val="20"/>
                <w:color w:val="auto"/>
              </w:rPr>
            </w:pPr>
            <w:r>
              <w:rPr>
                <w:rFonts w:ascii="Arial" w:cs="Arial" w:eastAsia="Arial" w:hAnsi="Arial"/>
                <w:sz w:val="9"/>
                <w:szCs w:val="9"/>
                <w:b w:val="1"/>
                <w:bCs w:val="1"/>
                <w:color w:val="auto"/>
                <w:w w:val="91"/>
              </w:rPr>
              <w:t>AMOUNT</w:t>
            </w:r>
          </w:p>
        </w:tc>
        <w:tc>
          <w:tcPr>
            <w:tcW w:w="60" w:type="dxa"/>
            <w:vAlign w:val="bottom"/>
          </w:tcPr>
          <w:p>
            <w:pPr>
              <w:spacing w:after="0"/>
              <w:rPr>
                <w:sz w:val="7"/>
                <w:szCs w:val="7"/>
                <w:color w:val="auto"/>
              </w:rPr>
            </w:pPr>
          </w:p>
        </w:tc>
        <w:tc>
          <w:tcPr>
            <w:tcW w:w="46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SHARES</w:t>
            </w: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right"/>
              <w:ind w:right="59"/>
              <w:spacing w:after="0" w:line="87"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7"/>
                <w:szCs w:val="7"/>
                <w:color w:val="auto"/>
              </w:rPr>
            </w:pPr>
          </w:p>
        </w:tc>
        <w:tc>
          <w:tcPr>
            <w:tcW w:w="40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5"/>
              </w:rPr>
              <w:t>SHARES</w:t>
            </w:r>
          </w:p>
        </w:tc>
        <w:tc>
          <w:tcPr>
            <w:tcW w:w="60" w:type="dxa"/>
            <w:vAlign w:val="bottom"/>
            <w:tcBorders>
              <w:top w:val="single" w:sz="8" w:color="auto"/>
            </w:tcBorders>
          </w:tcPr>
          <w:p>
            <w:pPr>
              <w:spacing w:after="0"/>
              <w:rPr>
                <w:sz w:val="7"/>
                <w:szCs w:val="7"/>
                <w:color w:val="auto"/>
              </w:rPr>
            </w:pPr>
          </w:p>
        </w:tc>
        <w:tc>
          <w:tcPr>
            <w:tcW w:w="480" w:type="dxa"/>
            <w:vAlign w:val="bottom"/>
            <w:tcBorders>
              <w:top w:val="single" w:sz="8" w:color="auto"/>
            </w:tcBorders>
            <w:gridSpan w:val="2"/>
          </w:tcPr>
          <w:p>
            <w:pPr>
              <w:jc w:val="right"/>
              <w:spacing w:after="0" w:line="87" w:lineRule="exact"/>
              <w:rPr>
                <w:sz w:val="20"/>
                <w:szCs w:val="20"/>
                <w:color w:val="auto"/>
              </w:rPr>
            </w:pPr>
            <w:r>
              <w:rPr>
                <w:rFonts w:ascii="Arial" w:cs="Arial" w:eastAsia="Arial" w:hAnsi="Arial"/>
                <w:sz w:val="9"/>
                <w:szCs w:val="9"/>
                <w:b w:val="1"/>
                <w:bCs w:val="1"/>
                <w:color w:val="auto"/>
              </w:rPr>
              <w:t>AMOUNT</w:t>
            </w:r>
          </w:p>
        </w:tc>
        <w:tc>
          <w:tcPr>
            <w:tcW w:w="100" w:type="dxa"/>
            <w:vAlign w:val="bottom"/>
          </w:tcPr>
          <w:p>
            <w:pPr>
              <w:spacing w:after="0"/>
              <w:rPr>
                <w:sz w:val="7"/>
                <w:szCs w:val="7"/>
                <w:color w:val="auto"/>
              </w:rPr>
            </w:pPr>
          </w:p>
        </w:tc>
        <w:tc>
          <w:tcPr>
            <w:tcW w:w="500" w:type="dxa"/>
            <w:vAlign w:val="bottom"/>
            <w:tcBorders>
              <w:top w:val="single" w:sz="8" w:color="auto"/>
            </w:tcBorders>
          </w:tcPr>
          <w:p>
            <w:pPr>
              <w:jc w:val="right"/>
              <w:ind w:right="24"/>
              <w:spacing w:after="0" w:line="87" w:lineRule="exact"/>
              <w:rPr>
                <w:sz w:val="20"/>
                <w:szCs w:val="20"/>
                <w:color w:val="auto"/>
              </w:rPr>
            </w:pPr>
            <w:r>
              <w:rPr>
                <w:rFonts w:ascii="Arial" w:cs="Arial" w:eastAsia="Arial" w:hAnsi="Arial"/>
                <w:sz w:val="9"/>
                <w:szCs w:val="9"/>
                <w:b w:val="1"/>
                <w:bCs w:val="1"/>
                <w:color w:val="auto"/>
              </w:rPr>
              <w:t>SHARES</w:t>
            </w:r>
          </w:p>
        </w:tc>
        <w:tc>
          <w:tcPr>
            <w:tcW w:w="440" w:type="dxa"/>
            <w:vAlign w:val="bottom"/>
            <w:tcBorders>
              <w:top w:val="single" w:sz="8" w:color="auto"/>
            </w:tcBorders>
            <w:gridSpan w:val="4"/>
          </w:tcPr>
          <w:p>
            <w:pPr>
              <w:ind w:left="40"/>
              <w:spacing w:after="0" w:line="87" w:lineRule="exact"/>
              <w:rPr>
                <w:sz w:val="20"/>
                <w:szCs w:val="20"/>
                <w:color w:val="auto"/>
              </w:rPr>
            </w:pPr>
            <w:r>
              <w:rPr>
                <w:rFonts w:ascii="Arial" w:cs="Arial" w:eastAsia="Arial" w:hAnsi="Arial"/>
                <w:sz w:val="9"/>
                <w:szCs w:val="9"/>
                <w:b w:val="1"/>
                <w:bCs w:val="1"/>
                <w:color w:val="auto"/>
                <w:w w:val="96"/>
              </w:rPr>
              <w:t>AMOUNT</w:t>
            </w:r>
          </w:p>
        </w:tc>
        <w:tc>
          <w:tcPr>
            <w:tcW w:w="40" w:type="dxa"/>
            <w:vAlign w:val="bottom"/>
          </w:tcPr>
          <w:p>
            <w:pPr>
              <w:spacing w:after="0"/>
              <w:rPr>
                <w:sz w:val="7"/>
                <w:szCs w:val="7"/>
                <w:color w:val="auto"/>
              </w:rPr>
            </w:pPr>
          </w:p>
        </w:tc>
        <w:tc>
          <w:tcPr>
            <w:tcW w:w="860" w:type="dxa"/>
            <w:vAlign w:val="bottom"/>
            <w:tcBorders>
              <w:top w:val="single" w:sz="8" w:color="auto"/>
            </w:tcBorders>
            <w:gridSpan w:val="4"/>
          </w:tcPr>
          <w:p>
            <w:pPr>
              <w:jc w:val="center"/>
              <w:spacing w:after="0" w:line="87" w:lineRule="exact"/>
              <w:rPr>
                <w:sz w:val="20"/>
                <w:szCs w:val="20"/>
                <w:color w:val="auto"/>
              </w:rPr>
            </w:pPr>
            <w:r>
              <w:rPr>
                <w:rFonts w:ascii="Arial" w:cs="Arial" w:eastAsia="Arial" w:hAnsi="Arial"/>
                <w:sz w:val="9"/>
                <w:szCs w:val="9"/>
                <w:b w:val="1"/>
                <w:bCs w:val="1"/>
                <w:color w:val="auto"/>
              </w:rPr>
              <w:t>SHARES  AMOUNT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ind w:right="40"/>
              <w:spacing w:after="0" w:line="87" w:lineRule="exact"/>
              <w:rPr>
                <w:sz w:val="20"/>
                <w:szCs w:val="20"/>
                <w:color w:val="auto"/>
              </w:rPr>
            </w:pPr>
            <w:r>
              <w:rPr>
                <w:rFonts w:ascii="Arial" w:cs="Arial" w:eastAsia="Arial" w:hAnsi="Arial"/>
                <w:sz w:val="9"/>
                <w:szCs w:val="9"/>
                <w:b w:val="1"/>
                <w:bCs w:val="1"/>
                <w:color w:val="auto"/>
                <w:w w:val="97"/>
              </w:rPr>
              <w:t>CAPITAL</w:t>
            </w:r>
          </w:p>
        </w:tc>
        <w:tc>
          <w:tcPr>
            <w:tcW w:w="60" w:type="dxa"/>
            <w:vAlign w:val="bottom"/>
          </w:tcPr>
          <w:p>
            <w:pPr>
              <w:spacing w:after="0"/>
              <w:rPr>
                <w:sz w:val="7"/>
                <w:szCs w:val="7"/>
                <w:color w:val="auto"/>
              </w:rPr>
            </w:pPr>
          </w:p>
        </w:tc>
        <w:tc>
          <w:tcPr>
            <w:tcW w:w="760" w:type="dxa"/>
            <w:vAlign w:val="bottom"/>
            <w:gridSpan w:val="2"/>
          </w:tcPr>
          <w:p>
            <w:pPr>
              <w:jc w:val="center"/>
              <w:spacing w:after="0" w:line="87" w:lineRule="exact"/>
              <w:rPr>
                <w:sz w:val="20"/>
                <w:szCs w:val="20"/>
                <w:color w:val="auto"/>
              </w:rPr>
            </w:pPr>
            <w:r>
              <w:rPr>
                <w:rFonts w:ascii="Arial" w:cs="Arial" w:eastAsia="Arial" w:hAnsi="Arial"/>
                <w:sz w:val="9"/>
                <w:szCs w:val="9"/>
                <w:b w:val="1"/>
                <w:bCs w:val="1"/>
                <w:color w:val="auto"/>
                <w:w w:val="98"/>
              </w:rPr>
              <w:t>INCOME (LOSS)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19"/>
              <w:spacing w:after="0" w:line="87" w:lineRule="exact"/>
              <w:rPr>
                <w:sz w:val="20"/>
                <w:szCs w:val="20"/>
                <w:color w:val="auto"/>
              </w:rPr>
            </w:pPr>
            <w:r>
              <w:rPr>
                <w:rFonts w:ascii="Arial" w:cs="Arial" w:eastAsia="Arial" w:hAnsi="Arial"/>
                <w:sz w:val="9"/>
                <w:szCs w:val="9"/>
                <w:b w:val="1"/>
                <w:bCs w:val="1"/>
                <w:color w:val="auto"/>
              </w:rPr>
              <w:t>DEFICIT</w:t>
            </w:r>
          </w:p>
        </w:tc>
        <w:tc>
          <w:tcPr>
            <w:tcW w:w="780" w:type="dxa"/>
            <w:vAlign w:val="bottom"/>
            <w:gridSpan w:val="3"/>
          </w:tcPr>
          <w:p>
            <w:pPr>
              <w:ind w:left="40"/>
              <w:spacing w:after="0" w:line="87" w:lineRule="exact"/>
              <w:rPr>
                <w:sz w:val="20"/>
                <w:szCs w:val="20"/>
                <w:color w:val="auto"/>
              </w:rPr>
            </w:pPr>
            <w:r>
              <w:rPr>
                <w:rFonts w:ascii="Arial" w:cs="Arial" w:eastAsia="Arial" w:hAnsi="Arial"/>
                <w:sz w:val="9"/>
                <w:szCs w:val="9"/>
                <w:b w:val="1"/>
                <w:bCs w:val="1"/>
                <w:color w:val="auto"/>
                <w:w w:val="97"/>
              </w:rPr>
              <w:t>EQUITY (DEFICIT</w:t>
            </w:r>
          </w:p>
        </w:tc>
        <w:tc>
          <w:tcPr>
            <w:tcW w:w="0" w:type="dxa"/>
            <w:vAlign w:val="bottom"/>
          </w:tcPr>
          <w:p>
            <w:pPr>
              <w:spacing w:after="0"/>
              <w:rPr>
                <w:sz w:val="1"/>
                <w:szCs w:val="1"/>
                <w:color w:val="auto"/>
              </w:rPr>
            </w:pPr>
          </w:p>
        </w:tc>
      </w:tr>
      <w:tr>
        <w:trPr>
          <w:trHeight w:val="93"/>
        </w:trPr>
        <w:tc>
          <w:tcPr>
            <w:tcW w:w="116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w:t>
            </w:r>
          </w:p>
        </w:tc>
        <w:tc>
          <w:tcPr>
            <w:tcW w:w="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19,200</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32,001</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12,800</w:t>
            </w: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26,000</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32,857</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133,015</w:t>
            </w: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2,161</w:t>
            </w: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8,959</w:t>
            </w:r>
          </w:p>
        </w:tc>
        <w:tc>
          <w:tcPr>
            <w:tcW w:w="60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10,527</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(116,952)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(115,140)</w:t>
            </w:r>
          </w:p>
        </w:tc>
        <w:tc>
          <w:tcPr>
            <w:tcW w:w="0" w:type="dxa"/>
            <w:vAlign w:val="bottom"/>
          </w:tcPr>
          <w:p>
            <w:pPr>
              <w:spacing w:after="0"/>
              <w:rPr>
                <w:sz w:val="1"/>
                <w:szCs w:val="1"/>
                <w:color w:val="auto"/>
              </w:rPr>
            </w:pPr>
          </w:p>
        </w:tc>
      </w:tr>
      <w:tr>
        <w:trPr>
          <w:trHeight w:val="119"/>
        </w:trPr>
        <w:tc>
          <w:tcPr>
            <w:tcW w:w="1160" w:type="dxa"/>
            <w:vAlign w:val="bottom"/>
          </w:tcPr>
          <w:p>
            <w:pPr>
              <w:spacing w:after="0" w:line="119" w:lineRule="exact"/>
              <w:rPr>
                <w:sz w:val="20"/>
                <w:szCs w:val="20"/>
                <w:color w:val="auto"/>
              </w:rPr>
            </w:pPr>
            <w:r>
              <w:rPr>
                <w:rFonts w:ascii="Arial" w:cs="Arial" w:eastAsia="Arial" w:hAnsi="Arial"/>
                <w:sz w:val="12"/>
                <w:szCs w:val="12"/>
                <w:color w:val="auto"/>
              </w:rPr>
              <w:t>Conversion of</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redeemable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convertible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preferred shares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into ordinary shares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upon initial public</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2"/>
                <w:szCs w:val="12"/>
                <w:color w:val="auto"/>
              </w:rPr>
              <w:t>offering</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(19,200)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tcPr>
          <w:p>
            <w:pPr>
              <w:jc w:val="right"/>
              <w:spacing w:after="0"/>
              <w:rPr>
                <w:sz w:val="20"/>
                <w:szCs w:val="20"/>
                <w:color w:val="auto"/>
              </w:rPr>
            </w:pPr>
            <w:r>
              <w:rPr>
                <w:rFonts w:ascii="Arial" w:cs="Arial" w:eastAsia="Arial" w:hAnsi="Arial"/>
                <w:sz w:val="12"/>
                <w:szCs w:val="12"/>
                <w:color w:val="auto"/>
              </w:rPr>
              <w:t>(32,001) (12,800)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(26,000) (32,857)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(133,015) (2,161)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94"/>
              </w:rPr>
              <w:t>(8,959)</w:t>
            </w:r>
          </w:p>
        </w:tc>
        <w:tc>
          <w:tcPr>
            <w:tcW w:w="600" w:type="dxa"/>
            <w:vAlign w:val="bottom"/>
            <w:gridSpan w:val="2"/>
          </w:tcPr>
          <w:p>
            <w:pPr>
              <w:jc w:val="right"/>
              <w:ind w:right="4"/>
              <w:spacing w:after="0"/>
              <w:rPr>
                <w:sz w:val="20"/>
                <w:szCs w:val="20"/>
                <w:color w:val="auto"/>
              </w:rPr>
            </w:pPr>
            <w:r>
              <w:rPr>
                <w:rFonts w:ascii="Arial" w:cs="Arial" w:eastAsia="Arial" w:hAnsi="Arial"/>
                <w:sz w:val="12"/>
                <w:szCs w:val="12"/>
                <w:color w:val="auto"/>
              </w:rPr>
              <w:t>67,018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7</w:t>
            </w:r>
          </w:p>
        </w:tc>
        <w:tc>
          <w:tcPr>
            <w:tcW w:w="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199,968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199,975</w:t>
            </w:r>
          </w:p>
        </w:tc>
        <w:tc>
          <w:tcPr>
            <w:tcW w:w="0" w:type="dxa"/>
            <w:vAlign w:val="bottom"/>
          </w:tcPr>
          <w:p>
            <w:pPr>
              <w:spacing w:after="0"/>
              <w:rPr>
                <w:sz w:val="1"/>
                <w:szCs w:val="1"/>
                <w:color w:val="auto"/>
              </w:rPr>
            </w:pPr>
          </w:p>
        </w:tc>
      </w:tr>
      <w:tr>
        <w:trPr>
          <w:trHeight w:val="119"/>
        </w:trPr>
        <w:tc>
          <w:tcPr>
            <w:tcW w:w="11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 ordinary</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shares upon initial</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public offering, net</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of issuance costs</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and underwriting</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shd w:val="clear" w:color="auto" w:fill="CCEEFF"/>
          </w:tcPr>
          <w:p>
            <w:pPr>
              <w:spacing w:after="0"/>
              <w:rPr>
                <w:sz w:val="20"/>
                <w:szCs w:val="20"/>
                <w:color w:val="auto"/>
              </w:rPr>
            </w:pPr>
            <w:r>
              <w:rPr>
                <w:rFonts w:ascii="Arial" w:cs="Arial" w:eastAsia="Arial" w:hAnsi="Arial"/>
                <w:sz w:val="12"/>
                <w:szCs w:val="12"/>
                <w:color w:val="auto"/>
              </w:rPr>
              <w:t>discount of $ 18,586</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37,053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166,667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166,670</w:t>
            </w:r>
          </w:p>
        </w:tc>
        <w:tc>
          <w:tcPr>
            <w:tcW w:w="0" w:type="dxa"/>
            <w:vAlign w:val="bottom"/>
          </w:tcPr>
          <w:p>
            <w:pPr>
              <w:spacing w:after="0"/>
              <w:rPr>
                <w:sz w:val="1"/>
                <w:szCs w:val="1"/>
                <w:color w:val="auto"/>
              </w:rPr>
            </w:pPr>
          </w:p>
        </w:tc>
      </w:tr>
      <w:tr>
        <w:trPr>
          <w:trHeight w:val="119"/>
        </w:trPr>
        <w:tc>
          <w:tcPr>
            <w:tcW w:w="1160" w:type="dxa"/>
            <w:vAlign w:val="bottom"/>
          </w:tcPr>
          <w:p>
            <w:pPr>
              <w:spacing w:after="0" w:line="119" w:lineRule="exact"/>
              <w:rPr>
                <w:sz w:val="20"/>
                <w:szCs w:val="20"/>
                <w:color w:val="auto"/>
              </w:rPr>
            </w:pPr>
            <w:r>
              <w:rPr>
                <w:rFonts w:ascii="Arial" w:cs="Arial" w:eastAsia="Arial" w:hAnsi="Arial"/>
                <w:sz w:val="12"/>
                <w:szCs w:val="12"/>
                <w:color w:val="auto"/>
              </w:rPr>
              <w:t>Net exercise of</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ordinary share</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2"/>
                <w:szCs w:val="12"/>
                <w:color w:val="auto"/>
              </w:rPr>
              <w:t>warrants</w:t>
            </w:r>
          </w:p>
        </w:tc>
        <w:tc>
          <w:tcPr>
            <w:tcW w:w="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
              <w:spacing w:after="0"/>
              <w:rPr>
                <w:sz w:val="20"/>
                <w:szCs w:val="20"/>
                <w:color w:val="auto"/>
              </w:rPr>
            </w:pPr>
            <w:r>
              <w:rPr>
                <w:rFonts w:ascii="Arial" w:cs="Arial" w:eastAsia="Arial" w:hAnsi="Arial"/>
                <w:sz w:val="12"/>
                <w:szCs w:val="12"/>
                <w:color w:val="auto"/>
              </w:rPr>
              <w:t>106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11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 ordinary</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shares upon</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exercise of vested</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shd w:val="clear" w:color="auto" w:fill="CCEEFF"/>
          </w:tcPr>
          <w:p>
            <w:pPr>
              <w:spacing w:after="0"/>
              <w:rPr>
                <w:sz w:val="20"/>
                <w:szCs w:val="20"/>
                <w:color w:val="auto"/>
              </w:rPr>
            </w:pPr>
            <w:r>
              <w:rPr>
                <w:rFonts w:ascii="Arial" w:cs="Arial" w:eastAsia="Arial" w:hAnsi="Arial"/>
                <w:sz w:val="12"/>
                <w:szCs w:val="12"/>
                <w:color w:val="auto"/>
              </w:rPr>
              <w:t>share options</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19"/>
        </w:trPr>
        <w:tc>
          <w:tcPr>
            <w:tcW w:w="1160" w:type="dxa"/>
            <w:vAlign w:val="bottom"/>
          </w:tcPr>
          <w:p>
            <w:pPr>
              <w:spacing w:after="0" w:line="119" w:lineRule="exact"/>
              <w:rPr>
                <w:sz w:val="20"/>
                <w:szCs w:val="20"/>
                <w:color w:val="auto"/>
              </w:rPr>
            </w:pPr>
            <w:r>
              <w:rPr>
                <w:rFonts w:ascii="Arial" w:cs="Arial" w:eastAsia="Arial" w:hAnsi="Arial"/>
                <w:sz w:val="12"/>
                <w:szCs w:val="12"/>
                <w:color w:val="auto"/>
              </w:rPr>
              <w:t>Share-based</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compensation</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2"/>
                <w:szCs w:val="12"/>
                <w:color w:val="auto"/>
              </w:rPr>
              <w:t>expense</w:t>
            </w:r>
          </w:p>
        </w:tc>
        <w:tc>
          <w:tcPr>
            <w:tcW w:w="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2,533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2,533</w:t>
            </w:r>
          </w:p>
        </w:tc>
        <w:tc>
          <w:tcPr>
            <w:tcW w:w="0" w:type="dxa"/>
            <w:vAlign w:val="bottom"/>
          </w:tcPr>
          <w:p>
            <w:pPr>
              <w:spacing w:after="0"/>
              <w:rPr>
                <w:sz w:val="1"/>
                <w:szCs w:val="1"/>
                <w:color w:val="auto"/>
              </w:rPr>
            </w:pPr>
          </w:p>
        </w:tc>
      </w:tr>
      <w:tr>
        <w:trPr>
          <w:trHeight w:val="119"/>
        </w:trPr>
        <w:tc>
          <w:tcPr>
            <w:tcW w:w="11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Unrealized gain on</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60" w:type="dxa"/>
            <w:vAlign w:val="bottom"/>
            <w:shd w:val="clear" w:color="auto" w:fill="CCEEFF"/>
          </w:tcPr>
          <w:p>
            <w:pPr>
              <w:spacing w:after="0"/>
              <w:rPr>
                <w:sz w:val="20"/>
                <w:szCs w:val="20"/>
                <w:color w:val="auto"/>
              </w:rPr>
            </w:pPr>
            <w:r>
              <w:rPr>
                <w:rFonts w:ascii="Arial" w:cs="Arial" w:eastAsia="Arial" w:hAnsi="Arial"/>
                <w:sz w:val="12"/>
                <w:szCs w:val="12"/>
                <w:color w:val="auto"/>
              </w:rPr>
              <w:t>investments, net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Net loss</w:t>
            </w:r>
          </w:p>
        </w:tc>
        <w:tc>
          <w:tcPr>
            <w:tcW w:w="40" w:type="dxa"/>
            <w:vAlign w:val="bottom"/>
          </w:tcPr>
          <w:p>
            <w:pPr>
              <w:spacing w:after="0"/>
              <w:rPr>
                <w:sz w:val="11"/>
                <w:szCs w:val="11"/>
                <w:color w:val="auto"/>
              </w:rPr>
            </w:pP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500" w:type="dxa"/>
            <w:vAlign w:val="bottom"/>
          </w:tcPr>
          <w:p>
            <w:pPr>
              <w:jc w:val="right"/>
              <w:ind w:right="4"/>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3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(17,975)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(17,975)</w:t>
            </w:r>
          </w:p>
        </w:tc>
        <w:tc>
          <w:tcPr>
            <w:tcW w:w="0" w:type="dxa"/>
            <w:vAlign w:val="bottom"/>
          </w:tcPr>
          <w:p>
            <w:pPr>
              <w:spacing w:after="0"/>
              <w:rPr>
                <w:sz w:val="1"/>
                <w:szCs w:val="1"/>
                <w:color w:val="auto"/>
              </w:rPr>
            </w:pPr>
          </w:p>
        </w:tc>
      </w:tr>
      <w:tr>
        <w:trPr>
          <w:trHeight w:val="93"/>
        </w:trPr>
        <w:tc>
          <w:tcPr>
            <w:tcW w:w="116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w:t>
            </w:r>
          </w:p>
        </w:tc>
        <w:tc>
          <w:tcPr>
            <w:tcW w:w="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March 31, 2023</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114,730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371,120</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(134,927)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236,351</w:t>
            </w:r>
          </w:p>
        </w:tc>
        <w:tc>
          <w:tcPr>
            <w:tcW w:w="0" w:type="dxa"/>
            <w:vAlign w:val="bottom"/>
          </w:tcPr>
          <w:p>
            <w:pPr>
              <w:spacing w:after="0"/>
              <w:rPr>
                <w:sz w:val="1"/>
                <w:szCs w:val="1"/>
                <w:color w:val="auto"/>
              </w:rPr>
            </w:pPr>
          </w:p>
        </w:tc>
      </w:tr>
      <w:tr>
        <w:trPr>
          <w:trHeight w:val="119"/>
        </w:trPr>
        <w:tc>
          <w:tcPr>
            <w:tcW w:w="1160" w:type="dxa"/>
            <w:vAlign w:val="bottom"/>
          </w:tcPr>
          <w:p>
            <w:pPr>
              <w:spacing w:after="0" w:line="119" w:lineRule="exact"/>
              <w:rPr>
                <w:sz w:val="20"/>
                <w:szCs w:val="20"/>
                <w:color w:val="auto"/>
              </w:rPr>
            </w:pPr>
            <w:r>
              <w:rPr>
                <w:rFonts w:ascii="Arial" w:cs="Arial" w:eastAsia="Arial" w:hAnsi="Arial"/>
                <w:sz w:val="12"/>
                <w:szCs w:val="12"/>
                <w:color w:val="auto"/>
              </w:rPr>
              <w:t>Exchange of</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ordinary shares to</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non-voting ordinary</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2"/>
                <w:szCs w:val="12"/>
                <w:color w:val="auto"/>
              </w:rPr>
              <w:t>shares</w:t>
            </w:r>
          </w:p>
        </w:tc>
        <w:tc>
          <w:tcPr>
            <w:tcW w:w="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(7,411)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(1) 7,411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11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 ordinary</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shares upon</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exercise of vested</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shd w:val="clear" w:color="auto" w:fill="CCEEFF"/>
          </w:tcPr>
          <w:p>
            <w:pPr>
              <w:spacing w:after="0"/>
              <w:rPr>
                <w:sz w:val="20"/>
                <w:szCs w:val="20"/>
                <w:color w:val="auto"/>
              </w:rPr>
            </w:pPr>
            <w:r>
              <w:rPr>
                <w:rFonts w:ascii="Arial" w:cs="Arial" w:eastAsia="Arial" w:hAnsi="Arial"/>
                <w:sz w:val="12"/>
                <w:szCs w:val="12"/>
                <w:color w:val="auto"/>
              </w:rPr>
              <w:t>share options</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68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19"/>
        </w:trPr>
        <w:tc>
          <w:tcPr>
            <w:tcW w:w="1160" w:type="dxa"/>
            <w:vAlign w:val="bottom"/>
          </w:tcPr>
          <w:p>
            <w:pPr>
              <w:spacing w:after="0" w:line="119" w:lineRule="exact"/>
              <w:rPr>
                <w:sz w:val="20"/>
                <w:szCs w:val="20"/>
                <w:color w:val="auto"/>
              </w:rPr>
            </w:pPr>
            <w:r>
              <w:rPr>
                <w:rFonts w:ascii="Arial" w:cs="Arial" w:eastAsia="Arial" w:hAnsi="Arial"/>
                <w:sz w:val="12"/>
                <w:szCs w:val="12"/>
                <w:color w:val="auto"/>
              </w:rPr>
              <w:t>Share-based</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compensation</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20"/>
                <w:szCs w:val="20"/>
                <w:color w:val="auto"/>
              </w:rPr>
            </w:pPr>
            <w:r>
              <w:rPr>
                <w:rFonts w:ascii="Arial" w:cs="Arial" w:eastAsia="Arial" w:hAnsi="Arial"/>
                <w:sz w:val="12"/>
                <w:szCs w:val="12"/>
                <w:color w:val="auto"/>
              </w:rPr>
              <w:t>expense</w:t>
            </w:r>
          </w:p>
        </w:tc>
        <w:tc>
          <w:tcPr>
            <w:tcW w:w="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1,702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1,702</w:t>
            </w:r>
          </w:p>
        </w:tc>
        <w:tc>
          <w:tcPr>
            <w:tcW w:w="0" w:type="dxa"/>
            <w:vAlign w:val="bottom"/>
          </w:tcPr>
          <w:p>
            <w:pPr>
              <w:spacing w:after="0"/>
              <w:rPr>
                <w:sz w:val="1"/>
                <w:szCs w:val="1"/>
                <w:color w:val="auto"/>
              </w:rPr>
            </w:pPr>
          </w:p>
        </w:tc>
      </w:tr>
      <w:tr>
        <w:trPr>
          <w:trHeight w:val="119"/>
        </w:trPr>
        <w:tc>
          <w:tcPr>
            <w:tcW w:w="116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Unrealized loss on</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60" w:type="dxa"/>
            <w:vAlign w:val="bottom"/>
            <w:shd w:val="clear" w:color="auto" w:fill="CCEEFF"/>
          </w:tcPr>
          <w:p>
            <w:pPr>
              <w:spacing w:after="0"/>
              <w:rPr>
                <w:sz w:val="20"/>
                <w:szCs w:val="20"/>
                <w:color w:val="auto"/>
              </w:rPr>
            </w:pPr>
            <w:r>
              <w:rPr>
                <w:rFonts w:ascii="Arial" w:cs="Arial" w:eastAsia="Arial" w:hAnsi="Arial"/>
                <w:sz w:val="12"/>
                <w:szCs w:val="12"/>
                <w:color w:val="auto"/>
              </w:rPr>
              <w:t>investments, net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(537)</w:t>
            </w:r>
          </w:p>
        </w:tc>
        <w:tc>
          <w:tcPr>
            <w:tcW w:w="0" w:type="dxa"/>
            <w:vAlign w:val="bottom"/>
          </w:tcPr>
          <w:p>
            <w:pPr>
              <w:spacing w:after="0"/>
              <w:rPr>
                <w:sz w:val="1"/>
                <w:szCs w:val="1"/>
                <w:color w:val="auto"/>
              </w:rPr>
            </w:pPr>
          </w:p>
        </w:tc>
      </w:tr>
      <w:tr>
        <w:trPr>
          <w:trHeight w:val="133"/>
        </w:trPr>
        <w:tc>
          <w:tcPr>
            <w:tcW w:w="11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Net loss</w:t>
            </w:r>
          </w:p>
        </w:tc>
        <w:tc>
          <w:tcPr>
            <w:tcW w:w="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4"/>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(23,280)</w:t>
            </w: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(23,280)</w:t>
            </w:r>
          </w:p>
        </w:tc>
        <w:tc>
          <w:tcPr>
            <w:tcW w:w="0" w:type="dxa"/>
            <w:vAlign w:val="bottom"/>
          </w:tcPr>
          <w:p>
            <w:pPr>
              <w:spacing w:after="0"/>
              <w:rPr>
                <w:sz w:val="1"/>
                <w:szCs w:val="1"/>
                <w:color w:val="auto"/>
              </w:rPr>
            </w:pPr>
          </w:p>
        </w:tc>
      </w:tr>
      <w:tr>
        <w:trPr>
          <w:trHeight w:val="93"/>
        </w:trPr>
        <w:tc>
          <w:tcPr>
            <w:tcW w:w="1160" w:type="dxa"/>
            <w:vAlign w:val="bottom"/>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w:t>
            </w:r>
          </w:p>
        </w:tc>
        <w:tc>
          <w:tcPr>
            <w:tcW w:w="40" w:type="dxa"/>
            <w:vAlign w:val="bottom"/>
            <w:shd w:val="clear" w:color="auto" w:fill="CCEEFF"/>
          </w:tcPr>
          <w:p>
            <w:pPr>
              <w:spacing w:after="0"/>
              <w:rPr>
                <w:sz w:val="8"/>
                <w:szCs w:val="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vMerge w:val="restart"/>
            <w:shd w:val="clear" w:color="auto" w:fill="CCEEFF"/>
          </w:tcPr>
          <w:p>
            <w:pPr>
              <w:jc w:val="right"/>
              <w:ind w:right="4"/>
              <w:spacing w:after="0"/>
              <w:rPr>
                <w:sz w:val="20"/>
                <w:szCs w:val="20"/>
                <w:color w:val="auto"/>
              </w:rPr>
            </w:pPr>
            <w:r>
              <w:rPr>
                <w:rFonts w:ascii="Arial" w:cs="Arial" w:eastAsia="Arial" w:hAnsi="Arial"/>
                <w:sz w:val="12"/>
                <w:szCs w:val="12"/>
                <w:color w:val="auto"/>
              </w:rPr>
              <w:t>107,387</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7,411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373,001</w:t>
            </w: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(390)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(158,207)</w:t>
            </w: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214,415</w:t>
            </w:r>
          </w:p>
        </w:tc>
        <w:tc>
          <w:tcPr>
            <w:tcW w:w="0" w:type="dxa"/>
            <w:vAlign w:val="bottom"/>
          </w:tcPr>
          <w:p>
            <w:pPr>
              <w:spacing w:after="0"/>
              <w:rPr>
                <w:sz w:val="1"/>
                <w:szCs w:val="1"/>
                <w:color w:val="auto"/>
              </w:rPr>
            </w:pPr>
          </w:p>
        </w:tc>
      </w:tr>
      <w:tr>
        <w:trPr>
          <w:trHeight w:val="139"/>
        </w:trPr>
        <w:tc>
          <w:tcPr>
            <w:tcW w:w="1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June 30, 2023</w:t>
            </w: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rPr>
              <w:t>$</w:t>
            </w:r>
          </w:p>
        </w:tc>
        <w:tc>
          <w:tcPr>
            <w:tcW w:w="4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20" w:type="dxa"/>
            <w:vAlign w:val="bottom"/>
            <w:gridSpan w:val="2"/>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580" w:type="dxa"/>
            <w:vAlign w:val="bottom"/>
            <w:gridSpan w:val="2"/>
            <w:vMerge w:val="continue"/>
            <w:shd w:val="clear" w:color="auto" w:fill="CCEEFF"/>
          </w:tcPr>
          <w:p>
            <w:pPr>
              <w:spacing w:after="0"/>
              <w:rPr>
                <w:sz w:val="12"/>
                <w:szCs w:val="12"/>
                <w:color w:val="auto"/>
              </w:rPr>
            </w:pPr>
          </w:p>
        </w:tc>
        <w:tc>
          <w:tcPr>
            <w:tcW w:w="400" w:type="dxa"/>
            <w:vAlign w:val="bottom"/>
            <w:vMerge w:val="continue"/>
            <w:shd w:val="clear" w:color="auto" w:fill="CCEEFF"/>
          </w:tcPr>
          <w:p>
            <w:pPr>
              <w:spacing w:after="0"/>
              <w:rPr>
                <w:sz w:val="12"/>
                <w:szCs w:val="12"/>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400" w:type="dxa"/>
            <w:vAlign w:val="bottom"/>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1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420" w:type="dxa"/>
            <w:vAlign w:val="bottom"/>
            <w:gridSpan w:val="2"/>
            <w:vMerge w:val="continue"/>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32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500" w:type="dxa"/>
            <w:vAlign w:val="bottom"/>
            <w:vMerge w:val="continue"/>
            <w:shd w:val="clear" w:color="auto" w:fill="CCEEFF"/>
          </w:tcPr>
          <w:p>
            <w:pPr>
              <w:spacing w:after="0"/>
              <w:rPr>
                <w:sz w:val="12"/>
                <w:szCs w:val="12"/>
                <w:color w:val="auto"/>
              </w:rPr>
            </w:pP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80" w:type="dxa"/>
            <w:vAlign w:val="bottom"/>
            <w:vMerge w:val="continue"/>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60" w:type="dxa"/>
            <w:vAlign w:val="bottom"/>
            <w:vMerge w:val="continue"/>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59874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87415" cy="17145"/>
                    </a:xfrm>
                    <a:prstGeom prst="rect">
                      <a:avLst/>
                    </a:prstGeom>
                    <a:noFill/>
                  </pic:spPr>
                </pic:pic>
              </a:graphicData>
            </a:graphic>
          </wp:anchor>
        </w:drawing>
      </w:r>
    </w:p>
    <w:p>
      <w:pPr>
        <w:sectPr>
          <w:pgSz w:w="11900" w:h="16838" w:orient="portrait"/>
          <w:cols w:equalWidth="0" w:num="1">
            <w:col w:w="10440"/>
          </w:cols>
          <w:pgMar w:left="1220" w:top="51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812800</wp:posOffset>
            </wp:positionV>
            <wp:extent cx="59874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7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680" w:type="dxa"/>
            <w:vAlign w:val="bottom"/>
            <w:gridSpan w:val="10"/>
            <w:vMerge w:val="restart"/>
          </w:tcPr>
          <w:p>
            <w:pPr>
              <w:ind w:left="420"/>
              <w:spacing w:after="0"/>
              <w:rPr>
                <w:sz w:val="20"/>
                <w:szCs w:val="20"/>
                <w:color w:val="auto"/>
              </w:rPr>
            </w:pPr>
            <w:r>
              <w:rPr>
                <w:rFonts w:ascii="Arial" w:cs="Arial" w:eastAsia="Arial" w:hAnsi="Arial"/>
                <w:sz w:val="9"/>
                <w:szCs w:val="9"/>
                <w:b w:val="1"/>
                <w:bCs w:val="1"/>
                <w:color w:val="auto"/>
                <w:w w:val="98"/>
              </w:rPr>
              <w:t>REDEEMABLE CONVERTIBLE PREFERRED SHARES</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3"/>
            <w:vMerge w:val="restart"/>
          </w:tcPr>
          <w:p>
            <w:pPr>
              <w:jc w:val="center"/>
              <w:ind w:left="103"/>
              <w:spacing w:after="0"/>
              <w:rPr>
                <w:sz w:val="20"/>
                <w:szCs w:val="20"/>
                <w:color w:val="auto"/>
              </w:rPr>
            </w:pPr>
            <w:r>
              <w:rPr>
                <w:rFonts w:ascii="Arial" w:cs="Arial" w:eastAsia="Arial" w:hAnsi="Arial"/>
                <w:sz w:val="9"/>
                <w:szCs w:val="9"/>
                <w:b w:val="1"/>
                <w:bCs w:val="1"/>
                <w:color w:val="auto"/>
                <w:w w:val="99"/>
              </w:rPr>
              <w:t>ORDINARY</w:t>
            </w:r>
          </w:p>
        </w:tc>
        <w:tc>
          <w:tcPr>
            <w:tcW w:w="180" w:type="dxa"/>
            <w:vAlign w:val="bottom"/>
          </w:tcPr>
          <w:p>
            <w:pPr>
              <w:spacing w:after="0"/>
              <w:rPr>
                <w:sz w:val="8"/>
                <w:szCs w:val="8"/>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9"/>
                <w:szCs w:val="9"/>
                <w:b w:val="1"/>
                <w:bCs w:val="1"/>
                <w:color w:val="auto"/>
                <w:w w:val="97"/>
              </w:rPr>
              <w:t>ADDITIONAL</w:t>
            </w:r>
          </w:p>
        </w:tc>
        <w:tc>
          <w:tcPr>
            <w:tcW w:w="40" w:type="dxa"/>
            <w:vAlign w:val="bottom"/>
          </w:tcPr>
          <w:p>
            <w:pPr>
              <w:spacing w:after="0"/>
              <w:rPr>
                <w:sz w:val="8"/>
                <w:szCs w:val="8"/>
                <w:color w:val="auto"/>
              </w:rPr>
            </w:pPr>
          </w:p>
        </w:tc>
        <w:tc>
          <w:tcPr>
            <w:tcW w:w="780" w:type="dxa"/>
            <w:vAlign w:val="bottom"/>
            <w:gridSpan w:val="2"/>
          </w:tcPr>
          <w:p>
            <w:pPr>
              <w:jc w:val="center"/>
              <w:spacing w:after="0"/>
              <w:rPr>
                <w:sz w:val="20"/>
                <w:szCs w:val="20"/>
                <w:color w:val="auto"/>
              </w:rPr>
            </w:pPr>
            <w:r>
              <w:rPr>
                <w:rFonts w:ascii="Arial" w:cs="Arial" w:eastAsia="Arial" w:hAnsi="Arial"/>
                <w:sz w:val="9"/>
                <w:szCs w:val="9"/>
                <w:b w:val="1"/>
                <w:bCs w:val="1"/>
                <w:color w:val="auto"/>
                <w:w w:val="97"/>
              </w:rPr>
              <w:t>ACCUMULATED</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restart"/>
          </w:tcPr>
          <w:p>
            <w:pPr>
              <w:jc w:val="right"/>
              <w:ind w:right="18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14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gridSpan w:val="10"/>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jc w:val="center"/>
              <w:ind w:right="100"/>
              <w:spacing w:after="0"/>
              <w:rPr>
                <w:sz w:val="20"/>
                <w:szCs w:val="20"/>
                <w:color w:val="auto"/>
              </w:rPr>
            </w:pPr>
            <w:r>
              <w:rPr>
                <w:rFonts w:ascii="Arial" w:cs="Arial" w:eastAsia="Arial" w:hAnsi="Arial"/>
                <w:sz w:val="9"/>
                <w:szCs w:val="9"/>
                <w:b w:val="1"/>
                <w:bCs w:val="1"/>
                <w:color w:val="auto"/>
                <w:w w:val="95"/>
              </w:rPr>
              <w:t>OTHER</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tcPr>
          <w:p>
            <w:pPr>
              <w:jc w:val="right"/>
              <w:ind w:right="241"/>
              <w:spacing w:after="0" w:line="87" w:lineRule="exact"/>
              <w:rPr>
                <w:sz w:val="20"/>
                <w:szCs w:val="20"/>
                <w:color w:val="auto"/>
              </w:rPr>
            </w:pPr>
            <w:r>
              <w:rPr>
                <w:rFonts w:ascii="Arial" w:cs="Arial" w:eastAsia="Arial" w:hAnsi="Arial"/>
                <w:sz w:val="9"/>
                <w:szCs w:val="9"/>
                <w:b w:val="1"/>
                <w:bCs w:val="1"/>
                <w:color w:val="auto"/>
              </w:rPr>
              <w:t>SERIES A</w:t>
            </w:r>
          </w:p>
        </w:tc>
        <w:tc>
          <w:tcPr>
            <w:tcW w:w="40" w:type="dxa"/>
            <w:vAlign w:val="bottom"/>
          </w:tcPr>
          <w:p>
            <w:pPr>
              <w:spacing w:after="0"/>
              <w:rPr>
                <w:sz w:val="7"/>
                <w:szCs w:val="7"/>
                <w:color w:val="auto"/>
              </w:rPr>
            </w:pPr>
          </w:p>
        </w:tc>
        <w:tc>
          <w:tcPr>
            <w:tcW w:w="980" w:type="dxa"/>
            <w:vAlign w:val="bottom"/>
            <w:gridSpan w:val="3"/>
          </w:tcPr>
          <w:p>
            <w:pPr>
              <w:jc w:val="right"/>
              <w:ind w:right="200"/>
              <w:spacing w:after="0" w:line="87" w:lineRule="exact"/>
              <w:rPr>
                <w:sz w:val="20"/>
                <w:szCs w:val="20"/>
                <w:color w:val="auto"/>
              </w:rPr>
            </w:pPr>
            <w:r>
              <w:rPr>
                <w:rFonts w:ascii="Arial" w:cs="Arial" w:eastAsia="Arial" w:hAnsi="Arial"/>
                <w:sz w:val="9"/>
                <w:szCs w:val="9"/>
                <w:b w:val="1"/>
                <w:bCs w:val="1"/>
                <w:color w:val="auto"/>
              </w:rPr>
              <w:t>SERIES A+</w:t>
            </w:r>
          </w:p>
        </w:tc>
        <w:tc>
          <w:tcPr>
            <w:tcW w:w="60" w:type="dxa"/>
            <w:vAlign w:val="bottom"/>
          </w:tcPr>
          <w:p>
            <w:pPr>
              <w:spacing w:after="0"/>
              <w:rPr>
                <w:sz w:val="7"/>
                <w:szCs w:val="7"/>
                <w:color w:val="auto"/>
              </w:rPr>
            </w:pPr>
          </w:p>
        </w:tc>
        <w:tc>
          <w:tcPr>
            <w:tcW w:w="1080" w:type="dxa"/>
            <w:vAlign w:val="bottom"/>
            <w:gridSpan w:val="4"/>
          </w:tcPr>
          <w:p>
            <w:pPr>
              <w:ind w:left="320"/>
              <w:spacing w:after="0" w:line="87" w:lineRule="exact"/>
              <w:rPr>
                <w:sz w:val="20"/>
                <w:szCs w:val="20"/>
                <w:color w:val="auto"/>
              </w:rPr>
            </w:pPr>
            <w:r>
              <w:rPr>
                <w:rFonts w:ascii="Arial" w:cs="Arial" w:eastAsia="Arial" w:hAnsi="Arial"/>
                <w:sz w:val="9"/>
                <w:szCs w:val="9"/>
                <w:b w:val="1"/>
                <w:bCs w:val="1"/>
                <w:color w:val="auto"/>
              </w:rPr>
              <w:t>SERIES B</w:t>
            </w:r>
          </w:p>
        </w:tc>
        <w:tc>
          <w:tcPr>
            <w:tcW w:w="20" w:type="dxa"/>
            <w:vAlign w:val="bottom"/>
          </w:tcPr>
          <w:p>
            <w:pPr>
              <w:spacing w:after="0"/>
              <w:rPr>
                <w:sz w:val="7"/>
                <w:szCs w:val="7"/>
                <w:color w:val="auto"/>
              </w:rPr>
            </w:pPr>
          </w:p>
        </w:tc>
        <w:tc>
          <w:tcPr>
            <w:tcW w:w="860" w:type="dxa"/>
            <w:vAlign w:val="bottom"/>
            <w:gridSpan w:val="3"/>
          </w:tcPr>
          <w:p>
            <w:pPr>
              <w:jc w:val="right"/>
              <w:ind w:right="118"/>
              <w:spacing w:after="0" w:line="87" w:lineRule="exact"/>
              <w:rPr>
                <w:sz w:val="20"/>
                <w:szCs w:val="20"/>
                <w:color w:val="auto"/>
              </w:rPr>
            </w:pPr>
            <w:r>
              <w:rPr>
                <w:rFonts w:ascii="Arial" w:cs="Arial" w:eastAsia="Arial" w:hAnsi="Arial"/>
                <w:sz w:val="9"/>
                <w:szCs w:val="9"/>
                <w:b w:val="1"/>
                <w:bCs w:val="1"/>
                <w:color w:val="auto"/>
              </w:rPr>
              <w:t>SERIES B-1</w:t>
            </w:r>
          </w:p>
        </w:tc>
        <w:tc>
          <w:tcPr>
            <w:tcW w:w="120" w:type="dxa"/>
            <w:vAlign w:val="bottom"/>
          </w:tcPr>
          <w:p>
            <w:pPr>
              <w:spacing w:after="0"/>
              <w:rPr>
                <w:sz w:val="7"/>
                <w:szCs w:val="7"/>
                <w:color w:val="auto"/>
              </w:rPr>
            </w:pPr>
          </w:p>
        </w:tc>
        <w:tc>
          <w:tcPr>
            <w:tcW w:w="680" w:type="dxa"/>
            <w:vAlign w:val="bottom"/>
            <w:gridSpan w:val="3"/>
          </w:tcPr>
          <w:p>
            <w:pPr>
              <w:jc w:val="center"/>
              <w:ind w:left="103"/>
              <w:spacing w:after="0" w:line="87" w:lineRule="exact"/>
              <w:rPr>
                <w:sz w:val="20"/>
                <w:szCs w:val="20"/>
                <w:color w:val="auto"/>
              </w:rPr>
            </w:pPr>
            <w:r>
              <w:rPr>
                <w:rFonts w:ascii="Arial" w:cs="Arial" w:eastAsia="Arial" w:hAnsi="Arial"/>
                <w:sz w:val="9"/>
                <w:szCs w:val="9"/>
                <w:b w:val="1"/>
                <w:bCs w:val="1"/>
                <w:color w:val="auto"/>
                <w:w w:val="95"/>
              </w:rPr>
              <w:t>SHARES</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right"/>
              <w:ind w:right="60"/>
              <w:spacing w:after="0" w:line="87" w:lineRule="exact"/>
              <w:rPr>
                <w:sz w:val="20"/>
                <w:szCs w:val="20"/>
                <w:color w:val="auto"/>
              </w:rPr>
            </w:pPr>
            <w:r>
              <w:rPr>
                <w:rFonts w:ascii="Arial" w:cs="Arial" w:eastAsia="Arial" w:hAnsi="Arial"/>
                <w:sz w:val="9"/>
                <w:szCs w:val="9"/>
                <w:b w:val="1"/>
                <w:bCs w:val="1"/>
                <w:color w:val="auto"/>
              </w:rPr>
              <w:t>PAID-IN</w:t>
            </w:r>
          </w:p>
        </w:tc>
        <w:tc>
          <w:tcPr>
            <w:tcW w:w="2360" w:type="dxa"/>
            <w:vAlign w:val="bottom"/>
            <w:gridSpan w:val="9"/>
          </w:tcPr>
          <w:p>
            <w:pPr>
              <w:ind w:left="40"/>
              <w:spacing w:after="0" w:line="87" w:lineRule="exact"/>
              <w:rPr>
                <w:sz w:val="20"/>
                <w:szCs w:val="20"/>
                <w:color w:val="auto"/>
              </w:rPr>
            </w:pPr>
            <w:r>
              <w:rPr>
                <w:rFonts w:ascii="Arial" w:cs="Arial" w:eastAsia="Arial" w:hAnsi="Arial"/>
                <w:sz w:val="9"/>
                <w:szCs w:val="9"/>
                <w:b w:val="1"/>
                <w:bCs w:val="1"/>
                <w:color w:val="auto"/>
                <w:w w:val="99"/>
              </w:rPr>
              <w:t>COMPREHENSIVE ACCUMULATED SHAREHOLDERS’</w:t>
            </w:r>
          </w:p>
        </w:tc>
        <w:tc>
          <w:tcPr>
            <w:tcW w:w="0" w:type="dxa"/>
            <w:vAlign w:val="bottom"/>
          </w:tcPr>
          <w:p>
            <w:pPr>
              <w:spacing w:after="0"/>
              <w:rPr>
                <w:sz w:val="1"/>
                <w:szCs w:val="1"/>
                <w:color w:val="auto"/>
              </w:rPr>
            </w:pPr>
          </w:p>
        </w:tc>
      </w:tr>
      <w:tr>
        <w:trPr>
          <w:trHeight w:val="86"/>
        </w:trPr>
        <w:tc>
          <w:tcPr>
            <w:tcW w:w="14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5"/>
              </w:rPr>
              <w:t>SHARES</w:t>
            </w:r>
          </w:p>
        </w:tc>
        <w:tc>
          <w:tcPr>
            <w:tcW w:w="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right"/>
              <w:ind w:right="1"/>
              <w:spacing w:after="0" w:line="87" w:lineRule="exact"/>
              <w:rPr>
                <w:sz w:val="20"/>
                <w:szCs w:val="20"/>
                <w:color w:val="auto"/>
              </w:rPr>
            </w:pPr>
            <w:r>
              <w:rPr>
                <w:rFonts w:ascii="Arial" w:cs="Arial" w:eastAsia="Arial" w:hAnsi="Arial"/>
                <w:sz w:val="9"/>
                <w:szCs w:val="9"/>
                <w:b w:val="1"/>
                <w:bCs w:val="1"/>
                <w:color w:val="auto"/>
              </w:rPr>
              <w:t>AMOUNT</w:t>
            </w:r>
          </w:p>
        </w:tc>
        <w:tc>
          <w:tcPr>
            <w:tcW w:w="40" w:type="dxa"/>
            <w:vAlign w:val="bottom"/>
          </w:tcPr>
          <w:p>
            <w:pPr>
              <w:spacing w:after="0"/>
              <w:rPr>
                <w:sz w:val="7"/>
                <w:szCs w:val="7"/>
                <w:color w:val="auto"/>
              </w:rPr>
            </w:pPr>
          </w:p>
        </w:tc>
        <w:tc>
          <w:tcPr>
            <w:tcW w:w="44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SHARES</w:t>
            </w:r>
          </w:p>
        </w:tc>
        <w:tc>
          <w:tcPr>
            <w:tcW w:w="4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AMOUNT</w:t>
            </w:r>
          </w:p>
        </w:tc>
        <w:tc>
          <w:tcPr>
            <w:tcW w:w="60" w:type="dxa"/>
            <w:vAlign w:val="bottom"/>
          </w:tcPr>
          <w:p>
            <w:pPr>
              <w:spacing w:after="0"/>
              <w:rPr>
                <w:sz w:val="7"/>
                <w:szCs w:val="7"/>
                <w:color w:val="auto"/>
              </w:rPr>
            </w:pPr>
          </w:p>
        </w:tc>
        <w:tc>
          <w:tcPr>
            <w:tcW w:w="42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rPr>
              <w:t>SHARES</w:t>
            </w:r>
          </w:p>
        </w:tc>
        <w:tc>
          <w:tcPr>
            <w:tcW w:w="6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jc w:val="right"/>
              <w:ind w:right="40"/>
              <w:spacing w:after="0" w:line="87" w:lineRule="exact"/>
              <w:rPr>
                <w:sz w:val="20"/>
                <w:szCs w:val="20"/>
                <w:color w:val="auto"/>
              </w:rPr>
            </w:pPr>
            <w:r>
              <w:rPr>
                <w:rFonts w:ascii="Arial" w:cs="Arial" w:eastAsia="Arial" w:hAnsi="Arial"/>
                <w:sz w:val="9"/>
                <w:szCs w:val="9"/>
                <w:b w:val="1"/>
                <w:bCs w:val="1"/>
                <w:color w:val="auto"/>
              </w:rPr>
              <w:t>AMOUNT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tcBorders>
              <w:top w:val="single" w:sz="8" w:color="auto"/>
            </w:tcBorders>
            <w:gridSpan w:val="3"/>
          </w:tcPr>
          <w:p>
            <w:pPr>
              <w:jc w:val="right"/>
              <w:spacing w:after="0" w:line="87" w:lineRule="exact"/>
              <w:rPr>
                <w:sz w:val="20"/>
                <w:szCs w:val="20"/>
                <w:color w:val="auto"/>
              </w:rPr>
            </w:pPr>
            <w:r>
              <w:rPr>
                <w:rFonts w:ascii="Arial" w:cs="Arial" w:eastAsia="Arial" w:hAnsi="Arial"/>
                <w:sz w:val="9"/>
                <w:szCs w:val="9"/>
                <w:b w:val="1"/>
                <w:bCs w:val="1"/>
                <w:color w:val="auto"/>
                <w:w w:val="99"/>
              </w:rPr>
              <w:t>SHARES  AMOUNT</w:t>
            </w:r>
          </w:p>
        </w:tc>
        <w:tc>
          <w:tcPr>
            <w:tcW w:w="120" w:type="dxa"/>
            <w:vAlign w:val="bottom"/>
          </w:tcPr>
          <w:p>
            <w:pPr>
              <w:spacing w:after="0"/>
              <w:rPr>
                <w:sz w:val="7"/>
                <w:szCs w:val="7"/>
                <w:color w:val="auto"/>
              </w:rPr>
            </w:pPr>
          </w:p>
        </w:tc>
        <w:tc>
          <w:tcPr>
            <w:tcW w:w="420" w:type="dxa"/>
            <w:vAlign w:val="bottom"/>
            <w:tcBorders>
              <w:top w:val="single" w:sz="8" w:color="auto"/>
            </w:tcBorders>
          </w:tcPr>
          <w:p>
            <w:pPr>
              <w:jc w:val="right"/>
              <w:spacing w:after="0" w:line="87" w:lineRule="exact"/>
              <w:rPr>
                <w:sz w:val="20"/>
                <w:szCs w:val="20"/>
                <w:color w:val="auto"/>
              </w:rPr>
            </w:pPr>
            <w:r>
              <w:rPr>
                <w:rFonts w:ascii="Arial" w:cs="Arial" w:eastAsia="Arial" w:hAnsi="Arial"/>
                <w:sz w:val="9"/>
                <w:szCs w:val="9"/>
                <w:b w:val="1"/>
                <w:bCs w:val="1"/>
                <w:color w:val="auto"/>
                <w:w w:val="95"/>
              </w:rPr>
              <w:t>SHARES</w:t>
            </w:r>
          </w:p>
        </w:tc>
        <w:tc>
          <w:tcPr>
            <w:tcW w:w="440" w:type="dxa"/>
            <w:vAlign w:val="bottom"/>
            <w:tcBorders>
              <w:top w:val="single" w:sz="8" w:color="auto"/>
            </w:tcBorders>
            <w:gridSpan w:val="3"/>
          </w:tcPr>
          <w:p>
            <w:pPr>
              <w:ind w:left="40"/>
              <w:spacing w:after="0" w:line="87" w:lineRule="exact"/>
              <w:rPr>
                <w:sz w:val="20"/>
                <w:szCs w:val="20"/>
                <w:color w:val="auto"/>
              </w:rPr>
            </w:pPr>
            <w:r>
              <w:rPr>
                <w:rFonts w:ascii="Arial" w:cs="Arial" w:eastAsia="Arial" w:hAnsi="Arial"/>
                <w:sz w:val="9"/>
                <w:szCs w:val="9"/>
                <w:b w:val="1"/>
                <w:bCs w:val="1"/>
                <w:color w:val="auto"/>
                <w:w w:val="96"/>
              </w:rPr>
              <w:t>AMOUNT</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jc w:val="right"/>
              <w:ind w:right="40"/>
              <w:spacing w:after="0" w:line="87" w:lineRule="exact"/>
              <w:rPr>
                <w:sz w:val="20"/>
                <w:szCs w:val="20"/>
                <w:color w:val="auto"/>
              </w:rPr>
            </w:pPr>
            <w:r>
              <w:rPr>
                <w:rFonts w:ascii="Arial" w:cs="Arial" w:eastAsia="Arial" w:hAnsi="Arial"/>
                <w:sz w:val="9"/>
                <w:szCs w:val="9"/>
                <w:b w:val="1"/>
                <w:bCs w:val="1"/>
                <w:color w:val="auto"/>
                <w:w w:val="92"/>
              </w:rPr>
              <w:t>CAPITAL</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jc w:val="center"/>
              <w:ind w:right="120"/>
              <w:spacing w:after="0" w:line="87" w:lineRule="exact"/>
              <w:rPr>
                <w:sz w:val="20"/>
                <w:szCs w:val="20"/>
                <w:color w:val="auto"/>
              </w:rPr>
            </w:pPr>
            <w:r>
              <w:rPr>
                <w:rFonts w:ascii="Arial" w:cs="Arial" w:eastAsia="Arial" w:hAnsi="Arial"/>
                <w:sz w:val="9"/>
                <w:szCs w:val="9"/>
                <w:b w:val="1"/>
                <w:bCs w:val="1"/>
                <w:color w:val="auto"/>
                <w:w w:val="97"/>
              </w:rPr>
              <w:t>LOSS</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jc w:val="right"/>
              <w:ind w:right="99"/>
              <w:spacing w:after="0" w:line="87" w:lineRule="exact"/>
              <w:rPr>
                <w:sz w:val="20"/>
                <w:szCs w:val="20"/>
                <w:color w:val="auto"/>
              </w:rPr>
            </w:pPr>
            <w:r>
              <w:rPr>
                <w:rFonts w:ascii="Arial" w:cs="Arial" w:eastAsia="Arial" w:hAnsi="Arial"/>
                <w:sz w:val="9"/>
                <w:szCs w:val="9"/>
                <w:b w:val="1"/>
                <w:bCs w:val="1"/>
                <w:color w:val="auto"/>
              </w:rPr>
              <w:t>DEFICIT</w:t>
            </w: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jc w:val="right"/>
              <w:ind w:right="160"/>
              <w:spacing w:after="0" w:line="87" w:lineRule="exact"/>
              <w:rPr>
                <w:sz w:val="20"/>
                <w:szCs w:val="20"/>
                <w:color w:val="auto"/>
              </w:rPr>
            </w:pPr>
            <w:r>
              <w:rPr>
                <w:rFonts w:ascii="Arial" w:cs="Arial" w:eastAsia="Arial" w:hAnsi="Arial"/>
                <w:sz w:val="9"/>
                <w:szCs w:val="9"/>
                <w:b w:val="1"/>
                <w:bCs w:val="1"/>
                <w:color w:val="auto"/>
              </w:rPr>
              <w:t>DEFICIT</w:t>
            </w:r>
          </w:p>
        </w:tc>
        <w:tc>
          <w:tcPr>
            <w:tcW w:w="0" w:type="dxa"/>
            <w:vAlign w:val="bottom"/>
          </w:tcPr>
          <w:p>
            <w:pPr>
              <w:spacing w:after="0"/>
              <w:rPr>
                <w:sz w:val="1"/>
                <w:szCs w:val="1"/>
                <w:color w:val="auto"/>
              </w:rPr>
            </w:pPr>
          </w:p>
        </w:tc>
      </w:tr>
      <w:tr>
        <w:trPr>
          <w:trHeight w:val="93"/>
        </w:trPr>
        <w:tc>
          <w:tcPr>
            <w:tcW w:w="142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w:t>
            </w: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December 31, 2021</w:t>
            </w: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19,200</w:t>
            </w: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$ 32,001</w:t>
            </w: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12,800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$ 26,000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24,702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2,161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$ 8,959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10,894</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(64,736)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(64,735)</w:t>
            </w:r>
          </w:p>
        </w:tc>
        <w:tc>
          <w:tcPr>
            <w:tcW w:w="0" w:type="dxa"/>
            <w:vAlign w:val="bottom"/>
          </w:tcPr>
          <w:p>
            <w:pPr>
              <w:spacing w:after="0"/>
              <w:rPr>
                <w:sz w:val="1"/>
                <w:szCs w:val="1"/>
                <w:color w:val="auto"/>
              </w:rPr>
            </w:pPr>
          </w:p>
        </w:tc>
      </w:tr>
      <w:tr>
        <w:trPr>
          <w:trHeight w:val="119"/>
        </w:trPr>
        <w:tc>
          <w:tcPr>
            <w:tcW w:w="1420" w:type="dxa"/>
            <w:vAlign w:val="bottom"/>
          </w:tcPr>
          <w:p>
            <w:pPr>
              <w:spacing w:after="0" w:line="119" w:lineRule="exact"/>
              <w:rPr>
                <w:sz w:val="20"/>
                <w:szCs w:val="20"/>
                <w:color w:val="auto"/>
              </w:rPr>
            </w:pPr>
            <w:r>
              <w:rPr>
                <w:rFonts w:ascii="Arial" w:cs="Arial" w:eastAsia="Arial" w:hAnsi="Arial"/>
                <w:sz w:val="12"/>
                <w:szCs w:val="12"/>
                <w:color w:val="auto"/>
              </w:rPr>
              <w:t>Share-based</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20"/>
                <w:szCs w:val="20"/>
                <w:color w:val="auto"/>
              </w:rPr>
            </w:pPr>
            <w:r>
              <w:rPr>
                <w:rFonts w:ascii="Arial" w:cs="Arial" w:eastAsia="Arial" w:hAnsi="Arial"/>
                <w:sz w:val="12"/>
                <w:szCs w:val="12"/>
                <w:color w:val="auto"/>
              </w:rPr>
              <w:t>compensation expense</w:t>
            </w:r>
          </w:p>
        </w:tc>
        <w:tc>
          <w:tcPr>
            <w:tcW w:w="60" w:type="dxa"/>
            <w:vAlign w:val="bottom"/>
          </w:tcPr>
          <w:p>
            <w:pPr>
              <w:spacing w:after="0"/>
              <w:rPr>
                <w:sz w:val="12"/>
                <w:szCs w:val="12"/>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620</w:t>
            </w:r>
          </w:p>
        </w:tc>
        <w:tc>
          <w:tcPr>
            <w:tcW w:w="0" w:type="dxa"/>
            <w:vAlign w:val="bottom"/>
          </w:tcPr>
          <w:p>
            <w:pPr>
              <w:spacing w:after="0"/>
              <w:rPr>
                <w:sz w:val="1"/>
                <w:szCs w:val="1"/>
                <w:color w:val="auto"/>
              </w:rPr>
            </w:pPr>
          </w:p>
        </w:tc>
      </w:tr>
      <w:tr>
        <w:trPr>
          <w:trHeight w:val="119"/>
        </w:trPr>
        <w:tc>
          <w:tcPr>
            <w:tcW w:w="14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Unrealized loss on</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investments, net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Net loss</w:t>
            </w:r>
          </w:p>
        </w:tc>
        <w:tc>
          <w:tcPr>
            <w:tcW w:w="60" w:type="dxa"/>
            <w:vAlign w:val="bottom"/>
          </w:tcPr>
          <w:p>
            <w:pPr>
              <w:spacing w:after="0"/>
              <w:rPr>
                <w:sz w:val="11"/>
                <w:szCs w:val="11"/>
                <w:color w:val="auto"/>
              </w:rPr>
            </w:pPr>
          </w:p>
        </w:tc>
        <w:tc>
          <w:tcPr>
            <w:tcW w:w="42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4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38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(13,081)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(13,081)</w:t>
            </w:r>
          </w:p>
        </w:tc>
        <w:tc>
          <w:tcPr>
            <w:tcW w:w="0" w:type="dxa"/>
            <w:vAlign w:val="bottom"/>
          </w:tcPr>
          <w:p>
            <w:pPr>
              <w:spacing w:after="0"/>
              <w:rPr>
                <w:sz w:val="1"/>
                <w:szCs w:val="1"/>
                <w:color w:val="auto"/>
              </w:rPr>
            </w:pPr>
          </w:p>
        </w:tc>
      </w:tr>
      <w:tr>
        <w:trPr>
          <w:trHeight w:val="93"/>
        </w:trPr>
        <w:tc>
          <w:tcPr>
            <w:tcW w:w="142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w:t>
            </w: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4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March 31, 2022</w:t>
            </w: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19,200</w:t>
            </w:r>
          </w:p>
        </w:tc>
        <w:tc>
          <w:tcPr>
            <w:tcW w:w="56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$ 32,001</w:t>
            </w:r>
          </w:p>
        </w:tc>
        <w:tc>
          <w:tcPr>
            <w:tcW w:w="48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12,800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$ 26,000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24,702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
              <w:spacing w:after="0"/>
              <w:rPr>
                <w:sz w:val="20"/>
                <w:szCs w:val="20"/>
                <w:color w:val="auto"/>
              </w:rPr>
            </w:pPr>
            <w:r>
              <w:rPr>
                <w:rFonts w:ascii="Arial" w:cs="Arial" w:eastAsia="Arial" w:hAnsi="Arial"/>
                <w:sz w:val="12"/>
                <w:szCs w:val="12"/>
                <w:color w:val="auto"/>
              </w:rPr>
              <w:t>2,161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$ 8,959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10,894</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(77,817)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(77,231)</w:t>
            </w:r>
          </w:p>
        </w:tc>
        <w:tc>
          <w:tcPr>
            <w:tcW w:w="0" w:type="dxa"/>
            <w:vAlign w:val="bottom"/>
          </w:tcPr>
          <w:p>
            <w:pPr>
              <w:spacing w:after="0"/>
              <w:rPr>
                <w:sz w:val="1"/>
                <w:szCs w:val="1"/>
                <w:color w:val="auto"/>
              </w:rPr>
            </w:pPr>
          </w:p>
        </w:tc>
      </w:tr>
      <w:tr>
        <w:trPr>
          <w:trHeight w:val="119"/>
        </w:trPr>
        <w:tc>
          <w:tcPr>
            <w:tcW w:w="1420" w:type="dxa"/>
            <w:vAlign w:val="bottom"/>
          </w:tcPr>
          <w:p>
            <w:pPr>
              <w:spacing w:after="0" w:line="119" w:lineRule="exact"/>
              <w:rPr>
                <w:sz w:val="20"/>
                <w:szCs w:val="20"/>
                <w:color w:val="auto"/>
              </w:rPr>
            </w:pPr>
            <w:r>
              <w:rPr>
                <w:rFonts w:ascii="Arial" w:cs="Arial" w:eastAsia="Arial" w:hAnsi="Arial"/>
                <w:sz w:val="12"/>
                <w:szCs w:val="12"/>
                <w:color w:val="auto"/>
              </w:rPr>
              <w:t>Issuance of Series B</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redeemable convertible</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preferred shares, net of</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20"/>
                <w:szCs w:val="20"/>
                <w:color w:val="auto"/>
              </w:rPr>
            </w:pPr>
            <w:r>
              <w:rPr>
                <w:rFonts w:ascii="Arial" w:cs="Arial" w:eastAsia="Arial" w:hAnsi="Arial"/>
                <w:sz w:val="12"/>
                <w:szCs w:val="12"/>
                <w:color w:val="auto"/>
              </w:rPr>
              <w:t>issuance costs of $ 1,515</w:t>
            </w:r>
          </w:p>
        </w:tc>
        <w:tc>
          <w:tcPr>
            <w:tcW w:w="60" w:type="dxa"/>
            <w:vAlign w:val="bottom"/>
          </w:tcPr>
          <w:p>
            <w:pPr>
              <w:spacing w:after="0"/>
              <w:rPr>
                <w:sz w:val="12"/>
                <w:szCs w:val="12"/>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8,155</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31,500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9"/>
        </w:trPr>
        <w:tc>
          <w:tcPr>
            <w:tcW w:w="14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Accretion of Series B</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4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redeemable convertible</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4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preferred shares to their</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redemption value</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1,515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(1,515)</w:t>
            </w:r>
          </w:p>
        </w:tc>
        <w:tc>
          <w:tcPr>
            <w:tcW w:w="0" w:type="dxa"/>
            <w:vAlign w:val="bottom"/>
          </w:tcPr>
          <w:p>
            <w:pPr>
              <w:spacing w:after="0"/>
              <w:rPr>
                <w:sz w:val="1"/>
                <w:szCs w:val="1"/>
                <w:color w:val="auto"/>
              </w:rPr>
            </w:pPr>
          </w:p>
        </w:tc>
      </w:tr>
      <w:tr>
        <w:trPr>
          <w:trHeight w:val="119"/>
        </w:trPr>
        <w:tc>
          <w:tcPr>
            <w:tcW w:w="1420" w:type="dxa"/>
            <w:vAlign w:val="bottom"/>
          </w:tcPr>
          <w:p>
            <w:pPr>
              <w:spacing w:after="0" w:line="119" w:lineRule="exact"/>
              <w:rPr>
                <w:sz w:val="20"/>
                <w:szCs w:val="20"/>
                <w:color w:val="auto"/>
              </w:rPr>
            </w:pPr>
            <w:r>
              <w:rPr>
                <w:rFonts w:ascii="Arial" w:cs="Arial" w:eastAsia="Arial" w:hAnsi="Arial"/>
                <w:sz w:val="12"/>
                <w:szCs w:val="12"/>
                <w:color w:val="auto"/>
              </w:rPr>
              <w:t>Repurchase of restricted</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20"/>
                <w:szCs w:val="20"/>
                <w:color w:val="auto"/>
              </w:rPr>
            </w:pPr>
            <w:r>
              <w:rPr>
                <w:rFonts w:ascii="Arial" w:cs="Arial" w:eastAsia="Arial" w:hAnsi="Arial"/>
                <w:sz w:val="12"/>
                <w:szCs w:val="12"/>
                <w:color w:val="auto"/>
              </w:rPr>
              <w:t>stock awards</w:t>
            </w:r>
          </w:p>
        </w:tc>
        <w:tc>
          <w:tcPr>
            <w:tcW w:w="60" w:type="dxa"/>
            <w:vAlign w:val="bottom"/>
          </w:tcPr>
          <w:p>
            <w:pPr>
              <w:spacing w:after="0"/>
              <w:rPr>
                <w:sz w:val="12"/>
                <w:szCs w:val="12"/>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(450)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19"/>
        </w:trPr>
        <w:tc>
          <w:tcPr>
            <w:tcW w:w="14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Issuance of ordinary</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4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shares upon exercise of</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vested share options</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19"/>
        </w:trPr>
        <w:tc>
          <w:tcPr>
            <w:tcW w:w="1420" w:type="dxa"/>
            <w:vAlign w:val="bottom"/>
          </w:tcPr>
          <w:p>
            <w:pPr>
              <w:spacing w:after="0" w:line="119" w:lineRule="exact"/>
              <w:rPr>
                <w:sz w:val="20"/>
                <w:szCs w:val="20"/>
                <w:color w:val="auto"/>
              </w:rPr>
            </w:pPr>
            <w:r>
              <w:rPr>
                <w:rFonts w:ascii="Arial" w:cs="Arial" w:eastAsia="Arial" w:hAnsi="Arial"/>
                <w:sz w:val="12"/>
                <w:szCs w:val="12"/>
                <w:color w:val="auto"/>
              </w:rPr>
              <w:t>Share-based</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20"/>
                <w:szCs w:val="20"/>
                <w:color w:val="auto"/>
              </w:rPr>
            </w:pPr>
            <w:r>
              <w:rPr>
                <w:rFonts w:ascii="Arial" w:cs="Arial" w:eastAsia="Arial" w:hAnsi="Arial"/>
                <w:sz w:val="12"/>
                <w:szCs w:val="12"/>
                <w:color w:val="auto"/>
              </w:rPr>
              <w:t>compensation expense</w:t>
            </w:r>
          </w:p>
        </w:tc>
        <w:tc>
          <w:tcPr>
            <w:tcW w:w="60" w:type="dxa"/>
            <w:vAlign w:val="bottom"/>
          </w:tcPr>
          <w:p>
            <w:pPr>
              <w:spacing w:after="0"/>
              <w:rPr>
                <w:sz w:val="12"/>
                <w:szCs w:val="12"/>
                <w:color w:val="auto"/>
              </w:rPr>
            </w:pPr>
          </w:p>
        </w:tc>
        <w:tc>
          <w:tcPr>
            <w:tcW w:w="4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643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19"/>
        </w:trPr>
        <w:tc>
          <w:tcPr>
            <w:tcW w:w="1420" w:type="dxa"/>
            <w:vAlign w:val="bottom"/>
            <w:shd w:val="clear" w:color="auto" w:fill="CCEEFF"/>
          </w:tcPr>
          <w:p>
            <w:pPr>
              <w:spacing w:after="0" w:line="119" w:lineRule="exact"/>
              <w:rPr>
                <w:sz w:val="20"/>
                <w:szCs w:val="20"/>
                <w:color w:val="auto"/>
              </w:rPr>
            </w:pPr>
            <w:r>
              <w:rPr>
                <w:rFonts w:ascii="Arial" w:cs="Arial" w:eastAsia="Arial" w:hAnsi="Arial"/>
                <w:sz w:val="12"/>
                <w:szCs w:val="12"/>
                <w:color w:val="auto"/>
              </w:rPr>
              <w:t>Unrealized loss on</w:t>
            </w: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20" w:type="dxa"/>
            <w:vAlign w:val="bottom"/>
            <w:shd w:val="clear" w:color="auto" w:fill="CCEEFF"/>
          </w:tcPr>
          <w:p>
            <w:pPr>
              <w:spacing w:after="0"/>
              <w:rPr>
                <w:sz w:val="20"/>
                <w:szCs w:val="20"/>
                <w:color w:val="auto"/>
              </w:rPr>
            </w:pPr>
            <w:r>
              <w:rPr>
                <w:rFonts w:ascii="Arial" w:cs="Arial" w:eastAsia="Arial" w:hAnsi="Arial"/>
                <w:sz w:val="12"/>
                <w:szCs w:val="12"/>
                <w:color w:val="auto"/>
              </w:rPr>
              <w:t>investments, net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Net loss</w:t>
            </w:r>
          </w:p>
        </w:tc>
        <w:tc>
          <w:tcPr>
            <w:tcW w:w="60" w:type="dxa"/>
            <w:vAlign w:val="bottom"/>
          </w:tcPr>
          <w:p>
            <w:pPr>
              <w:spacing w:after="0"/>
              <w:rPr>
                <w:sz w:val="11"/>
                <w:szCs w:val="11"/>
                <w:color w:val="auto"/>
              </w:rPr>
            </w:pPr>
          </w:p>
        </w:tc>
        <w:tc>
          <w:tcPr>
            <w:tcW w:w="42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4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380" w:type="dxa"/>
            <w:vAlign w:val="bottom"/>
          </w:tcPr>
          <w:p>
            <w:pPr>
              <w:jc w:val="right"/>
              <w:ind w:right="1"/>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jc w:val="right"/>
              <w:spacing w:after="0" w:line="133" w:lineRule="exact"/>
              <w:rPr>
                <w:sz w:val="20"/>
                <w:szCs w:val="20"/>
                <w:color w:val="auto"/>
              </w:rPr>
            </w:pPr>
            <w:r>
              <w:rPr>
                <w:rFonts w:ascii="Arial" w:cs="Arial" w:eastAsia="Arial" w:hAnsi="Arial"/>
                <w:sz w:val="12"/>
                <w:szCs w:val="12"/>
                <w:color w:val="auto"/>
                <w:w w:val="99"/>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(13,948)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(13,948)</w:t>
            </w:r>
          </w:p>
        </w:tc>
        <w:tc>
          <w:tcPr>
            <w:tcW w:w="0" w:type="dxa"/>
            <w:vAlign w:val="bottom"/>
          </w:tcPr>
          <w:p>
            <w:pPr>
              <w:spacing w:after="0"/>
              <w:rPr>
                <w:sz w:val="1"/>
                <w:szCs w:val="1"/>
                <w:color w:val="auto"/>
              </w:rPr>
            </w:pPr>
          </w:p>
        </w:tc>
      </w:tr>
      <w:tr>
        <w:trPr>
          <w:trHeight w:val="93"/>
        </w:trPr>
        <w:tc>
          <w:tcPr>
            <w:tcW w:w="1420" w:type="dxa"/>
            <w:vAlign w:val="bottom"/>
            <w:tcBorders>
              <w:top w:val="single" w:sz="8" w:color="CCEEFF"/>
            </w:tcBorders>
            <w:shd w:val="clear" w:color="auto" w:fill="CCEEFF"/>
          </w:tcPr>
          <w:p>
            <w:pPr>
              <w:spacing w:after="0" w:line="93" w:lineRule="exact"/>
              <w:rPr>
                <w:sz w:val="20"/>
                <w:szCs w:val="20"/>
                <w:color w:val="auto"/>
              </w:rPr>
            </w:pPr>
            <w:r>
              <w:rPr>
                <w:rFonts w:ascii="Arial" w:cs="Arial" w:eastAsia="Arial" w:hAnsi="Arial"/>
                <w:sz w:val="10"/>
                <w:szCs w:val="10"/>
                <w:b w:val="1"/>
                <w:bCs w:val="1"/>
                <w:color w:val="auto"/>
              </w:rPr>
              <w:t>Balance at</w:t>
            </w: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42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June 30, 2022 (NOT</w:t>
            </w:r>
          </w:p>
        </w:tc>
        <w:tc>
          <w:tcPr>
            <w:tcW w:w="4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19,200</w:t>
            </w:r>
          </w:p>
        </w:tc>
        <w:tc>
          <w:tcPr>
            <w:tcW w:w="56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32,001</w:t>
            </w:r>
          </w:p>
        </w:tc>
        <w:tc>
          <w:tcPr>
            <w:tcW w:w="4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12,800</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 xml:space="preserve"> 26,000</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32,857</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133,015</w:t>
            </w:r>
          </w:p>
        </w:tc>
        <w:tc>
          <w:tcPr>
            <w:tcW w:w="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2,161</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$ 8,959</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10,452</w:t>
            </w:r>
          </w:p>
        </w:tc>
        <w:tc>
          <w:tcPr>
            <w:tcW w:w="26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641</w:t>
            </w: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(85)</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(92,660)</w:t>
            </w:r>
          </w:p>
        </w:tc>
        <w:tc>
          <w:tcPr>
            <w:tcW w:w="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(92,103)</w:t>
            </w:r>
          </w:p>
        </w:tc>
        <w:tc>
          <w:tcPr>
            <w:tcW w:w="0" w:type="dxa"/>
            <w:vAlign w:val="bottom"/>
          </w:tcPr>
          <w:p>
            <w:pPr>
              <w:spacing w:after="0"/>
              <w:rPr>
                <w:sz w:val="1"/>
                <w:szCs w:val="1"/>
                <w:color w:val="auto"/>
              </w:rPr>
            </w:pPr>
          </w:p>
        </w:tc>
      </w:tr>
      <w:tr>
        <w:trPr>
          <w:trHeight w:val="139"/>
        </w:trPr>
        <w:tc>
          <w:tcPr>
            <w:tcW w:w="1420" w:type="dxa"/>
            <w:vAlign w:val="bottom"/>
            <w:shd w:val="clear" w:color="auto" w:fill="CCEEFF"/>
          </w:tcPr>
          <w:p>
            <w:pPr>
              <w:spacing w:after="0" w:line="139" w:lineRule="exact"/>
              <w:rPr>
                <w:sz w:val="20"/>
                <w:szCs w:val="20"/>
                <w:color w:val="auto"/>
              </w:rPr>
            </w:pPr>
            <w:r>
              <w:rPr>
                <w:rFonts w:ascii="Arial" w:cs="Arial" w:eastAsia="Arial" w:hAnsi="Arial"/>
                <w:sz w:val="11"/>
                <w:szCs w:val="11"/>
                <w:b w:val="1"/>
                <w:bCs w:val="1"/>
                <w:color w:val="auto"/>
              </w:rPr>
              <w:t>REVIEWED)</w:t>
            </w:r>
            <w:r>
              <w:rPr>
                <w:rFonts w:ascii="Arial" w:cs="Arial" w:eastAsia="Arial" w:hAnsi="Arial"/>
                <w:sz w:val="16"/>
                <w:szCs w:val="16"/>
                <w:b w:val="1"/>
                <w:bCs w:val="1"/>
                <w:color w:val="auto"/>
                <w:vertAlign w:val="superscript"/>
              </w:rPr>
              <w:t>1</w:t>
            </w:r>
          </w:p>
        </w:tc>
        <w:tc>
          <w:tcPr>
            <w:tcW w:w="48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vMerge w:val="continue"/>
            <w:shd w:val="clear" w:color="auto" w:fill="CCEEFF"/>
          </w:tcPr>
          <w:p>
            <w:pPr>
              <w:spacing w:after="0"/>
              <w:rPr>
                <w:sz w:val="12"/>
                <w:szCs w:val="12"/>
                <w:color w:val="auto"/>
              </w:rPr>
            </w:pPr>
          </w:p>
        </w:tc>
        <w:tc>
          <w:tcPr>
            <w:tcW w:w="480" w:type="dxa"/>
            <w:vAlign w:val="bottom"/>
            <w:gridSpan w:val="2"/>
            <w:vMerge w:val="continue"/>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20" w:type="dxa"/>
            <w:vAlign w:val="bottom"/>
            <w:gridSpan w:val="2"/>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1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ind w:left="80" w:right="120" w:hanging="75"/>
        <w:spacing w:after="0" w:line="196" w:lineRule="auto"/>
        <w:tabs>
          <w:tab w:leader="none" w:pos="123"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 xml:space="preserve">A review, pursuant to PCAOB AS 4105, </w:t>
      </w:r>
      <w:r>
        <w:rPr>
          <w:rFonts w:ascii="Arial" w:cs="Arial" w:eastAsia="Arial" w:hAnsi="Arial"/>
          <w:sz w:val="18"/>
          <w:szCs w:val="18"/>
          <w:i w:val="1"/>
          <w:iCs w:val="1"/>
          <w:color w:val="auto"/>
        </w:rPr>
        <w:t>Reviews of Interim Financial Information</w:t>
      </w:r>
      <w:r>
        <w:rPr>
          <w:rFonts w:ascii="Arial" w:cs="Arial" w:eastAsia="Arial" w:hAnsi="Arial"/>
          <w:sz w:val="18"/>
          <w:szCs w:val="18"/>
          <w:color w:val="auto"/>
        </w:rPr>
        <w:t>, by an independent registered public accounting firm has not been completed for the indicated period.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467360</wp:posOffset>
            </wp:positionV>
            <wp:extent cx="59874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7415" cy="25400"/>
                    </a:xfrm>
                    <a:prstGeom prst="rect">
                      <a:avLst/>
                    </a:prstGeom>
                    <a:noFill/>
                  </pic:spPr>
                </pic:pic>
              </a:graphicData>
            </a:graphic>
          </wp:anchor>
        </w:drawing>
      </w:r>
    </w:p>
    <w:p>
      <w:pPr>
        <w:sectPr>
          <w:pgSz w:w="11900" w:h="16838" w:orient="portrait"/>
          <w:cols w:equalWidth="0" w:num="1">
            <w:col w:w="9440"/>
          </w:cols>
          <w:pgMar w:left="1220" w:top="512" w:right="1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STRUCTURE THERAPEUTICS INC.</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139065</wp:posOffset>
            </wp:positionV>
            <wp:extent cx="56502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41"/>
              <w:spacing w:after="0" w:line="153"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61"/>
              <w:spacing w:after="0" w:line="153"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center"/>
              <w:ind w:right="221"/>
              <w:spacing w:after="0" w:line="131" w:lineRule="exact"/>
              <w:rPr>
                <w:sz w:val="20"/>
                <w:szCs w:val="20"/>
                <w:color w:val="auto"/>
              </w:rPr>
            </w:pPr>
            <w:r>
              <w:rPr>
                <w:rFonts w:ascii="Arial" w:cs="Arial" w:eastAsia="Arial" w:hAnsi="Arial"/>
                <w:sz w:val="14"/>
                <w:szCs w:val="14"/>
                <w:color w:val="auto"/>
              </w:rPr>
              <w:t>NOT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center"/>
              <w:ind w:right="220"/>
              <w:spacing w:after="0" w:line="182" w:lineRule="exact"/>
              <w:rPr>
                <w:sz w:val="20"/>
                <w:szCs w:val="20"/>
                <w:color w:val="auto"/>
              </w:rPr>
            </w:pPr>
            <w:r>
              <w:rPr>
                <w:rFonts w:ascii="Arial" w:cs="Arial" w:eastAsia="Arial" w:hAnsi="Arial"/>
                <w:sz w:val="14"/>
                <w:szCs w:val="14"/>
                <w:color w:val="auto"/>
                <w:w w:val="99"/>
              </w:rPr>
              <w:t>REVIEWED</w:t>
            </w:r>
            <w:r>
              <w:rPr>
                <w:rFonts w:ascii="Arial" w:cs="Arial" w:eastAsia="Arial" w:hAnsi="Arial"/>
                <w:sz w:val="21"/>
                <w:szCs w:val="21"/>
                <w:color w:val="auto"/>
                <w:w w:val="99"/>
                <w:vertAlign w:val="superscript"/>
              </w:rPr>
              <w:t>1</w:t>
            </w: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(41,255)</w:t>
            </w:r>
          </w:p>
        </w:tc>
        <w:tc>
          <w:tcPr>
            <w:tcW w:w="80" w:type="dxa"/>
            <w:vAlign w:val="bottom"/>
          </w:tcPr>
          <w:p>
            <w:pPr>
              <w:spacing w:after="0"/>
              <w:rPr>
                <w:sz w:val="16"/>
                <w:szCs w:val="16"/>
                <w:color w:val="auto"/>
              </w:rPr>
            </w:pPr>
          </w:p>
        </w:tc>
        <w:tc>
          <w:tcPr>
            <w:tcW w:w="320" w:type="dxa"/>
            <w:vAlign w:val="bottom"/>
            <w:gridSpan w:val="2"/>
          </w:tcPr>
          <w:p>
            <w:pPr>
              <w:jc w:val="right"/>
              <w:ind w:right="87"/>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(27,029)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100"/>
              <w:spacing w:after="0"/>
              <w:rPr>
                <w:sz w:val="20"/>
                <w:szCs w:val="20"/>
                <w:color w:val="auto"/>
              </w:rPr>
            </w:pPr>
            <w:r>
              <w:rPr>
                <w:rFonts w:ascii="Arial" w:cs="Arial" w:eastAsia="Arial" w:hAnsi="Arial"/>
                <w:sz w:val="16"/>
                <w:szCs w:val="16"/>
                <w:color w:val="auto"/>
              </w:rPr>
              <w:t>Share-based compensation</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100"/>
              <w:spacing w:after="0"/>
              <w:rPr>
                <w:sz w:val="20"/>
                <w:szCs w:val="20"/>
                <w:color w:val="auto"/>
              </w:rPr>
            </w:pPr>
            <w:r>
              <w:rPr>
                <w:rFonts w:ascii="Arial" w:cs="Arial" w:eastAsia="Arial" w:hAnsi="Arial"/>
                <w:sz w:val="16"/>
                <w:szCs w:val="16"/>
                <w:color w:val="auto"/>
              </w:rPr>
              <w:t>Non-cash lease expense</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Amortization (accretion) of net investment premiums (discounts)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86"/>
        </w:trPr>
        <w:tc>
          <w:tcPr>
            <w:tcW w:w="6640" w:type="dxa"/>
            <w:vAlign w:val="bottom"/>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186"/>
        </w:trPr>
        <w:tc>
          <w:tcPr>
            <w:tcW w:w="6640" w:type="dxa"/>
            <w:vAlign w:val="bottom"/>
          </w:tcPr>
          <w:p>
            <w:pPr>
              <w:ind w:left="200"/>
              <w:spacing w:after="0"/>
              <w:rPr>
                <w:sz w:val="20"/>
                <w:szCs w:val="20"/>
                <w:color w:val="auto"/>
              </w:rPr>
            </w:pPr>
            <w:r>
              <w:rPr>
                <w:rFonts w:ascii="Arial" w:cs="Arial" w:eastAsia="Arial" w:hAnsi="Arial"/>
                <w:sz w:val="16"/>
                <w:szCs w:val="16"/>
                <w:color w:val="auto"/>
              </w:rPr>
              <w:t>Other non-current assets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3,027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86"/>
        </w:trPr>
        <w:tc>
          <w:tcPr>
            <w:tcW w:w="6640" w:type="dxa"/>
            <w:vAlign w:val="bottom"/>
          </w:tcPr>
          <w:p>
            <w:pPr>
              <w:ind w:left="20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640" w:type="dxa"/>
            <w:vAlign w:val="bottom"/>
            <w:tcBorders>
              <w:top w:val="single" w:sz="8" w:color="CCEEFF"/>
            </w:tcBorders>
            <w:shd w:val="clear" w:color="auto" w:fill="CCEEFF"/>
          </w:tcPr>
          <w:p>
            <w:pPr>
              <w:ind w:left="320"/>
              <w:spacing w:after="0" w:line="179" w:lineRule="exact"/>
              <w:rPr>
                <w:sz w:val="20"/>
                <w:szCs w:val="20"/>
                <w:color w:val="auto"/>
              </w:rPr>
            </w:pPr>
            <w:r>
              <w:rPr>
                <w:rFonts w:ascii="Arial" w:cs="Arial" w:eastAsia="Arial" w:hAnsi="Arial"/>
                <w:sz w:val="16"/>
                <w:szCs w:val="16"/>
                <w:color w:val="auto"/>
              </w:rPr>
              <w:t>Net cash used in operating activities</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(37,202)</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(23,613)</w:t>
            </w: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40" w:type="dxa"/>
            <w:vAlign w:val="bottom"/>
          </w:tcPr>
          <w:p>
            <w:pPr>
              <w:spacing w:after="0" w:line="179" w:lineRule="exact"/>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(165,836)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(68,280)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Pr>
          <w:p>
            <w:pPr>
              <w:spacing w:after="0"/>
              <w:rPr>
                <w:sz w:val="20"/>
                <w:szCs w:val="20"/>
                <w:color w:val="auto"/>
              </w:rPr>
            </w:pPr>
            <w:r>
              <w:rPr>
                <w:rFonts w:ascii="Arial" w:cs="Arial" w:eastAsia="Arial" w:hAnsi="Arial"/>
                <w:sz w:val="16"/>
                <w:szCs w:val="16"/>
                <w:color w:val="auto"/>
              </w:rPr>
              <w:t>Maturities of short-term investments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48,300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9"/>
        </w:trPr>
        <w:tc>
          <w:tcPr>
            <w:tcW w:w="6640" w:type="dxa"/>
            <w:vAlign w:val="bottom"/>
            <w:tcBorders>
              <w:bottom w:val="single" w:sz="8" w:color="CCEEFF"/>
            </w:tcBorders>
          </w:tcPr>
          <w:p>
            <w:pPr>
              <w:ind w:left="320"/>
              <w:spacing w:after="0" w:line="179" w:lineRule="exact"/>
              <w:rPr>
                <w:sz w:val="20"/>
                <w:szCs w:val="20"/>
                <w:color w:val="auto"/>
              </w:rPr>
            </w:pPr>
            <w:r>
              <w:rPr>
                <w:rFonts w:ascii="Arial" w:cs="Arial" w:eastAsia="Arial" w:hAnsi="Arial"/>
                <w:sz w:val="16"/>
                <w:szCs w:val="16"/>
                <w:color w:val="auto"/>
              </w:rPr>
              <w:t>Net cash used in investing activities</w:t>
            </w:r>
          </w:p>
        </w:tc>
        <w:tc>
          <w:tcPr>
            <w:tcW w:w="1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(117,727)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79" w:lineRule="exact"/>
              <w:rPr>
                <w:sz w:val="20"/>
                <w:szCs w:val="20"/>
                <w:color w:val="auto"/>
              </w:rPr>
            </w:pPr>
            <w:r>
              <w:rPr>
                <w:rFonts w:ascii="Arial" w:cs="Arial" w:eastAsia="Arial" w:hAnsi="Arial"/>
                <w:sz w:val="16"/>
                <w:szCs w:val="16"/>
                <w:color w:val="auto"/>
              </w:rPr>
              <w:t>(55,792)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40" w:type="dxa"/>
            <w:vAlign w:val="bottom"/>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640" w:type="dxa"/>
            <w:vAlign w:val="bottom"/>
          </w:tcPr>
          <w:p>
            <w:pPr>
              <w:spacing w:after="0" w:line="178" w:lineRule="exact"/>
              <w:rPr>
                <w:sz w:val="20"/>
                <w:szCs w:val="20"/>
                <w:color w:val="auto"/>
              </w:rPr>
            </w:pPr>
            <w:r>
              <w:rPr>
                <w:rFonts w:ascii="Arial" w:cs="Arial" w:eastAsia="Arial" w:hAnsi="Arial"/>
                <w:sz w:val="16"/>
                <w:szCs w:val="16"/>
                <w:color w:val="auto"/>
              </w:rPr>
              <w:t>Proceeds from issuance of common stock in initial public offering, net of underwriting</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40" w:type="dxa"/>
            <w:vAlign w:val="bottom"/>
          </w:tcPr>
          <w:p>
            <w:pPr>
              <w:spacing w:after="0"/>
              <w:rPr>
                <w:sz w:val="20"/>
                <w:szCs w:val="20"/>
                <w:color w:val="auto"/>
              </w:rPr>
            </w:pPr>
            <w:r>
              <w:rPr>
                <w:rFonts w:ascii="Arial" w:cs="Arial" w:eastAsia="Arial" w:hAnsi="Arial"/>
                <w:sz w:val="16"/>
                <w:szCs w:val="16"/>
                <w:color w:val="auto"/>
              </w:rPr>
              <w:t>discount and commissions</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172,296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Payments of deferred offering costs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640" w:type="dxa"/>
            <w:vAlign w:val="bottom"/>
          </w:tcPr>
          <w:p>
            <w:pPr>
              <w:spacing w:after="0" w:line="178" w:lineRule="exact"/>
              <w:rPr>
                <w:sz w:val="20"/>
                <w:szCs w:val="20"/>
                <w:color w:val="auto"/>
              </w:rPr>
            </w:pPr>
            <w:r>
              <w:rPr>
                <w:rFonts w:ascii="Arial" w:cs="Arial" w:eastAsia="Arial" w:hAnsi="Arial"/>
                <w:sz w:val="16"/>
                <w:szCs w:val="16"/>
                <w:color w:val="auto"/>
              </w:rPr>
              <w:t>Proceeds from issuance of Series B redeemable convertible preferred shares, net of</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40" w:type="dxa"/>
            <w:vAlign w:val="bottom"/>
          </w:tcPr>
          <w:p>
            <w:pPr>
              <w:spacing w:after="0"/>
              <w:rPr>
                <w:sz w:val="20"/>
                <w:szCs w:val="20"/>
                <w:color w:val="auto"/>
              </w:rPr>
            </w:pPr>
            <w:r>
              <w:rPr>
                <w:rFonts w:ascii="Arial" w:cs="Arial" w:eastAsia="Arial" w:hAnsi="Arial"/>
                <w:sz w:val="16"/>
                <w:szCs w:val="16"/>
                <w:color w:val="auto"/>
              </w:rPr>
              <w:t>issuance costs</w:t>
            </w:r>
          </w:p>
        </w:tc>
        <w:tc>
          <w:tcPr>
            <w:tcW w:w="1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31,500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20"/>
                <w:szCs w:val="20"/>
                <w:color w:val="auto"/>
              </w:rPr>
            </w:pPr>
            <w:r>
              <w:rPr>
                <w:rFonts w:ascii="Arial" w:cs="Arial" w:eastAsia="Arial" w:hAnsi="Arial"/>
                <w:sz w:val="16"/>
                <w:szCs w:val="16"/>
                <w:color w:val="auto"/>
              </w:rPr>
              <w:t>Repurchases of restricted shares</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6"/>
        </w:trPr>
        <w:tc>
          <w:tcPr>
            <w:tcW w:w="6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Proceeds from exercise of share options</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640" w:type="dxa"/>
            <w:vAlign w:val="bottom"/>
            <w:shd w:val="clear" w:color="auto" w:fill="CCEEFF"/>
          </w:tcPr>
          <w:p>
            <w:pPr>
              <w:ind w:left="320"/>
              <w:spacing w:after="0" w:line="179" w:lineRule="exact"/>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169,429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29,589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640" w:type="dxa"/>
            <w:vAlign w:val="bottom"/>
          </w:tcPr>
          <w:p>
            <w:pPr>
              <w:spacing w:after="0" w:line="179" w:lineRule="exact"/>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5"/>
                <w:szCs w:val="15"/>
                <w:color w:val="auto"/>
              </w:rPr>
            </w:pPr>
          </w:p>
        </w:tc>
        <w:tc>
          <w:tcPr>
            <w:tcW w:w="760" w:type="dxa"/>
            <w:vAlign w:val="bottom"/>
          </w:tcPr>
          <w:p>
            <w:pPr>
              <w:jc w:val="right"/>
              <w:spacing w:after="0" w:line="179" w:lineRule="exact"/>
              <w:rPr>
                <w:sz w:val="20"/>
                <w:szCs w:val="20"/>
                <w:color w:val="auto"/>
              </w:rPr>
            </w:pPr>
            <w:r>
              <w:rPr>
                <w:rFonts w:ascii="Arial" w:cs="Arial" w:eastAsia="Arial" w:hAnsi="Arial"/>
                <w:sz w:val="16"/>
                <w:szCs w:val="16"/>
                <w:color w:val="auto"/>
              </w:rPr>
              <w:t>14,500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line="179" w:lineRule="exact"/>
              <w:rPr>
                <w:sz w:val="20"/>
                <w:szCs w:val="20"/>
                <w:color w:val="auto"/>
              </w:rPr>
            </w:pPr>
            <w:r>
              <w:rPr>
                <w:rFonts w:ascii="Arial" w:cs="Arial" w:eastAsia="Arial" w:hAnsi="Arial"/>
                <w:sz w:val="16"/>
                <w:szCs w:val="16"/>
                <w:color w:val="auto"/>
              </w:rPr>
              <w:t>(49,816)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6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Beginning of the period</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26,091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105,305</w:t>
            </w:r>
          </w:p>
        </w:tc>
        <w:tc>
          <w:tcPr>
            <w:tcW w:w="2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640" w:type="dxa"/>
            <w:vAlign w:val="bottom"/>
            <w:tcBorders>
              <w:bottom w:val="single" w:sz="8" w:color="CCEEFF"/>
            </w:tcBorders>
            <w:shd w:val="clear" w:color="auto" w:fill="CCEEFF"/>
          </w:tcPr>
          <w:p>
            <w:pPr>
              <w:ind w:left="200"/>
              <w:spacing w:after="0" w:line="179" w:lineRule="exact"/>
              <w:rPr>
                <w:sz w:val="20"/>
                <w:szCs w:val="20"/>
                <w:color w:val="auto"/>
              </w:rPr>
            </w:pPr>
            <w:r>
              <w:rPr>
                <w:rFonts w:ascii="Arial" w:cs="Arial" w:eastAsia="Arial" w:hAnsi="Arial"/>
                <w:sz w:val="16"/>
                <w:szCs w:val="16"/>
                <w:color w:val="auto"/>
              </w:rPr>
              <w:t>End of the period</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40,591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6"/>
                <w:szCs w:val="16"/>
                <w:color w:val="auto"/>
              </w:rPr>
              <w:t>55,489</w:t>
            </w: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Conversion of redeemable convertible preferred shares into ordinary shares upon initial</w:t>
            </w:r>
          </w:p>
        </w:tc>
        <w:tc>
          <w:tcPr>
            <w:tcW w:w="1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199,975</w:t>
            </w:r>
          </w:p>
        </w:tc>
        <w:tc>
          <w:tcPr>
            <w:tcW w:w="8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66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public offering</w:t>
            </w:r>
          </w:p>
        </w:tc>
        <w:tc>
          <w:tcPr>
            <w:tcW w:w="1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Exchange of ordinary shares to non-voting ordinary shares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jc w:val="right"/>
              <w:ind w:right="26"/>
              <w:spacing w:after="0" w:line="166"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640" w:type="dxa"/>
            <w:vAlign w:val="bottom"/>
            <w:shd w:val="clear" w:color="auto" w:fill="CCEEFF"/>
          </w:tcPr>
          <w:p>
            <w:pPr>
              <w:spacing w:after="0" w:line="131" w:lineRule="exact"/>
              <w:rPr>
                <w:sz w:val="20"/>
                <w:szCs w:val="20"/>
                <w:color w:val="auto"/>
              </w:rPr>
            </w:pPr>
            <w:r>
              <w:rPr>
                <w:rFonts w:ascii="Arial" w:cs="Arial" w:eastAsia="Arial" w:hAnsi="Arial"/>
                <w:sz w:val="15"/>
                <w:szCs w:val="15"/>
                <w:color w:val="auto"/>
              </w:rPr>
              <w:t>Deferred offering costs included in accounts payable and accrued expenses and other</w:t>
            </w:r>
          </w:p>
        </w:tc>
        <w:tc>
          <w:tcPr>
            <w:tcW w:w="180" w:type="dxa"/>
            <w:vAlign w:val="bottom"/>
            <w:vMerge w:val="restart"/>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current liabilities</w:t>
            </w:r>
          </w:p>
        </w:tc>
        <w:tc>
          <w:tcPr>
            <w:tcW w:w="18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Accretion of redeemable convertible preferred shares to their redemption value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auto"/>
            </w:tcBorders>
          </w:tcPr>
          <w:p>
            <w:pPr>
              <w:jc w:val="right"/>
              <w:ind w:right="26"/>
              <w:spacing w:after="0" w:line="166" w:lineRule="exact"/>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7"/>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1,515</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6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ind w:left="40"/>
        <w:spacing w:after="0" w:line="220" w:lineRule="auto"/>
        <w:rPr>
          <w:sz w:val="20"/>
          <w:szCs w:val="20"/>
          <w:color w:val="auto"/>
        </w:rPr>
      </w:pPr>
      <w:r>
        <w:rPr>
          <w:rFonts w:ascii="Arial" w:cs="Arial" w:eastAsia="Arial" w:hAnsi="Arial"/>
          <w:sz w:val="18"/>
          <w:szCs w:val="18"/>
          <w:color w:val="auto"/>
        </w:rPr>
        <w:t>___________________________</w:t>
      </w:r>
    </w:p>
    <w:p>
      <w:pPr>
        <w:spacing w:after="0" w:line="1" w:lineRule="exact"/>
        <w:rPr>
          <w:sz w:val="20"/>
          <w:szCs w:val="20"/>
          <w:color w:val="auto"/>
        </w:rPr>
      </w:pPr>
    </w:p>
    <w:p>
      <w:pPr>
        <w:ind w:left="120" w:right="159" w:hanging="71"/>
        <w:spacing w:after="0" w:line="196" w:lineRule="auto"/>
        <w:tabs>
          <w:tab w:leader="none" w:pos="163" w:val="left"/>
        </w:tabs>
        <w:numPr>
          <w:ilvl w:val="0"/>
          <w:numId w:val="9"/>
        </w:numPr>
        <w:rPr>
          <w:rFonts w:ascii="Arial" w:cs="Arial" w:eastAsia="Arial" w:hAnsi="Arial"/>
          <w:sz w:val="27"/>
          <w:szCs w:val="27"/>
          <w:color w:val="auto"/>
          <w:vertAlign w:val="superscript"/>
        </w:rPr>
      </w:pPr>
      <w:r>
        <w:rPr>
          <w:rFonts w:ascii="Arial" w:cs="Arial" w:eastAsia="Arial" w:hAnsi="Arial"/>
          <w:sz w:val="18"/>
          <w:szCs w:val="18"/>
          <w:color w:val="auto"/>
        </w:rPr>
        <w:t xml:space="preserve">A review, pursuant to PCAOB AS 4105, </w:t>
      </w:r>
      <w:r>
        <w:rPr>
          <w:rFonts w:ascii="Arial" w:cs="Arial" w:eastAsia="Arial" w:hAnsi="Arial"/>
          <w:sz w:val="18"/>
          <w:szCs w:val="18"/>
          <w:i w:val="1"/>
          <w:iCs w:val="1"/>
          <w:color w:val="auto"/>
        </w:rPr>
        <w:t>Reviews of Interim Financial Information</w:t>
      </w:r>
      <w:r>
        <w:rPr>
          <w:rFonts w:ascii="Arial" w:cs="Arial" w:eastAsia="Arial" w:hAnsi="Arial"/>
          <w:sz w:val="18"/>
          <w:szCs w:val="18"/>
          <w:color w:val="auto"/>
        </w:rPr>
        <w:t>, by an independent registered public accounting firm has not been completed for the indicated period.</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347980</wp:posOffset>
            </wp:positionV>
            <wp:extent cx="565023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 REVIEWED)</w:t>
      </w:r>
      <w:r>
        <w:rPr>
          <w:rFonts w:ascii="Arial" w:cs="Arial" w:eastAsia="Arial" w:hAnsi="Arial"/>
          <w:sz w:val="26"/>
          <w:szCs w:val="26"/>
          <w:b w:val="1"/>
          <w:bCs w:val="1"/>
          <w:u w:val="single" w:color="auto"/>
          <w:color w:val="0000EE"/>
          <w:vertAlign w:val="superscript"/>
        </w:rPr>
        <w:t>1</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Nature of the Business</w:t>
      </w:r>
    </w:p>
    <w:p>
      <w:pPr>
        <w:spacing w:after="0" w:line="215" w:lineRule="exact"/>
        <w:rPr>
          <w:sz w:val="20"/>
          <w:szCs w:val="20"/>
          <w:color w:val="auto"/>
        </w:rPr>
      </w:pPr>
    </w:p>
    <w:p>
      <w:pPr>
        <w:ind w:left="40" w:right="239"/>
        <w:spacing w:after="0" w:line="236" w:lineRule="auto"/>
        <w:rPr>
          <w:sz w:val="20"/>
          <w:szCs w:val="20"/>
          <w:color w:val="auto"/>
        </w:rPr>
      </w:pPr>
      <w:r>
        <w:rPr>
          <w:rFonts w:ascii="Arial" w:cs="Arial" w:eastAsia="Arial" w:hAnsi="Arial"/>
          <w:sz w:val="18"/>
          <w:szCs w:val="18"/>
          <w:color w:val="auto"/>
        </w:rPr>
        <w:t>Structure Therapeutics Inc. (the “Company”) is a clinical stage global biopharmaceutical company aiming to develop and deliver novel oral therapeutics to treat a wide range of chronic diseases with unmet medical needs. The Company was incorporated in February 2019 in the Cayman Islands, with operating subsidiaries in the United States and China. In June 2022, the Company changed its name from ShouTi Inc. to Structure Therapeutics Inc.</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15" w:lineRule="exact"/>
        <w:rPr>
          <w:sz w:val="20"/>
          <w:szCs w:val="20"/>
          <w:color w:val="auto"/>
        </w:rPr>
      </w:pPr>
    </w:p>
    <w:p>
      <w:pPr>
        <w:jc w:val="both"/>
        <w:ind w:left="40" w:right="639"/>
        <w:spacing w:after="0" w:line="262" w:lineRule="auto"/>
        <w:rPr>
          <w:sz w:val="20"/>
          <w:szCs w:val="20"/>
          <w:color w:val="auto"/>
        </w:rPr>
      </w:pPr>
      <w:r>
        <w:rPr>
          <w:rFonts w:ascii="Arial" w:cs="Arial" w:eastAsia="Arial" w:hAnsi="Arial"/>
          <w:sz w:val="17"/>
          <w:szCs w:val="17"/>
          <w:color w:val="auto"/>
        </w:rPr>
        <w:t>On February 7, 2023, the Company closed its initial public offering (“IPO”) of American Depositary Shares (“ADSs”). Each ADS represents three ordinary shares. The net proceeds from the IPO were approximately $166.7 million after deducting underwriting discounts and commissions and estimated offering costs.</w:t>
      </w:r>
    </w:p>
    <w:p>
      <w:pPr>
        <w:spacing w:after="0" w:line="170" w:lineRule="exact"/>
        <w:rPr>
          <w:sz w:val="20"/>
          <w:szCs w:val="20"/>
          <w:color w:val="auto"/>
        </w:rPr>
      </w:pPr>
    </w:p>
    <w:p>
      <w:pPr>
        <w:ind w:left="40" w:right="299"/>
        <w:spacing w:after="0" w:line="235" w:lineRule="auto"/>
        <w:rPr>
          <w:sz w:val="20"/>
          <w:szCs w:val="20"/>
          <w:color w:val="auto"/>
        </w:rPr>
      </w:pPr>
      <w:r>
        <w:rPr>
          <w:rFonts w:ascii="Arial" w:cs="Arial" w:eastAsia="Arial" w:hAnsi="Arial"/>
          <w:sz w:val="18"/>
          <w:szCs w:val="18"/>
          <w:color w:val="auto"/>
        </w:rPr>
        <w:t>Upon the closing of the IPO, all outstanding shares of the Company’s redeemable convertible preferred shares converted into 67,018,087 ordinary shares. In connection with the completion of its IPO, the Company’s memorandum of association was amended and restated to provide for 500,000,000 authorized ordinary shares with a par value of $0.0001 per share and 100,000,000 authorized undesignated shares with a par value of $0.0001 per share, of such class or classes as may be designated by the Company’s board of directors in accordance with the Company’s articles of association.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15"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The Company has incurred significant net operating losses and negative cash flows from operations since inception and had an accumulated deficit of $158.2 million as of June 30, 2023. Historically, the Company has financed its operations primarily through the private placement of equity securities. On February 7, 2023, the Company completed its IPO for net proceeds of approximately $ 166.7 million, after deducting underwriting discounts and estimated offering costs. As of June 30, 2023, the Company had cash, cash equivalents and short-term investments of $224.6 million.</w:t>
      </w:r>
    </w:p>
    <w:p>
      <w:pPr>
        <w:spacing w:after="0" w:line="192" w:lineRule="exact"/>
        <w:rPr>
          <w:sz w:val="20"/>
          <w:szCs w:val="20"/>
          <w:color w:val="auto"/>
        </w:rPr>
      </w:pPr>
    </w:p>
    <w:p>
      <w:pPr>
        <w:ind w:left="40" w:right="159"/>
        <w:spacing w:after="0" w:line="236" w:lineRule="auto"/>
        <w:rPr>
          <w:sz w:val="20"/>
          <w:szCs w:val="20"/>
          <w:color w:val="auto"/>
        </w:rPr>
      </w:pPr>
      <w:r>
        <w:rPr>
          <w:rFonts w:ascii="Arial" w:cs="Arial" w:eastAsia="Arial" w:hAnsi="Arial"/>
          <w:sz w:val="18"/>
          <w:szCs w:val="18"/>
          <w:color w:val="auto"/>
        </w:rPr>
        <w:t>The Company’s condensed consolidated financial statements have been prepared on the basis of the Company continuing as a going concern for the next 12 months. Based on its current business plan, the Company believes that its current cash, cash equivalents and short-term investments will be sufficient to fund its projected operations for at least 12 months from the date of the issuance of these condensed consolidated financial statements.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Impact of Geopolitical and Macroeconomic Factors</w:t>
      </w:r>
    </w:p>
    <w:p>
      <w:pPr>
        <w:spacing w:after="0" w:line="215" w:lineRule="exact"/>
        <w:rPr>
          <w:sz w:val="20"/>
          <w:szCs w:val="20"/>
          <w:color w:val="auto"/>
        </w:rPr>
      </w:pPr>
    </w:p>
    <w:p>
      <w:pPr>
        <w:ind w:left="40" w:right="279"/>
        <w:spacing w:after="0"/>
        <w:rPr>
          <w:sz w:val="20"/>
          <w:szCs w:val="20"/>
          <w:color w:val="auto"/>
        </w:rPr>
      </w:pPr>
      <w:r>
        <w:rPr>
          <w:rFonts w:ascii="Arial" w:cs="Arial" w:eastAsia="Arial" w:hAnsi="Arial"/>
          <w:sz w:val="18"/>
          <w:szCs w:val="18"/>
          <w:color w:val="auto"/>
        </w:rPr>
        <w:t>There may be significant uncertainty resulting from the impact of other geopolitical and macroeconomic factors, including global pandemics, inflation, supply chain issues, rising interest rates, future bank failures, increased geopolitical tensions between the U.S. and China and the impact of the Russia/Ukraine conflict.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161925</wp:posOffset>
            </wp:positionV>
            <wp:extent cx="14084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08430" cy="8255"/>
                    </a:xfrm>
                    <a:prstGeom prst="rect">
                      <a:avLst/>
                    </a:prstGeom>
                    <a:noFill/>
                  </pic:spPr>
                </pic:pic>
              </a:graphicData>
            </a:graphic>
          </wp:anchor>
        </w:drawing>
      </w:r>
    </w:p>
    <w:p>
      <w:pPr>
        <w:spacing w:after="0" w:line="314" w:lineRule="exact"/>
        <w:rPr>
          <w:sz w:val="20"/>
          <w:szCs w:val="20"/>
          <w:color w:val="auto"/>
        </w:rPr>
      </w:pPr>
    </w:p>
    <w:p>
      <w:pPr>
        <w:ind w:left="200" w:right="79" w:hanging="151"/>
        <w:spacing w:after="0" w:line="205" w:lineRule="auto"/>
        <w:tabs>
          <w:tab w:leader="none" w:pos="20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 xml:space="preserve">A review, pursuant to PCAOB AS 4105, </w:t>
      </w:r>
      <w:r>
        <w:rPr>
          <w:rFonts w:ascii="Arial" w:cs="Arial" w:eastAsia="Arial" w:hAnsi="Arial"/>
          <w:sz w:val="16"/>
          <w:szCs w:val="16"/>
          <w:i w:val="1"/>
          <w:iCs w:val="1"/>
          <w:color w:val="auto"/>
        </w:rPr>
        <w:t>Reviews of Interim Financial Information</w:t>
      </w:r>
      <w:r>
        <w:rPr>
          <w:rFonts w:ascii="Arial" w:cs="Arial" w:eastAsia="Arial" w:hAnsi="Arial"/>
          <w:sz w:val="16"/>
          <w:szCs w:val="16"/>
          <w:color w:val="auto"/>
        </w:rPr>
        <w:t>, by an independent registered public accounting firm has not been completed for the three and six months ended June 30, 2022.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023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5"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The condensed consolidated financial statements and related disclosures have been prepared in conformity with accounting principles generally accepted in the United States of America (“GAAP”). The condensed consolidated financial statements include the accounts of the Company and its wholly-owned subsidiaries. All intercompany accounts and transactions have been eliminated in consolidation. The functional and reporting currency of the Company and its subsidiaries is the U.S. dollar. The aggregate foreign currency transaction loss included in determining net loss was not material for the periods presented.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15" w:lineRule="exact"/>
        <w:rPr>
          <w:sz w:val="20"/>
          <w:szCs w:val="20"/>
          <w:color w:val="auto"/>
        </w:rPr>
      </w:pPr>
    </w:p>
    <w:p>
      <w:pPr>
        <w:ind w:left="40" w:right="99"/>
        <w:spacing w:after="0" w:line="247" w:lineRule="auto"/>
        <w:rPr>
          <w:sz w:val="20"/>
          <w:szCs w:val="20"/>
          <w:color w:val="auto"/>
        </w:rPr>
      </w:pPr>
      <w:r>
        <w:rPr>
          <w:rFonts w:ascii="Arial" w:cs="Arial" w:eastAsia="Arial" w:hAnsi="Arial"/>
          <w:sz w:val="17"/>
          <w:szCs w:val="17"/>
          <w:color w:val="auto"/>
        </w:rPr>
        <w:t>The condensed consolidated balance sheet as of December 31, 2022 was derived from the Company’s audited financial statements, but does not include all disclosures required by GAAP. The accompanying unaudited condensed consolidated financial statements as of June 30, 2023 and for the three and six months ended June 30, 2023 and 2022,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financial statements should be read in conjunction with the audited financial statements as of and for the year ended December 31, 2022 and notes thereto, included in the Company’s Annual Report on Form 10-K for the year ended December 31, 2022 filed with the SEC on March 30, 2023. In the opinion of management, all adjustments, consisting only of normal recurring adjustments necessary for a fair statement of the Company’s condensed consolidated financial position as of June 30, 2023 and condensed consolidated results of operations for the three and six months ended June 30, 2023 and 2022 and condensed consolidated cash flows for the six months ended June 30, 2023 and 2022 have been made. The results of operations for the three and six months ended June 30, 2023 are not necessarily indicative of the results of operations that may be expected for the year ending December 31, 2023.</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5"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ordinary share valuation and related share-based compensation and certain other accrued liabilities. Actual results could differ from those estimates.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15" w:lineRule="exact"/>
        <w:rPr>
          <w:sz w:val="20"/>
          <w:szCs w:val="20"/>
          <w:color w:val="auto"/>
        </w:rPr>
      </w:pPr>
    </w:p>
    <w:p>
      <w:pPr>
        <w:ind w:left="40" w:right="199"/>
        <w:spacing w:after="0" w:line="234" w:lineRule="auto"/>
        <w:rPr>
          <w:sz w:val="20"/>
          <w:szCs w:val="20"/>
          <w:color w:val="auto"/>
        </w:rPr>
      </w:pPr>
      <w:r>
        <w:rPr>
          <w:rFonts w:ascii="Arial" w:cs="Arial" w:eastAsia="Arial" w:hAnsi="Arial"/>
          <w:sz w:val="18"/>
          <w:szCs w:val="18"/>
          <w:color w:val="auto"/>
        </w:rPr>
        <w:t>The Company is exposed to credit risk from its deposits of cash, cash equivalents and short-term investments in excess of the amount of insurance provided on such deposits. The Company invests its cash, cash equivalents and short-term investments in money market funds, corporate debt securities, U.S. government bonds and U.S. government agency bonds. The Company limits its credit risk associated with cash, cash equivalents and short-term investments by investing in investment-grade securities and using banks and institutions it believes are creditworthy. The Company has not experienced any losses on its deposits of cash, cash equivalents and short-term investments to date. The Company has no off-balance sheet concentrations of credit risk, such as foreign currency exchange contracts, option contracts or other hedging arrangements.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15"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resources, adequate personnel, infrastructure and extensive compliance and reporting.</w:t>
      </w:r>
    </w:p>
    <w:p>
      <w:pPr>
        <w:spacing w:after="0" w:line="188" w:lineRule="exact"/>
        <w:rPr>
          <w:sz w:val="20"/>
          <w:szCs w:val="20"/>
          <w:color w:val="auto"/>
        </w:rPr>
      </w:pPr>
    </w:p>
    <w:p>
      <w:pPr>
        <w:ind w:left="40" w:right="79"/>
        <w:spacing w:after="0"/>
        <w:rPr>
          <w:sz w:val="20"/>
          <w:szCs w:val="20"/>
          <w:color w:val="auto"/>
        </w:rPr>
      </w:pPr>
      <w:r>
        <w:rPr>
          <w:rFonts w:ascii="Arial" w:cs="Arial" w:eastAsia="Arial" w:hAnsi="Arial"/>
          <w:sz w:val="18"/>
          <w:szCs w:val="18"/>
          <w:color w:val="auto"/>
        </w:rPr>
        <w:t>The Company’s product candidates are still in development and, to date, none of the Company’s product candidates have been approved for sale and, therefore, the Company has not generated any revenue from any of its products.</w:t>
      </w:r>
    </w:p>
    <w:p>
      <w:pPr>
        <w:spacing w:after="0" w:line="189"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any revenue from any of its products. The Company operates in an environment of rapid change in technology and substantial competition from other pharmaceutical and biotechnology companies.</w:t>
      </w:r>
    </w:p>
    <w:p>
      <w:pPr>
        <w:spacing w:after="0" w:line="188" w:lineRule="exact"/>
        <w:rPr>
          <w:sz w:val="20"/>
          <w:szCs w:val="20"/>
          <w:color w:val="auto"/>
        </w:rPr>
      </w:pPr>
    </w:p>
    <w:p>
      <w:pPr>
        <w:ind w:left="40" w:right="279"/>
        <w:spacing w:after="0"/>
        <w:rPr>
          <w:sz w:val="20"/>
          <w:szCs w:val="20"/>
          <w:color w:val="auto"/>
        </w:rPr>
      </w:pPr>
      <w:r>
        <w:rPr>
          <w:rFonts w:ascii="Arial" w:cs="Arial" w:eastAsia="Arial" w:hAnsi="Arial"/>
          <w:sz w:val="18"/>
          <w:szCs w:val="18"/>
          <w:color w:val="auto"/>
        </w:rPr>
        <w:t>The Company relies and expects to continue to rely on a small number of vendors to manufacture supplies and materials for its use in the clinical trial programs. These programs could be adversely affected by a significant interruption in these manufacturing services.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Losses</w:t>
      </w:r>
    </w:p>
    <w:p>
      <w:pPr>
        <w:spacing w:after="0" w:line="215" w:lineRule="exact"/>
        <w:rPr>
          <w:sz w:val="20"/>
          <w:szCs w:val="20"/>
          <w:color w:val="auto"/>
        </w:rPr>
      </w:pPr>
    </w:p>
    <w:p>
      <w:pPr>
        <w:ind w:left="40" w:right="139"/>
        <w:spacing w:after="0" w:line="262" w:lineRule="auto"/>
        <w:rPr>
          <w:sz w:val="20"/>
          <w:szCs w:val="20"/>
          <w:color w:val="auto"/>
        </w:rPr>
      </w:pPr>
      <w:r>
        <w:rPr>
          <w:rFonts w:ascii="Arial" w:cs="Arial" w:eastAsia="Arial" w:hAnsi="Arial"/>
          <w:sz w:val="17"/>
          <w:szCs w:val="17"/>
          <w:color w:val="auto"/>
        </w:rPr>
        <w:t>For short-term investments in an unrealized loss position, the Company periodically assesses its portfolio for impairment. The assessment first considers the intent or requirement to sell the available-for-sale debt securities. If either of these criteria are met, the amortized cost basis will be written down to fair value through earnings.</w:t>
      </w:r>
    </w:p>
    <w:p>
      <w:pPr>
        <w:spacing w:after="0" w:line="170" w:lineRule="exact"/>
        <w:rPr>
          <w:sz w:val="20"/>
          <w:szCs w:val="20"/>
          <w:color w:val="auto"/>
        </w:rPr>
      </w:pPr>
    </w:p>
    <w:p>
      <w:pPr>
        <w:ind w:left="40" w:right="139"/>
        <w:spacing w:after="0" w:line="233" w:lineRule="auto"/>
        <w:rPr>
          <w:sz w:val="20"/>
          <w:szCs w:val="20"/>
          <w:color w:val="auto"/>
        </w:rPr>
      </w:pPr>
      <w:r>
        <w:rPr>
          <w:rFonts w:ascii="Arial" w:cs="Arial" w:eastAsia="Arial" w:hAnsi="Arial"/>
          <w:sz w:val="18"/>
          <w:szCs w:val="18"/>
          <w:color w:val="auto"/>
        </w:rPr>
        <w:t>If not met, the Company evaluates whether the decline resulted from credit losses or other factors by considering the extent to which fair value is less than amortized cost, any changes to the rating of the short-term investments by a rating agency, and any adverse conditions specifically related to the short-term investments, among other factors. If this assessment indicates that a credit loss exists, the present value of cash flows expected to be collected from the short-term investments is compared to the amortized cost basis of the short-term investments. If the present value of cash flows expected to be collected is less than the amortized cost basis, a credit loss exists and an allowance for credit losses is recorded, with a corresponding adjustment to interest and other income (expense), net, limited by the amount that the fair value is less than the amortized cost basis. The Company has elected to exclude accrued interest from both the fair value and the amortized cost basis of the available-for-sale debt securities for the purposes of identifying and measuring an impairment. The Company writes off accrued interest as a reduction of interest income when an issuer has defaulted on interest payments due on a security. Any impairment that has not been recorded through an allowance for credit losses is recognized in other comprehensive loss.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5" w:lineRule="exact"/>
        <w:rPr>
          <w:sz w:val="20"/>
          <w:szCs w:val="20"/>
          <w:color w:val="auto"/>
        </w:rPr>
      </w:pPr>
    </w:p>
    <w:p>
      <w:pPr>
        <w:jc w:val="both"/>
        <w:ind w:left="40" w:right="279"/>
        <w:spacing w:after="0"/>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189" w:lineRule="exact"/>
        <w:rPr>
          <w:sz w:val="20"/>
          <w:szCs w:val="20"/>
          <w:color w:val="auto"/>
        </w:rPr>
      </w:pPr>
    </w:p>
    <w:p>
      <w:pPr>
        <w:ind w:left="40" w:right="179"/>
        <w:spacing w:after="0" w:line="238" w:lineRule="auto"/>
        <w:rPr>
          <w:sz w:val="20"/>
          <w:szCs w:val="20"/>
          <w:color w:val="auto"/>
        </w:rPr>
      </w:pPr>
      <w:r>
        <w:rPr>
          <w:rFonts w:ascii="Arial" w:cs="Arial" w:eastAsia="Arial" w:hAnsi="Arial"/>
          <w:sz w:val="18"/>
          <w:szCs w:val="18"/>
          <w:color w:val="auto"/>
        </w:rPr>
        <w:t>The carrying value of cash and cash equivalents, accounts payable and accrued liabilities approximate fair value due to their relatively short maturities. The Company determines the fair value of financial and non-financial assets and liabilities using the fair value hierarchy which establishes three levels of inputs that may be used to measure fair value (see Note 4. Fair Value Measurements).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15"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The Company capitalizes, within other non-current assets, certain legal, accounting and other third-party fees that are directly related to the Company’s in-process equity financings, including its IPO,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will be immediately written off to general and administrative expenses. Upon closing the IPO, all deferred offering costs were charged against the proceeds from the IPO and recorded in shareholders equity (deficit) as a reduction of additional paid-in capital. As of June 30, 2023, there were no deferred offering costs recorded on the condensed consolidated balance sheets.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Per Share Attributable to Ordinary Shareholders</w:t>
      </w:r>
    </w:p>
    <w:p>
      <w:pPr>
        <w:spacing w:after="0" w:line="215" w:lineRule="exact"/>
        <w:rPr>
          <w:sz w:val="20"/>
          <w:szCs w:val="20"/>
          <w:color w:val="auto"/>
        </w:rPr>
      </w:pPr>
    </w:p>
    <w:p>
      <w:pPr>
        <w:ind w:left="40" w:right="59"/>
        <w:spacing w:after="0" w:line="247" w:lineRule="auto"/>
        <w:rPr>
          <w:sz w:val="20"/>
          <w:szCs w:val="20"/>
          <w:color w:val="auto"/>
        </w:rPr>
      </w:pPr>
      <w:r>
        <w:rPr>
          <w:rFonts w:ascii="Arial" w:cs="Arial" w:eastAsia="Arial" w:hAnsi="Arial"/>
          <w:sz w:val="17"/>
          <w:szCs w:val="17"/>
          <w:color w:val="auto"/>
        </w:rPr>
        <w:t>Basic net loss per ordinary share is calculated by dividing the net loss attributable to ordinary shareholders by the weighted-average number of ordinary shares, including non-voting ordinary shares, outstanding during the period, without consideration of potentially dilutive securities. Net loss attributable to ordinary shareholders is computed as net loss less accretion of redeemable convertible preferred shares. Diluted net loss per share is computed by dividing the net loss attributable to ordinary shareholders by the weighted-average number of ordinary shares, including non-voting ordinary shares, and potentially dilutive securities outstanding for the period. For purposes of the diluted net loss per share calculation, the redeemable convertible preferred shares, ordinary share warrants, unvested restricted ordinary shares subject to repurchase and share options are considered to be potentially dilutive securities. Basic and diluted net loss per share attributable to ordinary shareholders is presented in conformity with the two-class method required for participating securities as the redeemable convertible preferred shares are considered a participating security because they participate in dividends with ordinary shares. The holders of redeemable convertible preferred shares do not have a contractual obligation to share in the Company’s losses. As such, the net loss was attributed entirely to ordinary shareholders, including non-voting ordinary shares. Because the Company has reported a net loss for all periods presented, diluted net loss per ordinary share is the same as basic net loss per ordinary share for those periods.</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11"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 xml:space="preserve">In June 2016, the Financial Accounting Standards Board (“FASB”) issued Account Standards Update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the measurement and recognition of expected credit losses for financial assets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amortized cost. This ASU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79" w:lineRule="exact"/>
        <w:rPr>
          <w:sz w:val="20"/>
          <w:szCs w:val="20"/>
          <w:color w:val="auto"/>
        </w:rPr>
      </w:pPr>
    </w:p>
    <w:p>
      <w:pPr>
        <w:ind w:left="40" w:right="239"/>
        <w:spacing w:after="0" w:line="236" w:lineRule="auto"/>
        <w:rPr>
          <w:sz w:val="20"/>
          <w:szCs w:val="20"/>
          <w:color w:val="auto"/>
        </w:rPr>
      </w:pPr>
      <w:r>
        <w:rPr>
          <w:rFonts w:ascii="Arial" w:cs="Arial" w:eastAsia="Arial" w:hAnsi="Arial"/>
          <w:sz w:val="18"/>
          <w:szCs w:val="18"/>
          <w:color w:val="auto"/>
        </w:rPr>
        <w:t>reduction in the amortized cost basis of the securities. These changes will result in earlier recognition of credit losses. The amendments in this Update are effective for the Company for fiscal years beginning after December 15, 2022, including interim periods within those fiscal years. The Company adopted ASU 2016-13 as of January 1, 2023 and the adoption did not have a material impact on the Company’s unaudited interim condensed consolidated financial statements and related disclosures.</w:t>
      </w:r>
    </w:p>
    <w:p>
      <w:pPr>
        <w:spacing w:after="0" w:line="181" w:lineRule="exact"/>
        <w:rPr>
          <w:sz w:val="20"/>
          <w:szCs w:val="20"/>
          <w:color w:val="auto"/>
        </w:rPr>
      </w:pPr>
    </w:p>
    <w:p>
      <w:pPr>
        <w:ind w:left="40" w:right="2999"/>
        <w:spacing w:after="0" w:line="553" w:lineRule="auto"/>
        <w:rPr>
          <w:sz w:val="20"/>
          <w:szCs w:val="20"/>
          <w:color w:val="auto"/>
        </w:rPr>
      </w:pPr>
      <w:r>
        <w:rPr>
          <w:rFonts w:ascii="Arial" w:cs="Arial" w:eastAsia="Arial" w:hAnsi="Arial"/>
          <w:sz w:val="17"/>
          <w:szCs w:val="17"/>
          <w:b w:val="1"/>
          <w:bCs w:val="1"/>
          <w:color w:val="auto"/>
        </w:rPr>
        <w:t xml:space="preserve">3. Composition of Certain Consolidated Financial Statement Line Items </w:t>
      </w:r>
      <w:r>
        <w:rPr>
          <w:rFonts w:ascii="Arial" w:cs="Arial" w:eastAsia="Arial" w:hAnsi="Arial"/>
          <w:sz w:val="17"/>
          <w:szCs w:val="17"/>
          <w:color w:val="auto"/>
        </w:rPr>
        <w:t>Property and equipment, net consists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-25400</wp:posOffset>
            </wp:positionV>
            <wp:extent cx="56502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8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70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7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Laboratory equipment</w:t>
            </w:r>
          </w:p>
        </w:tc>
        <w:tc>
          <w:tcPr>
            <w:tcW w:w="19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1,267</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1,098</w:t>
            </w:r>
          </w:p>
        </w:tc>
        <w:tc>
          <w:tcPr>
            <w:tcW w:w="160" w:type="dxa"/>
            <w:vAlign w:val="bottom"/>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700" w:type="dxa"/>
            <w:vAlign w:val="bottom"/>
          </w:tcPr>
          <w:p>
            <w:pPr>
              <w:spacing w:after="0" w:line="199" w:lineRule="exact"/>
              <w:rPr>
                <w:sz w:val="20"/>
                <w:szCs w:val="20"/>
                <w:color w:val="auto"/>
              </w:rPr>
            </w:pPr>
            <w:r>
              <w:rPr>
                <w:rFonts w:ascii="Arial" w:cs="Arial" w:eastAsia="Arial" w:hAnsi="Arial"/>
                <w:sz w:val="18"/>
                <w:szCs w:val="18"/>
                <w:color w:val="auto"/>
              </w:rPr>
              <w:t>Furniture and fixtures</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9" w:lineRule="exact"/>
              <w:rPr>
                <w:sz w:val="20"/>
                <w:szCs w:val="20"/>
                <w:color w:val="auto"/>
              </w:rPr>
            </w:pPr>
            <w:r>
              <w:rPr>
                <w:rFonts w:ascii="Arial" w:cs="Arial" w:eastAsia="Arial" w:hAnsi="Arial"/>
                <w:sz w:val="18"/>
                <w:szCs w:val="18"/>
                <w:color w:val="auto"/>
              </w:rPr>
              <w:t>115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115</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Computer equipment and software</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70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Leasehold improvements</w:t>
            </w:r>
          </w:p>
        </w:tc>
        <w:tc>
          <w:tcPr>
            <w:tcW w:w="19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1,571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1,380</w:t>
            </w:r>
          </w:p>
        </w:tc>
        <w:tc>
          <w:tcPr>
            <w:tcW w:w="160" w:type="dxa"/>
            <w:vAlign w:val="bottom"/>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70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Less: Accumulated depreciation</w:t>
            </w:r>
          </w:p>
        </w:tc>
        <w:tc>
          <w:tcPr>
            <w:tcW w:w="19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(493)</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(349)</w:t>
            </w:r>
          </w:p>
        </w:tc>
        <w:tc>
          <w:tcPr>
            <w:tcW w:w="160" w:type="dxa"/>
            <w:vAlign w:val="bottom"/>
            <w:tcBorders>
              <w:bottom w:val="single" w:sz="8" w:color="CCEEFF"/>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70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Property and equipment, net</w:t>
            </w:r>
          </w:p>
        </w:tc>
        <w:tc>
          <w:tcPr>
            <w:tcW w:w="19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1,078</w:t>
            </w: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1,031</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7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146685</wp:posOffset>
            </wp:positionV>
            <wp:extent cx="56502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67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2,246</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3,544</w:t>
            </w:r>
          </w:p>
        </w:tc>
        <w:tc>
          <w:tcPr>
            <w:tcW w:w="160" w:type="dxa"/>
            <w:vAlign w:val="bottom"/>
            <w:shd w:val="clear" w:color="auto" w:fill="CCEEFF"/>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6700" w:type="dxa"/>
            <w:vAlign w:val="bottom"/>
          </w:tcPr>
          <w:p>
            <w:pPr>
              <w:spacing w:after="0" w:line="199" w:lineRule="exact"/>
              <w:rPr>
                <w:sz w:val="20"/>
                <w:szCs w:val="20"/>
                <w:color w:val="auto"/>
              </w:rPr>
            </w:pPr>
            <w:r>
              <w:rPr>
                <w:rFonts w:ascii="Arial" w:cs="Arial" w:eastAsia="Arial" w:hAnsi="Arial"/>
                <w:sz w:val="18"/>
                <w:szCs w:val="18"/>
                <w:color w:val="auto"/>
              </w:rPr>
              <w:t>Accrued research and development expenses</w:t>
            </w:r>
          </w:p>
        </w:tc>
        <w:tc>
          <w:tcPr>
            <w:tcW w:w="160" w:type="dxa"/>
            <w:vAlign w:val="bottom"/>
          </w:tcPr>
          <w:p>
            <w:pPr>
              <w:spacing w:after="0"/>
              <w:rPr>
                <w:sz w:val="17"/>
                <w:szCs w:val="17"/>
                <w:color w:val="auto"/>
              </w:rPr>
            </w:pP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2,249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1,818</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Accrued clinical expenses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2,156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00" w:type="dxa"/>
            <w:vAlign w:val="bottom"/>
          </w:tcPr>
          <w:p>
            <w:pPr>
              <w:spacing w:after="0" w:line="199" w:lineRule="exact"/>
              <w:rPr>
                <w:sz w:val="20"/>
                <w:szCs w:val="20"/>
                <w:color w:val="auto"/>
              </w:rPr>
            </w:pPr>
            <w:r>
              <w:rPr>
                <w:rFonts w:ascii="Arial" w:cs="Arial" w:eastAsia="Arial" w:hAnsi="Arial"/>
                <w:sz w:val="18"/>
                <w:szCs w:val="18"/>
                <w:color w:val="auto"/>
              </w:rPr>
              <w:t>Accrued professional services</w:t>
            </w:r>
          </w:p>
        </w:tc>
        <w:tc>
          <w:tcPr>
            <w:tcW w:w="160" w:type="dxa"/>
            <w:vAlign w:val="bottom"/>
          </w:tcPr>
          <w:p>
            <w:pPr>
              <w:spacing w:after="0"/>
              <w:rPr>
                <w:sz w:val="17"/>
                <w:szCs w:val="17"/>
                <w:color w:val="auto"/>
              </w:rPr>
            </w:pP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1,048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313</w:t>
            </w:r>
          </w:p>
        </w:tc>
        <w:tc>
          <w:tcPr>
            <w:tcW w:w="16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Income tax and VAT payable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70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Accrued other liabilities</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1,366</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454</w:t>
            </w:r>
          </w:p>
        </w:tc>
        <w:tc>
          <w:tcPr>
            <w:tcW w:w="160" w:type="dxa"/>
            <w:vAlign w:val="bottom"/>
            <w:tcBorders>
              <w:bottom w:val="single" w:sz="8" w:color="CCEEFF"/>
            </w:tcBorders>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670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9,241</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6,741</w:t>
            </w:r>
          </w:p>
        </w:tc>
        <w:tc>
          <w:tcPr>
            <w:tcW w:w="16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bl>
    <w:p>
      <w:pPr>
        <w:spacing w:after="0" w:line="1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15" w:lineRule="exact"/>
        <w:rPr>
          <w:sz w:val="20"/>
          <w:szCs w:val="20"/>
          <w:color w:val="auto"/>
        </w:rPr>
      </w:pPr>
    </w:p>
    <w:p>
      <w:pPr>
        <w:ind w:left="40" w:right="419"/>
        <w:spacing w:after="0" w:line="250" w:lineRule="auto"/>
        <w:rPr>
          <w:sz w:val="20"/>
          <w:szCs w:val="20"/>
          <w:color w:val="auto"/>
        </w:rPr>
      </w:pPr>
      <w:r>
        <w:rPr>
          <w:rFonts w:ascii="Arial" w:cs="Arial" w:eastAsia="Arial" w:hAnsi="Arial"/>
          <w:sz w:val="18"/>
          <w:szCs w:val="18"/>
          <w:color w:val="auto"/>
        </w:rPr>
        <w:t>The Company determines the fair value of financial and non-financial assets and liabilities using the fair value hierarchy which establishes three levels of inputs that may be used to measure fair value, as follows: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1—Observable inputs, such as quoted prices in active markets for identical assets or liabilities;</w:t>
      </w:r>
    </w:p>
    <w:p>
      <w:pPr>
        <w:spacing w:after="0" w:line="205" w:lineRule="exact"/>
        <w:rPr>
          <w:sz w:val="20"/>
          <w:szCs w:val="20"/>
          <w:color w:val="auto"/>
        </w:rPr>
      </w:pPr>
    </w:p>
    <w:p>
      <w:pPr>
        <w:ind w:left="40" w:right="99"/>
        <w:spacing w:after="0"/>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9" w:lineRule="exact"/>
        <w:rPr>
          <w:sz w:val="20"/>
          <w:szCs w:val="20"/>
          <w:color w:val="auto"/>
        </w:rPr>
      </w:pPr>
    </w:p>
    <w:p>
      <w:pPr>
        <w:ind w:left="40" w:right="79"/>
        <w:spacing w:after="0"/>
        <w:rPr>
          <w:sz w:val="20"/>
          <w:szCs w:val="20"/>
          <w:color w:val="auto"/>
        </w:rPr>
      </w:pPr>
      <w:r>
        <w:rPr>
          <w:rFonts w:ascii="Arial" w:cs="Arial" w:eastAsia="Arial" w:hAnsi="Arial"/>
          <w:sz w:val="18"/>
          <w:szCs w:val="18"/>
          <w:color w:val="auto"/>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79" w:lineRule="exact"/>
        <w:rPr>
          <w:sz w:val="20"/>
          <w:szCs w:val="20"/>
          <w:color w:val="auto"/>
        </w:rPr>
      </w:pPr>
    </w:p>
    <w:p>
      <w:pPr>
        <w:ind w:left="40" w:right="79"/>
        <w:spacing w:after="0"/>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89" w:lineRule="exact"/>
        <w:rPr>
          <w:sz w:val="20"/>
          <w:szCs w:val="20"/>
          <w:color w:val="auto"/>
        </w:rPr>
      </w:pPr>
    </w:p>
    <w:p>
      <w:pPr>
        <w:ind w:left="40" w:right="99"/>
        <w:spacing w:after="0" w:line="238"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88" w:lineRule="exact"/>
        <w:rPr>
          <w:sz w:val="20"/>
          <w:szCs w:val="20"/>
          <w:color w:val="auto"/>
        </w:rPr>
      </w:pPr>
    </w:p>
    <w:p>
      <w:pPr>
        <w:ind w:left="40" w:right="659"/>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indicates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136525</wp:posOffset>
            </wp:positionV>
            <wp:extent cx="56502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4"/>
          </w:tcPr>
          <w:p>
            <w:pPr>
              <w:ind w:left="1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0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840" w:type="dxa"/>
            <w:vAlign w:val="bottom"/>
            <w:gridSpan w:val="7"/>
          </w:tcPr>
          <w:p>
            <w:pPr>
              <w:jc w:val="right"/>
              <w:ind w:right="189"/>
              <w:spacing w:after="0" w:line="153" w:lineRule="exact"/>
              <w:rPr>
                <w:sz w:val="20"/>
                <w:szCs w:val="20"/>
                <w:color w:val="auto"/>
              </w:rPr>
            </w:pPr>
            <w:r>
              <w:rPr>
                <w:rFonts w:ascii="Arial" w:cs="Arial" w:eastAsia="Arial" w:hAnsi="Arial"/>
                <w:sz w:val="14"/>
                <w:szCs w:val="14"/>
                <w:b w:val="1"/>
                <w:bCs w:val="1"/>
                <w:color w:val="auto"/>
                <w:w w:val="98"/>
              </w:rPr>
              <w:t>LEVEL 3</w:t>
            </w:r>
          </w:p>
        </w:tc>
        <w:tc>
          <w:tcPr>
            <w:tcW w:w="560" w:type="dxa"/>
            <w:vAlign w:val="bottom"/>
            <w:gridSpan w:val="3"/>
          </w:tcPr>
          <w:p>
            <w:pPr>
              <w:jc w:val="right"/>
              <w:ind w:right="19"/>
              <w:spacing w:after="0" w:line="153" w:lineRule="exact"/>
              <w:rPr>
                <w:sz w:val="20"/>
                <w:szCs w:val="20"/>
                <w:color w:val="auto"/>
              </w:rPr>
            </w:pPr>
            <w:r>
              <w:rPr>
                <w:rFonts w:ascii="Arial" w:cs="Arial" w:eastAsia="Arial" w:hAnsi="Arial"/>
                <w:sz w:val="14"/>
                <w:szCs w:val="14"/>
                <w:b w:val="1"/>
                <w:bCs w:val="1"/>
                <w:color w:val="auto"/>
                <w:w w:val="98"/>
              </w:rPr>
              <w:t>TOTAL</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20"/>
              <w:spacing w:after="0" w:line="153" w:lineRule="exact"/>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w w:val="98"/>
              </w:rPr>
              <w:t>LEVEL 3</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Money market funds</w:t>
            </w: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w w:val="99"/>
              </w:rPr>
              <w:t>$ 25,592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center"/>
              <w:spacing w:after="0" w:line="15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gridSpan w:val="3"/>
            <w:shd w:val="clear" w:color="auto" w:fill="CCEEFF"/>
          </w:tcPr>
          <w:p>
            <w:pPr>
              <w:ind w:left="60"/>
              <w:spacing w:after="0" w:line="153" w:lineRule="exact"/>
              <w:rPr>
                <w:sz w:val="20"/>
                <w:szCs w:val="20"/>
                <w:color w:val="auto"/>
              </w:rPr>
            </w:pPr>
            <w:r>
              <w:rPr>
                <w:rFonts w:ascii="Arial" w:cs="Arial" w:eastAsia="Arial" w:hAnsi="Arial"/>
                <w:sz w:val="14"/>
                <w:szCs w:val="14"/>
                <w:color w:val="auto"/>
                <w:w w:val="96"/>
              </w:rPr>
              <w:t>   —</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97"/>
              </w:rPr>
              <w:t>25,592</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$ 18,994</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gridSpan w:val="2"/>
            <w:shd w:val="clear" w:color="auto" w:fill="CCEEFF"/>
          </w:tcPr>
          <w:p>
            <w:pPr>
              <w:ind w:left="60"/>
              <w:spacing w:after="0" w:line="153" w:lineRule="exact"/>
              <w:rPr>
                <w:sz w:val="20"/>
                <w:szCs w:val="20"/>
                <w:color w:val="auto"/>
              </w:rPr>
            </w:pPr>
            <w:r>
              <w:rPr>
                <w:rFonts w:ascii="Arial" w:cs="Arial" w:eastAsia="Arial" w:hAnsi="Arial"/>
                <w:sz w:val="14"/>
                <w:szCs w:val="14"/>
                <w:color w:val="auto"/>
              </w:rPr>
              <w:t>   —</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$ 18,994</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Arial" w:cs="Arial" w:eastAsia="Arial" w:hAnsi="Arial"/>
                <w:sz w:val="14"/>
                <w:szCs w:val="14"/>
                <w:color w:val="auto"/>
              </w:rPr>
              <w:t>Commercial paper</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9,975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ind w:left="14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9,975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center"/>
              <w:ind w:left="189"/>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Borders>
              <w:top w:val="single" w:sz="8" w:color="CCEEFF"/>
            </w:tcBorders>
            <w:shd w:val="clear" w:color="auto" w:fill="CCEEFF"/>
          </w:tcPr>
          <w:p>
            <w:pPr>
              <w:ind w:left="100"/>
              <w:spacing w:after="0" w:line="153" w:lineRule="exact"/>
              <w:rPr>
                <w:sz w:val="20"/>
                <w:szCs w:val="20"/>
                <w:color w:val="auto"/>
              </w:rPr>
            </w:pPr>
            <w:r>
              <w:rPr>
                <w:rFonts w:ascii="Arial" w:cs="Arial" w:eastAsia="Arial" w:hAnsi="Arial"/>
                <w:sz w:val="14"/>
                <w:szCs w:val="14"/>
                <w:color w:val="auto"/>
              </w:rPr>
              <w:t>Cash equivalents</w:t>
            </w: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gridSpan w:val="3"/>
            <w:shd w:val="clear" w:color="auto" w:fill="CCEEFF"/>
          </w:tcPr>
          <w:p>
            <w:pPr>
              <w:jc w:val="right"/>
              <w:spacing w:after="0" w:line="153" w:lineRule="exact"/>
              <w:rPr>
                <w:sz w:val="20"/>
                <w:szCs w:val="20"/>
                <w:color w:val="auto"/>
              </w:rPr>
            </w:pPr>
            <w:r>
              <w:rPr>
                <w:rFonts w:ascii="Arial" w:cs="Arial" w:eastAsia="Arial" w:hAnsi="Arial"/>
                <w:sz w:val="14"/>
                <w:szCs w:val="14"/>
                <w:color w:val="auto"/>
              </w:rPr>
              <w:t>25,592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9,975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ind w:left="140"/>
              <w:spacing w:after="0" w:line="153" w:lineRule="exact"/>
              <w:rPr>
                <w:sz w:val="20"/>
                <w:szCs w:val="20"/>
                <w:color w:val="auto"/>
              </w:rPr>
            </w:pPr>
            <w:r>
              <w:rPr>
                <w:rFonts w:ascii="Arial" w:cs="Arial" w:eastAsia="Arial" w:hAnsi="Arial"/>
                <w:sz w:val="14"/>
                <w:szCs w:val="14"/>
                <w:color w:val="auto"/>
                <w:w w:val="85"/>
              </w:rPr>
              <w:t>—</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97"/>
              </w:rPr>
              <w:t>35,567</w:t>
            </w: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18,994</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gridSpan w:val="2"/>
            <w:shd w:val="clear" w:color="auto" w:fill="CCEEFF"/>
          </w:tcPr>
          <w:p>
            <w:pPr>
              <w:jc w:val="center"/>
              <w:ind w:left="189"/>
              <w:spacing w:after="0" w:line="153"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18,994</w:t>
            </w: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U.S. government bonds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43,269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43,269</w:t>
            </w:r>
          </w:p>
        </w:tc>
        <w:tc>
          <w:tcPr>
            <w:tcW w:w="820" w:type="dxa"/>
            <w:vAlign w:val="bottom"/>
            <w:gridSpan w:val="4"/>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11,763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center"/>
              <w:ind w:left="189"/>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11,763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gridSpan w:val="3"/>
          </w:tcPr>
          <w:p>
            <w:pPr>
              <w:spacing w:after="0" w:line="159" w:lineRule="exact"/>
              <w:rPr>
                <w:sz w:val="20"/>
                <w:szCs w:val="20"/>
                <w:color w:val="auto"/>
              </w:rPr>
            </w:pPr>
            <w:r>
              <w:rPr>
                <w:rFonts w:ascii="Arial" w:cs="Arial" w:eastAsia="Arial" w:hAnsi="Arial"/>
                <w:sz w:val="14"/>
                <w:szCs w:val="14"/>
                <w:color w:val="auto"/>
              </w:rPr>
              <w:t>U.S. government agency bonds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33,846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ind w:left="14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w w:val="97"/>
              </w:rPr>
              <w:t>33,846</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1,794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center"/>
              <w:ind w:left="189"/>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1,794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Corporate debt securities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106,881</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line="159" w:lineRule="exact"/>
              <w:rPr>
                <w:sz w:val="20"/>
                <w:szCs w:val="20"/>
                <w:color w:val="auto"/>
              </w:rPr>
            </w:pPr>
            <w:r>
              <w:rPr>
                <w:rFonts w:ascii="Arial" w:cs="Arial" w:eastAsia="Arial" w:hAnsi="Arial"/>
                <w:sz w:val="14"/>
                <w:szCs w:val="14"/>
                <w:color w:val="auto"/>
                <w:w w:val="85"/>
              </w:rPr>
              <w:t>—</w:t>
            </w:r>
          </w:p>
        </w:tc>
        <w:tc>
          <w:tcPr>
            <w:tcW w:w="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106,881</w:t>
            </w:r>
          </w:p>
        </w:tc>
        <w:tc>
          <w:tcPr>
            <w:tcW w:w="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51,193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gridSpan w:val="2"/>
            <w:shd w:val="clear" w:color="auto" w:fill="CCEEFF"/>
          </w:tcPr>
          <w:p>
            <w:pPr>
              <w:jc w:val="center"/>
              <w:ind w:left="189"/>
              <w:spacing w:after="0" w:line="15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51,193</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Borders>
              <w:bottom w:val="single" w:sz="8" w:color="CCEEFF"/>
            </w:tcBorders>
          </w:tcPr>
          <w:p>
            <w:pPr>
              <w:ind w:left="100"/>
              <w:spacing w:after="0" w:line="153" w:lineRule="exact"/>
              <w:rPr>
                <w:sz w:val="20"/>
                <w:szCs w:val="20"/>
                <w:color w:val="auto"/>
              </w:rPr>
            </w:pPr>
            <w:r>
              <w:rPr>
                <w:rFonts w:ascii="Arial" w:cs="Arial" w:eastAsia="Arial" w:hAnsi="Arial"/>
                <w:sz w:val="14"/>
                <w:szCs w:val="14"/>
                <w:color w:val="auto"/>
              </w:rPr>
              <w:t>Short-term investments</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color w:val="auto"/>
              </w:rPr>
              <w:t>43,269</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spacing w:after="0" w:line="153" w:lineRule="exact"/>
              <w:rPr>
                <w:sz w:val="20"/>
                <w:szCs w:val="20"/>
                <w:color w:val="auto"/>
              </w:rPr>
            </w:pPr>
            <w:r>
              <w:rPr>
                <w:rFonts w:ascii="Arial" w:cs="Arial" w:eastAsia="Arial" w:hAnsi="Arial"/>
                <w:sz w:val="14"/>
                <w:szCs w:val="14"/>
                <w:color w:val="auto"/>
              </w:rPr>
              <w:t>140,727</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140"/>
              <w:spacing w:after="0" w:line="153" w:lineRule="exact"/>
              <w:rPr>
                <w:sz w:val="20"/>
                <w:szCs w:val="20"/>
                <w:color w:val="auto"/>
              </w:rPr>
            </w:pPr>
            <w:r>
              <w:rPr>
                <w:rFonts w:ascii="Arial" w:cs="Arial" w:eastAsia="Arial" w:hAnsi="Arial"/>
                <w:sz w:val="14"/>
                <w:szCs w:val="14"/>
                <w:color w:val="auto"/>
                <w:w w:val="85"/>
              </w:rPr>
              <w:t>—</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spacing w:after="0" w:line="153" w:lineRule="exact"/>
              <w:rPr>
                <w:sz w:val="20"/>
                <w:szCs w:val="20"/>
                <w:color w:val="auto"/>
              </w:rPr>
            </w:pPr>
            <w:r>
              <w:rPr>
                <w:rFonts w:ascii="Arial" w:cs="Arial" w:eastAsia="Arial" w:hAnsi="Arial"/>
                <w:sz w:val="14"/>
                <w:szCs w:val="14"/>
                <w:color w:val="auto"/>
              </w:rPr>
              <w:t>183,996</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gridSpan w:val="2"/>
          </w:tcPr>
          <w:p>
            <w:pPr>
              <w:jc w:val="right"/>
              <w:ind w:right="40"/>
              <w:spacing w:after="0" w:line="153" w:lineRule="exact"/>
              <w:rPr>
                <w:sz w:val="20"/>
                <w:szCs w:val="20"/>
                <w:color w:val="auto"/>
              </w:rPr>
            </w:pPr>
            <w:r>
              <w:rPr>
                <w:rFonts w:ascii="Arial" w:cs="Arial" w:eastAsia="Arial" w:hAnsi="Arial"/>
                <w:sz w:val="14"/>
                <w:szCs w:val="14"/>
                <w:color w:val="auto"/>
              </w:rPr>
              <w:t>11,763</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40"/>
              <w:spacing w:after="0" w:line="153" w:lineRule="exact"/>
              <w:rPr>
                <w:sz w:val="20"/>
                <w:szCs w:val="20"/>
                <w:color w:val="auto"/>
              </w:rPr>
            </w:pPr>
            <w:r>
              <w:rPr>
                <w:rFonts w:ascii="Arial" w:cs="Arial" w:eastAsia="Arial" w:hAnsi="Arial"/>
                <w:sz w:val="14"/>
                <w:szCs w:val="14"/>
                <w:color w:val="auto"/>
              </w:rPr>
              <w:t>52,987</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center"/>
              <w:ind w:left="189"/>
              <w:spacing w:after="0" w:line="153"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64,750</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80" w:type="dxa"/>
            <w:vAlign w:val="bottom"/>
            <w:tcBorders>
              <w:bottom w:val="single" w:sz="8" w:color="CCEEFF"/>
            </w:tcBorders>
            <w:gridSpan w:val="3"/>
            <w:shd w:val="clear" w:color="auto" w:fill="CCEEFF"/>
          </w:tcPr>
          <w:p>
            <w:pPr>
              <w:spacing w:after="0" w:line="153" w:lineRule="exact"/>
              <w:rPr>
                <w:sz w:val="20"/>
                <w:szCs w:val="20"/>
                <w:color w:val="auto"/>
              </w:rPr>
            </w:pPr>
            <w:r>
              <w:rPr>
                <w:rFonts w:ascii="Arial" w:cs="Arial" w:eastAsia="Arial" w:hAnsi="Arial"/>
                <w:sz w:val="14"/>
                <w:szCs w:val="14"/>
                <w:color w:val="auto"/>
                <w:w w:val="99"/>
              </w:rPr>
              <w:t>Total fair value of financial assets</w:t>
            </w:r>
          </w:p>
        </w:tc>
        <w:tc>
          <w:tcPr>
            <w:tcW w:w="4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w w:val="99"/>
              </w:rPr>
              <w:t>$ 68,861</w:t>
            </w:r>
          </w:p>
        </w:tc>
        <w:tc>
          <w:tcPr>
            <w:tcW w:w="1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gridSpan w:val="3"/>
            <w:shd w:val="clear" w:color="auto" w:fill="CCEEFF"/>
          </w:tcPr>
          <w:p>
            <w:pPr>
              <w:jc w:val="right"/>
              <w:spacing w:after="0" w:line="153" w:lineRule="exact"/>
              <w:rPr>
                <w:sz w:val="20"/>
                <w:szCs w:val="20"/>
                <w:color w:val="auto"/>
              </w:rPr>
            </w:pPr>
            <w:r>
              <w:rPr>
                <w:rFonts w:ascii="Arial" w:cs="Arial" w:eastAsia="Arial" w:hAnsi="Arial"/>
                <w:sz w:val="14"/>
                <w:szCs w:val="14"/>
                <w:color w:val="auto"/>
              </w:rPr>
              <w:t>$ 150,702</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ind w:left="140"/>
              <w:spacing w:after="0" w:line="153" w:lineRule="exact"/>
              <w:rPr>
                <w:sz w:val="20"/>
                <w:szCs w:val="20"/>
                <w:color w:val="auto"/>
              </w:rPr>
            </w:pPr>
            <w:r>
              <w:rPr>
                <w:rFonts w:ascii="Arial" w:cs="Arial" w:eastAsia="Arial" w:hAnsi="Arial"/>
                <w:sz w:val="14"/>
                <w:szCs w:val="14"/>
                <w:color w:val="auto"/>
                <w:w w:val="85"/>
              </w:rPr>
              <w:t>—</w:t>
            </w:r>
          </w:p>
        </w:tc>
        <w:tc>
          <w:tcPr>
            <w:tcW w:w="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gridSpan w:val="4"/>
            <w:shd w:val="clear" w:color="auto" w:fill="CCEEFF"/>
          </w:tcPr>
          <w:p>
            <w:pPr>
              <w:jc w:val="right"/>
              <w:spacing w:after="0" w:line="153" w:lineRule="exact"/>
              <w:rPr>
                <w:sz w:val="20"/>
                <w:szCs w:val="20"/>
                <w:color w:val="auto"/>
              </w:rPr>
            </w:pPr>
            <w:r>
              <w:rPr>
                <w:rFonts w:ascii="Arial" w:cs="Arial" w:eastAsia="Arial" w:hAnsi="Arial"/>
                <w:sz w:val="14"/>
                <w:szCs w:val="14"/>
                <w:color w:val="auto"/>
              </w:rPr>
              <w:t>$ 219,563</w:t>
            </w:r>
          </w:p>
        </w:tc>
        <w:tc>
          <w:tcPr>
            <w:tcW w:w="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$ 30,757</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gridSpan w:val="3"/>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$ 52,987</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gridSpan w:val="2"/>
            <w:shd w:val="clear" w:color="auto" w:fill="CCEEFF"/>
          </w:tcPr>
          <w:p>
            <w:pPr>
              <w:jc w:val="center"/>
              <w:ind w:left="189"/>
              <w:spacing w:after="0" w:line="153" w:lineRule="exact"/>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83,744</w:t>
            </w:r>
          </w:p>
        </w:tc>
        <w:tc>
          <w:tcPr>
            <w:tcW w:w="2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5"/>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9"/>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109"/>
              <w:spacing w:after="0"/>
              <w:rPr>
                <w:sz w:val="20"/>
                <w:szCs w:val="20"/>
                <w:color w:val="auto"/>
              </w:rPr>
            </w:pPr>
            <w:r>
              <w:rPr>
                <w:rFonts w:ascii="Arial" w:cs="Arial" w:eastAsia="Arial" w:hAnsi="Arial"/>
                <w:sz w:val="14"/>
                <w:szCs w:val="14"/>
                <w:b w:val="1"/>
                <w:bCs w:val="1"/>
                <w:color w:val="auto"/>
                <w:w w:val="98"/>
              </w:rPr>
              <w:t>JUNE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9"/>
          </w:tcPr>
          <w:p>
            <w:pPr>
              <w:ind w:left="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AMORTIZED</w:t>
            </w:r>
          </w:p>
        </w:tc>
        <w:tc>
          <w:tcPr>
            <w:tcW w:w="1640" w:type="dxa"/>
            <w:vAlign w:val="bottom"/>
            <w:gridSpan w:val="9"/>
          </w:tcPr>
          <w:p>
            <w:pPr>
              <w:jc w:val="right"/>
              <w:spacing w:after="0" w:line="15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4"/>
          </w:tcPr>
          <w:p>
            <w:pPr>
              <w:ind w:left="180"/>
              <w:spacing w:after="0" w:line="15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5"/>
          </w:tcPr>
          <w:p>
            <w:pPr>
              <w:jc w:val="right"/>
              <w:ind w:right="160"/>
              <w:spacing w:after="0" w:line="153"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3"/>
                <w:szCs w:val="13"/>
                <w:color w:val="auto"/>
              </w:rPr>
            </w:pPr>
          </w:p>
        </w:tc>
        <w:tc>
          <w:tcPr>
            <w:tcW w:w="1520" w:type="dxa"/>
            <w:vAlign w:val="bottom"/>
            <w:gridSpan w:val="9"/>
          </w:tcPr>
          <w:p>
            <w:pPr>
              <w:spacing w:after="0" w:line="153"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89"/>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3"/>
          </w:tcPr>
          <w:p>
            <w:pPr>
              <w:jc w:val="right"/>
              <w:ind w:right="209"/>
              <w:spacing w:after="0" w:line="153" w:lineRule="exact"/>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640" w:type="dxa"/>
            <w:vAlign w:val="bottom"/>
            <w:tcBorders>
              <w:top w:val="single" w:sz="8" w:color="auto"/>
            </w:tcBorders>
            <w:gridSpan w:val="4"/>
          </w:tcPr>
          <w:p>
            <w:pPr>
              <w:jc w:val="right"/>
              <w:spacing w:after="0" w:line="153" w:lineRule="exact"/>
              <w:rPr>
                <w:sz w:val="20"/>
                <w:szCs w:val="20"/>
                <w:color w:val="auto"/>
              </w:rPr>
            </w:pPr>
            <w:r>
              <w:rPr>
                <w:rFonts w:ascii="Arial" w:cs="Arial" w:eastAsia="Arial" w:hAnsi="Arial"/>
                <w:sz w:val="14"/>
                <w:szCs w:val="14"/>
                <w:b w:val="1"/>
                <w:bCs w:val="1"/>
                <w:color w:val="auto"/>
              </w:rPr>
              <w:t>LOSSES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3"/>
          </w:tcPr>
          <w:p>
            <w:pPr>
              <w:jc w:val="right"/>
              <w:ind w:right="49"/>
              <w:spacing w:after="0" w:line="153"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gridSpan w:val="4"/>
          </w:tcPr>
          <w:p>
            <w:pPr>
              <w:ind w:left="100"/>
              <w:spacing w:after="0" w:line="153" w:lineRule="exact"/>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gridSpan w:val="4"/>
          </w:tcPr>
          <w:p>
            <w:pPr>
              <w:jc w:val="right"/>
              <w:ind w:right="440"/>
              <w:spacing w:after="0" w:line="153" w:lineRule="exact"/>
              <w:rPr>
                <w:sz w:val="20"/>
                <w:szCs w:val="20"/>
                <w:color w:val="auto"/>
              </w:rPr>
            </w:pPr>
            <w:r>
              <w:rPr>
                <w:rFonts w:ascii="Arial" w:cs="Arial" w:eastAsia="Arial" w:hAnsi="Arial"/>
                <w:sz w:val="14"/>
                <w:szCs w:val="14"/>
                <w:b w:val="1"/>
                <w:bCs w:val="1"/>
                <w:color w:val="auto"/>
                <w:w w:val="92"/>
              </w:rPr>
              <w:t>COST</w:t>
            </w:r>
          </w:p>
        </w:tc>
        <w:tc>
          <w:tcPr>
            <w:tcW w:w="20" w:type="dxa"/>
            <w:vAlign w:val="bottom"/>
          </w:tcPr>
          <w:p>
            <w:pPr>
              <w:spacing w:after="0"/>
              <w:rPr>
                <w:sz w:val="13"/>
                <w:szCs w:val="13"/>
                <w:color w:val="auto"/>
              </w:rPr>
            </w:pPr>
          </w:p>
        </w:tc>
        <w:tc>
          <w:tcPr>
            <w:tcW w:w="760" w:type="dxa"/>
            <w:vAlign w:val="bottom"/>
            <w:tcBorders>
              <w:top w:val="single" w:sz="8" w:color="auto"/>
            </w:tcBorders>
            <w:gridSpan w:val="4"/>
          </w:tcPr>
          <w:p>
            <w:pPr>
              <w:ind w:left="40"/>
              <w:spacing w:after="0" w:line="153" w:lineRule="exact"/>
              <w:rPr>
                <w:sz w:val="20"/>
                <w:szCs w:val="20"/>
                <w:color w:val="auto"/>
              </w:rPr>
            </w:pPr>
            <w:r>
              <w:rPr>
                <w:rFonts w:ascii="Arial" w:cs="Arial" w:eastAsia="Arial" w:hAnsi="Arial"/>
                <w:sz w:val="14"/>
                <w:szCs w:val="14"/>
                <w:b w:val="1"/>
                <w:bCs w:val="1"/>
                <w:color w:val="auto"/>
              </w:rPr>
              <w:t>LOSSES</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2"/>
          </w:tcPr>
          <w:p>
            <w:pPr>
              <w:spacing w:after="0" w:line="153" w:lineRule="exact"/>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60"/>
              <w:spacing w:after="0" w:line="153"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Money market funds</w:t>
            </w: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49"/>
              <w:spacing w:after="0" w:line="153"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25,592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69"/>
              <w:spacing w:after="0" w:line="153"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  25,592</w:t>
            </w: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3"/>
            <w:shd w:val="clear" w:color="auto" w:fill="CCEEFF"/>
          </w:tcPr>
          <w:p>
            <w:pPr>
              <w:jc w:val="right"/>
              <w:spacing w:after="0" w:line="153" w:lineRule="exact"/>
              <w:rPr>
                <w:sz w:val="20"/>
                <w:szCs w:val="20"/>
                <w:color w:val="auto"/>
              </w:rPr>
            </w:pPr>
            <w:r>
              <w:rPr>
                <w:rFonts w:ascii="Arial" w:cs="Arial" w:eastAsia="Arial" w:hAnsi="Arial"/>
                <w:sz w:val="14"/>
                <w:szCs w:val="14"/>
                <w:color w:val="auto"/>
              </w:rPr>
              <w:t>18,994</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18,994</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Arial" w:cs="Arial" w:eastAsia="Arial" w:hAnsi="Arial"/>
                <w:sz w:val="14"/>
                <w:szCs w:val="14"/>
                <w:color w:val="auto"/>
              </w:rPr>
              <w:t>Commercial paper</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9,970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gridSpan w:val="4"/>
          </w:tcPr>
          <w:p>
            <w:pPr>
              <w:jc w:val="right"/>
              <w:spacing w:after="0" w:line="159" w:lineRule="exact"/>
              <w:rPr>
                <w:sz w:val="20"/>
                <w:szCs w:val="20"/>
                <w:color w:val="auto"/>
              </w:rPr>
            </w:pPr>
            <w:r>
              <w:rPr>
                <w:rFonts w:ascii="Arial" w:cs="Arial" w:eastAsia="Arial" w:hAnsi="Arial"/>
                <w:sz w:val="14"/>
                <w:szCs w:val="14"/>
                <w:color w:val="auto"/>
                <w:w w:val="96"/>
              </w:rPr>
              <w:t>9,975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Borders>
              <w:top w:val="single" w:sz="8" w:color="CCEEFF"/>
            </w:tcBorders>
            <w:shd w:val="clear" w:color="auto" w:fill="CCEEFF"/>
          </w:tcPr>
          <w:p>
            <w:pPr>
              <w:ind w:left="100"/>
              <w:spacing w:after="0" w:line="153" w:lineRule="exact"/>
              <w:rPr>
                <w:sz w:val="20"/>
                <w:szCs w:val="20"/>
                <w:color w:val="auto"/>
              </w:rPr>
            </w:pPr>
            <w:r>
              <w:rPr>
                <w:rFonts w:ascii="Arial" w:cs="Arial" w:eastAsia="Arial" w:hAnsi="Arial"/>
                <w:sz w:val="14"/>
                <w:szCs w:val="14"/>
                <w:color w:val="auto"/>
              </w:rPr>
              <w:t>Cash equivalents</w:t>
            </w: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35,562</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gridSpan w:val="5"/>
            <w:shd w:val="clear" w:color="auto" w:fill="CCEEFF"/>
          </w:tcPr>
          <w:p>
            <w:pPr>
              <w:jc w:val="right"/>
              <w:spacing w:after="0" w:line="153" w:lineRule="exact"/>
              <w:rPr>
                <w:sz w:val="20"/>
                <w:szCs w:val="20"/>
                <w:color w:val="auto"/>
              </w:rPr>
            </w:pPr>
            <w:r>
              <w:rPr>
                <w:rFonts w:ascii="Arial" w:cs="Arial" w:eastAsia="Arial" w:hAnsi="Arial"/>
                <w:sz w:val="14"/>
                <w:szCs w:val="14"/>
                <w:color w:val="auto"/>
              </w:rPr>
              <w:t>35,567</w:t>
            </w:r>
          </w:p>
        </w:tc>
        <w:tc>
          <w:tcPr>
            <w:tcW w:w="1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gridSpan w:val="3"/>
            <w:shd w:val="clear" w:color="auto" w:fill="CCEEFF"/>
          </w:tcPr>
          <w:p>
            <w:pPr>
              <w:jc w:val="right"/>
              <w:spacing w:after="0" w:line="153" w:lineRule="exact"/>
              <w:rPr>
                <w:sz w:val="20"/>
                <w:szCs w:val="20"/>
                <w:color w:val="auto"/>
              </w:rPr>
            </w:pPr>
            <w:r>
              <w:rPr>
                <w:rFonts w:ascii="Arial" w:cs="Arial" w:eastAsia="Arial" w:hAnsi="Arial"/>
                <w:sz w:val="14"/>
                <w:szCs w:val="14"/>
                <w:color w:val="auto"/>
              </w:rPr>
              <w:t>18,994</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18,994</w:t>
            </w: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5"/>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U.S. government bonds</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43,433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6"/>
            <w:shd w:val="clear" w:color="auto" w:fill="CCEEFF"/>
          </w:tcPr>
          <w:p>
            <w:pPr>
              <w:jc w:val="right"/>
              <w:spacing w:after="0" w:line="159" w:lineRule="exact"/>
              <w:rPr>
                <w:sz w:val="20"/>
                <w:szCs w:val="20"/>
                <w:color w:val="auto"/>
              </w:rPr>
            </w:pPr>
            <w:r>
              <w:rPr>
                <w:rFonts w:ascii="Arial" w:cs="Arial" w:eastAsia="Arial" w:hAnsi="Arial"/>
                <w:sz w:val="14"/>
                <w:szCs w:val="14"/>
                <w:color w:val="auto"/>
              </w:rPr>
              <w:t>43,269</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11,820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11,763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20" w:type="dxa"/>
            <w:vAlign w:val="bottom"/>
          </w:tcPr>
          <w:p>
            <w:pPr>
              <w:spacing w:after="0" w:line="154" w:lineRule="exact"/>
              <w:rPr>
                <w:sz w:val="20"/>
                <w:szCs w:val="20"/>
                <w:color w:val="auto"/>
              </w:rPr>
            </w:pPr>
            <w:r>
              <w:rPr>
                <w:rFonts w:ascii="Arial" w:cs="Arial" w:eastAsia="Arial" w:hAnsi="Arial"/>
                <w:sz w:val="14"/>
                <w:szCs w:val="14"/>
                <w:color w:val="auto"/>
              </w:rPr>
              <w:t>U.S. government</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640" w:type="dxa"/>
            <w:vAlign w:val="bottom"/>
            <w:gridSpan w:val="2"/>
          </w:tcPr>
          <w:p>
            <w:pPr>
              <w:spacing w:after="0"/>
              <w:rPr>
                <w:sz w:val="20"/>
                <w:szCs w:val="20"/>
                <w:color w:val="auto"/>
              </w:rPr>
            </w:pPr>
            <w:r>
              <w:rPr>
                <w:rFonts w:ascii="Arial" w:cs="Arial" w:eastAsia="Arial" w:hAnsi="Arial"/>
                <w:sz w:val="14"/>
                <w:szCs w:val="14"/>
                <w:color w:val="auto"/>
              </w:rPr>
              <w:t>agency bonds</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33,914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740" w:type="dxa"/>
            <w:vAlign w:val="bottom"/>
            <w:gridSpan w:val="6"/>
          </w:tcPr>
          <w:p>
            <w:pPr>
              <w:jc w:val="right"/>
              <w:spacing w:after="0"/>
              <w:rPr>
                <w:sz w:val="20"/>
                <w:szCs w:val="20"/>
                <w:color w:val="auto"/>
              </w:rPr>
            </w:pPr>
            <w:r>
              <w:rPr>
                <w:rFonts w:ascii="Arial" w:cs="Arial" w:eastAsia="Arial" w:hAnsi="Arial"/>
                <w:sz w:val="14"/>
                <w:szCs w:val="14"/>
                <w:color w:val="auto"/>
              </w:rPr>
              <w:t>33,846</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1,801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1,794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2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Corporate debt</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4"/>
              </w:rPr>
              <w:t>107,044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74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106,881</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51,239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189"/>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51,193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tcPr>
          <w:p>
            <w:pPr>
              <w:ind w:left="100"/>
              <w:spacing w:after="0" w:line="134" w:lineRule="exact"/>
              <w:rPr>
                <w:sz w:val="20"/>
                <w:szCs w:val="20"/>
                <w:color w:val="auto"/>
              </w:rPr>
            </w:pPr>
            <w:r>
              <w:rPr>
                <w:rFonts w:ascii="Arial" w:cs="Arial" w:eastAsia="Arial" w:hAnsi="Arial"/>
                <w:sz w:val="14"/>
                <w:szCs w:val="14"/>
                <w:color w:val="auto"/>
              </w:rPr>
              <w:t>Short-term</w:t>
            </w:r>
          </w:p>
        </w:tc>
        <w:tc>
          <w:tcPr>
            <w:tcW w:w="6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investments</w:t>
            </w: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184,391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(407)</w:t>
            </w:r>
          </w:p>
        </w:tc>
        <w:tc>
          <w:tcPr>
            <w:tcW w:w="1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183,996</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64,860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rPr>
              <w:t>3</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64,750</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shd w:val="clear" w:color="auto" w:fill="CCEEFF"/>
          </w:tcPr>
          <w:p>
            <w:pPr>
              <w:spacing w:after="0" w:line="134" w:lineRule="exact"/>
              <w:rPr>
                <w:sz w:val="20"/>
                <w:szCs w:val="20"/>
                <w:color w:val="auto"/>
              </w:rPr>
            </w:pPr>
            <w:r>
              <w:rPr>
                <w:rFonts w:ascii="Arial" w:cs="Arial" w:eastAsia="Arial" w:hAnsi="Arial"/>
                <w:sz w:val="14"/>
                <w:szCs w:val="14"/>
                <w:color w:val="auto"/>
              </w:rPr>
              <w:t>Total fair value of</w:t>
            </w:r>
          </w:p>
        </w:tc>
        <w:tc>
          <w:tcPr>
            <w:tcW w:w="460" w:type="dxa"/>
            <w:vAlign w:val="bottom"/>
            <w:gridSpan w:val="2"/>
            <w:vMerge w:val="restart"/>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219,953</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580" w:type="dxa"/>
            <w:vAlign w:val="bottom"/>
            <w:gridSpan w:val="2"/>
            <w:vMerge w:val="restart"/>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1"/>
                <w:szCs w:val="11"/>
                <w:color w:val="auto"/>
              </w:rPr>
            </w:pPr>
          </w:p>
        </w:tc>
        <w:tc>
          <w:tcPr>
            <w:tcW w:w="740" w:type="dxa"/>
            <w:vAlign w:val="bottom"/>
            <w:gridSpan w:val="6"/>
            <w:vMerge w:val="restart"/>
            <w:shd w:val="clear" w:color="auto" w:fill="CCEEFF"/>
          </w:tcPr>
          <w:p>
            <w:pPr>
              <w:jc w:val="right"/>
              <w:spacing w:after="0"/>
              <w:rPr>
                <w:sz w:val="20"/>
                <w:szCs w:val="20"/>
                <w:color w:val="auto"/>
              </w:rPr>
            </w:pPr>
            <w:r>
              <w:rPr>
                <w:rFonts w:ascii="Arial" w:cs="Arial" w:eastAsia="Arial" w:hAnsi="Arial"/>
                <w:sz w:val="14"/>
                <w:szCs w:val="14"/>
                <w:color w:val="auto"/>
              </w:rPr>
              <w:t>$ 219,563</w:t>
            </w:r>
          </w:p>
        </w:tc>
        <w:tc>
          <w:tcPr>
            <w:tcW w:w="44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83,854</w:t>
            </w:r>
          </w:p>
        </w:tc>
        <w:tc>
          <w:tcPr>
            <w:tcW w:w="14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1"/>
                <w:szCs w:val="11"/>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center"/>
              <w:ind w:left="189"/>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1"/>
                <w:szCs w:val="11"/>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83,744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2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financial assets</w:t>
            </w:r>
          </w:p>
        </w:tc>
        <w:tc>
          <w:tcPr>
            <w:tcW w:w="460" w:type="dxa"/>
            <w:vAlign w:val="bottom"/>
            <w:gridSpan w:val="2"/>
            <w:vMerge w:val="continue"/>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6"/>
            <w:vMerge w:val="continue"/>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680" w:type="dxa"/>
            <w:vAlign w:val="bottom"/>
            <w:gridSpan w:val="3"/>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gridSpan w:val="3"/>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40" w:right="179"/>
        <w:spacing w:after="0"/>
        <w:rPr>
          <w:sz w:val="20"/>
          <w:szCs w:val="20"/>
          <w:color w:val="auto"/>
        </w:rPr>
      </w:pPr>
      <w:r>
        <w:rPr>
          <w:rFonts w:ascii="Arial" w:cs="Arial" w:eastAsia="Arial" w:hAnsi="Arial"/>
          <w:sz w:val="18"/>
          <w:szCs w:val="18"/>
          <w:color w:val="auto"/>
        </w:rPr>
        <w:t>As of June 30, 2023 and December 31, 2022, the Company did not have any liabilities measured at fair value on a recurring basis. There were no transfers in and out of Level 3 during the three and six months ended June 30, 2023 and 2022.</w:t>
      </w:r>
    </w:p>
    <w:p>
      <w:pPr>
        <w:spacing w:after="0" w:line="189" w:lineRule="exact"/>
        <w:rPr>
          <w:sz w:val="20"/>
          <w:szCs w:val="20"/>
          <w:color w:val="auto"/>
        </w:rPr>
      </w:pPr>
    </w:p>
    <w:p>
      <w:pPr>
        <w:ind w:left="40" w:right="119"/>
        <w:spacing w:after="0" w:line="238" w:lineRule="auto"/>
        <w:rPr>
          <w:sz w:val="20"/>
          <w:szCs w:val="20"/>
          <w:color w:val="auto"/>
        </w:rPr>
      </w:pPr>
      <w:r>
        <w:rPr>
          <w:rFonts w:ascii="Arial" w:cs="Arial" w:eastAsia="Arial" w:hAnsi="Arial"/>
          <w:sz w:val="18"/>
          <w:szCs w:val="18"/>
          <w:color w:val="auto"/>
        </w:rPr>
        <w:t>The unrealized losses for marketable securities related to changes in interest rates and the Company has the intent and ability to hold the underlying securities until the estimated date of recovery of its amortized cost. No allowance for credit losses was recorded as of June 30, 2023 and December 31, 2022, and no impairment losses were recognized for the three and six months ended June 30, 2023 and 2022.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Commitments and Contingencies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maturities of operating lease liabilities as of June 30, 2023,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146685</wp:posOffset>
            </wp:positionV>
            <wp:extent cx="5650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56"/>
              <w:spacing w:after="0"/>
              <w:rPr>
                <w:sz w:val="20"/>
                <w:szCs w:val="20"/>
                <w:color w:val="auto"/>
              </w:rPr>
            </w:pPr>
            <w:r>
              <w:rPr>
                <w:rFonts w:ascii="Arial" w:cs="Arial" w:eastAsia="Arial" w:hAnsi="Arial"/>
                <w:sz w:val="14"/>
                <w:szCs w:val="14"/>
                <w:b w:val="1"/>
                <w:bCs w:val="1"/>
                <w:color w:val="auto"/>
              </w:rPr>
              <w:t>JUNE 30,</w:t>
            </w:r>
          </w:p>
        </w:tc>
      </w:tr>
      <w:tr>
        <w:trPr>
          <w:trHeight w:val="173"/>
        </w:trPr>
        <w:tc>
          <w:tcPr>
            <w:tcW w:w="7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r>
      <w:tr>
        <w:trPr>
          <w:trHeight w:val="192"/>
        </w:trPr>
        <w:tc>
          <w:tcPr>
            <w:tcW w:w="766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2023</w:t>
            </w:r>
          </w:p>
        </w:tc>
        <w:tc>
          <w:tcPr>
            <w:tcW w:w="200" w:type="dxa"/>
            <w:vAlign w:val="bottom"/>
            <w:tcBorders>
              <w:bottom w:val="single" w:sz="8" w:color="auto"/>
            </w:tcBorders>
            <w:shd w:val="clear" w:color="auto" w:fill="CCEEFF"/>
          </w:tcPr>
          <w:p>
            <w:pPr>
              <w:jc w:val="right"/>
              <w:ind w:right="11"/>
              <w:spacing w:after="0" w:line="19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74</w:t>
            </w:r>
          </w:p>
        </w:tc>
      </w:tr>
      <w:tr>
        <w:trPr>
          <w:trHeight w:val="192"/>
        </w:trPr>
        <w:tc>
          <w:tcPr>
            <w:tcW w:w="7660" w:type="dxa"/>
            <w:vAlign w:val="bottom"/>
          </w:tcPr>
          <w:p>
            <w:pPr>
              <w:spacing w:after="0" w:line="193" w:lineRule="exact"/>
              <w:rPr>
                <w:sz w:val="20"/>
                <w:szCs w:val="20"/>
                <w:color w:val="auto"/>
              </w:rPr>
            </w:pPr>
            <w:r>
              <w:rPr>
                <w:rFonts w:ascii="Arial" w:cs="Arial" w:eastAsia="Arial" w:hAnsi="Arial"/>
                <w:sz w:val="18"/>
                <w:szCs w:val="18"/>
                <w:color w:val="auto"/>
              </w:rPr>
              <w:t>Total undiscounted lease payments</w:t>
            </w:r>
          </w:p>
        </w:tc>
        <w:tc>
          <w:tcPr>
            <w:tcW w:w="2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Arial" w:cs="Arial" w:eastAsia="Arial" w:hAnsi="Arial"/>
                <w:sz w:val="18"/>
                <w:szCs w:val="18"/>
                <w:color w:val="auto"/>
              </w:rPr>
              <w:t>74</w:t>
            </w:r>
          </w:p>
        </w:tc>
      </w:tr>
      <w:tr>
        <w:trPr>
          <w:trHeight w:val="199"/>
        </w:trPr>
        <w:tc>
          <w:tcPr>
            <w:tcW w:w="766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w:t>
            </w:r>
          </w:p>
        </w:tc>
      </w:tr>
      <w:tr>
        <w:trPr>
          <w:trHeight w:val="192"/>
        </w:trPr>
        <w:tc>
          <w:tcPr>
            <w:tcW w:w="7660" w:type="dxa"/>
            <w:vAlign w:val="bottom"/>
          </w:tcPr>
          <w:p>
            <w:pPr>
              <w:spacing w:after="0" w:line="193" w:lineRule="exact"/>
              <w:rPr>
                <w:sz w:val="20"/>
                <w:szCs w:val="20"/>
                <w:color w:val="auto"/>
              </w:rPr>
            </w:pPr>
            <w:r>
              <w:rPr>
                <w:rFonts w:ascii="Arial" w:cs="Arial" w:eastAsia="Arial" w:hAnsi="Arial"/>
                <w:sz w:val="18"/>
                <w:szCs w:val="18"/>
                <w:color w:val="auto"/>
              </w:rPr>
              <w:t>Total operating lease liability</w:t>
            </w:r>
          </w:p>
        </w:tc>
        <w:tc>
          <w:tcPr>
            <w:tcW w:w="20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Arial" w:cs="Arial" w:eastAsia="Arial" w:hAnsi="Arial"/>
                <w:sz w:val="18"/>
                <w:szCs w:val="18"/>
                <w:color w:val="auto"/>
              </w:rPr>
              <w:t>73</w:t>
            </w:r>
          </w:p>
        </w:tc>
      </w:tr>
      <w:tr>
        <w:trPr>
          <w:trHeight w:val="199"/>
        </w:trPr>
        <w:tc>
          <w:tcPr>
            <w:tcW w:w="766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73</w:t>
            </w:r>
          </w:p>
        </w:tc>
      </w:tr>
      <w:tr>
        <w:trPr>
          <w:trHeight w:val="232"/>
        </w:trPr>
        <w:tc>
          <w:tcPr>
            <w:tcW w:w="7660" w:type="dxa"/>
            <w:vAlign w:val="bottom"/>
            <w:tcBorders>
              <w:bottom w:val="single" w:sz="8" w:color="CCEEFF"/>
            </w:tcBorders>
          </w:tcPr>
          <w:p>
            <w:pPr>
              <w:spacing w:after="0" w:line="193" w:lineRule="exact"/>
              <w:rPr>
                <w:sz w:val="20"/>
                <w:szCs w:val="20"/>
                <w:color w:val="auto"/>
              </w:rPr>
            </w:pPr>
            <w:r>
              <w:rPr>
                <w:rFonts w:ascii="Arial" w:cs="Arial" w:eastAsia="Arial" w:hAnsi="Arial"/>
                <w:sz w:val="18"/>
                <w:szCs w:val="18"/>
                <w:color w:val="auto"/>
              </w:rPr>
              <w:t>Operating lease liability, net of current portion</w:t>
            </w:r>
          </w:p>
        </w:tc>
        <w:tc>
          <w:tcPr>
            <w:tcW w:w="200" w:type="dxa"/>
            <w:vAlign w:val="bottom"/>
            <w:tcBorders>
              <w:bottom w:val="single" w:sz="8" w:color="auto"/>
            </w:tcBorders>
          </w:tcPr>
          <w:p>
            <w:pPr>
              <w:jc w:val="right"/>
              <w:ind w:right="11"/>
              <w:spacing w:after="0" w:line="19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w:t>
            </w:r>
          </w:p>
        </w:tc>
      </w:tr>
      <w:tr>
        <w:trPr>
          <w:trHeight w:val="179"/>
        </w:trPr>
        <w:tc>
          <w:tcPr>
            <w:tcW w:w="76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r>
    </w:tbl>
    <w:p>
      <w:pPr>
        <w:spacing w:after="0" w:line="186"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Operating lease cost was $ 0.3 million and $ 0.3 million for the three months ended June 30, 2023 and 2022, respectively, including $0.2 million and $0.2 million short-term lease costs for the three months ended June 30, 2023 and 2022, respectively. Operating lease cost was $0.6 million and $0.6 million for the six months ended June 30, 2023 and 2022, respectively, including $0.4 million and $0.4 million short-term lease costs for the six months ended June 30, 2023 and 2022, respectively. As of June 30, 2023, the weighted average remaining lease term was 0.3 years, and the weighted average discount rate used to measure the lease liabilities for such operating leases upon recognition was 7.4%. During the six months ended June 30, 2023 and 2022, cash paid for amounts included in operating lease liabilities of $0.2 million and $0.2 million, respectively, was included in cash flows from operating activities on the condensed consolidated statements of cash flows.</w:t>
      </w:r>
    </w:p>
    <w:p>
      <w:pPr>
        <w:spacing w:after="0" w:line="189"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In June 2023, Shanghai ShouTi Biotechnology Co., Ltd. (“Shanghai ShouTi”), the Company’s wholly owned subsidiary, entered into a lease agreement for approximately 22,500 square feet of office space in Shanghai, China, for its research and development operations office. The commencement date is expected to be January 1, 2024 and will expire on December 31, 2026. The annual base rent will be approximately $0.7 million based on the exchange rate as of June 30, 2023, and it will also be responsible for the payment of additional costs and fees related to its use of the premises. As of June 30, 2023, Shanghai ShouTi has not taken possession of the premises.</w:t>
      </w:r>
    </w:p>
    <w:p>
      <w:pPr>
        <w:spacing w:after="0" w:line="188"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In June 2023, Shanghai ShouTi entered into another lease agreement for approximately 8,400 square feet of laboratory space located in Shanghai, China for its research and development activities. The commencement date is expected to be February 1, 2024 and will expire on January 31, 2027. The annual base rent will be approximately $0.3 million based on the exchange rate as of June 30, 2023, and it will also be responsible for the payment of additional costs and fees related to its use of the premises. As of June 30, 2023, Shanghai ShouTi has not taken possession of the premises.</w:t>
      </w:r>
    </w:p>
    <w:p>
      <w:pPr>
        <w:spacing w:after="0" w:line="192" w:lineRule="exact"/>
        <w:rPr>
          <w:sz w:val="20"/>
          <w:szCs w:val="20"/>
          <w:color w:val="auto"/>
        </w:rPr>
      </w:pPr>
    </w:p>
    <w:p>
      <w:pPr>
        <w:ind w:left="40" w:right="159"/>
        <w:spacing w:after="0" w:line="251" w:lineRule="auto"/>
        <w:rPr>
          <w:sz w:val="20"/>
          <w:szCs w:val="20"/>
          <w:color w:val="auto"/>
        </w:rPr>
      </w:pPr>
      <w:r>
        <w:rPr>
          <w:rFonts w:ascii="Arial" w:cs="Arial" w:eastAsia="Arial" w:hAnsi="Arial"/>
          <w:sz w:val="17"/>
          <w:szCs w:val="17"/>
          <w:color w:val="auto"/>
        </w:rPr>
        <w:t>In June 2023, Structure Therapeutics USA Inc. (“Structure USA”), the Company’s wholly owned subsidiary, entered into a sublease agreement for approximately 11,800 square feet of office space located in South San Francisco, California for its corporate headquarters. The commencement date is expected to be August 1, 2023 and will expire on August 31, 2027. The annual base rent will initially be approximately $0.5 million and will increase annually by 3%, and it will also be responsible for the payment of additional costs and fees related to its use of the premises. As of June 30, 2023, Structure USA has not taken possession of the premises.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15"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the applicable law and the amended and restated memorandum and articles of association of the Company. The Company currently has directors’ and officers’ liability insurance. As of June 30, 2023 and December 31, 2022, the Company did not have any material indemnification claims that were probable or reasonably possible and consequently had not recorded related liabilities.</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15" w:lineRule="exact"/>
        <w:rPr>
          <w:sz w:val="20"/>
          <w:szCs w:val="20"/>
          <w:color w:val="auto"/>
        </w:rPr>
      </w:pPr>
    </w:p>
    <w:p>
      <w:pPr>
        <w:ind w:left="40" w:right="59"/>
        <w:spacing w:after="0"/>
        <w:rPr>
          <w:sz w:val="20"/>
          <w:szCs w:val="20"/>
          <w:color w:val="auto"/>
        </w:rPr>
      </w:pPr>
      <w:r>
        <w:rPr>
          <w:rFonts w:ascii="Arial" w:cs="Arial" w:eastAsia="Arial" w:hAnsi="Arial"/>
          <w:sz w:val="18"/>
          <w:szCs w:val="18"/>
          <w:color w:val="auto"/>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Redeemable Convertible Preferred Shares</w:t>
      </w:r>
    </w:p>
    <w:p>
      <w:pPr>
        <w:spacing w:after="0" w:line="215" w:lineRule="exact"/>
        <w:rPr>
          <w:sz w:val="20"/>
          <w:szCs w:val="20"/>
          <w:color w:val="auto"/>
        </w:rPr>
      </w:pPr>
    </w:p>
    <w:p>
      <w:pPr>
        <w:ind w:left="40" w:right="339"/>
        <w:spacing w:after="0" w:line="250" w:lineRule="auto"/>
        <w:rPr>
          <w:sz w:val="20"/>
          <w:szCs w:val="20"/>
          <w:color w:val="auto"/>
        </w:rPr>
      </w:pPr>
      <w:r>
        <w:rPr>
          <w:rFonts w:ascii="Arial" w:cs="Arial" w:eastAsia="Arial" w:hAnsi="Arial"/>
          <w:sz w:val="18"/>
          <w:szCs w:val="18"/>
          <w:color w:val="auto"/>
        </w:rPr>
        <w:t>Under the Company’s Memorandum and Articles of Association, as amended, prior to the IPO, the Company’s redeemable convertible preferred shares were issuable in series.</w:t>
      </w:r>
    </w:p>
    <w:p>
      <w:pPr>
        <w:spacing w:after="0" w:line="180" w:lineRule="exact"/>
        <w:rPr>
          <w:sz w:val="20"/>
          <w:szCs w:val="20"/>
          <w:color w:val="auto"/>
        </w:rPr>
      </w:pPr>
    </w:p>
    <w:p>
      <w:pPr>
        <w:ind w:left="40" w:right="479"/>
        <w:spacing w:after="0" w:line="250" w:lineRule="auto"/>
        <w:rPr>
          <w:sz w:val="20"/>
          <w:szCs w:val="20"/>
          <w:color w:val="auto"/>
        </w:rPr>
      </w:pPr>
      <w:r>
        <w:rPr>
          <w:rFonts w:ascii="Arial" w:cs="Arial" w:eastAsia="Arial" w:hAnsi="Arial"/>
          <w:sz w:val="18"/>
          <w:szCs w:val="18"/>
          <w:color w:val="auto"/>
        </w:rPr>
        <w:t>As of December 31, 2022, redeemable convertible preferred shares consisted of the following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122555</wp:posOffset>
            </wp:positionV>
            <wp:extent cx="5650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2022</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SHARES ISSUED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9"/>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37"/>
              <w:spacing w:after="0" w:line="15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35"/>
              <w:spacing w:after="0" w:line="159" w:lineRule="exact"/>
              <w:rPr>
                <w:sz w:val="20"/>
                <w:szCs w:val="20"/>
                <w:color w:val="auto"/>
              </w:rPr>
            </w:pPr>
            <w:r>
              <w:rPr>
                <w:rFonts w:ascii="Arial" w:cs="Arial" w:eastAsia="Arial" w:hAnsi="Arial"/>
                <w:sz w:val="14"/>
                <w:szCs w:val="14"/>
                <w:b w:val="1"/>
                <w:bCs w:val="1"/>
                <w:color w:val="auto"/>
                <w:w w:val="99"/>
              </w:rPr>
              <w:t>ORIGINAL</w:t>
            </w:r>
          </w:p>
        </w:tc>
        <w:tc>
          <w:tcPr>
            <w:tcW w:w="160" w:type="dxa"/>
            <w:vAlign w:val="bottom"/>
          </w:tcPr>
          <w:p>
            <w:pPr>
              <w:spacing w:after="0"/>
              <w:rPr>
                <w:sz w:val="13"/>
                <w:szCs w:val="13"/>
                <w:color w:val="auto"/>
              </w:rPr>
            </w:pPr>
          </w:p>
        </w:tc>
        <w:tc>
          <w:tcPr>
            <w:tcW w:w="1300" w:type="dxa"/>
            <w:vAlign w:val="bottom"/>
            <w:gridSpan w:val="2"/>
          </w:tcPr>
          <w:p>
            <w:pPr>
              <w:jc w:val="center"/>
              <w:ind w:right="100"/>
              <w:spacing w:after="0" w:line="159"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9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r>
      <w:tr>
        <w:trPr>
          <w:trHeight w:val="173"/>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SERIES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ISSUE PRICE</w:t>
            </w:r>
          </w:p>
        </w:tc>
        <w:tc>
          <w:tcPr>
            <w:tcW w:w="16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VALUE</w:t>
            </w:r>
          </w:p>
        </w:tc>
      </w:tr>
      <w:tr>
        <w:trPr>
          <w:trHeight w:val="192"/>
        </w:trPr>
        <w:tc>
          <w:tcPr>
            <w:tcW w:w="20" w:type="dxa"/>
            <w:vAlign w:val="bottom"/>
          </w:tcPr>
          <w:p>
            <w:pPr>
              <w:spacing w:after="0"/>
              <w:rPr>
                <w:sz w:val="16"/>
                <w:szCs w:val="16"/>
                <w:color w:val="auto"/>
              </w:rPr>
            </w:pPr>
          </w:p>
        </w:tc>
        <w:tc>
          <w:tcPr>
            <w:tcW w:w="310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A</w:t>
            </w: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19,200,000</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1.6667</w:t>
            </w:r>
          </w:p>
        </w:tc>
        <w:tc>
          <w:tcPr>
            <w:tcW w:w="1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19,200,000</w:t>
            </w: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32,001</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32,001</w:t>
            </w:r>
          </w:p>
        </w:tc>
      </w:tr>
      <w:tr>
        <w:trPr>
          <w:trHeight w:val="199"/>
        </w:trPr>
        <w:tc>
          <w:tcPr>
            <w:tcW w:w="20" w:type="dxa"/>
            <w:vAlign w:val="bottom"/>
          </w:tcPr>
          <w:p>
            <w:pPr>
              <w:spacing w:after="0"/>
              <w:rPr>
                <w:sz w:val="17"/>
                <w:szCs w:val="17"/>
                <w:color w:val="auto"/>
              </w:rPr>
            </w:pPr>
          </w:p>
        </w:tc>
        <w:tc>
          <w:tcPr>
            <w:tcW w:w="3260" w:type="dxa"/>
            <w:vAlign w:val="bottom"/>
            <w:gridSpan w:val="2"/>
          </w:tcPr>
          <w:p>
            <w:pPr>
              <w:spacing w:after="0" w:line="199" w:lineRule="exact"/>
              <w:rPr>
                <w:sz w:val="20"/>
                <w:szCs w:val="20"/>
                <w:color w:val="auto"/>
              </w:rPr>
            </w:pPr>
            <w:r>
              <w:rPr>
                <w:rFonts w:ascii="Arial" w:cs="Arial" w:eastAsia="Arial" w:hAnsi="Arial"/>
                <w:sz w:val="18"/>
                <w:szCs w:val="18"/>
                <w:color w:val="auto"/>
              </w:rPr>
              <w:t>A+</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12,799,681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9" w:lineRule="exact"/>
              <w:rPr>
                <w:sz w:val="20"/>
                <w:szCs w:val="20"/>
                <w:color w:val="auto"/>
              </w:rPr>
            </w:pPr>
            <w:r>
              <w:rPr>
                <w:rFonts w:ascii="Arial" w:cs="Arial" w:eastAsia="Arial" w:hAnsi="Arial"/>
                <w:sz w:val="18"/>
                <w:szCs w:val="18"/>
                <w:color w:val="auto"/>
              </w:rPr>
              <w:t>2.0313</w:t>
            </w:r>
          </w:p>
        </w:tc>
        <w:tc>
          <w:tcPr>
            <w:tcW w:w="13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12,799,681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26,000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26,000</w:t>
            </w:r>
          </w:p>
        </w:tc>
      </w:tr>
      <w:tr>
        <w:trPr>
          <w:trHeight w:val="199"/>
        </w:trPr>
        <w:tc>
          <w:tcPr>
            <w:tcW w:w="20" w:type="dxa"/>
            <w:vAlign w:val="bottom"/>
          </w:tcPr>
          <w:p>
            <w:pPr>
              <w:spacing w:after="0"/>
              <w:rPr>
                <w:sz w:val="17"/>
                <w:szCs w:val="17"/>
                <w:color w:val="auto"/>
              </w:rPr>
            </w:pPr>
          </w:p>
        </w:tc>
        <w:tc>
          <w:tcPr>
            <w:tcW w:w="326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B</w:t>
            </w:r>
          </w:p>
        </w:tc>
        <w:tc>
          <w:tcPr>
            <w:tcW w:w="10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32,857,004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4.0483</w:t>
            </w:r>
          </w:p>
        </w:tc>
        <w:tc>
          <w:tcPr>
            <w:tcW w:w="1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32,857,004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133,015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133,015</w:t>
            </w:r>
          </w:p>
        </w:tc>
      </w:tr>
      <w:tr>
        <w:trPr>
          <w:trHeight w:val="199"/>
        </w:trPr>
        <w:tc>
          <w:tcPr>
            <w:tcW w:w="20" w:type="dxa"/>
            <w:vAlign w:val="bottom"/>
          </w:tcPr>
          <w:p>
            <w:pPr>
              <w:spacing w:after="0"/>
              <w:rPr>
                <w:sz w:val="17"/>
                <w:szCs w:val="17"/>
                <w:color w:val="auto"/>
              </w:rPr>
            </w:pPr>
          </w:p>
        </w:tc>
        <w:tc>
          <w:tcPr>
            <w:tcW w:w="3260" w:type="dxa"/>
            <w:vAlign w:val="bottom"/>
            <w:gridSpan w:val="2"/>
          </w:tcPr>
          <w:p>
            <w:pPr>
              <w:spacing w:after="0" w:line="199" w:lineRule="exact"/>
              <w:rPr>
                <w:sz w:val="20"/>
                <w:szCs w:val="20"/>
                <w:color w:val="auto"/>
              </w:rPr>
            </w:pPr>
            <w:r>
              <w:rPr>
                <w:rFonts w:ascii="Arial" w:cs="Arial" w:eastAsia="Arial" w:hAnsi="Arial"/>
                <w:sz w:val="18"/>
                <w:szCs w:val="18"/>
                <w:color w:val="auto"/>
              </w:rPr>
              <w:t>B-1</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2,161,402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9" w:lineRule="exact"/>
              <w:rPr>
                <w:sz w:val="20"/>
                <w:szCs w:val="20"/>
                <w:color w:val="auto"/>
              </w:rPr>
            </w:pPr>
            <w:r>
              <w:rPr>
                <w:rFonts w:ascii="Arial" w:cs="Arial" w:eastAsia="Arial" w:hAnsi="Arial"/>
                <w:sz w:val="18"/>
                <w:szCs w:val="18"/>
                <w:color w:val="auto"/>
              </w:rPr>
              <w:t>3.2386</w:t>
            </w:r>
          </w:p>
        </w:tc>
        <w:tc>
          <w:tcPr>
            <w:tcW w:w="13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2,161,402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8,959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7,000</w:t>
            </w:r>
          </w:p>
        </w:tc>
      </w:tr>
      <w:tr>
        <w:trPr>
          <w:trHeight w:val="192"/>
        </w:trPr>
        <w:tc>
          <w:tcPr>
            <w:tcW w:w="20" w:type="dxa"/>
            <w:vAlign w:val="bottom"/>
          </w:tcPr>
          <w:p>
            <w:pPr>
              <w:spacing w:after="0"/>
              <w:rPr>
                <w:sz w:val="16"/>
                <w:szCs w:val="16"/>
                <w:color w:val="auto"/>
              </w:rPr>
            </w:pPr>
          </w:p>
        </w:tc>
        <w:tc>
          <w:tcPr>
            <w:tcW w:w="3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67,018,087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67,018,087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199,975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198,016</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bl>
    <w:p>
      <w:pPr>
        <w:spacing w:after="0" w:line="186" w:lineRule="exact"/>
        <w:rPr>
          <w:sz w:val="20"/>
          <w:szCs w:val="20"/>
          <w:color w:val="auto"/>
        </w:rPr>
      </w:pPr>
    </w:p>
    <w:p>
      <w:pPr>
        <w:ind w:left="40" w:right="619"/>
        <w:spacing w:after="0"/>
        <w:rPr>
          <w:sz w:val="20"/>
          <w:szCs w:val="20"/>
          <w:color w:val="auto"/>
        </w:rPr>
      </w:pPr>
      <w:r>
        <w:rPr>
          <w:rFonts w:ascii="Arial" w:cs="Arial" w:eastAsia="Arial" w:hAnsi="Arial"/>
          <w:sz w:val="18"/>
          <w:szCs w:val="18"/>
          <w:color w:val="auto"/>
        </w:rPr>
        <w:t>Dividends on redeemable convertible preferred shares are noncumulative and none were declared through conversion. Upon closing of the Company’s IPO, all outstanding redeemable convertible preferred shares automatically converted into 67,018,087 ordinary shares on a one-for-one basis.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Shareholders’ Equity</w:t>
      </w:r>
    </w:p>
    <w:p>
      <w:pPr>
        <w:spacing w:after="0" w:line="215" w:lineRule="exact"/>
        <w:rPr>
          <w:sz w:val="20"/>
          <w:szCs w:val="20"/>
          <w:color w:val="auto"/>
        </w:rPr>
      </w:pPr>
    </w:p>
    <w:p>
      <w:pPr>
        <w:ind w:left="40" w:right="419"/>
        <w:spacing w:after="0" w:line="262" w:lineRule="auto"/>
        <w:rPr>
          <w:sz w:val="20"/>
          <w:szCs w:val="20"/>
          <w:color w:val="auto"/>
        </w:rPr>
      </w:pPr>
      <w:r>
        <w:rPr>
          <w:rFonts w:ascii="Arial" w:cs="Arial" w:eastAsia="Arial" w:hAnsi="Arial"/>
          <w:sz w:val="17"/>
          <w:szCs w:val="17"/>
          <w:color w:val="auto"/>
        </w:rPr>
        <w:t>As of June 30, 2023, the Company’s Memorandum and Articles of Association, as amended, authorizes the Company to issue 500,000,000 ordinary shares and 100,000,000 undesignated shares, of which 7,410,518 shares have been designated as non-voting ordinary shares and 92,589,482 remain undesignated shares, all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79" w:lineRule="exact"/>
        <w:rPr>
          <w:sz w:val="20"/>
          <w:szCs w:val="20"/>
          <w:color w:val="auto"/>
        </w:rPr>
      </w:pPr>
    </w:p>
    <w:p>
      <w:pPr>
        <w:ind w:left="40" w:right="239"/>
        <w:spacing w:after="0" w:line="250" w:lineRule="auto"/>
        <w:rPr>
          <w:sz w:val="20"/>
          <w:szCs w:val="20"/>
          <w:color w:val="auto"/>
        </w:rPr>
      </w:pPr>
      <w:r>
        <w:rPr>
          <w:rFonts w:ascii="Arial" w:cs="Arial" w:eastAsia="Arial" w:hAnsi="Arial"/>
          <w:sz w:val="18"/>
          <w:szCs w:val="18"/>
          <w:color w:val="auto"/>
        </w:rPr>
        <w:t>with a par value of $0.0001 per share. The undesignated shares may be designated by the Company’s board of directors in accordance with the Company’s Articles of Association.</w:t>
      </w:r>
    </w:p>
    <w:p>
      <w:pPr>
        <w:spacing w:after="0" w:line="180"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In May 2023, the Company’s board of directors designated 7,410,518 non-voting ordinary shares in accordance with the Articles of Association. The non-voting ordinary shares rank on parity with the ordinary shares as to distributions of assets upon liquidation, dissolution or winding up of the Company, whether voluntary or involuntary. The non-voting ordinary shares are entitled on an equal basis to any dividends declared on the ordinary shares on an as-converted to ordinary share basis. Each non-voting ordinary shareholder has the right to convert each non-voting ordinary share into one ordinary share, subject to appropriate adjustment in the event of any dividend, split, reverse split, combination or other similar recapitalization with respect to the ordinary shares, at such holder’s election by providing written notice to the Company, provided that such non-voting ordinary shares may only be converted into ordinary shares during such time or times as immediately prior to or as a result of such conversion would not result in the holder thereof beneficially owning, when aggregated with affiliates with whom such holder is required to aggregate beneficial ownership for purposes of Section 13(d) of the Exchange Act, in excess of the 9.99% of the ordinary shares (The “Beneficial Ownership Limitation”). Any non-voting ordinary shareholder may increase the Beneficial Ownership Limitation with respect to such holder, not to exceed 19.99% of the ordinary shares, upon 61 days’ prior written notice to the Company and may decrease the Beneficial Ownership Limitation at any time upon providing written notice of such election to the Company; provided, however, that no holder may make such an election to change the percentage with respect to such holder unless all holders managed by the same investment advisor as such electing holder make the same election.</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May 2023, the Company entered into an Exchange Agreement with Biotechnology Value Fund, L.P.,</w:t>
      </w:r>
    </w:p>
    <w:p>
      <w:pPr>
        <w:ind w:left="40"/>
        <w:spacing w:after="0" w:line="235" w:lineRule="auto"/>
        <w:rPr>
          <w:sz w:val="20"/>
          <w:szCs w:val="20"/>
          <w:color w:val="auto"/>
        </w:rPr>
      </w:pPr>
      <w:r>
        <w:rPr>
          <w:rFonts w:ascii="Arial" w:cs="Arial" w:eastAsia="Arial" w:hAnsi="Arial"/>
          <w:sz w:val="18"/>
          <w:szCs w:val="18"/>
          <w:color w:val="auto"/>
        </w:rPr>
        <w:t>Biotechnology Value Fund II, L.P., and Biotechnology Value Trading Fund OS, L.P. (each an “Investor” and</w:t>
      </w:r>
    </w:p>
    <w:p>
      <w:pPr>
        <w:ind w:left="40"/>
        <w:spacing w:after="0" w:line="231" w:lineRule="auto"/>
        <w:rPr>
          <w:sz w:val="20"/>
          <w:szCs w:val="20"/>
          <w:color w:val="auto"/>
        </w:rPr>
      </w:pPr>
      <w:r>
        <w:rPr>
          <w:rFonts w:ascii="Arial" w:cs="Arial" w:eastAsia="Arial" w:hAnsi="Arial"/>
          <w:sz w:val="18"/>
          <w:szCs w:val="18"/>
          <w:color w:val="auto"/>
        </w:rPr>
        <w:t>together, the “Investors”), who in the aggregate hold more than 5% of the Company’s issued share capital,</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pursuant to which the Investors delivered to the Company, a total of 7,410,518 ordinary shares of the Company, in</w:t>
      </w:r>
    </w:p>
    <w:p>
      <w:pPr>
        <w:ind w:left="40"/>
        <w:spacing w:after="0" w:line="235" w:lineRule="auto"/>
        <w:rPr>
          <w:sz w:val="20"/>
          <w:szCs w:val="20"/>
          <w:color w:val="auto"/>
        </w:rPr>
      </w:pPr>
      <w:r>
        <w:rPr>
          <w:rFonts w:ascii="Arial" w:cs="Arial" w:eastAsia="Arial" w:hAnsi="Arial"/>
          <w:sz w:val="18"/>
          <w:szCs w:val="18"/>
          <w:color w:val="auto"/>
        </w:rPr>
        <w:t>exchange for the Company’s delivery of 7,410,518 newly designated non-voting ordinary shares, par value</w:t>
      </w:r>
    </w:p>
    <w:p>
      <w:pPr>
        <w:ind w:left="40"/>
        <w:spacing w:after="0"/>
        <w:rPr>
          <w:sz w:val="20"/>
          <w:szCs w:val="20"/>
          <w:color w:val="auto"/>
        </w:rPr>
      </w:pPr>
      <w:r>
        <w:rPr>
          <w:rFonts w:ascii="Arial" w:cs="Arial" w:eastAsia="Arial" w:hAnsi="Arial"/>
          <w:sz w:val="17"/>
          <w:szCs w:val="17"/>
          <w:color w:val="auto"/>
        </w:rPr>
        <w:t>$0.0001 per share. The exchange did not result in any change in the aggregate number of outstanding shares of</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as the exchange was implemented on a one-for-one basis.</w:t>
      </w:r>
    </w:p>
    <w:p>
      <w:pPr>
        <w:spacing w:after="0" w:line="193" w:lineRule="exact"/>
        <w:rPr>
          <w:sz w:val="20"/>
          <w:szCs w:val="20"/>
          <w:color w:val="auto"/>
        </w:rPr>
      </w:pPr>
    </w:p>
    <w:p>
      <w:pPr>
        <w:jc w:val="both"/>
        <w:ind w:left="40" w:right="99"/>
        <w:spacing w:after="0" w:line="262" w:lineRule="auto"/>
        <w:rPr>
          <w:sz w:val="20"/>
          <w:szCs w:val="20"/>
          <w:color w:val="auto"/>
        </w:rPr>
      </w:pPr>
      <w:r>
        <w:rPr>
          <w:rFonts w:ascii="Arial" w:cs="Arial" w:eastAsia="Arial" w:hAnsi="Arial"/>
          <w:sz w:val="17"/>
          <w:szCs w:val="17"/>
          <w:color w:val="auto"/>
        </w:rPr>
        <w:t>Ordinary shareholders, including non-voting ordinary shareholders, are entitled to dividends if and when declared by the Company’s board of directors subject to the prior rights of any preferred shareholders. As of June 30, 2023 and December 31, 2022, no dividends on ordinary shares had been declared by the board of directors.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Options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share option activity is set forth below (in thousands except per share amounts and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146685</wp:posOffset>
            </wp:positionV>
            <wp:extent cx="56502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NUMBER</w:t>
            </w: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OUTSTANDING AWARDS</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160"/>
              <w:spacing w:after="0" w:line="139" w:lineRule="exact"/>
              <w:rPr>
                <w:sz w:val="20"/>
                <w:szCs w:val="20"/>
                <w:color w:val="auto"/>
              </w:rPr>
            </w:pPr>
            <w:r>
              <w:rPr>
                <w:rFonts w:ascii="Arial" w:cs="Arial" w:eastAsia="Arial" w:hAnsi="Arial"/>
                <w:sz w:val="14"/>
                <w:szCs w:val="14"/>
                <w:b w:val="1"/>
                <w:bCs w:val="1"/>
                <w:color w:val="auto"/>
                <w:w w:val="99"/>
              </w:rPr>
              <w:t>WEIGHTED-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100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OF</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8"/>
              </w:rPr>
              <w:t>AVERAGE</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10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9"/>
              </w:rPr>
              <w:t>SHARES</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9"/>
              </w:rPr>
              <w:t>SHARES</w:t>
            </w:r>
          </w:p>
        </w:tc>
        <w:tc>
          <w:tcPr>
            <w:tcW w:w="80" w:type="dxa"/>
            <w:vAlign w:val="bottom"/>
          </w:tcPr>
          <w:p>
            <w:pPr>
              <w:spacing w:after="0"/>
              <w:rPr>
                <w:sz w:val="13"/>
                <w:szCs w:val="13"/>
                <w:color w:val="auto"/>
              </w:rPr>
            </w:pPr>
          </w:p>
        </w:tc>
        <w:tc>
          <w:tcPr>
            <w:tcW w:w="98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99"/>
              </w:rPr>
              <w:t>WEIGHTED-</w:t>
            </w:r>
          </w:p>
        </w:tc>
        <w:tc>
          <w:tcPr>
            <w:tcW w:w="13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99"/>
              </w:rPr>
              <w:t>REMAINING</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10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w w:val="97"/>
              </w:rPr>
              <w:t>AVAILABLE</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rPr>
              <w:t>UNDERLYING</w:t>
            </w:r>
          </w:p>
        </w:tc>
        <w:tc>
          <w:tcPr>
            <w:tcW w:w="80" w:type="dxa"/>
            <w:vAlign w:val="bottom"/>
          </w:tcPr>
          <w:p>
            <w:pPr>
              <w:spacing w:after="0"/>
              <w:rPr>
                <w:sz w:val="13"/>
                <w:szCs w:val="13"/>
                <w:color w:val="auto"/>
              </w:rPr>
            </w:pPr>
          </w:p>
        </w:tc>
        <w:tc>
          <w:tcPr>
            <w:tcW w:w="98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w w:val="98"/>
              </w:rPr>
              <w:t>AVERAGE</w:t>
            </w:r>
          </w:p>
        </w:tc>
        <w:tc>
          <w:tcPr>
            <w:tcW w:w="13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CONTRACTUAL</w:t>
            </w:r>
          </w:p>
        </w:tc>
        <w:tc>
          <w:tcPr>
            <w:tcW w:w="9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AGGREGATE</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100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FOR</w:t>
            </w:r>
          </w:p>
        </w:tc>
        <w:tc>
          <w:tcPr>
            <w:tcW w:w="11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9"/>
              </w:rPr>
              <w:t>OUTSTANDING</w:t>
            </w:r>
          </w:p>
        </w:tc>
        <w:tc>
          <w:tcPr>
            <w:tcW w:w="80" w:type="dxa"/>
            <w:vAlign w:val="bottom"/>
          </w:tcPr>
          <w:p>
            <w:pPr>
              <w:spacing w:after="0"/>
              <w:rPr>
                <w:sz w:val="13"/>
                <w:szCs w:val="13"/>
                <w:color w:val="auto"/>
              </w:rPr>
            </w:pPr>
          </w:p>
        </w:tc>
        <w:tc>
          <w:tcPr>
            <w:tcW w:w="980" w:type="dxa"/>
            <w:vAlign w:val="bottom"/>
            <w:gridSpan w:val="3"/>
          </w:tcPr>
          <w:p>
            <w:pPr>
              <w:jc w:val="center"/>
              <w:ind w:right="140"/>
              <w:spacing w:after="0" w:line="159" w:lineRule="exact"/>
              <w:rPr>
                <w:sz w:val="20"/>
                <w:szCs w:val="20"/>
                <w:color w:val="auto"/>
              </w:rPr>
            </w:pPr>
            <w:r>
              <w:rPr>
                <w:rFonts w:ascii="Arial" w:cs="Arial" w:eastAsia="Arial" w:hAnsi="Arial"/>
                <w:sz w:val="14"/>
                <w:szCs w:val="14"/>
                <w:b w:val="1"/>
                <w:bCs w:val="1"/>
                <w:color w:val="auto"/>
              </w:rPr>
              <w:t>EXERCISE</w:t>
            </w:r>
          </w:p>
        </w:tc>
        <w:tc>
          <w:tcPr>
            <w:tcW w:w="132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TERM</w:t>
            </w:r>
          </w:p>
        </w:tc>
        <w:tc>
          <w:tcPr>
            <w:tcW w:w="9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OPTIONS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 YEARS)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3440" w:type="dxa"/>
            <w:vAlign w:val="bottom"/>
            <w:tcBorders>
              <w:top w:val="single" w:sz="8" w:color="CCEEFF"/>
            </w:tcBorders>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As of December 31, 2022</w:t>
            </w:r>
          </w:p>
        </w:tc>
        <w:tc>
          <w:tcPr>
            <w:tcW w:w="8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977</w:t>
            </w:r>
          </w:p>
        </w:tc>
        <w:tc>
          <w:tcPr>
            <w:tcW w:w="1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7,612</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1.62</w:t>
            </w: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2"/>
              <w:spacing w:after="0" w:line="193" w:lineRule="exact"/>
              <w:rPr>
                <w:sz w:val="20"/>
                <w:szCs w:val="20"/>
                <w:color w:val="auto"/>
              </w:rPr>
            </w:pPr>
            <w:r>
              <w:rPr>
                <w:rFonts w:ascii="Arial" w:cs="Arial" w:eastAsia="Arial" w:hAnsi="Arial"/>
                <w:sz w:val="18"/>
                <w:szCs w:val="18"/>
                <w:color w:val="auto"/>
              </w:rPr>
              <w:t>8.57</w:t>
            </w: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   13,283</w:t>
            </w:r>
          </w:p>
        </w:tc>
        <w:tc>
          <w:tcPr>
            <w:tcW w:w="0" w:type="dxa"/>
            <w:vAlign w:val="bottom"/>
          </w:tcPr>
          <w:p>
            <w:pPr>
              <w:spacing w:after="0"/>
              <w:rPr>
                <w:sz w:val="1"/>
                <w:szCs w:val="1"/>
                <w:color w:val="auto"/>
              </w:rPr>
            </w:pPr>
          </w:p>
        </w:tc>
      </w:tr>
      <w:tr>
        <w:trPr>
          <w:trHeight w:val="199"/>
        </w:trPr>
        <w:tc>
          <w:tcPr>
            <w:tcW w:w="3440" w:type="dxa"/>
            <w:vAlign w:val="bottom"/>
          </w:tcPr>
          <w:p>
            <w:pPr>
              <w:spacing w:after="0" w:line="199" w:lineRule="exact"/>
              <w:rPr>
                <w:sz w:val="20"/>
                <w:szCs w:val="20"/>
                <w:color w:val="auto"/>
              </w:rPr>
            </w:pPr>
            <w:r>
              <w:rPr>
                <w:rFonts w:ascii="Arial" w:cs="Arial" w:eastAsia="Arial" w:hAnsi="Arial"/>
                <w:sz w:val="18"/>
                <w:szCs w:val="18"/>
                <w:color w:val="auto"/>
              </w:rPr>
              <w:t>Additional shares authorized</w:t>
            </w:r>
          </w:p>
        </w:tc>
        <w:tc>
          <w:tcPr>
            <w:tcW w:w="840" w:type="dxa"/>
            <w:vAlign w:val="bottom"/>
          </w:tcPr>
          <w:p>
            <w:pPr>
              <w:jc w:val="right"/>
              <w:spacing w:after="0" w:line="199" w:lineRule="exact"/>
              <w:rPr>
                <w:sz w:val="20"/>
                <w:szCs w:val="20"/>
                <w:color w:val="auto"/>
              </w:rPr>
            </w:pPr>
            <w:r>
              <w:rPr>
                <w:rFonts w:ascii="Arial" w:cs="Arial" w:eastAsia="Arial" w:hAnsi="Arial"/>
                <w:sz w:val="18"/>
                <w:szCs w:val="18"/>
                <w:color w:val="auto"/>
              </w:rPr>
              <w:t>12,000</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line="19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160"/>
              <w:spacing w:after="0" w:line="199" w:lineRule="exact"/>
              <w:rPr>
                <w:sz w:val="20"/>
                <w:szCs w:val="20"/>
                <w:color w:val="auto"/>
              </w:rPr>
            </w:pPr>
            <w:r>
              <w:rPr>
                <w:rFonts w:ascii="Arial" w:cs="Arial" w:eastAsia="Arial" w:hAnsi="Arial"/>
                <w:sz w:val="18"/>
                <w:szCs w:val="18"/>
                <w:color w:val="auto"/>
              </w:rPr>
              <w:t>(4,760)</w:t>
            </w:r>
          </w:p>
        </w:tc>
        <w:tc>
          <w:tcPr>
            <w:tcW w:w="10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4,760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tcPr>
          <w:p>
            <w:pPr>
              <w:spacing w:after="0" w:line="199" w:lineRule="exact"/>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240"/>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199" w:lineRule="exact"/>
              <w:rPr>
                <w:sz w:val="20"/>
                <w:szCs w:val="20"/>
                <w:color w:val="auto"/>
              </w:rPr>
            </w:pPr>
            <w:r>
              <w:rPr>
                <w:rFonts w:ascii="Arial" w:cs="Arial" w:eastAsia="Arial" w:hAnsi="Arial"/>
                <w:sz w:val="18"/>
                <w:szCs w:val="18"/>
                <w:color w:val="auto"/>
              </w:rPr>
              <w:t>(94)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2.22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199" w:lineRule="exact"/>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440" w:type="dxa"/>
            <w:vAlign w:val="bottom"/>
            <w:tcBorders>
              <w:bottom w:val="single" w:sz="8" w:color="CCEEFF"/>
            </w:tcBorders>
          </w:tcPr>
          <w:p>
            <w:pPr>
              <w:spacing w:after="0" w:line="193" w:lineRule="exact"/>
              <w:rPr>
                <w:sz w:val="20"/>
                <w:szCs w:val="20"/>
                <w:color w:val="auto"/>
              </w:rPr>
            </w:pPr>
            <w:r>
              <w:rPr>
                <w:rFonts w:ascii="Arial" w:cs="Arial" w:eastAsia="Arial" w:hAnsi="Arial"/>
                <w:sz w:val="18"/>
                <w:szCs w:val="18"/>
                <w:b w:val="1"/>
                <w:bCs w:val="1"/>
                <w:color w:val="auto"/>
              </w:rPr>
              <w:t>As of June 30, 2023</w:t>
            </w:r>
          </w:p>
        </w:tc>
        <w:tc>
          <w:tcPr>
            <w:tcW w:w="84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8,453</w:t>
            </w:r>
          </w:p>
        </w:tc>
        <w:tc>
          <w:tcPr>
            <w:tcW w:w="16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12,042</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jc w:val="right"/>
              <w:spacing w:after="0" w:line="193" w:lineRule="exact"/>
              <w:rPr>
                <w:sz w:val="20"/>
                <w:szCs w:val="20"/>
                <w:color w:val="auto"/>
              </w:rPr>
            </w:pPr>
            <w:r>
              <w:rPr>
                <w:rFonts w:ascii="Arial" w:cs="Arial" w:eastAsia="Arial" w:hAnsi="Arial"/>
                <w:sz w:val="18"/>
                <w:szCs w:val="18"/>
                <w:color w:val="auto"/>
              </w:rPr>
              <w:t>3.24</w:t>
            </w:r>
          </w:p>
        </w:tc>
        <w:tc>
          <w:tcPr>
            <w:tcW w:w="16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ind w:right="2"/>
              <w:spacing w:after="0" w:line="193" w:lineRule="exact"/>
              <w:rPr>
                <w:sz w:val="20"/>
                <w:szCs w:val="20"/>
                <w:color w:val="auto"/>
              </w:rPr>
            </w:pPr>
            <w:r>
              <w:rPr>
                <w:rFonts w:ascii="Arial" w:cs="Arial" w:eastAsia="Arial" w:hAnsi="Arial"/>
                <w:sz w:val="18"/>
                <w:szCs w:val="18"/>
                <w:color w:val="auto"/>
              </w:rPr>
              <w:t>8.67</w:t>
            </w: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jc w:val="right"/>
              <w:spacing w:after="0" w:line="193" w:lineRule="exact"/>
              <w:rPr>
                <w:sz w:val="20"/>
                <w:szCs w:val="20"/>
                <w:color w:val="auto"/>
              </w:rPr>
            </w:pPr>
            <w:r>
              <w:rPr>
                <w:rFonts w:ascii="Arial" w:cs="Arial" w:eastAsia="Arial" w:hAnsi="Arial"/>
                <w:sz w:val="18"/>
                <w:szCs w:val="18"/>
                <w:color w:val="auto"/>
              </w:rPr>
              <w:t>127,869</w:t>
            </w:r>
          </w:p>
        </w:tc>
        <w:tc>
          <w:tcPr>
            <w:tcW w:w="0" w:type="dxa"/>
            <w:vAlign w:val="bottom"/>
          </w:tcPr>
          <w:p>
            <w:pPr>
              <w:spacing w:after="0"/>
              <w:rPr>
                <w:sz w:val="1"/>
                <w:szCs w:val="1"/>
                <w:color w:val="auto"/>
              </w:rPr>
            </w:pPr>
          </w:p>
        </w:tc>
      </w:tr>
      <w:tr>
        <w:trPr>
          <w:trHeight w:val="179"/>
        </w:trPr>
        <w:tc>
          <w:tcPr>
            <w:tcW w:w="344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Exercisable at June 30, 2023</w:t>
            </w: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line="179" w:lineRule="exact"/>
              <w:rPr>
                <w:sz w:val="20"/>
                <w:szCs w:val="20"/>
                <w:color w:val="auto"/>
              </w:rPr>
            </w:pPr>
            <w:r>
              <w:rPr>
                <w:rFonts w:ascii="Arial" w:cs="Arial" w:eastAsia="Arial" w:hAnsi="Arial"/>
                <w:sz w:val="18"/>
                <w:szCs w:val="18"/>
                <w:color w:val="auto"/>
              </w:rPr>
              <w:t>7.71</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9" w:lineRule="exact"/>
              <w:rPr>
                <w:sz w:val="20"/>
                <w:szCs w:val="20"/>
                <w:color w:val="auto"/>
              </w:rPr>
            </w:pPr>
            <w:r>
              <w:rPr>
                <w:rFonts w:ascii="Arial" w:cs="Arial" w:eastAsia="Arial" w:hAnsi="Arial"/>
                <w:sz w:val="18"/>
                <w:szCs w:val="18"/>
                <w:color w:val="auto"/>
              </w:rPr>
              <w:t>41,028</w:t>
            </w:r>
          </w:p>
        </w:tc>
        <w:tc>
          <w:tcPr>
            <w:tcW w:w="0" w:type="dxa"/>
            <w:vAlign w:val="bottom"/>
          </w:tcPr>
          <w:p>
            <w:pPr>
              <w:spacing w:after="0"/>
              <w:rPr>
                <w:sz w:val="1"/>
                <w:szCs w:val="1"/>
                <w:color w:val="auto"/>
              </w:rPr>
            </w:pPr>
          </w:p>
        </w:tc>
      </w:tr>
      <w:tr>
        <w:trPr>
          <w:trHeight w:val="186"/>
        </w:trPr>
        <w:tc>
          <w:tcPr>
            <w:tcW w:w="3440" w:type="dxa"/>
            <w:vAlign w:val="bottom"/>
          </w:tcPr>
          <w:p>
            <w:pPr>
              <w:spacing w:after="0" w:line="187" w:lineRule="exact"/>
              <w:rPr>
                <w:sz w:val="20"/>
                <w:szCs w:val="20"/>
                <w:color w:val="auto"/>
              </w:rPr>
            </w:pPr>
            <w:r>
              <w:rPr>
                <w:rFonts w:ascii="Arial" w:cs="Arial" w:eastAsia="Arial" w:hAnsi="Arial"/>
                <w:sz w:val="18"/>
                <w:szCs w:val="18"/>
                <w:color w:val="auto"/>
              </w:rPr>
              <w:t>Vested and expected to vest at</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440" w:type="dxa"/>
            <w:vAlign w:val="bottom"/>
          </w:tcPr>
          <w:p>
            <w:pPr>
              <w:spacing w:after="0"/>
              <w:rPr>
                <w:sz w:val="20"/>
                <w:szCs w:val="20"/>
                <w:color w:val="auto"/>
              </w:rPr>
            </w:pPr>
            <w:r>
              <w:rPr>
                <w:rFonts w:ascii="Arial" w:cs="Arial" w:eastAsia="Arial" w:hAnsi="Arial"/>
                <w:sz w:val="18"/>
                <w:szCs w:val="18"/>
                <w:color w:val="auto"/>
              </w:rPr>
              <w:t>June 30, 2023</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127,869</w:t>
            </w:r>
          </w:p>
        </w:tc>
        <w:tc>
          <w:tcPr>
            <w:tcW w:w="0" w:type="dxa"/>
            <w:vAlign w:val="bottom"/>
          </w:tcPr>
          <w:p>
            <w:pPr>
              <w:spacing w:after="0"/>
              <w:rPr>
                <w:sz w:val="1"/>
                <w:szCs w:val="1"/>
                <w:color w:val="auto"/>
              </w:rPr>
            </w:pPr>
          </w:p>
        </w:tc>
      </w:tr>
      <w:tr>
        <w:trPr>
          <w:trHeight w:val="199"/>
        </w:trPr>
        <w:tc>
          <w:tcPr>
            <w:tcW w:w="34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total fair value of options that vested during the three months ended June 30, 2023 and 2022 was</w:t>
      </w:r>
    </w:p>
    <w:p>
      <w:pPr>
        <w:spacing w:after="0" w:line="4" w:lineRule="exact"/>
        <w:rPr>
          <w:sz w:val="20"/>
          <w:szCs w:val="20"/>
          <w:color w:val="auto"/>
        </w:rPr>
      </w:pPr>
    </w:p>
    <w:p>
      <w:pPr>
        <w:jc w:val="both"/>
        <w:ind w:left="40" w:right="199"/>
        <w:spacing w:after="0" w:line="238" w:lineRule="auto"/>
        <w:rPr>
          <w:sz w:val="20"/>
          <w:szCs w:val="20"/>
          <w:color w:val="auto"/>
        </w:rPr>
      </w:pPr>
      <w:r>
        <w:rPr>
          <w:rFonts w:ascii="Arial" w:cs="Arial" w:eastAsia="Arial" w:hAnsi="Arial"/>
          <w:sz w:val="18"/>
          <w:szCs w:val="18"/>
          <w:color w:val="auto"/>
        </w:rPr>
        <w:t>$0.5 million and $0.6 million, respectively. The total fair value of options that vested during the six months ended June 30, 2023 and 2022 was $1.7 million and $0.7 million, respectively.</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Restricted Shares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Activity with respect to restricted shares was as follows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138430</wp:posOffset>
            </wp:positionV>
            <wp:extent cx="5650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UNDERLYING</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20"/>
              <w:spacing w:after="0" w:line="159" w:lineRule="exact"/>
              <w:rPr>
                <w:sz w:val="20"/>
                <w:szCs w:val="20"/>
                <w:color w:val="auto"/>
              </w:rPr>
            </w:pPr>
            <w:r>
              <w:rPr>
                <w:rFonts w:ascii="Arial" w:cs="Arial" w:eastAsia="Arial" w:hAnsi="Arial"/>
                <w:sz w:val="14"/>
                <w:szCs w:val="14"/>
                <w:b w:val="1"/>
                <w:bCs w:val="1"/>
                <w:color w:val="auto"/>
              </w:rPr>
              <w:t>WEIGHTED-</w:t>
            </w:r>
          </w:p>
        </w:tc>
      </w:tr>
      <w:tr>
        <w:trPr>
          <w:trHeight w:val="159"/>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OUTSTANDING</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20"/>
              <w:spacing w:after="0" w:line="159" w:lineRule="exact"/>
              <w:rPr>
                <w:sz w:val="20"/>
                <w:szCs w:val="20"/>
                <w:color w:val="auto"/>
              </w:rPr>
            </w:pPr>
            <w:r>
              <w:rPr>
                <w:rFonts w:ascii="Arial" w:cs="Arial" w:eastAsia="Arial" w:hAnsi="Arial"/>
                <w:sz w:val="14"/>
                <w:szCs w:val="14"/>
                <w:b w:val="1"/>
                <w:bCs w:val="1"/>
                <w:color w:val="auto"/>
              </w:rPr>
              <w:t>AVERAGE</w:t>
            </w:r>
          </w:p>
        </w:tc>
      </w:tr>
      <w:tr>
        <w:trPr>
          <w:trHeight w:val="159"/>
        </w:trPr>
        <w:tc>
          <w:tcPr>
            <w:tcW w:w="2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5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3"/>
                <w:szCs w:val="13"/>
                <w:color w:val="auto"/>
              </w:rPr>
            </w:pPr>
          </w:p>
        </w:tc>
        <w:tc>
          <w:tcPr>
            <w:tcW w:w="13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8"/>
              </w:rPr>
              <w:t>GRANT DATE FAIR</w:t>
            </w:r>
          </w:p>
        </w:tc>
      </w:tr>
      <w:tr>
        <w:trPr>
          <w:trHeight w:val="173"/>
        </w:trPr>
        <w:tc>
          <w:tcPr>
            <w:tcW w:w="20" w:type="dxa"/>
            <w:vAlign w:val="bottom"/>
          </w:tcPr>
          <w:p>
            <w:pPr>
              <w:spacing w:after="0"/>
              <w:rPr>
                <w:sz w:val="15"/>
                <w:szCs w:val="15"/>
                <w:color w:val="auto"/>
              </w:rPr>
            </w:pPr>
          </w:p>
        </w:tc>
        <w:tc>
          <w:tcPr>
            <w:tcW w:w="58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SHARES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VALUE</w:t>
            </w:r>
          </w:p>
        </w:tc>
      </w:tr>
      <w:tr>
        <w:trPr>
          <w:trHeight w:val="192"/>
        </w:trPr>
        <w:tc>
          <w:tcPr>
            <w:tcW w:w="20" w:type="dxa"/>
            <w:vAlign w:val="bottom"/>
          </w:tcPr>
          <w:p>
            <w:pPr>
              <w:spacing w:after="0"/>
              <w:rPr>
                <w:sz w:val="16"/>
                <w:szCs w:val="16"/>
                <w:color w:val="auto"/>
              </w:rPr>
            </w:pPr>
          </w:p>
        </w:tc>
        <w:tc>
          <w:tcPr>
            <w:tcW w:w="58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Unvested, December 31, 2022</w:t>
            </w:r>
          </w:p>
        </w:tc>
        <w:tc>
          <w:tcPr>
            <w:tcW w:w="1520" w:type="dxa"/>
            <w:vAlign w:val="bottom"/>
            <w:shd w:val="clear" w:color="auto" w:fill="CCEEFF"/>
          </w:tcPr>
          <w:p>
            <w:pPr>
              <w:jc w:val="right"/>
              <w:ind w:right="3"/>
              <w:spacing w:after="0" w:line="193" w:lineRule="exact"/>
              <w:rPr>
                <w:sz w:val="20"/>
                <w:szCs w:val="20"/>
                <w:color w:val="auto"/>
              </w:rPr>
            </w:pPr>
            <w:r>
              <w:rPr>
                <w:rFonts w:ascii="Arial" w:cs="Arial" w:eastAsia="Arial" w:hAnsi="Arial"/>
                <w:sz w:val="18"/>
                <w:szCs w:val="18"/>
                <w:color w:val="auto"/>
              </w:rPr>
              <w:t>327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0.33</w:t>
            </w:r>
          </w:p>
        </w:tc>
      </w:tr>
      <w:tr>
        <w:trPr>
          <w:trHeight w:val="199"/>
        </w:trPr>
        <w:tc>
          <w:tcPr>
            <w:tcW w:w="20" w:type="dxa"/>
            <w:vAlign w:val="bottom"/>
          </w:tcPr>
          <w:p>
            <w:pPr>
              <w:spacing w:after="0"/>
              <w:rPr>
                <w:sz w:val="17"/>
                <w:szCs w:val="17"/>
                <w:color w:val="auto"/>
              </w:rPr>
            </w:pPr>
          </w:p>
        </w:tc>
        <w:tc>
          <w:tcPr>
            <w:tcW w:w="5820" w:type="dxa"/>
            <w:vAlign w:val="bottom"/>
            <w:tcBorders>
              <w:bottom w:val="single" w:sz="8" w:color="CCEEFF"/>
            </w:tcBorders>
          </w:tcPr>
          <w:p>
            <w:pPr>
              <w:spacing w:after="0" w:line="199" w:lineRule="exact"/>
              <w:rPr>
                <w:sz w:val="20"/>
                <w:szCs w:val="20"/>
                <w:color w:val="auto"/>
              </w:rPr>
            </w:pPr>
            <w:r>
              <w:rPr>
                <w:rFonts w:ascii="Arial" w:cs="Arial" w:eastAsia="Arial" w:hAnsi="Arial"/>
                <w:sz w:val="18"/>
                <w:szCs w:val="18"/>
                <w:color w:val="auto"/>
              </w:rPr>
              <w:t>Vested</w:t>
            </w:r>
          </w:p>
        </w:tc>
        <w:tc>
          <w:tcPr>
            <w:tcW w:w="15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(327)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line="199" w:lineRule="exact"/>
              <w:rPr>
                <w:sz w:val="20"/>
                <w:szCs w:val="20"/>
                <w:color w:val="auto"/>
              </w:rPr>
            </w:pPr>
            <w:r>
              <w:rPr>
                <w:rFonts w:ascii="Arial" w:cs="Arial" w:eastAsia="Arial" w:hAnsi="Arial"/>
                <w:sz w:val="18"/>
                <w:szCs w:val="18"/>
                <w:color w:val="auto"/>
              </w:rPr>
              <w:t>0.33</w:t>
            </w:r>
          </w:p>
        </w:tc>
      </w:tr>
      <w:tr>
        <w:trPr>
          <w:trHeight w:val="192"/>
        </w:trPr>
        <w:tc>
          <w:tcPr>
            <w:tcW w:w="20" w:type="dxa"/>
            <w:vAlign w:val="bottom"/>
          </w:tcPr>
          <w:p>
            <w:pPr>
              <w:spacing w:after="0"/>
              <w:rPr>
                <w:sz w:val="16"/>
                <w:szCs w:val="16"/>
                <w:color w:val="auto"/>
              </w:rPr>
            </w:pPr>
          </w:p>
        </w:tc>
        <w:tc>
          <w:tcPr>
            <w:tcW w:w="582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Unvested, June 30, 2023</w:t>
            </w:r>
          </w:p>
        </w:tc>
        <w:tc>
          <w:tcPr>
            <w:tcW w:w="1520" w:type="dxa"/>
            <w:vAlign w:val="bottom"/>
            <w:tcBorders>
              <w:bottom w:val="single" w:sz="8" w:color="auto"/>
            </w:tcBorders>
            <w:shd w:val="clear" w:color="auto" w:fill="CCEEFF"/>
          </w:tcPr>
          <w:p>
            <w:pPr>
              <w:jc w:val="right"/>
              <w:ind w:right="3"/>
              <w:spacing w:after="0" w:line="19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58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bl>
    <w:p>
      <w:pPr>
        <w:spacing w:after="0" w:line="399" w:lineRule="exact"/>
        <w:rPr>
          <w:sz w:val="20"/>
          <w:szCs w:val="20"/>
          <w:color w:val="auto"/>
        </w:rPr>
      </w:pPr>
    </w:p>
    <w:p>
      <w:pPr>
        <w:jc w:val="both"/>
        <w:ind w:left="40" w:right="199"/>
        <w:spacing w:after="0"/>
        <w:rPr>
          <w:sz w:val="20"/>
          <w:szCs w:val="20"/>
          <w:color w:val="auto"/>
        </w:rPr>
      </w:pPr>
      <w:r>
        <w:rPr>
          <w:rFonts w:ascii="Arial" w:cs="Arial" w:eastAsia="Arial" w:hAnsi="Arial"/>
          <w:sz w:val="18"/>
          <w:szCs w:val="18"/>
          <w:color w:val="auto"/>
        </w:rPr>
        <w:t>The fair value of restricted shares vested during the three months ended June 30, 2023 and 2022 was less than $0.1 million and $0.1 million, respectively. The fair value of restricted shares vested during the six months ended June 30, 2023 and 2022 was $0.1 million and $0.2 million, respectively.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Share-Based Compensation Associated with Awards to Employees and Non-Employees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 recognized share-based compensation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146685</wp:posOffset>
            </wp:positionV>
            <wp:extent cx="56502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right"/>
              <w:ind w:right="537"/>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9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53"/>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9"/>
              <w:spacing w:after="0" w:line="153"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7"/>
              <w:spacing w:after="0" w:line="153"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5"/>
              <w:spacing w:after="0" w:line="153"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center"/>
              <w:ind w:right="117"/>
              <w:spacing w:after="0" w:line="153"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7"/>
              <w:spacing w:after="0" w:line="171" w:lineRule="exact"/>
              <w:rPr>
                <w:sz w:val="20"/>
                <w:szCs w:val="20"/>
                <w:color w:val="auto"/>
              </w:rPr>
            </w:pPr>
            <w:r>
              <w:rPr>
                <w:rFonts w:ascii="Arial" w:cs="Arial" w:eastAsia="Arial" w:hAnsi="Arial"/>
                <w:sz w:val="16"/>
                <w:szCs w:val="16"/>
                <w:color w:val="auto"/>
              </w:rPr>
              <w:t>NOT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57"/>
              <w:spacing w:after="0" w:line="171" w:lineRule="exact"/>
              <w:rPr>
                <w:sz w:val="20"/>
                <w:szCs w:val="20"/>
                <w:color w:val="auto"/>
              </w:rPr>
            </w:pPr>
            <w:r>
              <w:rPr>
                <w:rFonts w:ascii="Arial" w:cs="Arial" w:eastAsia="Arial" w:hAnsi="Arial"/>
                <w:sz w:val="16"/>
                <w:szCs w:val="16"/>
                <w:color w:val="auto"/>
                <w:w w:val="94"/>
              </w:rPr>
              <w:t>NOT</w:t>
            </w:r>
          </w:p>
        </w:tc>
        <w:tc>
          <w:tcPr>
            <w:tcW w:w="2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6"/>
                <w:szCs w:val="16"/>
                <w:color w:val="auto"/>
                <w:w w:val="98"/>
              </w:rPr>
              <w:t>REVIEWED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6"/>
                <w:szCs w:val="16"/>
                <w:color w:val="auto"/>
                <w:w w:val="98"/>
              </w:rPr>
              <w:t>REVIEWED</w:t>
            </w:r>
          </w:p>
        </w:tc>
      </w:tr>
      <w:tr>
        <w:trPr>
          <w:trHeight w:val="199"/>
        </w:trPr>
        <w:tc>
          <w:tcPr>
            <w:tcW w:w="20" w:type="dxa"/>
            <w:vAlign w:val="bottom"/>
          </w:tcPr>
          <w:p>
            <w:pPr>
              <w:spacing w:after="0"/>
              <w:rPr>
                <w:sz w:val="17"/>
                <w:szCs w:val="17"/>
                <w:color w:val="auto"/>
              </w:rPr>
            </w:pPr>
          </w:p>
        </w:tc>
        <w:tc>
          <w:tcPr>
            <w:tcW w:w="3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Research and development</w:t>
            </w:r>
          </w:p>
        </w:tc>
        <w:tc>
          <w:tcPr>
            <w:tcW w:w="13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584</w:t>
            </w:r>
          </w:p>
        </w:tc>
        <w:tc>
          <w:tcPr>
            <w:tcW w:w="340" w:type="dxa"/>
            <w:vAlign w:val="bottom"/>
            <w:gridSpan w:val="2"/>
            <w:shd w:val="clear" w:color="auto" w:fill="CCEEFF"/>
          </w:tcPr>
          <w:p>
            <w:pPr>
              <w:ind w:left="180"/>
              <w:spacing w:after="0" w:line="199"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232</w:t>
            </w:r>
          </w:p>
        </w:tc>
        <w:tc>
          <w:tcPr>
            <w:tcW w:w="88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$ 2,176</w:t>
            </w:r>
          </w:p>
        </w:tc>
        <w:tc>
          <w:tcPr>
            <w:tcW w:w="340" w:type="dxa"/>
            <w:vAlign w:val="bottom"/>
            <w:gridSpan w:val="2"/>
            <w:shd w:val="clear" w:color="auto" w:fill="CCEEFF"/>
          </w:tcPr>
          <w:p>
            <w:pPr>
              <w:jc w:val="center"/>
              <w:spacing w:after="0" w:line="199"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760" w:type="dxa"/>
            <w:vAlign w:val="bottom"/>
          </w:tcPr>
          <w:p>
            <w:pPr>
              <w:spacing w:after="0" w:line="199" w:lineRule="exact"/>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line="199" w:lineRule="exact"/>
              <w:rPr>
                <w:sz w:val="20"/>
                <w:szCs w:val="20"/>
                <w:color w:val="auto"/>
              </w:rPr>
            </w:pPr>
            <w:r>
              <w:rPr>
                <w:rFonts w:ascii="Arial" w:cs="Arial" w:eastAsia="Arial" w:hAnsi="Arial"/>
                <w:sz w:val="18"/>
                <w:szCs w:val="18"/>
                <w:color w:val="auto"/>
              </w:rPr>
              <w:t>1,118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411</w:t>
            </w:r>
          </w:p>
        </w:tc>
        <w:tc>
          <w:tcPr>
            <w:tcW w:w="88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2,059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772</w:t>
            </w:r>
          </w:p>
        </w:tc>
        <w:tc>
          <w:tcPr>
            <w:tcW w:w="20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37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Total share-based compensation</w:t>
            </w:r>
          </w:p>
        </w:tc>
        <w:tc>
          <w:tcPr>
            <w:tcW w:w="1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1,702</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643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99"/>
              </w:rPr>
              <w:t>$ 4,235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center"/>
              <w:spacing w:after="0" w:line="19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1,263</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bl>
    <w:p>
      <w:pPr>
        <w:spacing w:after="0" w:line="186" w:lineRule="exact"/>
        <w:rPr>
          <w:sz w:val="20"/>
          <w:szCs w:val="20"/>
          <w:color w:val="auto"/>
        </w:rPr>
      </w:pPr>
    </w:p>
    <w:p>
      <w:pPr>
        <w:jc w:val="both"/>
        <w:ind w:left="40" w:right="559"/>
        <w:spacing w:after="0"/>
        <w:rPr>
          <w:sz w:val="20"/>
          <w:szCs w:val="20"/>
          <w:color w:val="auto"/>
        </w:rPr>
      </w:pPr>
      <w:r>
        <w:rPr>
          <w:rFonts w:ascii="Arial" w:cs="Arial" w:eastAsia="Arial" w:hAnsi="Arial"/>
          <w:sz w:val="18"/>
          <w:szCs w:val="18"/>
          <w:color w:val="auto"/>
        </w:rPr>
        <w:t>As of June 30, 2023, the total unrecognized share-based compensation expense related to unvested share options was $28.1 million, which is expected to be recognized over the remaining weighted-average vesting period of 3.4 years.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China Employees’ Options</w:t>
      </w:r>
    </w:p>
    <w:p>
      <w:pPr>
        <w:spacing w:after="0" w:line="211"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The Company has granted share options to employees based in China. The exercise of share options granted to such employees was conditioned on a liquidity event, such as an IPO or change in control, which was not considered probable until consummated. The liquidity event condition was satisfied upon the closing of the IPO, and the Company recognized cumulative share-based compensation expense for share options granted to employees based in China. For the three and six months ended June 30, 2023, the Company recognized $0.2 million and $1.7 million in share-based compensation expense related to share options granted to employees based in China, respectively.</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Performance Options</w:t>
      </w:r>
    </w:p>
    <w:p>
      <w:pPr>
        <w:spacing w:after="0" w:line="211"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In February 2023, the Company's board of directors approved the grant of performance share options for 1,200,000 ordinary shares, which were granted under the 2023 Equity Incentive Plan. Each share option will vest over four years, subject to the achievement of certain clinical milestones as determined by the Company’s compensation committee in the first year following the grant, and subject to the employees' continuous service through each vesting date. The achievement of performance milestones was not probable as of June 30, 2023. As such, no share-based compensation expense has been recognized for performance share options during the six months ended June 30, 2023.</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Ordinary Share Warrants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connection with entering into a Loan and Security Agreement (the “SVB Agreement”) with Silicon Valley Bank</w:t>
      </w:r>
    </w:p>
    <w:p>
      <w:pPr>
        <w:ind w:left="40"/>
        <w:spacing w:after="0" w:line="235" w:lineRule="auto"/>
        <w:rPr>
          <w:sz w:val="20"/>
          <w:szCs w:val="20"/>
          <w:color w:val="auto"/>
        </w:rPr>
      </w:pPr>
      <w:r>
        <w:rPr>
          <w:rFonts w:ascii="Arial" w:cs="Arial" w:eastAsia="Arial" w:hAnsi="Arial"/>
          <w:sz w:val="18"/>
          <w:szCs w:val="18"/>
          <w:color w:val="auto"/>
        </w:rPr>
        <w:t>(“SVB”), the Company issued SVB a warrant to purchase shares of its ordinary shares at an exercise price of</w:t>
      </w:r>
    </w:p>
    <w:p>
      <w:pPr>
        <w:ind w:left="40"/>
        <w:spacing w:after="0" w:line="231" w:lineRule="auto"/>
        <w:rPr>
          <w:sz w:val="20"/>
          <w:szCs w:val="20"/>
          <w:color w:val="auto"/>
        </w:rPr>
      </w:pPr>
      <w:r>
        <w:rPr>
          <w:rFonts w:ascii="Arial" w:cs="Arial" w:eastAsia="Arial" w:hAnsi="Arial"/>
          <w:sz w:val="18"/>
          <w:szCs w:val="18"/>
          <w:color w:val="auto"/>
        </w:rPr>
        <w:t>$0.48 per share (“SVB Warrant”). The SVB Warrant was immediately exercisable for 112,279 ordinary shares of</w:t>
      </w:r>
    </w:p>
    <w:p>
      <w:pPr>
        <w:ind w:left="40"/>
        <w:spacing w:after="0" w:line="231" w:lineRule="auto"/>
        <w:rPr>
          <w:sz w:val="20"/>
          <w:szCs w:val="20"/>
          <w:color w:val="auto"/>
        </w:rPr>
      </w:pPr>
      <w:r>
        <w:rPr>
          <w:rFonts w:ascii="Arial" w:cs="Arial" w:eastAsia="Arial" w:hAnsi="Arial"/>
          <w:sz w:val="18"/>
          <w:szCs w:val="18"/>
          <w:color w:val="auto"/>
        </w:rPr>
        <w:t>the Company and could have been exercisable for an additional number of ordinary shares equal to 44,567</w:t>
      </w:r>
    </w:p>
    <w:p>
      <w:pPr>
        <w:ind w:left="40"/>
        <w:spacing w:after="0" w:line="231" w:lineRule="auto"/>
        <w:rPr>
          <w:sz w:val="20"/>
          <w:szCs w:val="20"/>
          <w:color w:val="auto"/>
        </w:rPr>
      </w:pPr>
      <w:r>
        <w:rPr>
          <w:rFonts w:ascii="Arial" w:cs="Arial" w:eastAsia="Arial" w:hAnsi="Arial"/>
          <w:sz w:val="18"/>
          <w:szCs w:val="18"/>
          <w:color w:val="auto"/>
        </w:rPr>
        <w:t>ordinary shares upon draw of Tranche A under the SVB Agreement and 22,283 ordinary shares upon draw of</w:t>
      </w:r>
    </w:p>
    <w:p>
      <w:pPr>
        <w:ind w:left="40"/>
        <w:spacing w:after="0" w:line="231" w:lineRule="auto"/>
        <w:rPr>
          <w:sz w:val="20"/>
          <w:szCs w:val="20"/>
          <w:color w:val="auto"/>
        </w:rPr>
      </w:pPr>
      <w:r>
        <w:rPr>
          <w:rFonts w:ascii="Arial" w:cs="Arial" w:eastAsia="Arial" w:hAnsi="Arial"/>
          <w:sz w:val="18"/>
          <w:szCs w:val="18"/>
          <w:color w:val="auto"/>
        </w:rPr>
        <w:t>Tranche B under the SVB Agreement. The warrant for Tranche A shares and Tranche B shares expired on</w:t>
      </w:r>
    </w:p>
    <w:p>
      <w:pPr>
        <w:ind w:left="40"/>
        <w:spacing w:after="0" w:line="231" w:lineRule="auto"/>
        <w:rPr>
          <w:sz w:val="20"/>
          <w:szCs w:val="20"/>
          <w:color w:val="auto"/>
        </w:rPr>
      </w:pPr>
      <w:r>
        <w:rPr>
          <w:rFonts w:ascii="Arial" w:cs="Arial" w:eastAsia="Arial" w:hAnsi="Arial"/>
          <w:sz w:val="18"/>
          <w:szCs w:val="18"/>
          <w:color w:val="auto"/>
        </w:rPr>
        <w:t>July 31, 2021 and July 31, 2022, respectively, as the Company elected to allow the Tranche A and Tranche B</w:t>
      </w:r>
    </w:p>
    <w:p>
      <w:pPr>
        <w:ind w:left="40"/>
        <w:spacing w:after="0" w:line="231" w:lineRule="auto"/>
        <w:rPr>
          <w:sz w:val="20"/>
          <w:szCs w:val="20"/>
          <w:color w:val="auto"/>
        </w:rPr>
      </w:pPr>
      <w:r>
        <w:rPr>
          <w:rFonts w:ascii="Arial" w:cs="Arial" w:eastAsia="Arial" w:hAnsi="Arial"/>
          <w:sz w:val="18"/>
          <w:szCs w:val="18"/>
          <w:color w:val="auto"/>
        </w:rPr>
        <w:t>financings to expire unused on July 31, 2021 and July 31, 2022, respectively. In February 2023, SVB fully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exercised the SVB Warrant for 106,060 ordinary shares through a cashless exercise.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Net Loss Per Share</w:t>
      </w:r>
    </w:p>
    <w:p>
      <w:pPr>
        <w:spacing w:after="0" w:line="215" w:lineRule="exact"/>
        <w:rPr>
          <w:sz w:val="20"/>
          <w:szCs w:val="20"/>
          <w:color w:val="auto"/>
        </w:rPr>
      </w:pPr>
    </w:p>
    <w:p>
      <w:pPr>
        <w:ind w:left="40" w:right="119"/>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ordinary shareholders, which excludes unvested restricted shares and shares which are legally outstanding, but subject to repurchase by the Company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136525</wp:posOffset>
            </wp:positionV>
            <wp:extent cx="5650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3"/>
        </w:trPr>
        <w:tc>
          <w:tcPr>
            <w:tcW w:w="47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3"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center"/>
              <w:ind w:right="134"/>
              <w:spacing w:after="0" w:line="153"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7"/>
              <w:spacing w:after="0" w:line="153"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4"/>
              <w:spacing w:after="0" w:line="153"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54"/>
              <w:spacing w:after="0" w:line="171" w:lineRule="exact"/>
              <w:rPr>
                <w:sz w:val="20"/>
                <w:szCs w:val="20"/>
                <w:color w:val="auto"/>
              </w:rPr>
            </w:pPr>
            <w:r>
              <w:rPr>
                <w:rFonts w:ascii="Arial" w:cs="Arial" w:eastAsia="Arial" w:hAnsi="Arial"/>
                <w:sz w:val="16"/>
                <w:szCs w:val="16"/>
                <w:color w:val="auto"/>
              </w:rPr>
              <w:t>NOT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line="171" w:lineRule="exact"/>
              <w:rPr>
                <w:sz w:val="20"/>
                <w:szCs w:val="20"/>
                <w:color w:val="auto"/>
              </w:rPr>
            </w:pPr>
            <w:r>
              <w:rPr>
                <w:rFonts w:ascii="Arial" w:cs="Arial" w:eastAsia="Arial" w:hAnsi="Arial"/>
                <w:sz w:val="16"/>
                <w:szCs w:val="16"/>
                <w:color w:val="auto"/>
              </w:rPr>
              <w:t>NOT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8"/>
              </w:rPr>
              <w:t>REVIEWED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color w:val="auto"/>
              </w:rPr>
              <w:t>REVIEWED</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spacing w:after="0" w:line="199" w:lineRule="exact"/>
              <w:rPr>
                <w:sz w:val="20"/>
                <w:szCs w:val="20"/>
                <w:color w:val="auto"/>
              </w:rPr>
            </w:pPr>
            <w:r>
              <w:rPr>
                <w:rFonts w:ascii="Arial" w:cs="Arial" w:eastAsia="Arial" w:hAnsi="Arial"/>
                <w:sz w:val="18"/>
                <w:szCs w:val="18"/>
                <w:color w:val="auto"/>
              </w:rPr>
              <w:t>Net loss attributable to ordinary shareholders</w:t>
            </w:r>
          </w:p>
        </w:tc>
        <w:tc>
          <w:tcPr>
            <w:tcW w:w="10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(23,280)</w:t>
            </w:r>
          </w:p>
        </w:tc>
        <w:tc>
          <w:tcPr>
            <w:tcW w:w="80" w:type="dxa"/>
            <w:vAlign w:val="bottom"/>
          </w:tcPr>
          <w:p>
            <w:pPr>
              <w:spacing w:after="0"/>
              <w:rPr>
                <w:sz w:val="17"/>
                <w:szCs w:val="17"/>
                <w:color w:val="auto"/>
              </w:rPr>
            </w:pPr>
          </w:p>
        </w:tc>
        <w:tc>
          <w:tcPr>
            <w:tcW w:w="280" w:type="dxa"/>
            <w:vAlign w:val="bottom"/>
            <w:gridSpan w:val="2"/>
          </w:tcPr>
          <w:p>
            <w:pPr>
              <w:jc w:val="right"/>
              <w:ind w:right="16"/>
              <w:spacing w:after="0" w:line="199"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199" w:lineRule="exact"/>
              <w:rPr>
                <w:sz w:val="20"/>
                <w:szCs w:val="20"/>
                <w:color w:val="auto"/>
              </w:rPr>
            </w:pPr>
            <w:r>
              <w:rPr>
                <w:rFonts w:ascii="Arial" w:cs="Arial" w:eastAsia="Arial" w:hAnsi="Arial"/>
                <w:sz w:val="18"/>
                <w:szCs w:val="18"/>
                <w:color w:val="auto"/>
                <w:w w:val="95"/>
              </w:rPr>
              <w:t>(13,948)</w:t>
            </w:r>
          </w:p>
        </w:tc>
        <w:tc>
          <w:tcPr>
            <w:tcW w:w="24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(41,255)</w:t>
            </w:r>
          </w:p>
        </w:tc>
        <w:tc>
          <w:tcPr>
            <w:tcW w:w="80" w:type="dxa"/>
            <w:vAlign w:val="bottom"/>
          </w:tcPr>
          <w:p>
            <w:pPr>
              <w:spacing w:after="0"/>
              <w:rPr>
                <w:sz w:val="17"/>
                <w:szCs w:val="17"/>
                <w:color w:val="auto"/>
              </w:rPr>
            </w:pPr>
          </w:p>
        </w:tc>
        <w:tc>
          <w:tcPr>
            <w:tcW w:w="240" w:type="dxa"/>
            <w:vAlign w:val="bottom"/>
            <w:gridSpan w:val="2"/>
          </w:tcPr>
          <w:p>
            <w:pPr>
              <w:ind w:left="80"/>
              <w:spacing w:after="0" w:line="199"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199" w:lineRule="exact"/>
              <w:rPr>
                <w:sz w:val="20"/>
                <w:szCs w:val="20"/>
                <w:color w:val="auto"/>
              </w:rPr>
            </w:pPr>
            <w:r>
              <w:rPr>
                <w:rFonts w:ascii="Arial" w:cs="Arial" w:eastAsia="Arial" w:hAnsi="Arial"/>
                <w:sz w:val="18"/>
                <w:szCs w:val="18"/>
                <w:color w:val="auto"/>
              </w:rPr>
              <w:t>(27,029)</w:t>
            </w: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spacing w:after="0" w:line="187" w:lineRule="exact"/>
              <w:rPr>
                <w:sz w:val="20"/>
                <w:szCs w:val="20"/>
                <w:color w:val="auto"/>
              </w:rPr>
            </w:pPr>
            <w:r>
              <w:rPr>
                <w:rFonts w:ascii="Arial" w:cs="Arial" w:eastAsia="Arial" w:hAnsi="Arial"/>
                <w:sz w:val="18"/>
                <w:szCs w:val="18"/>
                <w:color w:val="auto"/>
              </w:rPr>
              <w:t>Accretion of redeemable convertible preferred shares to</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their redemption value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2"/>
        </w:trPr>
        <w:tc>
          <w:tcPr>
            <w:tcW w:w="4700" w:type="dxa"/>
            <w:vAlign w:val="bottom"/>
            <w:tcBorders>
              <w:bottom w:val="single" w:sz="8" w:color="CCEEFF"/>
            </w:tcBorders>
          </w:tcPr>
          <w:p>
            <w:pPr>
              <w:spacing w:after="0" w:line="193" w:lineRule="exact"/>
              <w:rPr>
                <w:sz w:val="20"/>
                <w:szCs w:val="20"/>
                <w:color w:val="auto"/>
              </w:rPr>
            </w:pPr>
            <w:r>
              <w:rPr>
                <w:rFonts w:ascii="Arial" w:cs="Arial" w:eastAsia="Arial" w:hAnsi="Arial"/>
                <w:sz w:val="18"/>
                <w:szCs w:val="18"/>
                <w:color w:val="auto"/>
              </w:rPr>
              <w:t>Net loss attributable to ordinary shareholders</w:t>
            </w:r>
          </w:p>
        </w:tc>
        <w:tc>
          <w:tcPr>
            <w:tcW w:w="10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(23,280)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6"/>
              <w:spacing w:after="0" w:line="19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95"/>
              </w:rPr>
              <w:t>(15,463)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(41,255)</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(28,544)</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470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00" w:type="dxa"/>
            <w:vAlign w:val="bottom"/>
          </w:tcPr>
          <w:p>
            <w:pPr>
              <w:spacing w:after="0" w:line="199" w:lineRule="exact"/>
              <w:rPr>
                <w:sz w:val="20"/>
                <w:szCs w:val="20"/>
                <w:color w:val="auto"/>
              </w:rPr>
            </w:pPr>
            <w:r>
              <w:rPr>
                <w:rFonts w:ascii="Arial" w:cs="Arial" w:eastAsia="Arial" w:hAnsi="Arial"/>
                <w:sz w:val="18"/>
                <w:szCs w:val="18"/>
                <w:color w:val="auto"/>
              </w:rPr>
              <w:t>Weighted-average ordinary shares outstanding</w:t>
            </w:r>
          </w:p>
        </w:tc>
        <w:tc>
          <w:tcPr>
            <w:tcW w:w="10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114,784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199" w:lineRule="exact"/>
              <w:rPr>
                <w:sz w:val="20"/>
                <w:szCs w:val="20"/>
                <w:color w:val="auto"/>
              </w:rPr>
            </w:pPr>
            <w:r>
              <w:rPr>
                <w:rFonts w:ascii="Arial" w:cs="Arial" w:eastAsia="Arial" w:hAnsi="Arial"/>
                <w:sz w:val="18"/>
                <w:szCs w:val="18"/>
                <w:color w:val="auto"/>
              </w:rPr>
              <w:t>10,899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9" w:lineRule="exact"/>
              <w:rPr>
                <w:sz w:val="20"/>
                <w:szCs w:val="20"/>
                <w:color w:val="auto"/>
              </w:rPr>
            </w:pPr>
            <w:r>
              <w:rPr>
                <w:rFonts w:ascii="Arial" w:cs="Arial" w:eastAsia="Arial" w:hAnsi="Arial"/>
                <w:sz w:val="18"/>
                <w:szCs w:val="18"/>
                <w:color w:val="auto"/>
              </w:rPr>
              <w:t>93,457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9" w:lineRule="exact"/>
              <w:rPr>
                <w:sz w:val="20"/>
                <w:szCs w:val="20"/>
                <w:color w:val="auto"/>
              </w:rPr>
            </w:pPr>
            <w:r>
              <w:rPr>
                <w:rFonts w:ascii="Arial" w:cs="Arial" w:eastAsia="Arial" w:hAnsi="Arial"/>
                <w:sz w:val="18"/>
                <w:szCs w:val="18"/>
                <w:color w:val="auto"/>
              </w:rPr>
              <w:t>10,897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spacing w:after="0" w:line="187" w:lineRule="exact"/>
              <w:rPr>
                <w:sz w:val="20"/>
                <w:szCs w:val="20"/>
                <w:color w:val="auto"/>
              </w:rPr>
            </w:pPr>
            <w:r>
              <w:rPr>
                <w:rFonts w:ascii="Arial" w:cs="Arial" w:eastAsia="Arial" w:hAnsi="Arial"/>
                <w:sz w:val="18"/>
                <w:szCs w:val="18"/>
                <w:color w:val="auto"/>
              </w:rPr>
              <w:t>Less: weighted-average unvested restricted ordinary</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repurchase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166"/>
        </w:trPr>
        <w:tc>
          <w:tcPr>
            <w:tcW w:w="4700" w:type="dxa"/>
            <w:vAlign w:val="bottom"/>
          </w:tcPr>
          <w:p>
            <w:pPr>
              <w:spacing w:after="0" w:line="166" w:lineRule="exact"/>
              <w:rPr>
                <w:sz w:val="20"/>
                <w:szCs w:val="20"/>
                <w:color w:val="auto"/>
              </w:rPr>
            </w:pPr>
            <w:r>
              <w:rPr>
                <w:rFonts w:ascii="Arial" w:cs="Arial" w:eastAsia="Arial" w:hAnsi="Arial"/>
                <w:sz w:val="18"/>
                <w:szCs w:val="18"/>
                <w:color w:val="auto"/>
              </w:rPr>
              <w:t>Weighted-average ordinary shares used in computing net</w:t>
            </w: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700" w:type="dxa"/>
            <w:vAlign w:val="bottom"/>
          </w:tcPr>
          <w:p>
            <w:pPr>
              <w:spacing w:after="0" w:line="199" w:lineRule="exact"/>
              <w:rPr>
                <w:sz w:val="20"/>
                <w:szCs w:val="20"/>
                <w:color w:val="auto"/>
              </w:rPr>
            </w:pPr>
            <w:r>
              <w:rPr>
                <w:rFonts w:ascii="Arial" w:cs="Arial" w:eastAsia="Arial" w:hAnsi="Arial"/>
                <w:sz w:val="18"/>
                <w:szCs w:val="18"/>
                <w:color w:val="auto"/>
              </w:rPr>
              <w:t>loss per share attributable to ordinary shareholders,</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114,759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93,325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00" w:type="dxa"/>
            <w:vAlign w:val="bottom"/>
            <w:shd w:val="clear" w:color="auto" w:fill="CCEEFF"/>
          </w:tcPr>
          <w:p>
            <w:pPr>
              <w:spacing w:after="0" w:line="166" w:lineRule="exact"/>
              <w:rPr>
                <w:sz w:val="20"/>
                <w:szCs w:val="20"/>
                <w:color w:val="auto"/>
              </w:rPr>
            </w:pPr>
            <w:r>
              <w:rPr>
                <w:rFonts w:ascii="Arial" w:cs="Arial" w:eastAsia="Arial" w:hAnsi="Arial"/>
                <w:sz w:val="18"/>
                <w:szCs w:val="18"/>
                <w:color w:val="auto"/>
              </w:rPr>
              <w:t>Net loss per share attributable to ordinary shareholders,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20)</w:t>
            </w:r>
          </w:p>
        </w:tc>
        <w:tc>
          <w:tcPr>
            <w:tcW w:w="280" w:type="dxa"/>
            <w:vAlign w:val="bottom"/>
            <w:gridSpan w:val="2"/>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64)</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44)</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09)</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basic and diluted</w:t>
            </w:r>
          </w:p>
        </w:tc>
        <w:tc>
          <w:tcPr>
            <w:tcW w:w="10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left="40" w:right="239"/>
        <w:spacing w:after="0"/>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ordinary shareholders for the periods presented because including them would have been antidilutive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136525</wp:posOffset>
            </wp:positionV>
            <wp:extent cx="56502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4"/>
          </w:tcPr>
          <w:p>
            <w:pPr>
              <w:jc w:val="center"/>
              <w:ind w:right="900"/>
              <w:spacing w:after="0"/>
              <w:rPr>
                <w:sz w:val="20"/>
                <w:szCs w:val="20"/>
                <w:color w:val="auto"/>
              </w:rPr>
            </w:pPr>
            <w:r>
              <w:rPr>
                <w:rFonts w:ascii="Arial" w:cs="Arial" w:eastAsia="Arial" w:hAnsi="Arial"/>
                <w:sz w:val="14"/>
                <w:szCs w:val="14"/>
                <w:b w:val="1"/>
                <w:bCs w:val="1"/>
                <w:color w:val="auto"/>
              </w:rPr>
              <w:t>AS OF</w:t>
            </w:r>
          </w:p>
        </w:tc>
      </w:tr>
      <w:tr>
        <w:trPr>
          <w:trHeight w:val="173"/>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0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8"/>
              </w:rPr>
              <w:t>JUNE 30,</w:t>
            </w:r>
          </w:p>
        </w:tc>
      </w:tr>
      <w:tr>
        <w:trPr>
          <w:trHeight w:val="153"/>
        </w:trPr>
        <w:tc>
          <w:tcPr>
            <w:tcW w:w="2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680" w:type="dxa"/>
            <w:vAlign w:val="bottom"/>
            <w:tcBorders>
              <w:top w:val="single" w:sz="8" w:color="auto"/>
            </w:tcBorders>
          </w:tcPr>
          <w:p>
            <w:pPr>
              <w:jc w:val="right"/>
              <w:ind w:right="77"/>
              <w:spacing w:after="0" w:line="153" w:lineRule="exact"/>
              <w:rPr>
                <w:sz w:val="20"/>
                <w:szCs w:val="20"/>
                <w:color w:val="auto"/>
              </w:rPr>
            </w:pPr>
            <w:r>
              <w:rPr>
                <w:rFonts w:ascii="Arial" w:cs="Arial" w:eastAsia="Arial" w:hAnsi="Arial"/>
                <w:sz w:val="14"/>
                <w:szCs w:val="14"/>
                <w:b w:val="1"/>
                <w:bCs w:val="1"/>
                <w:color w:val="auto"/>
              </w:rPr>
              <w:t>2023</w:t>
            </w:r>
          </w:p>
        </w:tc>
        <w:tc>
          <w:tcPr>
            <w:tcW w:w="1140" w:type="dxa"/>
            <w:vAlign w:val="bottom"/>
            <w:tcBorders>
              <w:top w:val="single" w:sz="8" w:color="auto"/>
            </w:tcBorders>
            <w:gridSpan w:val="3"/>
          </w:tcPr>
          <w:p>
            <w:pPr>
              <w:jc w:val="center"/>
              <w:ind w:left="157"/>
              <w:spacing w:after="0" w:line="153" w:lineRule="exact"/>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6"/>
                <w:szCs w:val="16"/>
                <w:color w:val="auto"/>
              </w:rPr>
              <w:t>NOT</w:t>
            </w:r>
          </w:p>
        </w:tc>
        <w:tc>
          <w:tcPr>
            <w:tcW w:w="2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color w:val="auto"/>
              </w:rPr>
              <w:t>REVIEWED</w:t>
            </w:r>
          </w:p>
        </w:tc>
      </w:tr>
      <w:tr>
        <w:trPr>
          <w:trHeight w:val="199"/>
        </w:trPr>
        <w:tc>
          <w:tcPr>
            <w:tcW w:w="20" w:type="dxa"/>
            <w:vAlign w:val="bottom"/>
          </w:tcPr>
          <w:p>
            <w:pPr>
              <w:spacing w:after="0"/>
              <w:rPr>
                <w:sz w:val="17"/>
                <w:szCs w:val="17"/>
                <w:color w:val="auto"/>
              </w:rPr>
            </w:pPr>
          </w:p>
        </w:tc>
        <w:tc>
          <w:tcPr>
            <w:tcW w:w="68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Redeemable convertible preferred shares</w:t>
            </w:r>
          </w:p>
        </w:tc>
        <w:tc>
          <w:tcPr>
            <w:tcW w:w="6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67,018</w:t>
            </w:r>
          </w:p>
        </w:tc>
        <w:tc>
          <w:tcPr>
            <w:tcW w:w="2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880" w:type="dxa"/>
            <w:vAlign w:val="bottom"/>
          </w:tcPr>
          <w:p>
            <w:pPr>
              <w:spacing w:after="0" w:line="199" w:lineRule="exact"/>
              <w:rPr>
                <w:sz w:val="20"/>
                <w:szCs w:val="20"/>
                <w:color w:val="auto"/>
              </w:rPr>
            </w:pPr>
            <w:r>
              <w:rPr>
                <w:rFonts w:ascii="Arial" w:cs="Arial" w:eastAsia="Arial" w:hAnsi="Arial"/>
                <w:sz w:val="18"/>
                <w:szCs w:val="18"/>
                <w:color w:val="auto"/>
              </w:rPr>
              <w:t>Options to purchase ordinary shares</w:t>
            </w: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12,042</w:t>
            </w:r>
          </w:p>
        </w:tc>
        <w:tc>
          <w:tcPr>
            <w:tcW w:w="114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7,356</w:t>
            </w:r>
          </w:p>
        </w:tc>
        <w:tc>
          <w:tcPr>
            <w:tcW w:w="20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8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Ordinary share warrants</w:t>
            </w:r>
          </w:p>
        </w:tc>
        <w:tc>
          <w:tcPr>
            <w:tcW w:w="6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880" w:type="dxa"/>
            <w:vAlign w:val="bottom"/>
          </w:tcPr>
          <w:p>
            <w:pPr>
              <w:spacing w:after="0" w:line="199" w:lineRule="exact"/>
              <w:rPr>
                <w:sz w:val="20"/>
                <w:szCs w:val="20"/>
                <w:color w:val="auto"/>
              </w:rPr>
            </w:pPr>
            <w:r>
              <w:rPr>
                <w:rFonts w:ascii="Arial" w:cs="Arial" w:eastAsia="Arial" w:hAnsi="Arial"/>
                <w:sz w:val="18"/>
                <w:szCs w:val="18"/>
                <w:color w:val="auto"/>
              </w:rPr>
              <w:t>Unvested restricted ordinary share awards</w:t>
            </w: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818</w:t>
            </w:r>
          </w:p>
        </w:tc>
        <w:tc>
          <w:tcPr>
            <w:tcW w:w="20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688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12,042</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75,327</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8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bl>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Related Party Transactions</w:t>
      </w:r>
    </w:p>
    <w:p>
      <w:pPr>
        <w:spacing w:after="0" w:line="215" w:lineRule="exact"/>
        <w:rPr>
          <w:sz w:val="20"/>
          <w:szCs w:val="20"/>
          <w:color w:val="auto"/>
        </w:rPr>
      </w:pPr>
    </w:p>
    <w:p>
      <w:pPr>
        <w:ind w:left="40" w:right="399"/>
        <w:spacing w:after="0" w:line="256" w:lineRule="auto"/>
        <w:rPr>
          <w:sz w:val="20"/>
          <w:szCs w:val="20"/>
          <w:color w:val="auto"/>
        </w:rPr>
      </w:pPr>
      <w:r>
        <w:rPr>
          <w:rFonts w:ascii="Arial" w:cs="Arial" w:eastAsia="Arial" w:hAnsi="Arial"/>
          <w:sz w:val="17"/>
          <w:szCs w:val="17"/>
          <w:color w:val="auto"/>
        </w:rPr>
        <w:t>Ramy Farid, the President and Chief Executive Officer of Schrödinger, Inc. (“Schrödinger”) is a member of the Company’s board of directors. During the three and six months ended June 30, 2023 and 2022, the Company had existing collaboration agreements to use the results provided by Schrödinger’s software platform for its research purposes. During the three months ended June 30, 2023 and 2022, the Company paid $0 and less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STRUCTURE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 (CONTINUED)</w:t>
      </w:r>
    </w:p>
    <w:p>
      <w:pPr>
        <w:spacing w:after="0" w:line="179" w:lineRule="exact"/>
        <w:rPr>
          <w:sz w:val="20"/>
          <w:szCs w:val="20"/>
          <w:color w:val="auto"/>
        </w:rPr>
      </w:pPr>
    </w:p>
    <w:p>
      <w:pPr>
        <w:ind w:left="40" w:right="119"/>
        <w:spacing w:after="0"/>
        <w:rPr>
          <w:sz w:val="20"/>
          <w:szCs w:val="20"/>
          <w:color w:val="auto"/>
        </w:rPr>
      </w:pPr>
      <w:r>
        <w:rPr>
          <w:rFonts w:ascii="Arial" w:cs="Arial" w:eastAsia="Arial" w:hAnsi="Arial"/>
          <w:sz w:val="18"/>
          <w:szCs w:val="18"/>
          <w:color w:val="auto"/>
        </w:rPr>
        <w:t>than $0.1 million to Schrödinger, respectively. During the six months ended June 30, 2023 and 2022, the Company paid $0 and $0.2 million to Schrödinger, respectively, and had no payable balance to Schrödinger as of June 30, 2023 and December 31, 2022.</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Lhotse Collaboration Agreement with Schrödinger</w:t>
      </w:r>
    </w:p>
    <w:p>
      <w:pPr>
        <w:spacing w:after="0" w:line="211" w:lineRule="exact"/>
        <w:rPr>
          <w:sz w:val="20"/>
          <w:szCs w:val="20"/>
          <w:color w:val="auto"/>
        </w:rPr>
      </w:pPr>
    </w:p>
    <w:p>
      <w:pPr>
        <w:ind w:left="40" w:right="139"/>
        <w:spacing w:after="0" w:line="247" w:lineRule="auto"/>
        <w:rPr>
          <w:sz w:val="20"/>
          <w:szCs w:val="20"/>
          <w:color w:val="auto"/>
        </w:rPr>
      </w:pPr>
      <w:r>
        <w:rPr>
          <w:rFonts w:ascii="Arial" w:cs="Arial" w:eastAsia="Arial" w:hAnsi="Arial"/>
          <w:sz w:val="17"/>
          <w:szCs w:val="17"/>
          <w:color w:val="auto"/>
        </w:rPr>
        <w:t>In In October 2020, Lhotse Bio, Inc., the Company’s wholly-owned subsidiary, entered into a Collaboration Agreement (the “Lhotse-Schrödinger Agreement”) with Schrödinger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189" w:lineRule="exact"/>
        <w:rPr>
          <w:sz w:val="20"/>
          <w:szCs w:val="20"/>
          <w:color w:val="auto"/>
        </w:rPr>
      </w:pPr>
    </w:p>
    <w:p>
      <w:pPr>
        <w:ind w:left="40" w:right="119"/>
        <w:spacing w:after="0" w:line="247" w:lineRule="auto"/>
        <w:rPr>
          <w:sz w:val="20"/>
          <w:szCs w:val="20"/>
          <w:color w:val="auto"/>
        </w:rPr>
      </w:pPr>
      <w:r>
        <w:rPr>
          <w:rFonts w:ascii="Arial" w:cs="Arial" w:eastAsia="Arial" w:hAnsi="Arial"/>
          <w:sz w:val="17"/>
          <w:szCs w:val="17"/>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June 30, 2023, the Company has paid to Schrödinger an aggregate of $0.8 million. If Lhotse develops and commercializes a product containing a compound (a “Collaboration Compound”), that is discovered or developed under the Lhotse-Schrödinger Agreement (a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on a Collaboration Product-by-Collaboration Product basis equal to low single digit percentages on aggregate worldwide net sales of Collaboration Products, subject to specified reductions and offsets. Lhotse’s obligation to pay royalties to Schrödinger will expire on a Collaboration Product-by-Collaboration Product and country-by-country basis on the later of (i) the expiration of the last-to-expire Lhotse patent claim covering the composition of matter of the Collaboration Compound contained in such Collaboration Product in such country, (ii) the expiration of regulatory, pediatric, orphan drug, or data exclusivity with respect to such Collaboration Product in such country, and (iii) ten years after the first commercial sale of such Collaboration Product in such country (the “Royalty Term”).</w:t>
      </w:r>
    </w:p>
    <w:p>
      <w:pPr>
        <w:spacing w:after="0" w:line="183"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 As of June 30, 2023, no milestone or royalty payments have been paid or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9" w:lineRule="exact"/>
        <w:rPr>
          <w:sz w:val="20"/>
          <w:szCs w:val="20"/>
          <w:color w:val="auto"/>
        </w:rPr>
      </w:pPr>
    </w:p>
    <w:p>
      <w:pPr>
        <w:ind w:left="40" w:right="99"/>
        <w:spacing w:after="0" w:line="23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the related notes and other financial information included elsewhere in this Quarterly Report on Form 10-Q. This discussion and other parts of this Quarterly Report on Form 10-Q contain forward-looking statements that involve risks and uncertainties, such as statements of our plans, objectives, expectations and intentions, that are based on the beliefs of our management,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sections of this Quarterly Report entitled “Forward-Looking Statements” and “Risk Factors,” under Part II. Item 1A. and those discussed in our Annual Report on Form 10-K for the year ended December 31, 2022 filed with the Securities and Exchange Commission (“SEC”) on March 30, 2023.</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15"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We are a clinical stage global biopharmaceutical company aiming to develop and deliver novel oral therapeutics to treat a wide range of chronic diseases with unmet medical need. Our differentiated technology platform leverages structure-based drug discovery and computational chemistry expertise and enables us to develop oral small molecule therapeutics for the treatment of various diseases including those impacting the metabolic, cardiovascular, and pulmonary systems. In February 2023, we completed our Initial Public Offering (“IPO”) for net proceeds of $166.7 million.</w:t>
      </w:r>
    </w:p>
    <w:p>
      <w:pPr>
        <w:spacing w:after="0" w:line="192" w:lineRule="exact"/>
        <w:rPr>
          <w:sz w:val="20"/>
          <w:szCs w:val="20"/>
          <w:color w:val="auto"/>
        </w:rPr>
      </w:pPr>
    </w:p>
    <w:p>
      <w:pPr>
        <w:ind w:left="40" w:right="79"/>
        <w:spacing w:after="0" w:line="246" w:lineRule="auto"/>
        <w:rPr>
          <w:sz w:val="20"/>
          <w:szCs w:val="20"/>
          <w:color w:val="auto"/>
        </w:rPr>
      </w:pPr>
      <w:r>
        <w:rPr>
          <w:rFonts w:ascii="Arial" w:cs="Arial" w:eastAsia="Arial" w:hAnsi="Arial"/>
          <w:sz w:val="17"/>
          <w:szCs w:val="17"/>
          <w:color w:val="auto"/>
        </w:rPr>
        <w:t>Our initial focus is on G-protein coupled receptors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GLP-1R for the treatment of type 2 diabetes mellitus (“T2DM”) and obesity. We completed our Phase 1 single ascending dose (“SAD”) study of GSBR-1290 in September 2022. GSBR-1290 was generally well tolerated and demonstrated dose-dependent pharmacokinetic (“PK”) and pharmacodynamic (“PD”) activity. We submitted an investigational new drug (“IND”) application to the U.S. Food and Drug Administration (“FDA”) to support initiation of a Phase 1b study in T2DM and obesity and received FDA allowance in September 2022. We initiated the Phase 1b multiple ascending dose (“MAD”) study in January 2023 and completed dosing in healthy overweight subjects in March 2023. We submitted a protocol amendment to the FDA and transitioned to a Phase 2a proof-of-concept study in T2DM and obesity. We also initiated the dosing of the Phase 2a study in May 2023 and recently completed enrollment. We expect to report topline data for the Phase 1b MAD study and Phase 2a study in the latter half of the fourth quarter of 2023. We also completed an ethnobridging study of GSBR-1290 in Japanese individuals and are planning to initiate an additional formulation bridging study to evaluate a tablet formulation of GSBR-1290 before the end of 2023, both in preparation for the planned global Phase 2b study in 2024. Beyond GSBR-1290, we are developing next generation combination GLP-1R candidates, including dual GLP-1R/GIPR agonists and amylin agonists, each designed with customized properties to achieve additional benefits. In September 2022, we completed a Phase 1 SAD and MAD study evaluating ANPA-0073, our small molecule product candidate targeting APJR. ANPA-0073 was generally well tolerated in healthy human volunteers. ANPA-0073 is in development for the treatment of patients with idiopathic pulmonary fibrosis (“IPF”) and pulmonary arterial hypertension (“PAH”). We expect to conduct additional preclinical studies to be followed by a Phase 1 formulation bridging PK study in Australia. Moreover, we are advancing a differentiated lysophosphatidic acid 1 receptor (“LPA1R”) antagonist for the treatment of IPF. We selected a development candidate in January 2023 and expect to initiate a first-in-human study in 2024.</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419"/>
        <w:spacing w:after="0" w:line="250" w:lineRule="auto"/>
        <w:rPr>
          <w:sz w:val="20"/>
          <w:szCs w:val="20"/>
          <w:color w:val="auto"/>
        </w:rPr>
      </w:pPr>
      <w:r>
        <w:rPr>
          <w:rFonts w:ascii="Arial" w:cs="Arial" w:eastAsia="Arial" w:hAnsi="Arial"/>
          <w:sz w:val="18"/>
          <w:szCs w:val="18"/>
          <w:color w:val="auto"/>
        </w:rPr>
        <w:t>We are advancing a robust pipeline of small molecule therapeutic candidates for chronic diseases with unmet medical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122555</wp:posOffset>
            </wp:positionV>
            <wp:extent cx="5102225" cy="1720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02225"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We outsource clinical drug manufacturing, storage, distribution and quality testing to third-party manufacturers. We believe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spacing w:after="0" w:line="188" w:lineRule="exact"/>
        <w:rPr>
          <w:sz w:val="20"/>
          <w:szCs w:val="20"/>
          <w:color w:val="auto"/>
        </w:rPr>
      </w:pPr>
    </w:p>
    <w:p>
      <w:pPr>
        <w:ind w:left="40" w:right="219"/>
        <w:spacing w:after="0" w:line="246" w:lineRule="auto"/>
        <w:rPr>
          <w:sz w:val="20"/>
          <w:szCs w:val="20"/>
          <w:color w:val="auto"/>
        </w:rPr>
      </w:pPr>
      <w:r>
        <w:rPr>
          <w:rFonts w:ascii="Arial" w:cs="Arial" w:eastAsia="Arial" w:hAnsi="Arial"/>
          <w:sz w:val="17"/>
          <w:szCs w:val="17"/>
          <w:color w:val="auto"/>
        </w:rPr>
        <w:t>We are a Cayman Islands exempted company incorporated with limited liability. We were initially formed as a Delaware limited liability company in 2016 under the name ShouTi Inc., and reorganized as a Cayman Islands exempted company in February 2019.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and establishing our intellectual property portfolio, and providing general and administrative support for these activities. We do not have any product candidates approved for sale and have not generated any revenue from our products. Since our inception, we have incurred net operating losses and negative cash flows from operations. We had net losses of $41.3 million and $27.0 million in the six months ended June 30, 2023 and 2022, respectively. As of June 30, 2023, we had an accumulated deficit of</w:t>
      </w:r>
    </w:p>
    <w:p>
      <w:pPr>
        <w:spacing w:after="0" w:line="1" w:lineRule="exact"/>
        <w:rPr>
          <w:sz w:val="20"/>
          <w:szCs w:val="20"/>
          <w:color w:val="auto"/>
        </w:rPr>
      </w:pPr>
    </w:p>
    <w:p>
      <w:pPr>
        <w:ind w:left="40" w:right="139"/>
        <w:spacing w:after="0" w:line="232" w:lineRule="auto"/>
        <w:rPr>
          <w:sz w:val="20"/>
          <w:szCs w:val="20"/>
          <w:color w:val="auto"/>
        </w:rPr>
      </w:pPr>
      <w:r>
        <w:rPr>
          <w:rFonts w:ascii="Arial" w:cs="Arial" w:eastAsia="Arial" w:hAnsi="Arial"/>
          <w:sz w:val="18"/>
          <w:szCs w:val="18"/>
          <w:color w:val="auto"/>
        </w:rPr>
        <w:t>$158.2 million. Historically, we have financed our operations primarily through the private placement of equity securities. On February 7, 2023, we completed our IPO of our American depositary shares (“ADSs”), in which we issued and sold an aggregate of 12,351,000 ADSs (inclusive of 1,611,000 ADSs pursuant to the exercise by the underwriters of their option) at a price of $15.00 per ADS for net cash proceeds of approximately $166.7 million, net of underwriting discounts and commissions and estimated offering costs. Upon the closing of the IPO, all outstanding shares of redeemable convertible preferred shares automatically converted into 67,018,087 ordinary shares. Subsequent to the closing of the IPO, there were no shares of redeemable convertible preferred shares outstanding.</w:t>
      </w:r>
    </w:p>
    <w:p>
      <w:pPr>
        <w:spacing w:after="0" w:line="194" w:lineRule="exact"/>
        <w:rPr>
          <w:sz w:val="20"/>
          <w:szCs w:val="20"/>
          <w:color w:val="auto"/>
        </w:rPr>
      </w:pPr>
    </w:p>
    <w:p>
      <w:pPr>
        <w:ind w:left="40" w:right="119"/>
        <w:spacing w:after="0" w:line="256" w:lineRule="auto"/>
        <w:rPr>
          <w:sz w:val="20"/>
          <w:szCs w:val="20"/>
          <w:color w:val="auto"/>
        </w:rPr>
      </w:pPr>
      <w:r>
        <w:rPr>
          <w:rFonts w:ascii="Arial" w:cs="Arial" w:eastAsia="Arial" w:hAnsi="Arial"/>
          <w:sz w:val="17"/>
          <w:szCs w:val="17"/>
          <w:color w:val="auto"/>
        </w:rPr>
        <w:t>As of June 30, 2023, we have cash, cash equivalents and short-term investments of $224.6 million. Based on our current business plan, we estimate that our existing cash, cash equivalents and short-term investments will be sufficient to fund our projected operations through at least 2025. We have based this estimate on assumptions that may prove to be wrong, and we may exhaust our available capital resources sooner than we expect.</w:t>
      </w:r>
    </w:p>
    <w:p>
      <w:pPr>
        <w:spacing w:after="0" w:line="175" w:lineRule="exact"/>
        <w:rPr>
          <w:sz w:val="20"/>
          <w:szCs w:val="20"/>
          <w:color w:val="auto"/>
        </w:rPr>
      </w:pPr>
    </w:p>
    <w:p>
      <w:pPr>
        <w:ind w:left="40" w:right="59"/>
        <w:spacing w:after="0"/>
        <w:rPr>
          <w:sz w:val="20"/>
          <w:szCs w:val="20"/>
          <w:color w:val="auto"/>
        </w:rPr>
      </w:pPr>
      <w:r>
        <w:rPr>
          <w:rFonts w:ascii="Arial" w:cs="Arial" w:eastAsia="Arial" w:hAnsi="Arial"/>
          <w:sz w:val="18"/>
          <w:szCs w:val="18"/>
          <w:color w:val="auto"/>
        </w:rPr>
        <w:t>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19"/>
        <w:spacing w:after="0" w:line="232" w:lineRule="auto"/>
        <w:rPr>
          <w:sz w:val="20"/>
          <w:szCs w:val="20"/>
          <w:color w:val="auto"/>
        </w:rPr>
      </w:pPr>
      <w:r>
        <w:rPr>
          <w:rFonts w:ascii="Arial" w:cs="Arial" w:eastAsia="Arial" w:hAnsi="Arial"/>
          <w:sz w:val="18"/>
          <w:szCs w:val="18"/>
          <w:color w:val="auto"/>
        </w:rPr>
        <w:t>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consulting, and tax-related services associated with being a public company, compliance with Nasdaq listing and SEC requirements, director and officer insurance premiums and investor relations costs that we did not incur as a private company. As a result, we will need substantial additional capital to develop our product candidates and fund operations for the foreseeable future.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Until such time as we can generate significant revenue from our products, if ever, we expect to finance our operations through the public or private sale of equity, government or private party grants, debt financings or other capital sources, including potential collaborations with other companies or other strategic transactions.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 Our ability to raise additional funds may be adversely impacted by potential worsening global economic conditions and disruptions to and volatility in the credit and financial markets in the United States and worldwide resulting from rising interest rates, future bank failures, global pandemics, the Russia/Ukraine conflict or other events. Because of the numerous risks and uncertainties associated with product development, we cannot predict the timing or amount of increased expenses or when or if we will be able to achieve or maintain profitability.</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Impact of Geopolitical and Macroeconomic Factors</w:t>
      </w:r>
    </w:p>
    <w:p>
      <w:pPr>
        <w:spacing w:after="0" w:line="215" w:lineRule="exact"/>
        <w:rPr>
          <w:sz w:val="20"/>
          <w:szCs w:val="20"/>
          <w:color w:val="auto"/>
        </w:rPr>
      </w:pPr>
    </w:p>
    <w:p>
      <w:pPr>
        <w:ind w:left="40" w:right="99"/>
        <w:spacing w:after="0" w:line="247" w:lineRule="auto"/>
        <w:rPr>
          <w:sz w:val="20"/>
          <w:szCs w:val="20"/>
          <w:color w:val="auto"/>
        </w:rPr>
      </w:pPr>
      <w:r>
        <w:rPr>
          <w:rFonts w:ascii="Arial" w:cs="Arial" w:eastAsia="Arial" w:hAnsi="Arial"/>
          <w:sz w:val="17"/>
          <w:szCs w:val="17"/>
          <w:color w:val="auto"/>
        </w:rPr>
        <w:t>Although we did not see a significant financial impact to our business operations as a result of recent geopolitical and macroeconomic developments, such as recent and potential future disruptions in access to bank deposits or lending commitments due to bank failures, global pandemics, geopolitical tensions between the U.S. and China and the ongoing Russia/Ukraine conflict for the six months ended June 30, 2023, there may be potential impacts to our business in the future that are highly uncertain and difficult to predict, including disruptions to the supply chain and the manufacture or shipment of drug substances and finished drug products for our product candidates for use in our research, preclinical studies and clinical trials, impediments to our clinical trial initiation and recruitment and the ability of patients to continue in clinical trials, delays in the FDA’s review and approval processes, our ability to effectively operate across different geographies in which our offices are located, continued increases in interest rates and economic inflation, bank failures, higher prices of supplies, and changes in availability and cost of credit and our ability to access capital. The ultimate impact of these geopolitical and macroeconomic factors, as well as any lasting effects on the way we conduct our business, is highly uncertain and subject to continued change, and we recognize that they may continue to present unique challenges for us.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Lhotse Collaboration Agreement with Schrödinger, LLC</w:t>
      </w:r>
    </w:p>
    <w:p>
      <w:pPr>
        <w:spacing w:after="0" w:line="215" w:lineRule="exact"/>
        <w:rPr>
          <w:sz w:val="20"/>
          <w:szCs w:val="20"/>
          <w:color w:val="auto"/>
        </w:rPr>
      </w:pPr>
    </w:p>
    <w:p>
      <w:pPr>
        <w:ind w:left="40" w:right="139"/>
        <w:spacing w:after="0" w:line="234" w:lineRule="auto"/>
        <w:rPr>
          <w:sz w:val="20"/>
          <w:szCs w:val="20"/>
          <w:color w:val="auto"/>
        </w:rPr>
      </w:pPr>
      <w:r>
        <w:rPr>
          <w:rFonts w:ascii="Arial" w:cs="Arial" w:eastAsia="Arial" w:hAnsi="Arial"/>
          <w:sz w:val="18"/>
          <w:szCs w:val="18"/>
          <w:color w:val="auto"/>
        </w:rPr>
        <w:t>In October 2020, Lhotse Bio, Inc., our wholly-owned subsidiary, entered into a Collaboration Agreement (the “Lhotse-Schrödinger Agreement”) with Schrödinger, LLC (“Schrödinger”)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19"/>
        <w:spacing w:after="0" w:line="236" w:lineRule="auto"/>
        <w:rPr>
          <w:sz w:val="20"/>
          <w:szCs w:val="20"/>
          <w:color w:val="auto"/>
        </w:rPr>
      </w:pPr>
      <w:r>
        <w:rPr>
          <w:rFonts w:ascii="Arial" w:cs="Arial" w:eastAsia="Arial" w:hAnsi="Arial"/>
          <w:sz w:val="18"/>
          <w:szCs w:val="18"/>
          <w:color w:val="auto"/>
        </w:rPr>
        <w:t>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spacing w:after="0" w:line="191" w:lineRule="exact"/>
        <w:rPr>
          <w:sz w:val="20"/>
          <w:szCs w:val="20"/>
          <w:color w:val="auto"/>
        </w:rPr>
      </w:pPr>
    </w:p>
    <w:p>
      <w:pPr>
        <w:ind w:left="40" w:right="119"/>
        <w:spacing w:after="0" w:line="245" w:lineRule="auto"/>
        <w:rPr>
          <w:sz w:val="20"/>
          <w:szCs w:val="20"/>
          <w:color w:val="auto"/>
        </w:rPr>
      </w:pPr>
      <w:r>
        <w:rPr>
          <w:rFonts w:ascii="Arial" w:cs="Arial" w:eastAsia="Arial" w:hAnsi="Arial"/>
          <w:sz w:val="17"/>
          <w:szCs w:val="17"/>
          <w:color w:val="auto"/>
        </w:rPr>
        <w:t>Under the Lhotse-Schrödinger Agreement, Lhotse is obligated to pay Schrödinger a quarterly active program payment in the low six digits for each successive three-month period during which Schrödinger continues to perform research work as agreed by the parties, and as of June 30, 2023, we have paid to Schrödinger an aggregate of $ 0.8 million. If Lhotse develops and commercializes a product containing a compound (a “Collaboration Compound”), that is discovered or developed under the Lhotse-Schrödinger Agreement (a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on a Collaboration Product-by-Collaboration Product basis equal to low single digit percentages on aggregate worldwide net sales of Collaboration Products, subject to specified reductions and offsets. Lhotse’s obligation to pay royalties to Schrödinger will expire on a Collaboration Product-by-Collaboration Product and country-by-country basis on the later of (i) the expiration of the last-to-expire Lhotse patent claim covering the composition of matter of the Collaboration Compound contained in such Collaboration Product in such country, (ii) the expiration of regulatory, pediatric, orphan drug, or data exclusivity with respect to such Collaboration Product in such country, and</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(iii) ten years after the first commercial sale of such Collaboration Product in such country (the “Royalty Term”).</w:t>
      </w:r>
    </w:p>
    <w:p>
      <w:pPr>
        <w:spacing w:after="0" w:line="193"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 As of June 30, 2023, no milestone or royalty payments have been paid or accrued.</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w:t>
      </w:r>
    </w:p>
    <w:p>
      <w:pPr>
        <w:spacing w:after="0" w:line="211"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Our research and development activities primarily consist of discovery, engineering and research associated with our product candidates under development, including preclinical studies and clinical studies. Research and development expenses include personnel-related costs for our management, including salaries, bonuses, benefits and share-based compensation expenses, consulting services, clinical trial expenses, regulatory expenses, publications, and allocated overhead expenses, including rent, equipment, depreciation, information technology costs and utilities.</w:t>
      </w:r>
    </w:p>
    <w:p>
      <w:pPr>
        <w:spacing w:after="0" w:line="192" w:lineRule="exact"/>
        <w:rPr>
          <w:sz w:val="20"/>
          <w:szCs w:val="20"/>
          <w:color w:val="auto"/>
        </w:rPr>
      </w:pPr>
    </w:p>
    <w:p>
      <w:pPr>
        <w:ind w:left="40" w:right="99"/>
        <w:spacing w:after="0" w:line="236" w:lineRule="auto"/>
        <w:rPr>
          <w:sz w:val="20"/>
          <w:szCs w:val="20"/>
          <w:color w:val="auto"/>
        </w:rPr>
      </w:pPr>
      <w:r>
        <w:rPr>
          <w:rFonts w:ascii="Arial" w:cs="Arial" w:eastAsia="Arial" w:hAnsi="Arial"/>
          <w:sz w:val="18"/>
          <w:szCs w:val="18"/>
          <w:color w:val="auto"/>
        </w:rPr>
        <w:t>We are focusing substantially all of our resources on the development of our product candidates and the discovery of new product candidates through our structure-based drug discovery platform. At this time, we cannot reasonably estimate or know the nature, timing and estimated costs of the efforts that will be necessary to complete the development of our product candidates. The duration, costs and timing of clinical trials and development of our product candidates will depend on a variety of factors, including:</w:t>
      </w:r>
    </w:p>
    <w:p>
      <w:pPr>
        <w:spacing w:after="0" w:line="191" w:lineRule="exact"/>
        <w:rPr>
          <w:sz w:val="20"/>
          <w:szCs w:val="20"/>
          <w:color w:val="auto"/>
        </w:rPr>
      </w:pPr>
    </w:p>
    <w:p>
      <w:pPr>
        <w:ind w:left="720" w:right="419" w:hanging="326"/>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our clinical trials and preclinical studies and other research and development activities;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phases of development of our product candidates;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sites included in our trials;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countries in which our trials are conducted;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 subject trial costs;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uncertainties in clinical trial enrollment rates or design and drop-out/discontinuation rates;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arrangements with third-party contract research organizations (“CROs”);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11" w:lineRule="exact"/>
        <w:rPr>
          <w:rFonts w:ascii="Arial" w:cs="Arial" w:eastAsia="Arial" w:hAnsi="Arial"/>
          <w:sz w:val="18"/>
          <w:szCs w:val="18"/>
          <w:color w:val="auto"/>
        </w:rPr>
      </w:pPr>
    </w:p>
    <w:p>
      <w:pPr>
        <w:ind w:left="720" w:right="99" w:hanging="326"/>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the extent to which we establish additional strategic arrangements;</w:t>
      </w:r>
    </w:p>
    <w:p>
      <w:pPr>
        <w:spacing w:after="0" w:line="73" w:lineRule="exact"/>
        <w:rPr>
          <w:rFonts w:ascii="Arial" w:cs="Arial" w:eastAsia="Arial" w:hAnsi="Arial"/>
          <w:sz w:val="18"/>
          <w:szCs w:val="18"/>
          <w:color w:val="auto"/>
        </w:rPr>
      </w:pPr>
    </w:p>
    <w:p>
      <w:pPr>
        <w:ind w:left="720" w:right="359" w:hanging="326"/>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18" w:lineRule="exact"/>
        <w:rPr>
          <w:sz w:val="20"/>
          <w:szCs w:val="20"/>
          <w:color w:val="auto"/>
        </w:rPr>
      </w:pPr>
    </w:p>
    <w:p>
      <w:pPr>
        <w:ind w:left="40" w:right="139"/>
        <w:spacing w:after="0" w:line="250"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significantly change the costs, timing and viability associated with the development of that product candidate. For example, if the FDA, or an applicable foreign authority, were to require us to conduct clinical trials beyond those that we currently anticipate will be required for the completion of clinical development of our product candidates, or if we experience significant delays in enrollment in any of our clinical trials,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182" w:lineRule="exact"/>
        <w:rPr>
          <w:sz w:val="20"/>
          <w:szCs w:val="20"/>
          <w:color w:val="auto"/>
        </w:rPr>
      </w:pPr>
    </w:p>
    <w:p>
      <w:pPr>
        <w:ind w:left="40" w:right="279"/>
        <w:spacing w:after="0" w:line="238" w:lineRule="auto"/>
        <w:rPr>
          <w:sz w:val="20"/>
          <w:szCs w:val="20"/>
          <w:color w:val="auto"/>
        </w:rPr>
      </w:pPr>
      <w:r>
        <w:rPr>
          <w:rFonts w:ascii="Arial" w:cs="Arial" w:eastAsia="Arial" w:hAnsi="Arial"/>
          <w:sz w:val="18"/>
          <w:szCs w:val="18"/>
          <w:color w:val="auto"/>
        </w:rPr>
        <w:t>We expect our research and development expenses to continue to account for a significant portion of our operating expenses, and to increase substantially during the next several years as we seek to complete preclinical studies, initiate and/or complete clinical trials, identify new product candidates and potentially pursue regulatory approval of our product candidates.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w:t>
      </w:r>
    </w:p>
    <w:p>
      <w:pPr>
        <w:spacing w:after="0" w:line="211" w:lineRule="exact"/>
        <w:rPr>
          <w:sz w:val="20"/>
          <w:szCs w:val="20"/>
          <w:color w:val="auto"/>
        </w:rPr>
      </w:pPr>
    </w:p>
    <w:p>
      <w:pPr>
        <w:ind w:left="40" w:right="179"/>
        <w:spacing w:after="0" w:line="236" w:lineRule="auto"/>
        <w:rPr>
          <w:sz w:val="20"/>
          <w:szCs w:val="20"/>
          <w:color w:val="auto"/>
        </w:rPr>
      </w:pPr>
      <w:r>
        <w:rPr>
          <w:rFonts w:ascii="Arial" w:cs="Arial" w:eastAsia="Arial" w:hAnsi="Arial"/>
          <w:sz w:val="18"/>
          <w:szCs w:val="18"/>
          <w:color w:val="auto"/>
        </w:rPr>
        <w:t>Our general and administrative expenses consist primarily of personnel-related costs for personnel in executive, legal, finance and other administrative functions, including salaries, bonuses, benefits and share-based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spacing w:after="0" w:line="191"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We expect our general and administrative expenses will increase during the next several years as we increase our headcount and expand our infrastructure to support our operations, particularly as a public company. Additionally, in connection with being a public company, we anticipate significant increased expenses related to legal, audit, accounting, regulatory, consulting, and tax-related services, compliance with SEC rules and regulations and Nasdaq listing requirements, director and officer insurance premiums and investor relations costs. Our general and administrative expenses may fluctuate from period to period as we continue to grow.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11" w:lineRule="exact"/>
        <w:rPr>
          <w:sz w:val="20"/>
          <w:szCs w:val="20"/>
          <w:color w:val="auto"/>
        </w:rPr>
      </w:pPr>
    </w:p>
    <w:p>
      <w:pPr>
        <w:ind w:left="40" w:right="159"/>
        <w:spacing w:after="0" w:line="238" w:lineRule="auto"/>
        <w:rPr>
          <w:sz w:val="20"/>
          <w:szCs w:val="20"/>
          <w:color w:val="auto"/>
        </w:rPr>
      </w:pPr>
      <w:r>
        <w:rPr>
          <w:rFonts w:ascii="Arial" w:cs="Arial" w:eastAsia="Arial" w:hAnsi="Arial"/>
          <w:sz w:val="18"/>
          <w:szCs w:val="18"/>
          <w:color w:val="auto"/>
        </w:rPr>
        <w:t>Interest and other income (expense), net primarily consists of interest income earned on our cash, cash equivalents and short-term investments, including amortization and accretion of premiums and discounts on short-term investments, foreign currency exchange gains and losses and interest expense for the amortization of debt issuance costs.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our consolidated results of operations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146685</wp:posOffset>
            </wp:positionV>
            <wp:extent cx="56502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3"/>
              <w:spacing w:after="0" w:line="153"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4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2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Research and development</w:t>
            </w:r>
          </w:p>
        </w:tc>
        <w:tc>
          <w:tcPr>
            <w:tcW w:w="18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19,411</w:t>
            </w:r>
          </w:p>
        </w:tc>
        <w:tc>
          <w:tcPr>
            <w:tcW w:w="460" w:type="dxa"/>
            <w:vAlign w:val="bottom"/>
            <w:gridSpan w:val="2"/>
            <w:shd w:val="clear" w:color="auto" w:fill="CCEEFF"/>
          </w:tcPr>
          <w:p>
            <w:pPr>
              <w:jc w:val="right"/>
              <w:ind w:right="103"/>
              <w:spacing w:after="0" w:line="199"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10,181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20" w:type="dxa"/>
            <w:vAlign w:val="bottom"/>
            <w:tcBorders>
              <w:bottom w:val="single" w:sz="8" w:color="CCEEFF"/>
            </w:tcBorders>
          </w:tcPr>
          <w:p>
            <w:pPr>
              <w:ind w:left="100"/>
              <w:spacing w:after="0" w:line="199" w:lineRule="exact"/>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6,576</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3,779</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25,987</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13,960</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40" w:type="dxa"/>
            <w:vAlign w:val="bottom"/>
            <w:gridSpan w:val="2"/>
          </w:tcPr>
          <w:p>
            <w:pPr>
              <w:spacing w:after="0" w:line="193" w:lineRule="exact"/>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8"/>
                <w:szCs w:val="18"/>
                <w:color w:val="auto"/>
              </w:rPr>
              <w:t>(25,987)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8"/>
                <w:szCs w:val="18"/>
                <w:color w:val="auto"/>
              </w:rPr>
              <w:t>(13,960)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and other income (expense), net</w:t>
            </w:r>
          </w:p>
        </w:tc>
        <w:tc>
          <w:tcPr>
            <w:tcW w:w="16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2,825</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40" w:type="dxa"/>
            <w:vAlign w:val="bottom"/>
            <w:gridSpan w:val="2"/>
          </w:tcPr>
          <w:p>
            <w:pPr>
              <w:spacing w:after="0" w:line="193" w:lineRule="exact"/>
              <w:rPr>
                <w:sz w:val="20"/>
                <w:szCs w:val="20"/>
                <w:color w:val="auto"/>
              </w:rPr>
            </w:pPr>
            <w:r>
              <w:rPr>
                <w:rFonts w:ascii="Arial" w:cs="Arial" w:eastAsia="Arial" w:hAnsi="Arial"/>
                <w:sz w:val="18"/>
                <w:szCs w:val="18"/>
                <w:color w:val="auto"/>
              </w:rPr>
              <w:t>Loss before income tax expense</w:t>
            </w: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Arial" w:cs="Arial" w:eastAsia="Arial" w:hAnsi="Arial"/>
                <w:sz w:val="18"/>
                <w:szCs w:val="18"/>
                <w:color w:val="auto"/>
              </w:rPr>
              <w:t>(23,162)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line="193" w:lineRule="exact"/>
              <w:rPr>
                <w:sz w:val="20"/>
                <w:szCs w:val="20"/>
                <w:color w:val="auto"/>
              </w:rPr>
            </w:pPr>
            <w:r>
              <w:rPr>
                <w:rFonts w:ascii="Arial" w:cs="Arial" w:eastAsia="Arial" w:hAnsi="Arial"/>
                <w:sz w:val="18"/>
                <w:szCs w:val="18"/>
                <w:color w:val="auto"/>
              </w:rPr>
              <w:t>(13,884)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2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40" w:type="dxa"/>
            <w:vAlign w:val="bottom"/>
            <w:gridSpan w:val="2"/>
          </w:tcPr>
          <w:p>
            <w:pPr>
              <w:spacing w:after="0" w:line="193" w:lineRule="exact"/>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20"/>
                <w:szCs w:val="20"/>
                <w:color w:val="auto"/>
              </w:rPr>
            </w:pPr>
          </w:p>
        </w:tc>
        <w:tc>
          <w:tcPr>
            <w:tcW w:w="18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(23,280)</w:t>
            </w: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(13,948)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820" w:type="dxa"/>
            <w:vAlign w:val="bottom"/>
            <w:tcBorders>
              <w:top w:val="single" w:sz="8" w:color="CCEEFF"/>
              <w:bottom w:val="single" w:sz="8" w:color="auto"/>
            </w:tcBorders>
            <w:shd w:val="clear" w:color="auto" w:fill="CCEEFF"/>
          </w:tcPr>
          <w:p>
            <w:pPr>
              <w:spacing w:after="0"/>
              <w:rPr>
                <w:sz w:val="15"/>
                <w:szCs w:val="15"/>
                <w:color w:val="auto"/>
              </w:rPr>
            </w:pPr>
          </w:p>
        </w:tc>
        <w:tc>
          <w:tcPr>
            <w:tcW w:w="1640" w:type="dxa"/>
            <w:vAlign w:val="bottom"/>
            <w:tcBorders>
              <w:top w:val="single" w:sz="8" w:color="CCEEFF"/>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CCEEFF"/>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spacing w:after="0"/>
              <w:rPr>
                <w:sz w:val="15"/>
                <w:szCs w:val="15"/>
                <w:color w:val="auto"/>
              </w:rPr>
            </w:pPr>
          </w:p>
        </w:tc>
        <w:tc>
          <w:tcPr>
            <w:tcW w:w="220" w:type="dxa"/>
            <w:vAlign w:val="bottom"/>
            <w:tcBorders>
              <w:top w:val="single" w:sz="8" w:color="CCEEFF"/>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11" w:lineRule="exact"/>
        <w:rPr>
          <w:sz w:val="20"/>
          <w:szCs w:val="20"/>
          <w:color w:val="auto"/>
        </w:rPr>
      </w:pPr>
    </w:p>
    <w:p>
      <w:pPr>
        <w:ind w:left="40" w:right="139"/>
        <w:spacing w:after="0" w:line="256" w:lineRule="auto"/>
        <w:rPr>
          <w:sz w:val="20"/>
          <w:szCs w:val="20"/>
          <w:color w:val="auto"/>
        </w:rPr>
      </w:pPr>
      <w:r>
        <w:rPr>
          <w:rFonts w:ascii="Arial" w:cs="Arial" w:eastAsia="Arial" w:hAnsi="Arial"/>
          <w:sz w:val="17"/>
          <w:szCs w:val="17"/>
          <w:color w:val="auto"/>
        </w:rPr>
        <w:t>Research and development expenses increased by $9.2 million, or 91%, to $19.4 million during the three months ended June 30, 2023, compared to $10.2 million during the three months ended June 30, 2022. The increase in research and development expenses was primarily due to the advancement of our GLP-1R franchise and other research programs and increases related to employee expenses, primarily due to an increase in personnel.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summarizes our research and development expenses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153670</wp:posOffset>
            </wp:positionV>
            <wp:extent cx="5650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Product candidate:</w:t>
            </w:r>
          </w:p>
        </w:tc>
        <w:tc>
          <w:tcPr>
            <w:tcW w:w="1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3"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2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ANPA</w:t>
            </w:r>
            <w:r>
              <w:rPr>
                <w:rFonts w:ascii="MS PGothic" w:cs="MS PGothic" w:eastAsia="MS PGothic" w:hAnsi="MS PGothic"/>
                <w:sz w:val="18"/>
                <w:szCs w:val="18"/>
                <w:color w:val="auto"/>
              </w:rPr>
              <w:t>‑</w:t>
            </w:r>
            <w:r>
              <w:rPr>
                <w:rFonts w:ascii="Arial" w:cs="Arial" w:eastAsia="Arial" w:hAnsi="Arial"/>
                <w:sz w:val="18"/>
                <w:szCs w:val="18"/>
                <w:color w:val="auto"/>
              </w:rPr>
              <w:t>0073</w:t>
            </w:r>
          </w:p>
        </w:tc>
        <w:tc>
          <w:tcPr>
            <w:tcW w:w="16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1,865</w:t>
            </w:r>
          </w:p>
        </w:tc>
        <w:tc>
          <w:tcPr>
            <w:tcW w:w="460" w:type="dxa"/>
            <w:vAlign w:val="bottom"/>
            <w:gridSpan w:val="2"/>
            <w:shd w:val="clear" w:color="auto" w:fill="CCEEFF"/>
          </w:tcPr>
          <w:p>
            <w:pPr>
              <w:jc w:val="right"/>
              <w:ind w:right="103"/>
              <w:spacing w:after="0" w:line="19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1,276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Pr>
          <w:p>
            <w:pPr>
              <w:ind w:left="100"/>
              <w:spacing w:after="0" w:line="199" w:lineRule="exact"/>
              <w:rPr>
                <w:sz w:val="20"/>
                <w:szCs w:val="20"/>
                <w:color w:val="auto"/>
              </w:rPr>
            </w:pPr>
            <w:r>
              <w:rPr>
                <w:rFonts w:ascii="Arial" w:cs="Arial" w:eastAsia="Arial" w:hAnsi="Arial"/>
                <w:sz w:val="18"/>
                <w:szCs w:val="18"/>
                <w:color w:val="auto"/>
              </w:rPr>
              <w:t>GSBR</w:t>
            </w:r>
            <w:r>
              <w:rPr>
                <w:rFonts w:ascii="MS PGothic" w:cs="MS PGothic" w:eastAsia="MS PGothic" w:hAnsi="MS PGothic"/>
                <w:sz w:val="18"/>
                <w:szCs w:val="18"/>
                <w:color w:val="auto"/>
              </w:rPr>
              <w:t>‑</w:t>
            </w:r>
            <w:r>
              <w:rPr>
                <w:rFonts w:ascii="Arial" w:cs="Arial" w:eastAsia="Arial" w:hAnsi="Arial"/>
                <w:sz w:val="18"/>
                <w:szCs w:val="18"/>
                <w:color w:val="auto"/>
              </w:rPr>
              <w:t>1290</w:t>
            </w: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line="199" w:lineRule="exact"/>
              <w:rPr>
                <w:sz w:val="20"/>
                <w:szCs w:val="20"/>
                <w:color w:val="auto"/>
              </w:rPr>
            </w:pPr>
            <w:r>
              <w:rPr>
                <w:rFonts w:ascii="Arial" w:cs="Arial" w:eastAsia="Arial" w:hAnsi="Arial"/>
                <w:sz w:val="18"/>
                <w:szCs w:val="18"/>
                <w:color w:val="auto"/>
              </w:rPr>
              <w:t>13,411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5,326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LTSE</w:t>
            </w:r>
            <w:r>
              <w:rPr>
                <w:rFonts w:ascii="MS PGothic" w:cs="MS PGothic" w:eastAsia="MS PGothic" w:hAnsi="MS PGothic"/>
                <w:sz w:val="18"/>
                <w:szCs w:val="18"/>
                <w:color w:val="auto"/>
              </w:rPr>
              <w:t>‑</w:t>
            </w:r>
            <w:r>
              <w:rPr>
                <w:rFonts w:ascii="Arial" w:cs="Arial" w:eastAsia="Arial" w:hAnsi="Arial"/>
                <w:sz w:val="18"/>
                <w:szCs w:val="18"/>
                <w:color w:val="auto"/>
              </w:rPr>
              <w:t>2578</w:t>
            </w: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1,453</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1,488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00" w:type="dxa"/>
            <w:vAlign w:val="bottom"/>
            <w:tcBorders>
              <w:bottom w:val="single" w:sz="8" w:color="CCEEFF"/>
            </w:tcBorders>
          </w:tcPr>
          <w:p>
            <w:pPr>
              <w:ind w:left="100"/>
              <w:spacing w:after="0" w:line="199" w:lineRule="exact"/>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2,682</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2,091</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000" w:type="dxa"/>
            <w:vAlign w:val="bottom"/>
            <w:tcBorders>
              <w:bottom w:val="single" w:sz="8" w:color="CCEEFF"/>
            </w:tcBorders>
            <w:shd w:val="clear" w:color="auto" w:fill="CCEEFF"/>
          </w:tcPr>
          <w:p>
            <w:pPr>
              <w:ind w:left="200"/>
              <w:spacing w:after="0" w:line="193" w:lineRule="exact"/>
              <w:rPr>
                <w:sz w:val="20"/>
                <w:szCs w:val="20"/>
                <w:color w:val="auto"/>
              </w:rPr>
            </w:pPr>
            <w:r>
              <w:rPr>
                <w:rFonts w:ascii="Arial" w:cs="Arial" w:eastAsia="Arial" w:hAnsi="Arial"/>
                <w:sz w:val="18"/>
                <w:szCs w:val="18"/>
                <w:color w:val="auto"/>
              </w:rPr>
              <w:t>Total research and development expenses</w:t>
            </w:r>
          </w:p>
        </w:tc>
        <w:tc>
          <w:tcPr>
            <w:tcW w:w="1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19,411</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10,181</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50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left="40" w:right="279"/>
        <w:spacing w:after="0" w:line="236" w:lineRule="auto"/>
        <w:rPr>
          <w:sz w:val="20"/>
          <w:szCs w:val="20"/>
          <w:color w:val="auto"/>
        </w:rPr>
      </w:pPr>
      <w:r>
        <w:rPr>
          <w:rFonts w:ascii="Arial" w:cs="Arial" w:eastAsia="Arial" w:hAnsi="Arial"/>
          <w:sz w:val="18"/>
          <w:szCs w:val="18"/>
          <w:color w:val="auto"/>
        </w:rPr>
        <w:t>General and administrative expenses increased by $2.8 million, or 74%, to $6.6 million during the three months ended June 30, 2023, compared to $ 3.8 million during the three months ended June 30, 2022. The increase in general and administrative expenses was primarily due to increases in professional services and employee related expenses as we expanded our infrastructure to drive and support the growth in our operations as a publicly-traded 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11" w:lineRule="exact"/>
        <w:rPr>
          <w:sz w:val="20"/>
          <w:szCs w:val="20"/>
          <w:color w:val="auto"/>
        </w:rPr>
      </w:pPr>
    </w:p>
    <w:p>
      <w:pPr>
        <w:ind w:left="40" w:right="239"/>
        <w:spacing w:after="0" w:line="238" w:lineRule="auto"/>
        <w:rPr>
          <w:sz w:val="20"/>
          <w:szCs w:val="20"/>
          <w:color w:val="auto"/>
        </w:rPr>
      </w:pPr>
      <w:r>
        <w:rPr>
          <w:rFonts w:ascii="Arial" w:cs="Arial" w:eastAsia="Arial" w:hAnsi="Arial"/>
          <w:sz w:val="18"/>
          <w:szCs w:val="18"/>
          <w:color w:val="auto"/>
        </w:rPr>
        <w:t>Interest and other income (expense), net, increased by $2.7 million to an income of $2.8 million during the three months ended June 30, 2023, compared to an income of $0.1 million during the three months ended June 30, 2022. The increase in interest and other income (expense), net, was primarily due to an increase in interest income from higher interest rates and cash, cash equivalents and short-term investment balances.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our consolidated results of operations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79375</wp:posOffset>
            </wp:positionV>
            <wp:extent cx="56502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ind w:left="516"/>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6"/>
              <w:spacing w:after="0" w:line="153"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3"/>
              <w:spacing w:after="0" w:line="153"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2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0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Research and development</w:t>
            </w:r>
          </w:p>
        </w:tc>
        <w:tc>
          <w:tcPr>
            <w:tcW w:w="174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32,546</w:t>
            </w:r>
          </w:p>
        </w:tc>
        <w:tc>
          <w:tcPr>
            <w:tcW w:w="30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18,673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00" w:type="dxa"/>
            <w:vAlign w:val="bottom"/>
            <w:tcBorders>
              <w:bottom w:val="single" w:sz="8" w:color="CCEEFF"/>
            </w:tcBorders>
          </w:tcPr>
          <w:p>
            <w:pPr>
              <w:ind w:left="100"/>
              <w:spacing w:after="0" w:line="199" w:lineRule="exact"/>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13,090</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8,239</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0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45,636</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26,912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820" w:type="dxa"/>
            <w:vAlign w:val="bottom"/>
            <w:gridSpan w:val="2"/>
          </w:tcPr>
          <w:p>
            <w:pPr>
              <w:spacing w:after="0" w:line="193" w:lineRule="exact"/>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(45,636)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(26,912)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Interest and other income (expense), net</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4,524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820" w:type="dxa"/>
            <w:vAlign w:val="bottom"/>
            <w:gridSpan w:val="2"/>
          </w:tcPr>
          <w:p>
            <w:pPr>
              <w:spacing w:after="0" w:line="193" w:lineRule="exact"/>
              <w:rPr>
                <w:sz w:val="20"/>
                <w:szCs w:val="20"/>
                <w:color w:val="auto"/>
              </w:rPr>
            </w:pPr>
            <w:r>
              <w:rPr>
                <w:rFonts w:ascii="Arial" w:cs="Arial" w:eastAsia="Arial" w:hAnsi="Arial"/>
                <w:sz w:val="18"/>
                <w:szCs w:val="18"/>
                <w:color w:val="auto"/>
              </w:rPr>
              <w:t>Loss before provision for income taxes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8"/>
                <w:szCs w:val="18"/>
                <w:color w:val="auto"/>
              </w:rPr>
              <w:t>(41,112)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(26,905)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8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820" w:type="dxa"/>
            <w:vAlign w:val="bottom"/>
            <w:gridSpan w:val="2"/>
          </w:tcPr>
          <w:p>
            <w:pPr>
              <w:spacing w:after="0" w:line="193" w:lineRule="exact"/>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(41,255)</w:t>
            </w:r>
          </w:p>
        </w:tc>
        <w:tc>
          <w:tcPr>
            <w:tcW w:w="18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3" w:lineRule="exact"/>
              <w:rPr>
                <w:sz w:val="20"/>
                <w:szCs w:val="20"/>
                <w:color w:val="auto"/>
              </w:rPr>
            </w:pPr>
            <w:r>
              <w:rPr>
                <w:rFonts w:ascii="Arial" w:cs="Arial" w:eastAsia="Arial" w:hAnsi="Arial"/>
                <w:sz w:val="18"/>
                <w:szCs w:val="18"/>
                <w:color w:val="auto"/>
              </w:rPr>
              <w:t>(27,029)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8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0</wp:posOffset>
            </wp:positionV>
            <wp:extent cx="56502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i w:val="1"/>
          <w:iCs w:val="1"/>
          <w:color w:val="auto"/>
        </w:rPr>
        <w:t>Research and Development Expenses</w:t>
      </w:r>
    </w:p>
    <w:p>
      <w:pPr>
        <w:spacing w:after="0" w:line="205" w:lineRule="exact"/>
        <w:rPr>
          <w:sz w:val="20"/>
          <w:szCs w:val="20"/>
          <w:color w:val="auto"/>
        </w:rPr>
      </w:pPr>
    </w:p>
    <w:p>
      <w:pPr>
        <w:ind w:left="40" w:right="219"/>
        <w:spacing w:after="0" w:line="250" w:lineRule="auto"/>
        <w:rPr>
          <w:sz w:val="20"/>
          <w:szCs w:val="20"/>
          <w:color w:val="auto"/>
        </w:rPr>
      </w:pPr>
      <w:r>
        <w:rPr>
          <w:rFonts w:ascii="Arial" w:cs="Arial" w:eastAsia="Arial" w:hAnsi="Arial"/>
          <w:sz w:val="18"/>
          <w:szCs w:val="18"/>
          <w:color w:val="auto"/>
        </w:rPr>
        <w:t>Research and development expenses increased by $13.9 million, or 74%, to $32.5 million during the six months ended June 30, 2023, compared to $18.7 million during the six months ended June 30, 2022. The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79"/>
        <w:spacing w:after="0"/>
        <w:rPr>
          <w:sz w:val="20"/>
          <w:szCs w:val="20"/>
          <w:color w:val="auto"/>
        </w:rPr>
      </w:pPr>
      <w:r>
        <w:rPr>
          <w:rFonts w:ascii="Arial" w:cs="Arial" w:eastAsia="Arial" w:hAnsi="Arial"/>
          <w:sz w:val="18"/>
          <w:szCs w:val="18"/>
          <w:color w:val="auto"/>
        </w:rPr>
        <w:t>increase in research and development expenses was primarily due to the advancement of our GLP-1R franchise and other research programs and increases related to employee expenses, primarily due an increase in personnel.</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following table summarizes our research and development expenses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153670</wp:posOffset>
            </wp:positionV>
            <wp:extent cx="5650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Product candidate:</w:t>
            </w:r>
          </w:p>
        </w:tc>
        <w:tc>
          <w:tcPr>
            <w:tcW w:w="1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3" w:lineRule="exact"/>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4"/>
              <w:spacing w:after="0" w:line="153"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0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ANPA</w:t>
            </w:r>
            <w:r>
              <w:rPr>
                <w:rFonts w:ascii="MS PGothic" w:cs="MS PGothic" w:eastAsia="MS PGothic" w:hAnsi="MS PGothic"/>
                <w:sz w:val="18"/>
                <w:szCs w:val="18"/>
                <w:color w:val="auto"/>
              </w:rPr>
              <w:t>‑</w:t>
            </w:r>
            <w:r>
              <w:rPr>
                <w:rFonts w:ascii="Arial" w:cs="Arial" w:eastAsia="Arial" w:hAnsi="Arial"/>
                <w:sz w:val="18"/>
                <w:szCs w:val="18"/>
                <w:color w:val="auto"/>
              </w:rPr>
              <w:t>0073</w:t>
            </w:r>
          </w:p>
        </w:tc>
        <w:tc>
          <w:tcPr>
            <w:tcW w:w="1680" w:type="dxa"/>
            <w:vAlign w:val="bottom"/>
            <w:gridSpan w:val="2"/>
            <w:shd w:val="clear" w:color="auto" w:fill="CCEEFF"/>
          </w:tcPr>
          <w:p>
            <w:pPr>
              <w:jc w:val="right"/>
              <w:ind w:right="63"/>
              <w:spacing w:after="0" w:line="19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2,413</w:t>
            </w:r>
          </w:p>
        </w:tc>
        <w:tc>
          <w:tcPr>
            <w:tcW w:w="440" w:type="dxa"/>
            <w:vAlign w:val="bottom"/>
            <w:gridSpan w:val="2"/>
            <w:shd w:val="clear" w:color="auto" w:fill="CCEEFF"/>
          </w:tcPr>
          <w:p>
            <w:pPr>
              <w:jc w:val="right"/>
              <w:ind w:right="71"/>
              <w:spacing w:after="0" w:line="19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3,306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Pr>
          <w:p>
            <w:pPr>
              <w:ind w:left="100"/>
              <w:spacing w:after="0" w:line="199" w:lineRule="exact"/>
              <w:rPr>
                <w:sz w:val="20"/>
                <w:szCs w:val="20"/>
                <w:color w:val="auto"/>
              </w:rPr>
            </w:pPr>
            <w:r>
              <w:rPr>
                <w:rFonts w:ascii="Arial" w:cs="Arial" w:eastAsia="Arial" w:hAnsi="Arial"/>
                <w:sz w:val="18"/>
                <w:szCs w:val="18"/>
                <w:color w:val="auto"/>
              </w:rPr>
              <w:t>GSBR</w:t>
            </w:r>
            <w:r>
              <w:rPr>
                <w:rFonts w:ascii="MS PGothic" w:cs="MS PGothic" w:eastAsia="MS PGothic" w:hAnsi="MS PGothic"/>
                <w:sz w:val="18"/>
                <w:szCs w:val="18"/>
                <w:color w:val="auto"/>
              </w:rPr>
              <w:t>‑</w:t>
            </w:r>
            <w:r>
              <w:rPr>
                <w:rFonts w:ascii="Arial" w:cs="Arial" w:eastAsia="Arial" w:hAnsi="Arial"/>
                <w:sz w:val="18"/>
                <w:szCs w:val="18"/>
                <w:color w:val="auto"/>
              </w:rPr>
              <w:t>1290</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199" w:lineRule="exact"/>
              <w:rPr>
                <w:sz w:val="20"/>
                <w:szCs w:val="20"/>
                <w:color w:val="auto"/>
              </w:rPr>
            </w:pPr>
            <w:r>
              <w:rPr>
                <w:rFonts w:ascii="Arial" w:cs="Arial" w:eastAsia="Arial" w:hAnsi="Arial"/>
                <w:sz w:val="18"/>
                <w:szCs w:val="18"/>
                <w:color w:val="auto"/>
              </w:rPr>
              <w:t>21,282</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Arial" w:cs="Arial" w:eastAsia="Arial" w:hAnsi="Arial"/>
                <w:sz w:val="18"/>
                <w:szCs w:val="18"/>
                <w:color w:val="auto"/>
              </w:rPr>
              <w:t>8,576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LTSE</w:t>
            </w:r>
            <w:r>
              <w:rPr>
                <w:rFonts w:ascii="MS PGothic" w:cs="MS PGothic" w:eastAsia="MS PGothic" w:hAnsi="MS PGothic"/>
                <w:sz w:val="18"/>
                <w:szCs w:val="18"/>
                <w:color w:val="auto"/>
              </w:rPr>
              <w:t>‑</w:t>
            </w:r>
            <w:r>
              <w:rPr>
                <w:rFonts w:ascii="Arial" w:cs="Arial" w:eastAsia="Arial" w:hAnsi="Arial"/>
                <w:sz w:val="18"/>
                <w:szCs w:val="18"/>
                <w:color w:val="auto"/>
              </w:rPr>
              <w:t>2578</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2,375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2,471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Borders>
              <w:bottom w:val="single" w:sz="8" w:color="CCEEFF"/>
            </w:tcBorders>
          </w:tcPr>
          <w:p>
            <w:pPr>
              <w:ind w:left="100"/>
              <w:spacing w:after="0" w:line="199" w:lineRule="exact"/>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6,476</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4,320</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80" w:type="dxa"/>
            <w:vAlign w:val="bottom"/>
            <w:tcBorders>
              <w:bottom w:val="single" w:sz="8" w:color="CCEEFF"/>
            </w:tcBorders>
            <w:shd w:val="clear" w:color="auto" w:fill="CCEEFF"/>
          </w:tcPr>
          <w:p>
            <w:pPr>
              <w:ind w:left="200"/>
              <w:spacing w:after="0" w:line="193" w:lineRule="exact"/>
              <w:rPr>
                <w:sz w:val="20"/>
                <w:szCs w:val="20"/>
                <w:color w:val="auto"/>
              </w:rPr>
            </w:pPr>
            <w:r>
              <w:rPr>
                <w:rFonts w:ascii="Arial" w:cs="Arial" w:eastAsia="Arial" w:hAnsi="Arial"/>
                <w:sz w:val="18"/>
                <w:szCs w:val="18"/>
                <w:color w:val="auto"/>
              </w:rPr>
              <w:t>Total research and development expenses</w:t>
            </w:r>
          </w:p>
        </w:tc>
        <w:tc>
          <w:tcPr>
            <w:tcW w:w="1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32,546</w:t>
            </w:r>
          </w:p>
        </w:tc>
        <w:tc>
          <w:tcPr>
            <w:tcW w:w="1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71"/>
              <w:spacing w:after="0" w:line="19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18,673</w:t>
            </w: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1" w:lineRule="exact"/>
        <w:rPr>
          <w:sz w:val="20"/>
          <w:szCs w:val="20"/>
          <w:color w:val="auto"/>
        </w:rPr>
      </w:pPr>
    </w:p>
    <w:p>
      <w:pPr>
        <w:ind w:left="40" w:right="179"/>
        <w:spacing w:after="0" w:line="236" w:lineRule="auto"/>
        <w:rPr>
          <w:sz w:val="20"/>
          <w:szCs w:val="20"/>
          <w:color w:val="auto"/>
        </w:rPr>
      </w:pPr>
      <w:r>
        <w:rPr>
          <w:rFonts w:ascii="Arial" w:cs="Arial" w:eastAsia="Arial" w:hAnsi="Arial"/>
          <w:sz w:val="18"/>
          <w:szCs w:val="18"/>
          <w:color w:val="auto"/>
        </w:rPr>
        <w:t>General and administrative expenses increased by $4.9 million, or 59%, to $ 13.1 million during the six months ended June 30, 2023, compared to $ 8.2 million during the six months ended June 30, 2022. The increase in general and administrative expenses was primarily due to increases in professional services and employee related expenses and professional services as we expanded our infrastructure to drive and support the growth in our operations as a publicly-traded 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11" w:lineRule="exact"/>
        <w:rPr>
          <w:sz w:val="20"/>
          <w:szCs w:val="20"/>
          <w:color w:val="auto"/>
        </w:rPr>
      </w:pPr>
    </w:p>
    <w:p>
      <w:pPr>
        <w:ind w:left="40" w:right="119"/>
        <w:spacing w:after="0" w:line="238" w:lineRule="auto"/>
        <w:rPr>
          <w:sz w:val="20"/>
          <w:szCs w:val="20"/>
          <w:color w:val="auto"/>
        </w:rPr>
      </w:pPr>
      <w:r>
        <w:rPr>
          <w:rFonts w:ascii="Arial" w:cs="Arial" w:eastAsia="Arial" w:hAnsi="Arial"/>
          <w:sz w:val="18"/>
          <w:szCs w:val="18"/>
          <w:color w:val="auto"/>
        </w:rPr>
        <w:t>Interest and other income (expense), net, increased by $4.5 million to an income of $4.5 million during the six months ended June 30, 2023, compared to an income of less than $0.1 million during the six months ended June 30, 2022. The increase in interest and other income (expense), net, was primarily due to an increase in interest income from higher interest rates and cash, cash equivalents and short-term investment balances.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15"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From our reorganization as a Cayman Islands exempted company in February 2019 through immediately prior to completion of our IPO, we funded our operations primarily with an aggregate of $ 198.0 million in gross cash proceeds from the sale of redeemable convertible preferred shares. On February 7, 2023, we completed our IPO and received $166.7 million in net proceeds after deducting underwriting discounts and commissions and estimated offering costs. As of June 30, 2023, we had cash, cash equivalents and short-term investments of $224.6 million and an accumulated deficit of $158.2 million.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Redeemable Convertible Preferred Shares</w:t>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Series A Redeemable Convertible Preferred Shares</w:t>
      </w:r>
    </w:p>
    <w:p>
      <w:pPr>
        <w:spacing w:after="0" w:line="211" w:lineRule="exact"/>
        <w:rPr>
          <w:sz w:val="20"/>
          <w:szCs w:val="20"/>
          <w:color w:val="auto"/>
        </w:rPr>
      </w:pPr>
    </w:p>
    <w:p>
      <w:pPr>
        <w:ind w:left="40" w:right="439"/>
        <w:spacing w:after="0" w:line="238" w:lineRule="auto"/>
        <w:rPr>
          <w:sz w:val="20"/>
          <w:szCs w:val="20"/>
          <w:color w:val="auto"/>
        </w:rPr>
      </w:pPr>
      <w:r>
        <w:rPr>
          <w:rFonts w:ascii="Arial" w:cs="Arial" w:eastAsia="Arial" w:hAnsi="Arial"/>
          <w:sz w:val="18"/>
          <w:szCs w:val="18"/>
          <w:color w:val="auto"/>
        </w:rPr>
        <w:t>In April 2019, we entered into a Series A redeemable convertible preferred shares purchase agreement (the “Series A Purchase Agreement”), with certain investors to issue and sell 9,600,000 shares of Series A redeemable convertible preferred shares at $1.6667 per share (the “Series A Purchase Price”), for total gross proceeds of $16.0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40" w:right="539"/>
        <w:spacing w:after="0"/>
        <w:rPr>
          <w:sz w:val="20"/>
          <w:szCs w:val="20"/>
          <w:color w:val="auto"/>
        </w:rPr>
      </w:pPr>
      <w:r>
        <w:rPr>
          <w:rFonts w:ascii="Arial" w:cs="Arial" w:eastAsia="Arial" w:hAnsi="Arial"/>
          <w:sz w:val="18"/>
          <w:szCs w:val="18"/>
          <w:color w:val="auto"/>
        </w:rPr>
        <w:t>The Series A Purchase Agreement also provided for the issuance and sale to the investors of an additional 9,600,000 shares of Series A redeemable convertible preferred shares at the Series A Purchase Price upon achieving certain milestone conditions (the “Series A Milestone Closing”).</w:t>
      </w:r>
    </w:p>
    <w:p>
      <w:pPr>
        <w:spacing w:after="0" w:line="189" w:lineRule="exact"/>
        <w:rPr>
          <w:sz w:val="20"/>
          <w:szCs w:val="20"/>
          <w:color w:val="auto"/>
        </w:rPr>
      </w:pPr>
    </w:p>
    <w:p>
      <w:pPr>
        <w:jc w:val="both"/>
        <w:ind w:left="40" w:right="539"/>
        <w:spacing w:after="0" w:line="279" w:lineRule="auto"/>
        <w:rPr>
          <w:sz w:val="20"/>
          <w:szCs w:val="20"/>
          <w:color w:val="auto"/>
        </w:rPr>
      </w:pPr>
      <w:r>
        <w:rPr>
          <w:rFonts w:ascii="Arial" w:cs="Arial" w:eastAsia="Arial" w:hAnsi="Arial"/>
          <w:sz w:val="17"/>
          <w:szCs w:val="17"/>
          <w:color w:val="auto"/>
        </w:rPr>
        <w:t>The issuance of Series A redeemable convertible preferred shares was recorded at the amount of proceeds received less issuance costs and the amounts allocated to the Series A Milestone Closing liability.</w:t>
      </w:r>
    </w:p>
    <w:p>
      <w:pPr>
        <w:spacing w:after="0" w:line="156" w:lineRule="exact"/>
        <w:rPr>
          <w:sz w:val="20"/>
          <w:szCs w:val="20"/>
          <w:color w:val="auto"/>
        </w:rPr>
      </w:pPr>
    </w:p>
    <w:p>
      <w:pPr>
        <w:ind w:left="40" w:right="459"/>
        <w:spacing w:after="0" w:line="279" w:lineRule="auto"/>
        <w:rPr>
          <w:sz w:val="20"/>
          <w:szCs w:val="20"/>
          <w:color w:val="auto"/>
        </w:rPr>
      </w:pPr>
      <w:r>
        <w:rPr>
          <w:rFonts w:ascii="Arial" w:cs="Arial" w:eastAsia="Arial" w:hAnsi="Arial"/>
          <w:sz w:val="17"/>
          <w:szCs w:val="17"/>
          <w:color w:val="auto"/>
        </w:rPr>
        <w:t>The Series A Milestone Closing occurred on December 9, 2019, and we issued 9,600,000 shares of Series A redeemable convertible preferred shares at the Series A Purchase Price for gross proceeds of $16.0 million.</w:t>
      </w:r>
    </w:p>
    <w:p>
      <w:pPr>
        <w:spacing w:after="0" w:line="15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Series A+ Redeemable Convertible Preferred Shares</w:t>
      </w:r>
    </w:p>
    <w:p>
      <w:pPr>
        <w:spacing w:after="0" w:line="211" w:lineRule="exact"/>
        <w:rPr>
          <w:sz w:val="20"/>
          <w:szCs w:val="20"/>
          <w:color w:val="auto"/>
        </w:rPr>
      </w:pPr>
    </w:p>
    <w:p>
      <w:pPr>
        <w:ind w:left="40" w:right="279"/>
        <w:spacing w:after="0"/>
        <w:rPr>
          <w:sz w:val="20"/>
          <w:szCs w:val="20"/>
          <w:color w:val="auto"/>
        </w:rPr>
      </w:pPr>
      <w:r>
        <w:rPr>
          <w:rFonts w:ascii="Arial" w:cs="Arial" w:eastAsia="Arial" w:hAnsi="Arial"/>
          <w:sz w:val="18"/>
          <w:szCs w:val="18"/>
          <w:color w:val="auto"/>
        </w:rPr>
        <w:t>In March 2020, we entered into a Series A+ redeemable convertible preferred shares purchase agreement with certain investors to issue and sell 12,799,681 shares of Series A+ redeemable convertible preferred shares at $2.0313 per share, for total gross proceeds of $26.0 million.</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Series B Redeemable Convertible Preferred Shares</w:t>
      </w:r>
    </w:p>
    <w:p>
      <w:pPr>
        <w:spacing w:after="0" w:line="211" w:lineRule="exact"/>
        <w:rPr>
          <w:sz w:val="20"/>
          <w:szCs w:val="20"/>
          <w:color w:val="auto"/>
        </w:rPr>
      </w:pPr>
    </w:p>
    <w:p>
      <w:pPr>
        <w:jc w:val="both"/>
        <w:ind w:left="40" w:right="499"/>
        <w:spacing w:after="0"/>
        <w:rPr>
          <w:sz w:val="20"/>
          <w:szCs w:val="20"/>
          <w:color w:val="auto"/>
        </w:rPr>
      </w:pPr>
      <w:r>
        <w:rPr>
          <w:rFonts w:ascii="Arial" w:cs="Arial" w:eastAsia="Arial" w:hAnsi="Arial"/>
          <w:sz w:val="18"/>
          <w:szCs w:val="18"/>
          <w:color w:val="auto"/>
        </w:rPr>
        <w:t>In July 2021, we entered into a Series B redeemable convertible preferred shares purchase agreement with certain investors to issue and sell 24,701,732 shares of Series B redeemable convertible preferred shares at $4.0483 per share, for total gross proceeds of $100.0 million.</w:t>
      </w:r>
    </w:p>
    <w:p>
      <w:pPr>
        <w:spacing w:after="0" w:line="189" w:lineRule="exact"/>
        <w:rPr>
          <w:sz w:val="20"/>
          <w:szCs w:val="20"/>
          <w:color w:val="auto"/>
        </w:rPr>
      </w:pPr>
    </w:p>
    <w:p>
      <w:pPr>
        <w:ind w:left="40" w:right="159"/>
        <w:spacing w:after="0" w:line="250" w:lineRule="auto"/>
        <w:rPr>
          <w:sz w:val="20"/>
          <w:szCs w:val="20"/>
          <w:color w:val="auto"/>
        </w:rPr>
      </w:pPr>
      <w:r>
        <w:rPr>
          <w:rFonts w:ascii="Arial" w:cs="Arial" w:eastAsia="Arial" w:hAnsi="Arial"/>
          <w:sz w:val="18"/>
          <w:szCs w:val="18"/>
          <w:color w:val="auto"/>
        </w:rPr>
        <w:t>In April 2022, we issued an additional 8,155,272 shares of our Series B redeemable convertible preferred shares for total gross proceeds of $33.0 million, also at $4.0483 per share.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Series B-1 Redeemable Convertible Preferred Shares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March 2021, Basecamp Bio, Inc. (“Basecamp Bio”), our wholly owned subsidiary incorporated in</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February 2021, entered into a purchase agreement with certain investors to issue and sell 9,000,000 shares of its</w:t>
      </w:r>
    </w:p>
    <w:p>
      <w:pPr>
        <w:ind w:left="40"/>
        <w:spacing w:after="0" w:line="235" w:lineRule="auto"/>
        <w:rPr>
          <w:sz w:val="20"/>
          <w:szCs w:val="20"/>
          <w:color w:val="auto"/>
        </w:rPr>
      </w:pPr>
      <w:r>
        <w:rPr>
          <w:rFonts w:ascii="Arial" w:cs="Arial" w:eastAsia="Arial" w:hAnsi="Arial"/>
          <w:sz w:val="18"/>
          <w:szCs w:val="18"/>
          <w:color w:val="auto"/>
        </w:rPr>
        <w:t>Series Seed redeemable convertible preferred shares at a price of $1.00 per share for total gross proceeds of</w:t>
      </w:r>
    </w:p>
    <w:p>
      <w:pPr>
        <w:ind w:left="40"/>
        <w:spacing w:after="0"/>
        <w:rPr>
          <w:sz w:val="20"/>
          <w:szCs w:val="20"/>
          <w:color w:val="auto"/>
        </w:rPr>
      </w:pPr>
      <w:r>
        <w:rPr>
          <w:rFonts w:ascii="Arial" w:cs="Arial" w:eastAsia="Arial" w:hAnsi="Arial"/>
          <w:sz w:val="17"/>
          <w:szCs w:val="17"/>
          <w:color w:val="auto"/>
        </w:rPr>
        <w:t>$9.0 million. Of the 9,000,000 shares of Series Seed redeemable convertible preferred shares issued, 2,000,000</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shares were issued to us and the remaining 7,000,000 shares were issued to other existing investors in Structure</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Therapeutics.</w:t>
      </w:r>
    </w:p>
    <w:p>
      <w:pPr>
        <w:spacing w:after="0" w:line="193" w:lineRule="exact"/>
        <w:rPr>
          <w:sz w:val="20"/>
          <w:szCs w:val="20"/>
          <w:color w:val="auto"/>
        </w:rPr>
      </w:pPr>
    </w:p>
    <w:p>
      <w:pPr>
        <w:ind w:left="40" w:right="659"/>
        <w:spacing w:after="0"/>
        <w:rPr>
          <w:sz w:val="20"/>
          <w:szCs w:val="20"/>
          <w:color w:val="auto"/>
        </w:rPr>
      </w:pPr>
      <w:r>
        <w:rPr>
          <w:rFonts w:ascii="Arial" w:cs="Arial" w:eastAsia="Arial" w:hAnsi="Arial"/>
          <w:sz w:val="18"/>
          <w:szCs w:val="18"/>
          <w:color w:val="auto"/>
        </w:rPr>
        <w:t>In December 2021, we acquired the 7,000,000 Series Seed redeemable convertible preferred shares of Basecamp Bio held by the other investors in exchange for 2,161,402 shares of our Series B-1 redeemable convertible preferred stock, with Basecamp Bio becoming a wholly owned subsidiary again.</w:t>
      </w:r>
    </w:p>
    <w:p>
      <w:pPr>
        <w:spacing w:after="0" w:line="189" w:lineRule="exact"/>
        <w:rPr>
          <w:sz w:val="20"/>
          <w:szCs w:val="20"/>
          <w:color w:val="auto"/>
        </w:rPr>
      </w:pPr>
    </w:p>
    <w:p>
      <w:pPr>
        <w:ind w:left="40" w:right="579"/>
        <w:spacing w:after="0" w:line="250" w:lineRule="auto"/>
        <w:rPr>
          <w:sz w:val="20"/>
          <w:szCs w:val="20"/>
          <w:color w:val="auto"/>
        </w:rPr>
      </w:pPr>
      <w:r>
        <w:rPr>
          <w:rFonts w:ascii="Arial" w:cs="Arial" w:eastAsia="Arial" w:hAnsi="Arial"/>
          <w:sz w:val="18"/>
          <w:szCs w:val="18"/>
          <w:color w:val="auto"/>
        </w:rPr>
        <w:t>Upon the closing of our IPO, all outstanding shares of redeemable convertible preferred stock automatically converted into 67,018,087 ordinary shares.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15"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Prior to our IPO, we financed our operations primarily through the private placement of equity securities and have received aggregate gross proceeds of approximately $198.0 million. Since our inception, we have incurred net operating losses and negative cash flows from operations. We had net losses of $ 41.3 million and $27.0 million in the six months ended June 30, 2023 and 2022, respectively. As of June 30, 2023, we had an accumulated deficit of $158.2 million. In February 2023, we completed our IPO for net proceeds of $166.7 million.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establishing our intellectual property portfolio, and providing general and administrative support for these activities.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19"/>
        <w:spacing w:after="0" w:line="236" w:lineRule="auto"/>
        <w:rPr>
          <w:sz w:val="20"/>
          <w:szCs w:val="20"/>
          <w:color w:val="auto"/>
        </w:rPr>
      </w:pPr>
      <w:r>
        <w:rPr>
          <w:rFonts w:ascii="Arial" w:cs="Arial" w:eastAsia="Arial" w:hAnsi="Arial"/>
          <w:sz w:val="18"/>
          <w:szCs w:val="18"/>
          <w:color w:val="auto"/>
        </w:rPr>
        <w:t>As of June 30, 2023, we had cash, cash equivalents and short-term investments of $224.6 million. Based on our current business plan, we believe that our existing cash, cash equivalents and short-term investments will be sufficient to fund our projected operations for the next 12 months from the date of the issuance of our condensed consolidated financial statements. We have based this estimate on assumptions that may prove to be wrong, and we may exhaust our available capital resources sooner than we expect.</w:t>
      </w:r>
    </w:p>
    <w:p>
      <w:pPr>
        <w:spacing w:after="0" w:line="191" w:lineRule="exact"/>
        <w:rPr>
          <w:sz w:val="20"/>
          <w:szCs w:val="20"/>
          <w:color w:val="auto"/>
        </w:rPr>
      </w:pPr>
    </w:p>
    <w:p>
      <w:pPr>
        <w:ind w:left="40" w:right="79"/>
        <w:spacing w:after="0" w:line="247" w:lineRule="auto"/>
        <w:rPr>
          <w:sz w:val="20"/>
          <w:szCs w:val="20"/>
          <w:color w:val="auto"/>
        </w:rPr>
      </w:pPr>
      <w:r>
        <w:rPr>
          <w:rFonts w:ascii="Arial" w:cs="Arial" w:eastAsia="Arial" w:hAnsi="Arial"/>
          <w:sz w:val="17"/>
          <w:szCs w:val="17"/>
          <w:color w:val="auto"/>
        </w:rPr>
        <w:t>To date, we have not generated any revenue from our products. We do not expect to generate any significant product revenue until we successfully develop and obtain regulatory approval for and commercialize our product candidates, and we do not know when, or if, either will occur. 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we expect to incur additional costs associated with operating as a public company, including significant legal, audit, accounting, regulatory, tax-related, director and officer insurance, investor relations and other expenses that we did not incur as a private company.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We are subject to the risks typically related to the development of new product candidates, and we may encounter unforeseen expenses, difficulties, complications, delays and other unknown factors that may adversely affect our business.</w:t>
      </w:r>
    </w:p>
    <w:p>
      <w:pPr>
        <w:spacing w:after="0" w:line="183" w:lineRule="exact"/>
        <w:rPr>
          <w:sz w:val="20"/>
          <w:szCs w:val="20"/>
          <w:color w:val="auto"/>
        </w:rPr>
      </w:pPr>
    </w:p>
    <w:p>
      <w:pPr>
        <w:ind w:left="40" w:right="819"/>
        <w:spacing w:after="0" w:line="250" w:lineRule="auto"/>
        <w:rPr>
          <w:sz w:val="20"/>
          <w:szCs w:val="20"/>
          <w:color w:val="auto"/>
        </w:rPr>
      </w:pPr>
      <w:r>
        <w:rPr>
          <w:rFonts w:ascii="Arial" w:cs="Arial" w:eastAsia="Arial" w:hAnsi="Arial"/>
          <w:sz w:val="18"/>
          <w:szCs w:val="18"/>
          <w:color w:val="auto"/>
        </w:rPr>
        <w:t>We will need substantial additional capital to develop our product candidates and fund operations for the foreseeable future. Our future capital requirements will depend on many factors, including:</w:t>
      </w:r>
    </w:p>
    <w:p>
      <w:pPr>
        <w:spacing w:after="0" w:line="180" w:lineRule="exact"/>
        <w:rPr>
          <w:sz w:val="20"/>
          <w:szCs w:val="20"/>
          <w:color w:val="auto"/>
        </w:rPr>
      </w:pPr>
    </w:p>
    <w:p>
      <w:pPr>
        <w:ind w:left="720" w:right="239" w:hanging="326"/>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preclinical development activities, laboratory testing and clinical trials for our product candidates;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1" w:lineRule="exact"/>
        <w:rPr>
          <w:rFonts w:ascii="Arial" w:cs="Arial" w:eastAsia="Arial" w:hAnsi="Arial"/>
          <w:sz w:val="18"/>
          <w:szCs w:val="18"/>
          <w:color w:val="auto"/>
        </w:rPr>
      </w:pPr>
    </w:p>
    <w:p>
      <w:pPr>
        <w:ind w:left="720" w:right="979" w:hanging="326"/>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11" w:lineRule="exact"/>
        <w:rPr>
          <w:rFonts w:ascii="Arial" w:cs="Arial" w:eastAsia="Arial" w:hAnsi="Arial"/>
          <w:sz w:val="18"/>
          <w:szCs w:val="18"/>
          <w:color w:val="auto"/>
        </w:rPr>
      </w:pPr>
    </w:p>
    <w:p>
      <w:pPr>
        <w:ind w:left="720" w:right="379" w:hanging="326"/>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1" w:lineRule="exact"/>
        <w:rPr>
          <w:rFonts w:ascii="Arial" w:cs="Arial" w:eastAsia="Arial" w:hAnsi="Arial"/>
          <w:sz w:val="18"/>
          <w:szCs w:val="18"/>
          <w:color w:val="auto"/>
        </w:rPr>
      </w:pPr>
    </w:p>
    <w:p>
      <w:pPr>
        <w:ind w:left="720" w:right="879" w:hanging="326"/>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1" w:lineRule="exact"/>
        <w:rPr>
          <w:rFonts w:ascii="Arial" w:cs="Arial" w:eastAsia="Arial" w:hAnsi="Arial"/>
          <w:sz w:val="18"/>
          <w:szCs w:val="18"/>
          <w:color w:val="auto"/>
        </w:rPr>
      </w:pPr>
    </w:p>
    <w:p>
      <w:pPr>
        <w:ind w:left="720" w:right="139" w:hanging="32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82" w:lineRule="exact"/>
        <w:rPr>
          <w:rFonts w:ascii="Arial" w:cs="Arial" w:eastAsia="Arial" w:hAnsi="Arial"/>
          <w:sz w:val="18"/>
          <w:szCs w:val="18"/>
          <w:color w:val="auto"/>
        </w:rPr>
      </w:pPr>
    </w:p>
    <w:p>
      <w:pPr>
        <w:ind w:left="720" w:hanging="32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implementation of operational, financial and management systems; and</w:t>
      </w:r>
    </w:p>
    <w:p>
      <w:pPr>
        <w:spacing w:after="0" w:line="111" w:lineRule="exact"/>
        <w:rPr>
          <w:rFonts w:ascii="Arial" w:cs="Arial" w:eastAsia="Arial" w:hAnsi="Arial"/>
          <w:sz w:val="18"/>
          <w:szCs w:val="18"/>
          <w:color w:val="auto"/>
        </w:rPr>
      </w:pPr>
    </w:p>
    <w:p>
      <w:pPr>
        <w:ind w:left="720" w:right="159" w:hanging="326"/>
        <w:spacing w:after="0" w:line="238"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geopolitical and macroeconomic events, including future bank failures, increased geopolitical tensions between the U.S. and China, the Russia/Ukraine conflict and global pandemics on U.S. and global economic conditions that may impact our ability to access capital on acceptable terms, if at all.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279"/>
        <w:spacing w:after="0" w:line="238" w:lineRule="auto"/>
        <w:rPr>
          <w:sz w:val="20"/>
          <w:szCs w:val="20"/>
          <w:color w:val="auto"/>
        </w:rPr>
      </w:pPr>
      <w:r>
        <w:rPr>
          <w:rFonts w:ascii="Arial" w:cs="Arial" w:eastAsia="Arial" w:hAnsi="Arial"/>
          <w:sz w:val="18"/>
          <w:szCs w:val="18"/>
          <w:color w:val="auto"/>
        </w:rPr>
        <w:t>A change in the outcome of any of these or other variables with respect to the development of our product candidates could significantly change the costs and timing associated with the development of that product candidate. Furthermore, our business plans may change in the future, and we will continue to require additional capital to meet operational needs and capital requirements associated with such plans.</w:t>
      </w:r>
    </w:p>
    <w:p>
      <w:pPr>
        <w:spacing w:after="0" w:line="188"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holder of our ADSs.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w:t>
      </w:r>
    </w:p>
    <w:p>
      <w:pPr>
        <w:spacing w:after="0" w:line="190"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geopolitical and macroeconomic events such as actual or anticipated changes in interest rates and economic inflation, current and future bank failures, global pandemics, geopolitical tensions between the U.S. and China and the impact of the Russia/Ukraine conflict. If we are unable to obtain additional funding, or funding on acceptable terms, we could be forced to delay, reduce or eliminate some or all of our research and development programs, product portfolio expansion or any commercialization efforts, which could adversely affect our business prospects, or we may be unable to continue operations. Because of the numerous risks and uncertainties associated with product development, we cannot predict the timing or amount of increased expenses or when or if we will be able to achieve or maintain profitability.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Statements of Cash Flows</w:t>
      </w:r>
    </w:p>
    <w:p>
      <w:pPr>
        <w:spacing w:after="0" w:line="241" w:lineRule="exact"/>
        <w:rPr>
          <w:sz w:val="20"/>
          <w:szCs w:val="20"/>
          <w:color w:val="auto"/>
        </w:rPr>
      </w:pPr>
    </w:p>
    <w:p>
      <w:pPr>
        <w:ind w:left="40" w:right="959"/>
        <w:spacing w:after="0" w:line="250" w:lineRule="auto"/>
        <w:rPr>
          <w:sz w:val="20"/>
          <w:szCs w:val="20"/>
          <w:color w:val="auto"/>
        </w:rPr>
      </w:pPr>
      <w:r>
        <w:rPr>
          <w:rFonts w:ascii="Arial" w:cs="Arial" w:eastAsia="Arial" w:hAnsi="Arial"/>
          <w:sz w:val="18"/>
          <w:szCs w:val="18"/>
          <w:color w:val="auto"/>
        </w:rPr>
        <w:t>The following table sets forth the primary sources and uses of cash for the periods presented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130810</wp:posOffset>
            </wp:positionV>
            <wp:extent cx="56502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0230" cy="8255"/>
                    </a:xfrm>
                    <a:prstGeom prst="rect">
                      <a:avLst/>
                    </a:prstGeom>
                    <a:noFill/>
                  </pic:spPr>
                </pic:pic>
              </a:graphicData>
            </a:graphic>
          </wp:anchor>
        </w:drawing>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173"/>
        </w:trPr>
        <w:tc>
          <w:tcPr>
            <w:tcW w:w="5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3"/>
        </w:trPr>
        <w:tc>
          <w:tcPr>
            <w:tcW w:w="544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9"/>
              <w:spacing w:after="0" w:line="153"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3"/>
                <w:szCs w:val="13"/>
                <w:color w:val="auto"/>
              </w:rPr>
            </w:pPr>
          </w:p>
        </w:tc>
      </w:tr>
      <w:tr>
        <w:trPr>
          <w:trHeight w:val="192"/>
        </w:trPr>
        <w:tc>
          <w:tcPr>
            <w:tcW w:w="54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Net cash (used in) provided by:</w:t>
            </w: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9"/>
        </w:trPr>
        <w:tc>
          <w:tcPr>
            <w:tcW w:w="5440" w:type="dxa"/>
            <w:vAlign w:val="bottom"/>
          </w:tcPr>
          <w:p>
            <w:pPr>
              <w:ind w:left="100"/>
              <w:spacing w:after="0" w:line="199" w:lineRule="exact"/>
              <w:rPr>
                <w:sz w:val="20"/>
                <w:szCs w:val="20"/>
                <w:color w:val="auto"/>
              </w:rPr>
            </w:pPr>
            <w:r>
              <w:rPr>
                <w:rFonts w:ascii="Arial" w:cs="Arial" w:eastAsia="Arial" w:hAnsi="Arial"/>
                <w:sz w:val="18"/>
                <w:szCs w:val="18"/>
                <w:color w:val="auto"/>
              </w:rPr>
              <w:t>Operating activities</w:t>
            </w:r>
          </w:p>
        </w:tc>
        <w:tc>
          <w:tcPr>
            <w:tcW w:w="120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9" w:lineRule="exact"/>
              <w:rPr>
                <w:sz w:val="20"/>
                <w:szCs w:val="20"/>
                <w:color w:val="auto"/>
              </w:rPr>
            </w:pPr>
            <w:r>
              <w:rPr>
                <w:rFonts w:ascii="Arial" w:cs="Arial" w:eastAsia="Arial" w:hAnsi="Arial"/>
                <w:sz w:val="18"/>
                <w:szCs w:val="18"/>
                <w:color w:val="auto"/>
              </w:rPr>
              <w:t>(37,202)</w:t>
            </w:r>
          </w:p>
        </w:tc>
        <w:tc>
          <w:tcPr>
            <w:tcW w:w="460" w:type="dxa"/>
            <w:vAlign w:val="bottom"/>
            <w:gridSpan w:val="2"/>
          </w:tcPr>
          <w:p>
            <w:pPr>
              <w:jc w:val="right"/>
              <w:ind w:right="103"/>
              <w:spacing w:after="0" w:line="199"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9" w:lineRule="exact"/>
              <w:rPr>
                <w:sz w:val="20"/>
                <w:szCs w:val="20"/>
                <w:color w:val="auto"/>
              </w:rPr>
            </w:pPr>
            <w:r>
              <w:rPr>
                <w:rFonts w:ascii="Arial" w:cs="Arial" w:eastAsia="Arial" w:hAnsi="Arial"/>
                <w:sz w:val="18"/>
                <w:szCs w:val="18"/>
                <w:color w:val="auto"/>
              </w:rPr>
              <w:t>(23,613)</w:t>
            </w:r>
          </w:p>
        </w:tc>
        <w:tc>
          <w:tcPr>
            <w:tcW w:w="200" w:type="dxa"/>
            <w:vAlign w:val="bottom"/>
          </w:tcPr>
          <w:p>
            <w:pPr>
              <w:spacing w:after="0"/>
              <w:rPr>
                <w:sz w:val="17"/>
                <w:szCs w:val="17"/>
                <w:color w:val="auto"/>
              </w:rPr>
            </w:pPr>
          </w:p>
        </w:tc>
      </w:tr>
      <w:tr>
        <w:trPr>
          <w:trHeight w:val="199"/>
        </w:trPr>
        <w:tc>
          <w:tcPr>
            <w:tcW w:w="5440" w:type="dxa"/>
            <w:vAlign w:val="bottom"/>
            <w:shd w:val="clear" w:color="auto" w:fill="CCEEFF"/>
          </w:tcPr>
          <w:p>
            <w:pPr>
              <w:ind w:left="100"/>
              <w:spacing w:after="0" w:line="199" w:lineRule="exact"/>
              <w:rPr>
                <w:sz w:val="20"/>
                <w:szCs w:val="20"/>
                <w:color w:val="auto"/>
              </w:rPr>
            </w:pPr>
            <w:r>
              <w:rPr>
                <w:rFonts w:ascii="Arial" w:cs="Arial" w:eastAsia="Arial" w:hAnsi="Arial"/>
                <w:sz w:val="18"/>
                <w:szCs w:val="18"/>
                <w:color w:val="auto"/>
              </w:rPr>
              <w:t>Investing activities</w:t>
            </w: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(117,727)</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(55,792)</w:t>
            </w:r>
          </w:p>
        </w:tc>
        <w:tc>
          <w:tcPr>
            <w:tcW w:w="200" w:type="dxa"/>
            <w:vAlign w:val="bottom"/>
            <w:shd w:val="clear" w:color="auto" w:fill="CCEEFF"/>
          </w:tcPr>
          <w:p>
            <w:pPr>
              <w:spacing w:after="0"/>
              <w:rPr>
                <w:sz w:val="17"/>
                <w:szCs w:val="17"/>
                <w:color w:val="auto"/>
              </w:rPr>
            </w:pPr>
          </w:p>
        </w:tc>
      </w:tr>
      <w:tr>
        <w:trPr>
          <w:trHeight w:val="199"/>
        </w:trPr>
        <w:tc>
          <w:tcPr>
            <w:tcW w:w="5440" w:type="dxa"/>
            <w:vAlign w:val="bottom"/>
            <w:tcBorders>
              <w:bottom w:val="single" w:sz="8" w:color="CCEEFF"/>
            </w:tcBorders>
          </w:tcPr>
          <w:p>
            <w:pPr>
              <w:ind w:left="100"/>
              <w:spacing w:after="0" w:line="199" w:lineRule="exact"/>
              <w:rPr>
                <w:sz w:val="20"/>
                <w:szCs w:val="20"/>
                <w:color w:val="auto"/>
              </w:rPr>
            </w:pPr>
            <w:r>
              <w:rPr>
                <w:rFonts w:ascii="Arial" w:cs="Arial" w:eastAsia="Arial" w:hAnsi="Arial"/>
                <w:sz w:val="18"/>
                <w:szCs w:val="18"/>
                <w:color w:val="auto"/>
              </w:rPr>
              <w:t>Financing activities</w:t>
            </w:r>
          </w:p>
        </w:tc>
        <w:tc>
          <w:tcPr>
            <w:tcW w:w="10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169,429</w:t>
            </w:r>
          </w:p>
        </w:tc>
        <w:tc>
          <w:tcPr>
            <w:tcW w:w="2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29,589</w:t>
            </w:r>
          </w:p>
        </w:tc>
        <w:tc>
          <w:tcPr>
            <w:tcW w:w="200" w:type="dxa"/>
            <w:vAlign w:val="bottom"/>
            <w:tcBorders>
              <w:bottom w:val="single" w:sz="8" w:color="CCEEFF"/>
            </w:tcBorders>
          </w:tcPr>
          <w:p>
            <w:pPr>
              <w:spacing w:after="0"/>
              <w:rPr>
                <w:sz w:val="17"/>
                <w:szCs w:val="17"/>
                <w:color w:val="auto"/>
              </w:rPr>
            </w:pPr>
          </w:p>
        </w:tc>
      </w:tr>
      <w:tr>
        <w:trPr>
          <w:trHeight w:val="192"/>
        </w:trPr>
        <w:tc>
          <w:tcPr>
            <w:tcW w:w="5440" w:type="dxa"/>
            <w:vAlign w:val="bottom"/>
            <w:tcBorders>
              <w:bottom w:val="single" w:sz="8" w:color="CCEEFF"/>
            </w:tcBorders>
            <w:shd w:val="clear" w:color="auto" w:fill="CCEEFF"/>
          </w:tcPr>
          <w:p>
            <w:pPr>
              <w:ind w:left="200"/>
              <w:spacing w:after="0" w:line="193" w:lineRule="exact"/>
              <w:rPr>
                <w:sz w:val="20"/>
                <w:szCs w:val="20"/>
                <w:color w:val="auto"/>
              </w:rPr>
            </w:pPr>
            <w:r>
              <w:rPr>
                <w:rFonts w:ascii="Arial" w:cs="Arial" w:eastAsia="Arial" w:hAnsi="Arial"/>
                <w:sz w:val="18"/>
                <w:szCs w:val="18"/>
                <w:color w:val="auto"/>
              </w:rPr>
              <w:t>Net increase (decrease) in cash and cash equivalents</w:t>
            </w:r>
          </w:p>
        </w:tc>
        <w:tc>
          <w:tcPr>
            <w:tcW w:w="10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14,500</w:t>
            </w:r>
          </w:p>
        </w:tc>
        <w:tc>
          <w:tcPr>
            <w:tcW w:w="2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(49,816)</w:t>
            </w:r>
          </w:p>
        </w:tc>
        <w:tc>
          <w:tcPr>
            <w:tcW w:w="200" w:type="dxa"/>
            <w:vAlign w:val="bottom"/>
            <w:tcBorders>
              <w:bottom w:val="single" w:sz="8" w:color="CCEEFF"/>
            </w:tcBorders>
            <w:shd w:val="clear" w:color="auto" w:fill="CCEEFF"/>
          </w:tcPr>
          <w:p>
            <w:pPr>
              <w:spacing w:after="0"/>
              <w:rPr>
                <w:sz w:val="16"/>
                <w:szCs w:val="16"/>
                <w:color w:val="auto"/>
              </w:rPr>
            </w:pPr>
          </w:p>
        </w:tc>
      </w:tr>
      <w:tr>
        <w:trPr>
          <w:trHeight w:val="20"/>
        </w:trPr>
        <w:tc>
          <w:tcPr>
            <w:tcW w:w="5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9"/>
        </w:trPr>
        <w:tc>
          <w:tcPr>
            <w:tcW w:w="5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r>
    </w:tbl>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211" w:lineRule="exact"/>
        <w:rPr>
          <w:sz w:val="20"/>
          <w:szCs w:val="20"/>
          <w:color w:val="auto"/>
        </w:rPr>
      </w:pPr>
    </w:p>
    <w:p>
      <w:pPr>
        <w:jc w:val="both"/>
        <w:ind w:left="40" w:right="279"/>
        <w:spacing w:after="0" w:line="238" w:lineRule="auto"/>
        <w:rPr>
          <w:sz w:val="20"/>
          <w:szCs w:val="20"/>
          <w:color w:val="auto"/>
        </w:rPr>
      </w:pPr>
      <w:r>
        <w:rPr>
          <w:rFonts w:ascii="Arial" w:cs="Arial" w:eastAsia="Arial" w:hAnsi="Arial"/>
          <w:sz w:val="18"/>
          <w:szCs w:val="18"/>
          <w:color w:val="auto"/>
        </w:rPr>
        <w:t>During the six months ended June 30, 2023, net cash used in operating activities was $37.2 million, consisting primarily of a net loss of $41.3 million, partially offset by non-cash charges of $2.6 million and a decrease in net operating assets of $1.5 million. The cash used in operations was primarily due to the increase in net loss from the increase in operating expenses as we invest in our research and development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219"/>
        <w:spacing w:after="0" w:line="238" w:lineRule="auto"/>
        <w:rPr>
          <w:sz w:val="20"/>
          <w:szCs w:val="20"/>
          <w:color w:val="auto"/>
        </w:rPr>
      </w:pPr>
      <w:r>
        <w:rPr>
          <w:rFonts w:ascii="Arial" w:cs="Arial" w:eastAsia="Arial" w:hAnsi="Arial"/>
          <w:sz w:val="18"/>
          <w:szCs w:val="18"/>
          <w:color w:val="auto"/>
        </w:rPr>
        <w:t>efforts and operate as a publicly-traded company. Non-cash charges consisted primarily of share-based compensation and accretion of net investment discount. The decrease in net operating assets was primarily due to an increase in accrued expenses and other current liabilities, partially offset by an increase in prepaid expenses and other current assets.</w:t>
      </w:r>
    </w:p>
    <w:p>
      <w:pPr>
        <w:spacing w:after="0" w:line="188"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During the six months ended June 30, 2022, net cash used in operating activities was $23.6 million, consisting primarily of a net loss of $27.0 million, partly offset by a decrease in net operating assets of $2.0 million and non-cash charges of $1.4 million. The cash used in operations was primarily due to the increase in net loss from the increase in operating expenses as we invested in our research and development efforts and prepared to become a publicly-traded company. The decrease in net operating assets is primarily due to an increase in accrued expenses and other current liabilities, partially offset by an increase in prepaid expenses and other current assets. Non-cash charges consisted primarily of share-based compensation.</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11" w:lineRule="exact"/>
        <w:rPr>
          <w:sz w:val="20"/>
          <w:szCs w:val="20"/>
          <w:color w:val="auto"/>
        </w:rPr>
      </w:pPr>
    </w:p>
    <w:p>
      <w:pPr>
        <w:ind w:left="40" w:right="299"/>
        <w:spacing w:after="0" w:line="250" w:lineRule="auto"/>
        <w:rPr>
          <w:sz w:val="20"/>
          <w:szCs w:val="20"/>
          <w:color w:val="auto"/>
        </w:rPr>
      </w:pPr>
      <w:r>
        <w:rPr>
          <w:rFonts w:ascii="Arial" w:cs="Arial" w:eastAsia="Arial" w:hAnsi="Arial"/>
          <w:sz w:val="18"/>
          <w:szCs w:val="18"/>
          <w:color w:val="auto"/>
        </w:rPr>
        <w:t>During the six months ended June 30, 2023, net cash used in investing activities was $117.7 million, consisting primarily of net purchases of short-term investments.</w:t>
      </w:r>
    </w:p>
    <w:p>
      <w:pPr>
        <w:spacing w:after="0" w:line="180" w:lineRule="exact"/>
        <w:rPr>
          <w:sz w:val="20"/>
          <w:szCs w:val="20"/>
          <w:color w:val="auto"/>
        </w:rPr>
      </w:pPr>
    </w:p>
    <w:p>
      <w:pPr>
        <w:ind w:left="40" w:right="399"/>
        <w:spacing w:after="0" w:line="250" w:lineRule="auto"/>
        <w:rPr>
          <w:sz w:val="20"/>
          <w:szCs w:val="20"/>
          <w:color w:val="auto"/>
        </w:rPr>
      </w:pPr>
      <w:r>
        <w:rPr>
          <w:rFonts w:ascii="Arial" w:cs="Arial" w:eastAsia="Arial" w:hAnsi="Arial"/>
          <w:sz w:val="18"/>
          <w:szCs w:val="18"/>
          <w:color w:val="auto"/>
        </w:rPr>
        <w:t>During the six months ended June 30, 2022, net cash used in investing activities was $55.8 million, consisting primarily of net purchases of short-term investments.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211" w:lineRule="exact"/>
        <w:rPr>
          <w:sz w:val="20"/>
          <w:szCs w:val="20"/>
          <w:color w:val="auto"/>
        </w:rPr>
      </w:pPr>
    </w:p>
    <w:p>
      <w:pPr>
        <w:ind w:left="40" w:right="279"/>
        <w:spacing w:after="0"/>
        <w:rPr>
          <w:sz w:val="20"/>
          <w:szCs w:val="20"/>
          <w:color w:val="auto"/>
        </w:rPr>
      </w:pPr>
      <w:r>
        <w:rPr>
          <w:rFonts w:ascii="Arial" w:cs="Arial" w:eastAsia="Arial" w:hAnsi="Arial"/>
          <w:sz w:val="18"/>
          <w:szCs w:val="18"/>
          <w:color w:val="auto"/>
        </w:rPr>
        <w:t>During the six months ended June 30, 2023, net cash provided by financing activities was $169.4 million, consisting primarily of proceeds from our IPO of $172.3 million, net of underwriting discounts and commissions, partially offset by payment of deferred offering costs of $3.1 million.</w:t>
      </w:r>
    </w:p>
    <w:p>
      <w:pPr>
        <w:spacing w:after="0" w:line="189" w:lineRule="exact"/>
        <w:rPr>
          <w:sz w:val="20"/>
          <w:szCs w:val="20"/>
          <w:color w:val="auto"/>
        </w:rPr>
      </w:pPr>
    </w:p>
    <w:p>
      <w:pPr>
        <w:ind w:left="40" w:right="99"/>
        <w:spacing w:after="0"/>
        <w:rPr>
          <w:sz w:val="20"/>
          <w:szCs w:val="20"/>
          <w:color w:val="auto"/>
        </w:rPr>
      </w:pPr>
      <w:r>
        <w:rPr>
          <w:rFonts w:ascii="Arial" w:cs="Arial" w:eastAsia="Arial" w:hAnsi="Arial"/>
          <w:sz w:val="18"/>
          <w:szCs w:val="18"/>
          <w:color w:val="auto"/>
        </w:rPr>
        <w:t>During the six months ended June 30, 2022, net cash provided by financing activities was $29.6 million, consisting primarily of net proceeds from the issuance of our Series B redeemable convertible preferred shares of $31.5 million, partially offset by payments of deferred offering costs of $1.9 million.</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15" w:lineRule="exact"/>
        <w:rPr>
          <w:sz w:val="20"/>
          <w:szCs w:val="20"/>
          <w:color w:val="auto"/>
        </w:rPr>
      </w:pPr>
    </w:p>
    <w:p>
      <w:pPr>
        <w:ind w:left="40" w:right="99"/>
        <w:spacing w:after="0" w:line="238" w:lineRule="auto"/>
        <w:rPr>
          <w:sz w:val="20"/>
          <w:szCs w:val="20"/>
          <w:color w:val="auto"/>
        </w:rPr>
      </w:pPr>
      <w:r>
        <w:rPr>
          <w:rFonts w:ascii="Arial" w:cs="Arial" w:eastAsia="Arial" w:hAnsi="Arial"/>
          <w:sz w:val="18"/>
          <w:szCs w:val="18"/>
          <w:color w:val="auto"/>
        </w:rPr>
        <w:t>As of June 30, 2023, our contractual obligations consist of facilities lease payments totaling $0.1 million through October 31, 2023. In June 2023, the Company entered into three lease agreements which are expected to commence in August 2023, January 2024 and February 2024. See “Operating Leases” in Note 5 to our unaudited interim condensed consolidated financial statements for additional information.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5" w:lineRule="exact"/>
        <w:rPr>
          <w:sz w:val="20"/>
          <w:szCs w:val="20"/>
          <w:color w:val="auto"/>
        </w:rPr>
      </w:pPr>
    </w:p>
    <w:p>
      <w:pPr>
        <w:ind w:left="40" w:right="139"/>
        <w:spacing w:after="0" w:line="234" w:lineRule="auto"/>
        <w:rPr>
          <w:sz w:val="20"/>
          <w:szCs w:val="20"/>
          <w:color w:val="auto"/>
        </w:rPr>
      </w:pPr>
      <w:r>
        <w:rPr>
          <w:rFonts w:ascii="Arial" w:cs="Arial" w:eastAsia="Arial" w:hAnsi="Arial"/>
          <w:sz w:val="18"/>
          <w:szCs w:val="18"/>
          <w:color w:val="auto"/>
        </w:rPr>
        <w:t>Our condensed consolidated financial statements have been prepared in accordance with U.S. Generally Accepted Accounting Principles (“GAAP”). The preparation of our condensed consolidated financial statements requires us to make estimates and assumptions that affect the reported amounts of assets and liabilities, the disclosure of contingent assets and liabilities at the date of the condensed consolidated financial statements and the reported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w:t>
      </w:r>
    </w:p>
    <w:p>
      <w:pPr>
        <w:spacing w:after="0" w:line="189" w:lineRule="exact"/>
        <w:rPr>
          <w:sz w:val="20"/>
          <w:szCs w:val="20"/>
          <w:color w:val="auto"/>
        </w:rPr>
      </w:pPr>
    </w:p>
    <w:p>
      <w:pPr>
        <w:ind w:left="40" w:right="619"/>
        <w:spacing w:after="0" w:line="279" w:lineRule="auto"/>
        <w:rPr>
          <w:sz w:val="20"/>
          <w:szCs w:val="20"/>
          <w:color w:val="auto"/>
        </w:rPr>
      </w:pPr>
      <w:r>
        <w:rPr>
          <w:rFonts w:ascii="Arial" w:cs="Arial" w:eastAsia="Arial" w:hAnsi="Arial"/>
          <w:sz w:val="17"/>
          <w:szCs w:val="17"/>
          <w:color w:val="auto"/>
        </w:rPr>
        <w:t>Our critical accounting policies and estimates are described in “Management's Discussion and Analysis of Financial Condition and Results of Operations - Critical Accounting Policies and Significant Judgments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439"/>
        <w:spacing w:after="0" w:line="250" w:lineRule="auto"/>
        <w:rPr>
          <w:sz w:val="20"/>
          <w:szCs w:val="20"/>
          <w:color w:val="auto"/>
        </w:rPr>
      </w:pPr>
      <w:r>
        <w:rPr>
          <w:rFonts w:ascii="Arial" w:cs="Arial" w:eastAsia="Arial" w:hAnsi="Arial"/>
          <w:sz w:val="18"/>
          <w:szCs w:val="18"/>
          <w:color w:val="auto"/>
        </w:rPr>
        <w:t>Estimates” in our Annual Report on Form 10-K filed with the SEC on March 30, 2023. There were no material changes to these accounting policies during the six months ended June 30, 2023.</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JOBS Act Accounting Election and Smaller Reporting Company Status</w:t>
      </w:r>
    </w:p>
    <w:p>
      <w:pPr>
        <w:spacing w:after="0" w:line="215"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ordinary shares held by non-affiliates is less than $ 250.0 million measured on the last business day of our second fiscal quarter, or our annual revenue is less than $100.0 million during the most recently completed fiscal year and our ordinary shares held by non-affiliates is less than $700.0 million measured on the last business day of our second fiscal quarter.</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215" w:lineRule="exact"/>
        <w:rPr>
          <w:sz w:val="20"/>
          <w:szCs w:val="20"/>
          <w:color w:val="auto"/>
        </w:rPr>
      </w:pPr>
    </w:p>
    <w:p>
      <w:pPr>
        <w:jc w:val="both"/>
        <w:ind w:left="40" w:right="239"/>
        <w:spacing w:after="0"/>
        <w:rPr>
          <w:sz w:val="20"/>
          <w:szCs w:val="20"/>
          <w:color w:val="auto"/>
        </w:rPr>
      </w:pPr>
      <w:r>
        <w:rPr>
          <w:rFonts w:ascii="Arial" w:cs="Arial" w:eastAsia="Arial" w:hAnsi="Arial"/>
          <w:sz w:val="18"/>
          <w:szCs w:val="18"/>
          <w:color w:val="auto"/>
        </w:rPr>
        <w:t>See “Recent Accounting Pronouncements” in Note 2 to our unaudited interim condensed consolidated financial statements included in Part I. Item 1 “Financial Statements” in this Quarterly Report on Form 10-Q for additional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5" w:lineRule="exact"/>
        <w:rPr>
          <w:sz w:val="20"/>
          <w:szCs w:val="20"/>
          <w:color w:val="auto"/>
        </w:rPr>
      </w:pPr>
    </w:p>
    <w:p>
      <w:pPr>
        <w:ind w:left="40" w:right="219"/>
        <w:spacing w:after="0" w:line="250" w:lineRule="auto"/>
        <w:rPr>
          <w:sz w:val="20"/>
          <w:szCs w:val="20"/>
          <w:color w:val="auto"/>
        </w:rPr>
      </w:pPr>
      <w:r>
        <w:rPr>
          <w:rFonts w:ascii="Arial" w:cs="Arial" w:eastAsia="Arial" w:hAnsi="Arial"/>
          <w:sz w:val="18"/>
          <w:szCs w:val="18"/>
          <w:color w:val="auto"/>
        </w:rPr>
        <w:t>We are a smaller reporting company as defined in Item 10 of Regulation S-K and are not required to provide the information otherwise required under this item.</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5" w:lineRule="exact"/>
        <w:rPr>
          <w:sz w:val="20"/>
          <w:szCs w:val="20"/>
          <w:color w:val="auto"/>
        </w:rPr>
      </w:pPr>
    </w:p>
    <w:p>
      <w:pPr>
        <w:ind w:left="40" w:right="119"/>
        <w:spacing w:after="0" w:line="234"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Quarterly Report on Form 10-Q.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Chief Executive Officer and our Chief Financial Officer, to allow timely decisions regarding required disclosure.</w:t>
      </w:r>
    </w:p>
    <w:p>
      <w:pPr>
        <w:spacing w:after="0" w:line="192" w:lineRule="exact"/>
        <w:rPr>
          <w:sz w:val="20"/>
          <w:szCs w:val="20"/>
          <w:color w:val="auto"/>
        </w:rPr>
      </w:pPr>
    </w:p>
    <w:p>
      <w:pPr>
        <w:ind w:left="40" w:right="259"/>
        <w:spacing w:after="0"/>
        <w:rPr>
          <w:sz w:val="20"/>
          <w:szCs w:val="20"/>
          <w:color w:val="auto"/>
        </w:rPr>
      </w:pPr>
      <w:r>
        <w:rPr>
          <w:rFonts w:ascii="Arial" w:cs="Arial" w:eastAsia="Arial" w:hAnsi="Arial"/>
          <w:sz w:val="18"/>
          <w:szCs w:val="18"/>
          <w:color w:val="auto"/>
        </w:rPr>
        <w:t>Based on that evaluation, our Chief Executive Officer and our Chief Financial Officer have concluded that, as of June 30, 2023, our disclosure controls and procedures were not effective at the reasonable assurance level because of the material weaknesses in our internal control over financial reporting as described below.</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Weaknesses in Internal Controls Over Financial Reporting</w:t>
      </w:r>
    </w:p>
    <w:p>
      <w:pPr>
        <w:spacing w:after="0" w:line="215" w:lineRule="exact"/>
        <w:rPr>
          <w:sz w:val="20"/>
          <w:szCs w:val="20"/>
          <w:color w:val="auto"/>
        </w:rPr>
      </w:pPr>
    </w:p>
    <w:p>
      <w:pPr>
        <w:ind w:left="40" w:right="99"/>
        <w:spacing w:after="0" w:line="236" w:lineRule="auto"/>
        <w:rPr>
          <w:sz w:val="20"/>
          <w:szCs w:val="20"/>
          <w:color w:val="auto"/>
        </w:rPr>
      </w:pPr>
      <w:r>
        <w:rPr>
          <w:rFonts w:ascii="Arial" w:cs="Arial" w:eastAsia="Arial" w:hAnsi="Arial"/>
          <w:sz w:val="18"/>
          <w:szCs w:val="18"/>
          <w:color w:val="auto"/>
        </w:rPr>
        <w:t>We previously identified the material weaknesses in our internal control over financial reporting that continues to exist as of June 30, 2023.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These material weaknesses are as follows:</w:t>
      </w:r>
    </w:p>
    <w:p>
      <w:pPr>
        <w:spacing w:after="0" w:line="191"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192" w:lineRule="exact"/>
        <w:rPr>
          <w:sz w:val="20"/>
          <w:szCs w:val="20"/>
          <w:color w:val="auto"/>
        </w:rPr>
      </w:pPr>
    </w:p>
    <w:p>
      <w:pPr>
        <w:ind w:left="40" w:right="339"/>
        <w:spacing w:after="0" w:line="249" w:lineRule="auto"/>
        <w:rPr>
          <w:sz w:val="20"/>
          <w:szCs w:val="20"/>
          <w:color w:val="auto"/>
        </w:rPr>
      </w:pPr>
      <w:r>
        <w:rPr>
          <w:rFonts w:ascii="Arial" w:cs="Arial" w:eastAsia="Arial" w:hAnsi="Arial"/>
          <w:sz w:val="17"/>
          <w:szCs w:val="17"/>
          <w:color w:val="auto"/>
        </w:rPr>
        <w:t>We did not design and maintain effective controls to ensure adequate segregation of duties within our financial reporting function, including controls related to the procurement and payroll processes, journal entries and account reconciliations. Specifically, certain personnel have incompatible duties including the ability to</w:t>
      </w:r>
    </w:p>
    <w:p>
      <w:pPr>
        <w:spacing w:after="0" w:line="1" w:lineRule="exact"/>
        <w:rPr>
          <w:sz w:val="20"/>
          <w:szCs w:val="20"/>
          <w:color w:val="auto"/>
        </w:rPr>
      </w:pPr>
    </w:p>
    <w:p>
      <w:pPr>
        <w:jc w:val="both"/>
        <w:ind w:left="40" w:right="299" w:firstLine="9"/>
        <w:spacing w:after="0" w:line="236" w:lineRule="auto"/>
        <w:tabs>
          <w:tab w:leader="none" w:pos="2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 and approve invoices and authorize disbursements; (ii) add employees or modify employee data in the payroll system and authorize payments; (iii) create and post manual journal entries without an independent review; and (iv) prepare and review account reconciliations.</w:t>
      </w:r>
    </w:p>
    <w:p>
      <w:pPr>
        <w:spacing w:after="0" w:line="188"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and (iii) computer operations controls to ensure that processing of data and data backups and recovery are monitored.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19"/>
        <w:spacing w:after="0" w:line="238" w:lineRule="auto"/>
        <w:rPr>
          <w:sz w:val="20"/>
          <w:szCs w:val="20"/>
          <w:color w:val="auto"/>
        </w:rPr>
      </w:pPr>
      <w:r>
        <w:rPr>
          <w:rFonts w:ascii="Arial" w:cs="Arial" w:eastAsia="Arial" w:hAnsi="Arial"/>
          <w:sz w:val="18"/>
          <w:szCs w:val="18"/>
          <w:color w:val="auto"/>
        </w:rPr>
        <w:t>These material weaknesses did not result in any material misstatements to the consolidated financial statements.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Plan to Remediate the Material Weaknesses</w:t>
      </w:r>
    </w:p>
    <w:p>
      <w:pPr>
        <w:spacing w:after="0" w:line="215" w:lineRule="exact"/>
        <w:rPr>
          <w:sz w:val="20"/>
          <w:szCs w:val="20"/>
          <w:color w:val="auto"/>
        </w:rPr>
      </w:pPr>
    </w:p>
    <w:p>
      <w:pPr>
        <w:ind w:left="40" w:right="599"/>
        <w:spacing w:after="0" w:line="250" w:lineRule="auto"/>
        <w:rPr>
          <w:sz w:val="20"/>
          <w:szCs w:val="20"/>
          <w:color w:val="auto"/>
        </w:rPr>
      </w:pPr>
      <w:r>
        <w:rPr>
          <w:rFonts w:ascii="Arial" w:cs="Arial" w:eastAsia="Arial" w:hAnsi="Arial"/>
          <w:sz w:val="18"/>
          <w:szCs w:val="18"/>
          <w:color w:val="auto"/>
        </w:rPr>
        <w:t>We have taken and will continue to take certain measures to remediate the material weaknesses described above.</w:t>
      </w:r>
    </w:p>
    <w:p>
      <w:pPr>
        <w:spacing w:after="0" w:line="180"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We have begun to hire additional accounting and IT personnel, including but not limited to the hiring of a senior director of SEC reporting and technical reporting in December 2021, director of finance and financial planning and analysis in February 2022 and director of information security in April 2022. In May 2022, we appointed our existing chief operating officer as our chief financial officer. In addition to the key hires, we have also engaged third-party consultants and advisors to assist us in designing and implementing controls necessary to remediate the material weakness, including formalization of our control environment using the criteria described in "Internal Control - Integrated Framework" (2013) issued by the Committee of Sponsoring Organizations of the Treadway Commission (“COSO”), implementing segregation of duties in the areas described above which gave rise to the material weaknesses and implementation of key mitigating controls to address key risks, and establishing key IT general controls over relevant IT domains and key systems relevant to our financial reporting processes.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We are working to remediate the material weaknesses as efficiently and effectively as possible.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15" w:lineRule="exact"/>
        <w:rPr>
          <w:sz w:val="20"/>
          <w:szCs w:val="20"/>
          <w:color w:val="auto"/>
        </w:rPr>
      </w:pPr>
    </w:p>
    <w:p>
      <w:pPr>
        <w:ind w:left="40" w:right="79"/>
        <w:spacing w:after="0"/>
        <w:rPr>
          <w:sz w:val="20"/>
          <w:szCs w:val="20"/>
          <w:color w:val="auto"/>
        </w:rPr>
      </w:pPr>
      <w:r>
        <w:rPr>
          <w:rFonts w:ascii="Arial" w:cs="Arial" w:eastAsia="Arial" w:hAnsi="Arial"/>
          <w:sz w:val="18"/>
          <w:szCs w:val="18"/>
          <w:color w:val="auto"/>
        </w:rPr>
        <w:t>There were no changes in our internal controls over financial reporting identified in management’s evaluation pursuant to Rules 13a-15(f) or 15d-15(f) of the Exchange Act during our second quarter ended June 30, 2023 that materially affected, or are reasonably likely to materially affect, our internal control over financial reporting.</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Limitations on Effectiveness of Disclosure Controls and Procedures</w:t>
      </w:r>
    </w:p>
    <w:p>
      <w:pPr>
        <w:spacing w:after="0" w:line="215" w:lineRule="exact"/>
        <w:rPr>
          <w:sz w:val="20"/>
          <w:szCs w:val="20"/>
          <w:color w:val="auto"/>
        </w:rPr>
      </w:pPr>
    </w:p>
    <w:p>
      <w:pPr>
        <w:ind w:left="40" w:right="239"/>
        <w:spacing w:after="0" w:line="234" w:lineRule="auto"/>
        <w:rPr>
          <w:sz w:val="20"/>
          <w:szCs w:val="20"/>
          <w:color w:val="auto"/>
        </w:rPr>
      </w:pPr>
      <w:r>
        <w:rPr>
          <w:rFonts w:ascii="Arial" w:cs="Arial" w:eastAsia="Arial" w:hAnsi="Arial"/>
          <w:sz w:val="18"/>
          <w:szCs w:val="18"/>
          <w:color w:val="auto"/>
        </w:rPr>
        <w:t>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15" w:lineRule="exact"/>
        <w:rPr>
          <w:sz w:val="20"/>
          <w:szCs w:val="20"/>
          <w:color w:val="auto"/>
        </w:rPr>
      </w:pPr>
    </w:p>
    <w:p>
      <w:pPr>
        <w:ind w:left="40" w:right="159"/>
        <w:spacing w:after="0" w:line="253" w:lineRule="auto"/>
        <w:rPr>
          <w:sz w:val="20"/>
          <w:szCs w:val="20"/>
          <w:color w:val="auto"/>
        </w:rPr>
      </w:pPr>
      <w:r>
        <w:rPr>
          <w:rFonts w:ascii="Arial" w:cs="Arial" w:eastAsia="Arial" w:hAnsi="Arial"/>
          <w:sz w:val="17"/>
          <w:szCs w:val="17"/>
          <w:color w:val="auto"/>
        </w:rPr>
        <w:t>To the best of our knowledge, we are not currently the subject of any material governmental investigation, private lawsuit or other legal proceeding. From time to time, we may be involved in legal and regulatory proceedings or investigations concerning matters that arise in the ordinary course of our business and that could result in significant fines or penalties, have an adverse impact on our reputation, business and financial condition or results of operations and divert the attention of our management from the operation of our business.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09" w:lineRule="exact"/>
        <w:rPr>
          <w:sz w:val="20"/>
          <w:szCs w:val="20"/>
          <w:color w:val="auto"/>
        </w:rPr>
      </w:pPr>
    </w:p>
    <w:p>
      <w:pPr>
        <w:ind w:left="40" w:right="159"/>
        <w:spacing w:after="0" w:line="234" w:lineRule="auto"/>
        <w:rPr>
          <w:sz w:val="20"/>
          <w:szCs w:val="20"/>
          <w:color w:val="auto"/>
        </w:rPr>
      </w:pPr>
      <w:r>
        <w:rPr>
          <w:rFonts w:ascii="Arial" w:cs="Arial" w:eastAsia="Arial" w:hAnsi="Arial"/>
          <w:sz w:val="18"/>
          <w:szCs w:val="18"/>
          <w:i w:val="1"/>
          <w:iCs w:val="1"/>
          <w:color w:val="auto"/>
        </w:rPr>
        <w:t>Investing in our ADSs, involves a high degree of risk. You should carefully consider the risks and uncertainties described below, together with all of the other information contained in this Quarterly Report, including our consolidated financial statements and their related notes included in Part I. Item 1 “Financial Statements” of this Quarterly Report and Part I. Item 2. “Management’s Discussion and Analysis of Financial Condition and Results of Operations” before making an investment decision. If any of the following risks actually occurs, our business, prospects, operating results and financial condition could suffer materially, the trading price of our ADSs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05" w:lineRule="exact"/>
        <w:rPr>
          <w:sz w:val="20"/>
          <w:szCs w:val="20"/>
          <w:color w:val="auto"/>
        </w:rPr>
      </w:pPr>
    </w:p>
    <w:p>
      <w:pPr>
        <w:ind w:left="40" w:right="359"/>
        <w:spacing w:after="0" w:line="278"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operating losses since our inception and expect to incur significant losses for the foreseeable future.</w:t>
      </w:r>
    </w:p>
    <w:p>
      <w:pPr>
        <w:spacing w:after="0" w:line="141"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We are a clinical-stage biopharmaceutical company with a limited operating histor</w:t>
      </w:r>
      <w:r>
        <w:rPr>
          <w:rFonts w:ascii="Arial" w:cs="Arial" w:eastAsia="Arial" w:hAnsi="Arial"/>
          <w:sz w:val="18"/>
          <w:szCs w:val="18"/>
          <w:i w:val="1"/>
          <w:iCs w:val="1"/>
          <w:color w:val="auto"/>
        </w:rPr>
        <w:t>y,</w:t>
      </w:r>
      <w:r>
        <w:rPr>
          <w:rFonts w:ascii="Arial" w:cs="Arial" w:eastAsia="Arial" w:hAnsi="Arial"/>
          <w:sz w:val="18"/>
          <w:szCs w:val="18"/>
          <w:color w:val="auto"/>
        </w:rPr>
        <w:t xml:space="preserve"> which may make it difficult to evaluate the success of our business to date and assess our future viability. Since our inception in 2016, we have focused primarily on organizing and staffing our company, business planning, establishing our intellectual property portfolio, raising capital, developing our structure-based drug discovery platform, identifying and developing our product candidates, conducting preclinical studies and, more recently, clinical trials, and providing general and administrative support for these operations. Our approach to the discovery and development of product candidates based on our structure-based drug discovery platform is unproven, and we do not know whether we will be able to develop any product candidates that succeed in clinical development or commercially. Further, GSBR-1290, our product candidate for T2DM and obesity, and ANPA-0073, our product candidate for IPF and PAH, are in early clinical development and our other product candidates and programs are in preclinical development or discovery stages. Accordingly,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98"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continue to incur significant and increasing operating losses for at least the next several years. Our net losses were $41.3 million and $ 51.3 million for the six months ended June 30, 2023 and year ended December 31, 2022, respectively. As of June 30, 2023, we had an accumulated deficit of $158.2 million. Substantially all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99"/>
        <w:spacing w:after="0" w:line="234" w:lineRule="auto"/>
        <w:rPr>
          <w:sz w:val="20"/>
          <w:szCs w:val="20"/>
          <w:color w:val="auto"/>
        </w:rPr>
      </w:pPr>
      <w:r>
        <w:rPr>
          <w:rFonts w:ascii="Arial" w:cs="Arial" w:eastAsia="Arial" w:hAnsi="Arial"/>
          <w:sz w:val="18"/>
          <w:szCs w:val="18"/>
          <w:color w:val="auto"/>
        </w:rPr>
        <w:t>our losses have resulted from expenses incurred in connection with our research and development programs and from general and administrative costs associated with our operations. In February 2023, we completed our IPO, for net proceeds of $166.7 million. All of our product candidates will require substantial additional development time and resources before we would be able to apply for or receive marketing approvals and begin generating revenue from product sales. We expect to continue to incur losses for the foreseeable future, and we anticipate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spacing w:after="0" w:line="192" w:lineRule="exact"/>
        <w:rPr>
          <w:sz w:val="20"/>
          <w:szCs w:val="20"/>
          <w:color w:val="auto"/>
        </w:rPr>
      </w:pPr>
    </w:p>
    <w:p>
      <w:pPr>
        <w:ind w:left="40" w:right="99"/>
        <w:spacing w:after="0" w:line="251" w:lineRule="auto"/>
        <w:rPr>
          <w:sz w:val="20"/>
          <w:szCs w:val="20"/>
          <w:color w:val="auto"/>
        </w:rPr>
      </w:pPr>
      <w:r>
        <w:rPr>
          <w:rFonts w:ascii="Arial" w:cs="Arial" w:eastAsia="Arial" w:hAnsi="Arial"/>
          <w:sz w:val="17"/>
          <w:szCs w:val="17"/>
          <w:color w:val="auto"/>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ADSs and impair our ability to raise capital, maintain our research and development efforts, expand our business or continue our operations.</w:t>
      </w:r>
    </w:p>
    <w:p>
      <w:pPr>
        <w:spacing w:after="0" w:line="171" w:lineRule="exact"/>
        <w:rPr>
          <w:sz w:val="20"/>
          <w:szCs w:val="20"/>
          <w:color w:val="auto"/>
        </w:rPr>
      </w:pPr>
    </w:p>
    <w:p>
      <w:pPr>
        <w:ind w:left="40" w:right="359"/>
        <w:spacing w:after="0" w:line="24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spacing w:after="0" w:line="171" w:lineRule="exact"/>
        <w:rPr>
          <w:sz w:val="20"/>
          <w:szCs w:val="20"/>
          <w:color w:val="auto"/>
        </w:rPr>
      </w:pPr>
    </w:p>
    <w:p>
      <w:pPr>
        <w:ind w:left="40" w:right="139"/>
        <w:spacing w:after="0" w:line="233" w:lineRule="auto"/>
        <w:rPr>
          <w:sz w:val="20"/>
          <w:szCs w:val="20"/>
          <w:color w:val="auto"/>
        </w:rPr>
      </w:pPr>
      <w:r>
        <w:rPr>
          <w:rFonts w:ascii="Arial" w:cs="Arial" w:eastAsia="Arial" w:hAnsi="Arial"/>
          <w:sz w:val="18"/>
          <w:szCs w:val="18"/>
          <w:color w:val="auto"/>
        </w:rPr>
        <w:t>The development of biopharmaceutical product candidates is capital-intensive. We expect our expenses to increase substantially in connection with our ongoing and planned activities, particularly as we conduct our ongoing and planned preclinical studies and clinical trials of GSBR-1290, ANPA-0073, LTSE-2578 and any future product candidates we may develop. Our expenses will increase substantially if our product candidates successfully complete early clinical and other studies, and also could increase beyond expectations if the FDA or foreign authorities require us to perform clinical and other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expect to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8" w:lineRule="exact"/>
        <w:rPr>
          <w:sz w:val="20"/>
          <w:szCs w:val="20"/>
          <w:color w:val="auto"/>
        </w:rPr>
      </w:pPr>
    </w:p>
    <w:p>
      <w:pPr>
        <w:ind w:left="40" w:right="99"/>
        <w:spacing w:after="0" w:line="249" w:lineRule="auto"/>
        <w:rPr>
          <w:sz w:val="20"/>
          <w:szCs w:val="20"/>
          <w:color w:val="auto"/>
        </w:rPr>
      </w:pPr>
      <w:r>
        <w:rPr>
          <w:rFonts w:ascii="Arial" w:cs="Arial" w:eastAsia="Arial" w:hAnsi="Arial"/>
          <w:sz w:val="17"/>
          <w:szCs w:val="17"/>
          <w:color w:val="auto"/>
        </w:rPr>
        <w:t>Based on our current operating plan, we believe that our cash, cash equivalents and short-term investments as of June 30, 2023 will be sufficient to fund our operating expenses and capital expenditure requirements through at least 2025.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potentially grants, collaborations, licenses and other similar arrangements. Even if we believe we have sufficient capital for our current or future operating plans, we may seek additional capital if market conditions are favorable or if we have specific strategic considerations.</w:t>
      </w:r>
    </w:p>
    <w:p>
      <w:pPr>
        <w:spacing w:after="0" w:line="184" w:lineRule="exact"/>
        <w:rPr>
          <w:sz w:val="20"/>
          <w:szCs w:val="20"/>
          <w:color w:val="auto"/>
        </w:rPr>
      </w:pPr>
    </w:p>
    <w:p>
      <w:pPr>
        <w:ind w:left="40" w:right="439"/>
        <w:spacing w:after="0" w:line="251" w:lineRule="auto"/>
        <w:rPr>
          <w:sz w:val="20"/>
          <w:szCs w:val="20"/>
          <w:color w:val="auto"/>
        </w:rPr>
      </w:pPr>
      <w:r>
        <w:rPr>
          <w:rFonts w:ascii="Arial" w:cs="Arial" w:eastAsia="Arial" w:hAnsi="Arial"/>
          <w:sz w:val="17"/>
          <w:szCs w:val="17"/>
          <w:color w:val="auto"/>
        </w:rPr>
        <w:t>Any additional capital raising efforts may divert our management from their day-to-day activities, which may adversely affect our ability to develop and, if approved, commercialize our current and any future product candidates. Additional funding may not be available on acceptable terms, or at all. As a result of actual or anticipated changes in interest rates and economic inflation and the impact of the Russia/Ukraine conflict, the global credit and financial markets have experienced extreme volatility and disruptions, including severely diminished liquidity and credit availability, declines in consumer confidence, declines in economic growth,</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40" w:right="599"/>
        <w:spacing w:after="0" w:line="262" w:lineRule="auto"/>
        <w:rPr>
          <w:sz w:val="20"/>
          <w:szCs w:val="20"/>
          <w:color w:val="auto"/>
        </w:rPr>
      </w:pPr>
      <w:r>
        <w:rPr>
          <w:rFonts w:ascii="Arial" w:cs="Arial" w:eastAsia="Arial" w:hAnsi="Arial"/>
          <w:sz w:val="17"/>
          <w:szCs w:val="17"/>
          <w:color w:val="auto"/>
        </w:rPr>
        <w:t>increases in unemployment rates, and uncertainty about economic stability. If the equity and credit markets deteriorate, including as a result of recent or future bank failures, it may make any necessary debt or equity financing more difficult to obtain in a timely manner or on favorable terms, more costly or more dilutive.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05" w:lineRule="exact"/>
        <w:rPr>
          <w:sz w:val="20"/>
          <w:szCs w:val="20"/>
          <w:color w:val="auto"/>
        </w:rPr>
      </w:pPr>
    </w:p>
    <w:p>
      <w:pPr>
        <w:ind w:left="720" w:right="519" w:hanging="326"/>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costs, design, results of and timing of our planned and ongoing preclinical studies and clinical trials;</w:t>
      </w:r>
    </w:p>
    <w:p>
      <w:pPr>
        <w:spacing w:after="0" w:line="73" w:lineRule="exact"/>
        <w:rPr>
          <w:rFonts w:ascii="Arial" w:cs="Arial" w:eastAsia="Arial" w:hAnsi="Arial"/>
          <w:sz w:val="18"/>
          <w:szCs w:val="18"/>
          <w:color w:val="auto"/>
        </w:rPr>
      </w:pPr>
    </w:p>
    <w:p>
      <w:pPr>
        <w:ind w:left="720" w:right="399" w:hanging="32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FDA or applicable foreign authorities to accept our clinical trials, as well as data from our planned and ongoing preclinical studies and clinical trials and other work, as the basis for review and approval of our product candidates;</w:t>
      </w:r>
    </w:p>
    <w:p>
      <w:pPr>
        <w:spacing w:after="0" w:line="82" w:lineRule="exact"/>
        <w:rPr>
          <w:rFonts w:ascii="Arial" w:cs="Arial" w:eastAsia="Arial" w:hAnsi="Arial"/>
          <w:sz w:val="18"/>
          <w:szCs w:val="18"/>
          <w:color w:val="auto"/>
        </w:rPr>
      </w:pPr>
    </w:p>
    <w:p>
      <w:pPr>
        <w:ind w:left="720" w:hanging="326"/>
        <w:spacing w:after="0"/>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outcome, costs and timing of seeking and obtaining FDA and applicable foreign regulatory approvals;</w:t>
      </w:r>
    </w:p>
    <w:p>
      <w:pPr>
        <w:spacing w:after="0" w:line="123" w:lineRule="exact"/>
        <w:rPr>
          <w:rFonts w:ascii="Arial" w:cs="Arial" w:eastAsia="Arial" w:hAnsi="Arial"/>
          <w:sz w:val="17"/>
          <w:szCs w:val="17"/>
          <w:color w:val="auto"/>
        </w:rPr>
      </w:pPr>
    </w:p>
    <w:p>
      <w:pPr>
        <w:ind w:left="720" w:hanging="32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11" w:lineRule="exact"/>
        <w:rPr>
          <w:rFonts w:ascii="Arial" w:cs="Arial" w:eastAsia="Arial" w:hAnsi="Arial"/>
          <w:sz w:val="18"/>
          <w:szCs w:val="18"/>
          <w:color w:val="auto"/>
        </w:rPr>
      </w:pPr>
    </w:p>
    <w:p>
      <w:pPr>
        <w:ind w:left="720" w:right="479" w:hanging="326"/>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to expand our research and development capabilities, including further development of our structure-based drug discovery platform or in-licensing of complementary technologies;</w:t>
      </w:r>
    </w:p>
    <w:p>
      <w:pPr>
        <w:spacing w:after="0" w:line="73" w:lineRule="exact"/>
        <w:rPr>
          <w:rFonts w:ascii="Arial" w:cs="Arial" w:eastAsia="Arial" w:hAnsi="Arial"/>
          <w:sz w:val="18"/>
          <w:szCs w:val="18"/>
          <w:color w:val="auto"/>
        </w:rPr>
      </w:pPr>
    </w:p>
    <w:p>
      <w:pPr>
        <w:ind w:left="720" w:right="119" w:hanging="326"/>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associated with manufacturing our product candidates, and establishing commercial supplies and sales, marketing, and distribution capabilities;</w:t>
      </w:r>
    </w:p>
    <w:p>
      <w:pPr>
        <w:spacing w:after="0" w:line="73" w:lineRule="exact"/>
        <w:rPr>
          <w:rFonts w:ascii="Arial" w:cs="Arial" w:eastAsia="Arial" w:hAnsi="Arial"/>
          <w:sz w:val="18"/>
          <w:szCs w:val="18"/>
          <w:color w:val="auto"/>
        </w:rPr>
      </w:pPr>
    </w:p>
    <w:p>
      <w:pPr>
        <w:ind w:left="720" w:right="199" w:hanging="326"/>
        <w:spacing w:after="0" w:line="238"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82" w:lineRule="exact"/>
        <w:rPr>
          <w:rFonts w:ascii="Arial" w:cs="Arial" w:eastAsia="Arial" w:hAnsi="Arial"/>
          <w:sz w:val="18"/>
          <w:szCs w:val="18"/>
          <w:color w:val="auto"/>
        </w:rPr>
      </w:pPr>
    </w:p>
    <w:p>
      <w:pPr>
        <w:ind w:left="720" w:right="599" w:hanging="326"/>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medical personnel;</w:t>
      </w:r>
    </w:p>
    <w:p>
      <w:pPr>
        <w:spacing w:after="0" w:line="73" w:lineRule="exact"/>
        <w:rPr>
          <w:rFonts w:ascii="Arial" w:cs="Arial" w:eastAsia="Arial" w:hAnsi="Arial"/>
          <w:sz w:val="18"/>
          <w:szCs w:val="18"/>
          <w:color w:val="auto"/>
        </w:rPr>
      </w:pPr>
    </w:p>
    <w:p>
      <w:pPr>
        <w:ind w:left="720" w:right="399" w:hanging="326"/>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operating as a public company;</w:t>
      </w:r>
    </w:p>
    <w:p>
      <w:pPr>
        <w:spacing w:after="0" w:line="111" w:lineRule="exact"/>
        <w:rPr>
          <w:rFonts w:ascii="Arial" w:cs="Arial" w:eastAsia="Arial" w:hAnsi="Arial"/>
          <w:sz w:val="18"/>
          <w:szCs w:val="18"/>
          <w:color w:val="auto"/>
        </w:rPr>
      </w:pPr>
    </w:p>
    <w:p>
      <w:pPr>
        <w:ind w:left="720" w:right="779" w:hanging="326"/>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our current and any future collaboration, licensing or other arrangements which we may enter in the future; and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112" w:lineRule="exact"/>
        <w:rPr>
          <w:sz w:val="20"/>
          <w:szCs w:val="20"/>
          <w:color w:val="auto"/>
        </w:rPr>
      </w:pPr>
    </w:p>
    <w:p>
      <w:pPr>
        <w:ind w:left="40" w:right="239"/>
        <w:spacing w:after="0" w:line="236" w:lineRule="auto"/>
        <w:rPr>
          <w:sz w:val="20"/>
          <w:szCs w:val="20"/>
          <w:color w:val="auto"/>
        </w:rPr>
      </w:pPr>
      <w:r>
        <w:rPr>
          <w:rFonts w:ascii="Arial" w:cs="Arial" w:eastAsia="Arial" w:hAnsi="Arial"/>
          <w:sz w:val="18"/>
          <w:szCs w:val="18"/>
          <w:color w:val="auto"/>
        </w:rPr>
        <w:t>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 and our ability to grow and support our business and to respond to market challenges could be significantly limited, which could have a material adverse effect on our business, financial condition and results of operations.</w:t>
      </w:r>
    </w:p>
    <w:p>
      <w:pPr>
        <w:spacing w:after="0" w:line="181" w:lineRule="exact"/>
        <w:rPr>
          <w:sz w:val="20"/>
          <w:szCs w:val="20"/>
          <w:color w:val="auto"/>
        </w:rPr>
      </w:pPr>
    </w:p>
    <w:p>
      <w:pPr>
        <w:ind w:left="40" w:right="139"/>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41"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Until such time, if ever, as we can generate substantial product revenue, we expect to finance our operations through equity offerings, debt financings or other capital sources, including potentially grants, collaborations, licenses or other similar arrangements. To the extent that we raise additional capital through the sale of equity or convertible debt securities, the ownership interest of our shareholders will be diluted, and the terms of these securities may include liquidation or other preferences that adversely affect the rights of our ADS holders. Debt financing, if available, may involve agreements that include covenants limiting or restricting our ability to take specific actions, such as limitations on our ability to incur additional debt, make capital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40" w:right="299"/>
        <w:spacing w:after="0"/>
        <w:rPr>
          <w:sz w:val="20"/>
          <w:szCs w:val="20"/>
          <w:color w:val="auto"/>
        </w:rPr>
      </w:pPr>
      <w:r>
        <w:rPr>
          <w:rFonts w:ascii="Arial" w:cs="Arial" w:eastAsia="Arial" w:hAnsi="Arial"/>
          <w:sz w:val="18"/>
          <w:szCs w:val="18"/>
          <w:color w:val="auto"/>
        </w:rPr>
        <w:t>expenditures or declare dividends. If we raise funds through collaborations or licensing arrangements with third parties, we may be required to relinquish valuable rights to our technologies, future revenue streams, research programs or product candidates or grant licenses on terms that may not be favorable to us.</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Discovery, Development and Regulatory Approval of Product Candidates</w:t>
      </w:r>
    </w:p>
    <w:p>
      <w:pPr>
        <w:spacing w:after="0" w:line="205" w:lineRule="exact"/>
        <w:rPr>
          <w:sz w:val="20"/>
          <w:szCs w:val="20"/>
          <w:color w:val="auto"/>
        </w:rPr>
      </w:pPr>
    </w:p>
    <w:p>
      <w:pPr>
        <w:ind w:left="40" w:right="119"/>
        <w:spacing w:after="0" w:line="278" w:lineRule="auto"/>
        <w:rPr>
          <w:sz w:val="20"/>
          <w:szCs w:val="20"/>
          <w:color w:val="auto"/>
        </w:rPr>
      </w:pPr>
      <w:r>
        <w:rPr>
          <w:rFonts w:ascii="Arial" w:cs="Arial" w:eastAsia="Arial" w:hAnsi="Arial"/>
          <w:sz w:val="18"/>
          <w:szCs w:val="18"/>
          <w:b w:val="1"/>
          <w:bCs w:val="1"/>
          <w:i w:val="1"/>
          <w:iCs w:val="1"/>
          <w:color w:val="auto"/>
        </w:rPr>
        <w:t>Our approach to the discovery of product candidates based on our technology platform is unproven, and we do not know whether we will be able to develop any products of commercial value.</w:t>
      </w:r>
    </w:p>
    <w:p>
      <w:pPr>
        <w:spacing w:after="0" w:line="141" w:lineRule="exact"/>
        <w:rPr>
          <w:sz w:val="20"/>
          <w:szCs w:val="20"/>
          <w:color w:val="auto"/>
        </w:rPr>
      </w:pPr>
    </w:p>
    <w:p>
      <w:pPr>
        <w:ind w:left="40" w:right="119"/>
        <w:spacing w:after="0" w:line="247" w:lineRule="auto"/>
        <w:rPr>
          <w:sz w:val="20"/>
          <w:szCs w:val="20"/>
          <w:color w:val="auto"/>
        </w:rPr>
      </w:pPr>
      <w:r>
        <w:rPr>
          <w:rFonts w:ascii="Arial" w:cs="Arial" w:eastAsia="Arial" w:hAnsi="Arial"/>
          <w:sz w:val="17"/>
          <w:szCs w:val="17"/>
          <w:color w:val="auto"/>
        </w:rPr>
        <w:t>The success of our business depends primarily upon our ability to identify novel product candidates based on our structure-based drug discovery platform and to successfully develop and commercialize those product candidates. While we have had favorable preclinical study results for certain of our development programs, we have not yet succeeded and may not succeed in demonstrating efficacy and safety for any product candidates in clinical trials or in obtaining marketing approvals or in commercializing such product candidates. We also may be unsuccessful in identifying additional product candidates using our platform, and any of our product candidates may be shown to have harmful side effects or may have other characteristics that may necessitate additional clinical testing, or make the product candidates unmarketable or unlikely to receive marketing approval. In particular, because all of our product candidates have been derived from our structure-based drug discovery platform, any failure of one of our development programs could create a perception that our other programs are less likely to succeed or that our discovery platform is not viable. Similarly, adverse developments with respect to other companies that attempt to use a similar approach to our approach may adversely impact the actual or perceived value and potential of our discovery platform and resulting product candidates.</w:t>
      </w:r>
    </w:p>
    <w:p>
      <w:pPr>
        <w:spacing w:after="0" w:line="187" w:lineRule="exact"/>
        <w:rPr>
          <w:sz w:val="20"/>
          <w:szCs w:val="20"/>
          <w:color w:val="auto"/>
        </w:rPr>
      </w:pPr>
    </w:p>
    <w:p>
      <w:pPr>
        <w:ind w:left="40" w:right="839"/>
        <w:spacing w:after="0" w:line="250" w:lineRule="auto"/>
        <w:rPr>
          <w:sz w:val="20"/>
          <w:szCs w:val="20"/>
          <w:color w:val="auto"/>
        </w:rPr>
      </w:pPr>
      <w:r>
        <w:rPr>
          <w:rFonts w:ascii="Arial" w:cs="Arial" w:eastAsia="Arial" w:hAnsi="Arial"/>
          <w:sz w:val="18"/>
          <w:szCs w:val="18"/>
          <w:color w:val="auto"/>
        </w:rPr>
        <w:t>If any of these events occur, our ability to successfully discover, develop and commercialize any product candidates may be impaired and the value of our company could decline significantly.</w:t>
      </w:r>
    </w:p>
    <w:p>
      <w:pPr>
        <w:spacing w:after="0" w:line="170" w:lineRule="exact"/>
        <w:rPr>
          <w:sz w:val="20"/>
          <w:szCs w:val="20"/>
          <w:color w:val="auto"/>
        </w:rPr>
      </w:pPr>
    </w:p>
    <w:p>
      <w:pPr>
        <w:ind w:left="40" w:right="359"/>
        <w:spacing w:after="0" w:line="242" w:lineRule="auto"/>
        <w:rPr>
          <w:sz w:val="20"/>
          <w:szCs w:val="20"/>
          <w:color w:val="auto"/>
        </w:rPr>
      </w:pPr>
      <w:r>
        <w:rPr>
          <w:rFonts w:ascii="Arial" w:cs="Arial" w:eastAsia="Arial" w:hAnsi="Arial"/>
          <w:sz w:val="18"/>
          <w:szCs w:val="18"/>
          <w:b w:val="1"/>
          <w:bCs w:val="1"/>
          <w:i w:val="1"/>
          <w:iCs w:val="1"/>
          <w:color w:val="auto"/>
        </w:rPr>
        <w:t>We are early in our development efforts and only have two product candidates, GSBR-1290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spacing w:after="0" w:line="175"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We are in the early stages of our development efforts and have two product candidates, GSBR-1290 and ANPA-0073, in early clinical development. We completed a Phase 1 SAD study of GSBR-1290 in healthy volunteers in September 2022 for T2DM and obesity. Furthermore, we initiated the Phase 1b MAD study in January 2023 and completed dosing in healthy overweight subjects in March 2023. We also initiated the dosing of the Phase 2a study in May 2023 and expect to report topline data for the Phase 1b MAD study and Phase 2a study in the latter half of the fourth quarter of 2023. We also completed an ethnobridging study of GSBR-1290 in Japanese individuals and are planning to initiate an additional formulation bridging study to evaluate a tablet formulation of GSBR-1290 before the end of 2023, both in preparation for the planned global Phase 2b study in 2024. Additionally, we completed our Phase 1 SAD and MAD study for ANPA-0073 in healthy volunteers for IPF and PAH in September 2022. Our other product candidates are still in the preclinical or discovery stages. We will need to progress early product candidates through preclinical studies and submit INDs to the FDA or appropriate regulatory documents to applicable foreign authorities prior to initiating their clinical development.</w:t>
      </w:r>
    </w:p>
    <w:p>
      <w:pPr>
        <w:spacing w:after="0" w:line="192" w:lineRule="exact"/>
        <w:rPr>
          <w:sz w:val="20"/>
          <w:szCs w:val="20"/>
          <w:color w:val="auto"/>
        </w:rPr>
      </w:pPr>
    </w:p>
    <w:p>
      <w:pPr>
        <w:ind w:left="40" w:right="79"/>
        <w:spacing w:after="0"/>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189" w:lineRule="exact"/>
        <w:rPr>
          <w:sz w:val="20"/>
          <w:szCs w:val="20"/>
          <w:color w:val="auto"/>
        </w:rPr>
      </w:pPr>
    </w:p>
    <w:p>
      <w:pPr>
        <w:ind w:left="4400" w:right="4039" w:hanging="4006"/>
        <w:spacing w:after="0" w:line="817" w:lineRule="auto"/>
        <w:tabs>
          <w:tab w:leader="none" w:pos="707"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completion of preclinical studies with favorable results;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31750</wp:posOffset>
            </wp:positionV>
            <wp:extent cx="565023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hanging="32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1" w:lineRule="exact"/>
        <w:rPr>
          <w:rFonts w:ascii="Arial" w:cs="Arial" w:eastAsia="Arial" w:hAnsi="Arial"/>
          <w:sz w:val="18"/>
          <w:szCs w:val="18"/>
          <w:color w:val="auto"/>
        </w:rPr>
      </w:pPr>
    </w:p>
    <w:p>
      <w:pPr>
        <w:ind w:left="720" w:right="179" w:hanging="326"/>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73" w:lineRule="exact"/>
        <w:rPr>
          <w:rFonts w:ascii="Arial" w:cs="Arial" w:eastAsia="Arial" w:hAnsi="Arial"/>
          <w:sz w:val="18"/>
          <w:szCs w:val="18"/>
          <w:color w:val="auto"/>
        </w:rPr>
      </w:pPr>
    </w:p>
    <w:p>
      <w:pPr>
        <w:ind w:left="720" w:right="259" w:hanging="32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allowance to proceed with clinical trials under INDs by the FDA or under similar regulatory submissions by applicable foreign authorities for the conduct of clinical trials of our product candidates and our proposed design of future clinical trials;</w:t>
      </w:r>
    </w:p>
    <w:p>
      <w:pPr>
        <w:spacing w:after="0" w:line="82" w:lineRule="exact"/>
        <w:rPr>
          <w:rFonts w:ascii="Arial" w:cs="Arial" w:eastAsia="Arial" w:hAnsi="Arial"/>
          <w:sz w:val="18"/>
          <w:szCs w:val="18"/>
          <w:color w:val="auto"/>
        </w:rPr>
      </w:pPr>
    </w:p>
    <w:p>
      <w:pPr>
        <w:ind w:left="720" w:right="859" w:hanging="326"/>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demonstrating the safety and efficacy of our product candidates to the satisfaction of applicable regulatory authorities;</w:t>
      </w:r>
    </w:p>
    <w:p>
      <w:pPr>
        <w:spacing w:after="0" w:line="73" w:lineRule="exact"/>
        <w:rPr>
          <w:rFonts w:ascii="Arial" w:cs="Arial" w:eastAsia="Arial" w:hAnsi="Arial"/>
          <w:sz w:val="18"/>
          <w:szCs w:val="18"/>
          <w:color w:val="auto"/>
        </w:rPr>
      </w:pPr>
    </w:p>
    <w:p>
      <w:pPr>
        <w:ind w:left="720" w:right="219" w:hanging="326"/>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including NDAs from the FDA and maintaining such approvals;</w:t>
      </w:r>
    </w:p>
    <w:p>
      <w:pPr>
        <w:spacing w:after="0" w:line="73" w:lineRule="exact"/>
        <w:rPr>
          <w:rFonts w:ascii="Arial" w:cs="Arial" w:eastAsia="Arial" w:hAnsi="Arial"/>
          <w:sz w:val="18"/>
          <w:szCs w:val="18"/>
          <w:color w:val="auto"/>
        </w:rPr>
      </w:pPr>
    </w:p>
    <w:p>
      <w:pPr>
        <w:ind w:left="720" w:right="1079" w:hanging="326"/>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clinical and commercial manufacturing capabilities for our product candidates;</w:t>
      </w:r>
    </w:p>
    <w:p>
      <w:pPr>
        <w:spacing w:after="0" w:line="73" w:lineRule="exact"/>
        <w:rPr>
          <w:rFonts w:ascii="Arial" w:cs="Arial" w:eastAsia="Arial" w:hAnsi="Arial"/>
          <w:sz w:val="18"/>
          <w:szCs w:val="18"/>
          <w:color w:val="auto"/>
        </w:rPr>
      </w:pPr>
    </w:p>
    <w:p>
      <w:pPr>
        <w:ind w:left="720" w:right="779" w:hanging="326"/>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3" w:lineRule="exact"/>
        <w:rPr>
          <w:rFonts w:ascii="Arial" w:cs="Arial" w:eastAsia="Arial" w:hAnsi="Arial"/>
          <w:sz w:val="18"/>
          <w:szCs w:val="18"/>
          <w:color w:val="auto"/>
        </w:rPr>
      </w:pPr>
    </w:p>
    <w:p>
      <w:pPr>
        <w:ind w:left="720" w:right="279" w:hanging="326"/>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73" w:lineRule="exact"/>
        <w:rPr>
          <w:rFonts w:ascii="Arial" w:cs="Arial" w:eastAsia="Arial" w:hAnsi="Arial"/>
          <w:sz w:val="18"/>
          <w:szCs w:val="18"/>
          <w:color w:val="auto"/>
        </w:rPr>
      </w:pPr>
    </w:p>
    <w:p>
      <w:pPr>
        <w:ind w:left="720" w:right="219" w:hanging="326"/>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any products we develop and their benefits and uses, if and when approved, by patients, the medical community and third-party payors;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products following approval; and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building and maintaining an organization of people who can successfully develop our product candidates.</w:t>
      </w:r>
    </w:p>
    <w:p>
      <w:pPr>
        <w:spacing w:after="0" w:line="230"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We have not yet succeeded and may not succeed in demonstrating efficacy and safety for any product candidates in clinical trials or in obtaining marketing approval thereafter. Given our early stage of development, it will take several years before we can demonstrate the safety and efficacy of a product candidate sufficient to warrant approval for commercialization, if we can do so at all. If we are unable to develop, or obtain marketing approval for, or, if approved, successfully commercialize our product candidates, we may not be able to generate sufficient revenue to continue our business.</w:t>
      </w:r>
    </w:p>
    <w:p>
      <w:pPr>
        <w:spacing w:after="0" w:line="182" w:lineRule="exact"/>
        <w:rPr>
          <w:sz w:val="20"/>
          <w:szCs w:val="20"/>
          <w:color w:val="auto"/>
        </w:rPr>
      </w:pPr>
    </w:p>
    <w:p>
      <w:pPr>
        <w:ind w:left="40" w:right="179"/>
        <w:spacing w:after="0" w:line="246" w:lineRule="auto"/>
        <w:rPr>
          <w:sz w:val="20"/>
          <w:szCs w:val="20"/>
          <w:color w:val="auto"/>
        </w:rPr>
      </w:pPr>
      <w:r>
        <w:rPr>
          <w:rFonts w:ascii="Arial" w:cs="Arial" w:eastAsia="Arial" w:hAnsi="Arial"/>
          <w:sz w:val="18"/>
          <w:szCs w:val="18"/>
          <w:b w:val="1"/>
          <w:bCs w:val="1"/>
          <w:i w:val="1"/>
          <w:iCs w:val="1"/>
          <w:color w:val="auto"/>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spacing w:after="0" w:line="171"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For example, we depend on the availability of non-human primates (“NHP”) to conduct certain preclinical studies that we are required to complete prior to submitting an IND and initiating clinical development. There is currently a global shortage of NHPs available for drug development. This has caused the cost of obtaining NHPs for our preclinical studies to increase dramatically and, if the shortage continues, could also result in delays to our development timelines. Despite promising preclinical or clinical results, any product candidate can unexpectedly fail at any stage of preclinical or clinical development. The historical failure rate for product candidates in our industry is high. Furthermore, the results from clinical trials or preclinical studies of a product candidate may not predict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279"/>
        <w:spacing w:after="0" w:line="235" w:lineRule="auto"/>
        <w:rPr>
          <w:sz w:val="20"/>
          <w:szCs w:val="20"/>
          <w:color w:val="auto"/>
        </w:rPr>
      </w:pPr>
      <w:r>
        <w:rPr>
          <w:rFonts w:ascii="Arial" w:cs="Arial" w:eastAsia="Arial" w:hAnsi="Arial"/>
          <w:sz w:val="18"/>
          <w:szCs w:val="18"/>
          <w:color w:val="auto"/>
        </w:rPr>
        <w:t>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we have conducted, or are conducting certain preclinical studies of our product candidates, the predictive value of these studies with respect to future testing in humans is limited, particularly in indications where animal models are less developed.</w:t>
      </w:r>
    </w:p>
    <w:p>
      <w:pPr>
        <w:spacing w:after="0" w:line="192" w:lineRule="exact"/>
        <w:rPr>
          <w:sz w:val="20"/>
          <w:szCs w:val="20"/>
          <w:color w:val="auto"/>
        </w:rPr>
      </w:pPr>
    </w:p>
    <w:p>
      <w:pPr>
        <w:ind w:left="40" w:right="79"/>
        <w:spacing w:after="0" w:line="246" w:lineRule="auto"/>
        <w:rPr>
          <w:sz w:val="20"/>
          <w:szCs w:val="20"/>
          <w:color w:val="auto"/>
        </w:rPr>
      </w:pPr>
      <w:r>
        <w:rPr>
          <w:rFonts w:ascii="Arial" w:cs="Arial" w:eastAsia="Arial" w:hAnsi="Arial"/>
          <w:sz w:val="17"/>
          <w:szCs w:val="17"/>
          <w:color w:val="auto"/>
        </w:rPr>
        <w:t>Even if our clinical trials are completed, the results may not be sufficient to obtain marketing approval for our product candidates. In clinical trials that are based on preclinical studies and early clinical trials, it is not uncommon to observe unexpected results, and many product candidates fail in clinical development despite very promising early results. Moreover, preclinical and clinical data may be susceptible to varying interpretations and analyses. A number of companies in the biopharmaceutical industry have suffered significant setbacks in clinical development even after achieving promising results in earlier studies. In addition, in some cases, external experts or regulatory authorities disagreed with such companies’ views and interpretations of the data and results from earlier preclinical studies or clinical trials. As we investigate GSBR-1290 for T2DM and obesity and ANPA-0073 for IPF and PAH, we may encounter new and unforeseen difficulties. For example, we recently completed a 13-week toxicology study evaluating GSBR-1290 in NHPs to support the protocol amendment for our planned Phase 2a study, in which we observed low to moderate levels of liver necrosis across all dosing groups, including the control group. Although the liver necroses observed in the NHP study were not attributed to GSBR-1290, the FDA may disagree or take action which could delay our GSBR-1290 program and harm our business and financial condition. Similarly any future product candidates we may develop may not be able to progress from preclinical to Phase 1 clinical development. For the foregoing reasons, we cannot be certain that our ongoing and planned clinical trials and preclinical studies will be successful. Any of the foregoing occurrences may harm our business, financial condition and prospects significantly.</w:t>
      </w:r>
    </w:p>
    <w:p>
      <w:pPr>
        <w:spacing w:after="0" w:line="383"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b w:val="1"/>
          <w:bCs w:val="1"/>
          <w:i w:val="1"/>
          <w:iCs w:val="1"/>
          <w:color w:val="auto"/>
        </w:rPr>
        <w:t>Any difficulties or delays in the commencement or completion, or termination or suspension, of our planned clinical trials could result in increased costs to us, delay or limit our ability to generate revenue and adversely affect our commercial prospects.</w:t>
      </w:r>
    </w:p>
    <w:p>
      <w:pPr>
        <w:spacing w:after="0" w:line="163"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In order to obtain FDA approval to market our product candidates, we must demonstrate the safety and efficacy of our product candidates in humans to the satisfaction of the FDA. To meet these requirements, we will have to conduct adequate and well-controlled clinical trials. Clinical testing is expensive, time-consuming and subject to uncertainty. Conducting preclinical studies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w:t>
      </w:r>
    </w:p>
    <w:p>
      <w:pPr>
        <w:spacing w:after="0" w:line="188" w:lineRule="exact"/>
        <w:rPr>
          <w:sz w:val="20"/>
          <w:szCs w:val="20"/>
          <w:color w:val="auto"/>
        </w:rPr>
      </w:pPr>
    </w:p>
    <w:p>
      <w:pPr>
        <w:ind w:left="40" w:right="579"/>
        <w:spacing w:after="0" w:line="250" w:lineRule="auto"/>
        <w:rPr>
          <w:sz w:val="20"/>
          <w:szCs w:val="20"/>
          <w:color w:val="auto"/>
        </w:rPr>
      </w:pPr>
      <w:r>
        <w:rPr>
          <w:rFonts w:ascii="Arial" w:cs="Arial" w:eastAsia="Arial" w:hAnsi="Arial"/>
          <w:sz w:val="18"/>
          <w:szCs w:val="18"/>
          <w:color w:val="auto"/>
        </w:rPr>
        <w:t>Clinical trials may not be conducted as planned or completed on schedule, if at all. Events that may prevent successful or timely completion of clinical development include:</w:t>
      </w:r>
    </w:p>
    <w:p>
      <w:pPr>
        <w:spacing w:after="0" w:line="180" w:lineRule="exact"/>
        <w:rPr>
          <w:sz w:val="20"/>
          <w:szCs w:val="20"/>
          <w:color w:val="auto"/>
        </w:rPr>
      </w:pPr>
    </w:p>
    <w:p>
      <w:pPr>
        <w:ind w:left="720" w:hanging="32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applicable regulatory authorities on trial design or implementation;</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clinical trial;</w:t>
      </w:r>
    </w:p>
    <w:p>
      <w:pPr>
        <w:spacing w:after="0" w:line="111" w:lineRule="exact"/>
        <w:rPr>
          <w:rFonts w:ascii="Arial" w:cs="Arial" w:eastAsia="Arial" w:hAnsi="Arial"/>
          <w:sz w:val="18"/>
          <w:szCs w:val="18"/>
          <w:color w:val="auto"/>
        </w:rPr>
      </w:pPr>
    </w:p>
    <w:p>
      <w:pPr>
        <w:ind w:left="720" w:right="199" w:hanging="32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clinical research organizations (“CROs”), other vendors, or clinical trial sites, the terms of which can be subject to extensive negotiation and may vary significantly among different vendors and trial sites;</w:t>
      </w:r>
    </w:p>
    <w:p>
      <w:pPr>
        <w:spacing w:after="0" w:line="82" w:lineRule="exact"/>
        <w:rPr>
          <w:rFonts w:ascii="Arial" w:cs="Arial" w:eastAsia="Arial" w:hAnsi="Arial"/>
          <w:sz w:val="18"/>
          <w:szCs w:val="18"/>
          <w:color w:val="auto"/>
        </w:rPr>
      </w:pPr>
    </w:p>
    <w:p>
      <w:pPr>
        <w:ind w:left="720" w:right="419" w:hanging="32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approval from one or more institutional review boards (“IRB”) refusing to approve, suspending or terminating the trial at an investigational site, precluding enrollment of additional participants, or withdrawing their approval of the trial;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ongoing and planned clinical trials;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the clinical trial protocol;</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1" w:lineRule="exact"/>
        <w:rPr>
          <w:rFonts w:ascii="Arial" w:cs="Arial" w:eastAsia="Arial" w:hAnsi="Arial"/>
          <w:sz w:val="18"/>
          <w:szCs w:val="18"/>
          <w:color w:val="auto"/>
        </w:rPr>
      </w:pPr>
    </w:p>
    <w:p>
      <w:pPr>
        <w:ind w:left="720" w:right="179" w:hanging="326"/>
        <w:spacing w:after="0" w:line="279"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delays in manufacturing sufficient quantities of our product candidates for use in clinical trials, or delays in sufficiently developing, characterizing or controlling a manufacturing process suitable for clinical trials;</w:t>
      </w:r>
    </w:p>
    <w:p>
      <w:pPr>
        <w:spacing w:after="0" w:line="50" w:lineRule="exact"/>
        <w:rPr>
          <w:rFonts w:ascii="Arial" w:cs="Arial" w:eastAsia="Arial" w:hAnsi="Arial"/>
          <w:sz w:val="17"/>
          <w:szCs w:val="17"/>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11" w:lineRule="exact"/>
        <w:rPr>
          <w:rFonts w:ascii="Arial" w:cs="Arial" w:eastAsia="Arial" w:hAnsi="Arial"/>
          <w:sz w:val="18"/>
          <w:szCs w:val="18"/>
          <w:color w:val="auto"/>
        </w:rPr>
      </w:pPr>
    </w:p>
    <w:p>
      <w:pPr>
        <w:ind w:left="720" w:right="199" w:hanging="326"/>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participants choosing an alternative treatment for the indication for which we are developing our product candidates, or participating in competing clinical trials;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lack of adequate funding to continue a clinical trial;</w:t>
      </w:r>
    </w:p>
    <w:p>
      <w:pPr>
        <w:spacing w:after="0" w:line="111" w:lineRule="exact"/>
        <w:rPr>
          <w:rFonts w:ascii="Arial" w:cs="Arial" w:eastAsia="Arial" w:hAnsi="Arial"/>
          <w:sz w:val="18"/>
          <w:szCs w:val="18"/>
          <w:color w:val="auto"/>
        </w:rPr>
      </w:pPr>
    </w:p>
    <w:p>
      <w:pPr>
        <w:ind w:left="720" w:right="379" w:hanging="326"/>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adverse events (“AEs”) or serious adverse events (“SAEs”) associated with the product candidate that are viewed to outweigh its potential benefits;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occurrence of SAEs in clinical trials of the same class of agents conducted by other companies;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11" w:lineRule="exact"/>
        <w:rPr>
          <w:rFonts w:ascii="Arial" w:cs="Arial" w:eastAsia="Arial" w:hAnsi="Arial"/>
          <w:sz w:val="18"/>
          <w:szCs w:val="18"/>
          <w:color w:val="auto"/>
        </w:rPr>
      </w:pPr>
    </w:p>
    <w:p>
      <w:pPr>
        <w:ind w:left="720" w:right="99" w:hanging="326"/>
        <w:spacing w:after="0" w:line="250"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selection of clinical trial end points that require prolonged periods of clinical observation or analysis of the resulting data;</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producing negative or inconclusive results;</w:t>
      </w:r>
    </w:p>
    <w:p>
      <w:pPr>
        <w:spacing w:after="0" w:line="111" w:lineRule="exact"/>
        <w:rPr>
          <w:rFonts w:ascii="Arial" w:cs="Arial" w:eastAsia="Arial" w:hAnsi="Arial"/>
          <w:sz w:val="18"/>
          <w:szCs w:val="18"/>
          <w:color w:val="auto"/>
        </w:rPr>
      </w:pPr>
    </w:p>
    <w:p>
      <w:pPr>
        <w:ind w:left="720" w:right="99" w:hanging="326"/>
        <w:spacing w:after="0" w:line="23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facility manufacturing our product candidates or any of their components being ordered by the FDA or applicable foreign authorities to temporarily or permanently shut down due to violations of current good manufacturing practice (“cGMP”) regulations or other applicable requirements, or contamination or cross-contaminations of product candidates in the manufacturing process;</w:t>
      </w:r>
    </w:p>
    <w:p>
      <w:pPr>
        <w:spacing w:after="0" w:line="82" w:lineRule="exact"/>
        <w:rPr>
          <w:rFonts w:ascii="Arial" w:cs="Arial" w:eastAsia="Arial" w:hAnsi="Arial"/>
          <w:sz w:val="18"/>
          <w:szCs w:val="18"/>
          <w:color w:val="auto"/>
        </w:rPr>
      </w:pPr>
    </w:p>
    <w:p>
      <w:pPr>
        <w:ind w:left="720" w:right="199" w:hanging="32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p>
      <w:pPr>
        <w:spacing w:after="0" w:line="82" w:lineRule="exact"/>
        <w:rPr>
          <w:rFonts w:ascii="Arial" w:cs="Arial" w:eastAsia="Arial" w:hAnsi="Arial"/>
          <w:sz w:val="18"/>
          <w:szCs w:val="18"/>
          <w:color w:val="auto"/>
        </w:rPr>
      </w:pPr>
    </w:p>
    <w:p>
      <w:pPr>
        <w:ind w:left="720" w:right="499" w:hanging="326"/>
        <w:spacing w:after="0" w:line="279" w:lineRule="auto"/>
        <w:tabs>
          <w:tab w:leader="none" w:pos="7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regulatory requirements, guidance, or feedback from regulatory agencies that require amending or submitting new clinical protocols or otherwise modifying the design of our clinical trials.</w:t>
      </w:r>
    </w:p>
    <w:p>
      <w:pPr>
        <w:spacing w:after="0" w:line="156"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applicable foreign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applicable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spacing w:after="0" w:line="193"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Investigators and patients may not be able to comply with clinical trial protocols if quarantines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impede patient movement or interrupt healthcare services. Similarly, our ability to recruit and retain patients and principal investigators and site staff which in turn could adversely impact our clinical trial operations. 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public health concerns. We have faced and may continue to face delays in meeting our anticipated timelines for our ongoing and planned clinical trials. We experienced delays in our patient enrollment and our supply chain as a direct result of COVID-19 on our suppliers’ ability to timely manufacture and ship certain supplies such as reagents and other lab consumables. These delays have previously impacted and could in the future adversely affect our business, financial condition, results of operations and growth prospects.</w:t>
      </w:r>
    </w:p>
    <w:p>
      <w:pPr>
        <w:spacing w:after="0" w:line="195" w:lineRule="exact"/>
        <w:rPr>
          <w:sz w:val="20"/>
          <w:szCs w:val="20"/>
          <w:color w:val="auto"/>
        </w:rPr>
      </w:pPr>
    </w:p>
    <w:p>
      <w:pPr>
        <w:ind w:left="40" w:right="79"/>
        <w:spacing w:after="0" w:line="247" w:lineRule="auto"/>
        <w:rPr>
          <w:sz w:val="20"/>
          <w:szCs w:val="20"/>
          <w:color w:val="auto"/>
        </w:rPr>
      </w:pPr>
      <w:r>
        <w:rPr>
          <w:rFonts w:ascii="Arial" w:cs="Arial" w:eastAsia="Arial" w:hAnsi="Arial"/>
          <w:sz w:val="17"/>
          <w:szCs w:val="17"/>
          <w:color w:val="auto"/>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For example, to facilitate potential commercial-scale manufacturing, we expect to transition from capsule formulations of our product candidates used for early clinical trials to tablet formulations, including the addition of excipients, in later stage clinical trials. While these formulation transitions are common for small molecule drug candidates, we cannot guarantee that we will not encounter delays or unexpected results in bridging studies or implementing necessary changes to the manufacturing process.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spacing w:after="0" w:line="179"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spacing w:after="0" w:line="163" w:lineRule="exact"/>
        <w:rPr>
          <w:sz w:val="20"/>
          <w:szCs w:val="20"/>
          <w:color w:val="auto"/>
        </w:rPr>
      </w:pPr>
    </w:p>
    <w:p>
      <w:pPr>
        <w:ind w:left="40" w:right="79"/>
        <w:spacing w:after="0" w:line="247" w:lineRule="auto"/>
        <w:rPr>
          <w:sz w:val="20"/>
          <w:szCs w:val="20"/>
          <w:color w:val="auto"/>
        </w:rPr>
      </w:pPr>
      <w:r>
        <w:rPr>
          <w:rFonts w:ascii="Arial" w:cs="Arial" w:eastAsia="Arial" w:hAnsi="Arial"/>
          <w:sz w:val="17"/>
          <w:szCs w:val="17"/>
          <w:color w:val="auto"/>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ANPA-0073,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planned clinical trials and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spacing w:after="0" w:line="187" w:lineRule="exact"/>
        <w:rPr>
          <w:sz w:val="20"/>
          <w:szCs w:val="20"/>
          <w:color w:val="auto"/>
        </w:rPr>
      </w:pPr>
    </w:p>
    <w:p>
      <w:pPr>
        <w:ind w:left="40" w:right="119"/>
        <w:spacing w:after="0" w:line="236" w:lineRule="auto"/>
        <w:rPr>
          <w:sz w:val="20"/>
          <w:szCs w:val="20"/>
          <w:color w:val="auto"/>
        </w:rPr>
      </w:pPr>
      <w:r>
        <w:rPr>
          <w:rFonts w:ascii="Arial" w:cs="Arial" w:eastAsia="Arial" w:hAnsi="Arial"/>
          <w:sz w:val="18"/>
          <w:szCs w:val="18"/>
          <w:color w:val="auto"/>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development and approval of our product candidates. Even once enrolled we may be unable to retain a sufficient number of patients to complete any of our trials.</w:t>
      </w:r>
    </w:p>
    <w:p>
      <w:pPr>
        <w:spacing w:after="0" w:line="191" w:lineRule="exact"/>
        <w:rPr>
          <w:sz w:val="20"/>
          <w:szCs w:val="20"/>
          <w:color w:val="auto"/>
        </w:rPr>
      </w:pPr>
    </w:p>
    <w:p>
      <w:pPr>
        <w:ind w:left="40" w:right="439"/>
        <w:spacing w:after="0" w:line="250"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study until its conclusion. We may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699"/>
        <w:spacing w:after="0" w:line="250" w:lineRule="auto"/>
        <w:rPr>
          <w:sz w:val="20"/>
          <w:szCs w:val="20"/>
          <w:color w:val="auto"/>
        </w:rPr>
      </w:pPr>
      <w:r>
        <w:rPr>
          <w:rFonts w:ascii="Arial" w:cs="Arial" w:eastAsia="Arial" w:hAnsi="Arial"/>
          <w:sz w:val="18"/>
          <w:szCs w:val="18"/>
          <w:color w:val="auto"/>
        </w:rPr>
        <w:t>experience difficulties in patient enrollment or retention in our clinical trials for a variety of reasons. Patient enrollment and retention in clinical trials depends on many factors, including:</w:t>
      </w:r>
    </w:p>
    <w:p>
      <w:pPr>
        <w:spacing w:after="0" w:line="180" w:lineRule="exact"/>
        <w:rPr>
          <w:sz w:val="20"/>
          <w:szCs w:val="20"/>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of the trial protocol;</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existing body of safety and efficacy data for the product candidate;</w:t>
      </w:r>
    </w:p>
    <w:p>
      <w:pPr>
        <w:spacing w:after="0" w:line="111" w:lineRule="exact"/>
        <w:rPr>
          <w:rFonts w:ascii="Arial" w:cs="Arial" w:eastAsia="Arial" w:hAnsi="Arial"/>
          <w:sz w:val="18"/>
          <w:szCs w:val="18"/>
          <w:color w:val="auto"/>
        </w:rPr>
      </w:pPr>
    </w:p>
    <w:p>
      <w:pPr>
        <w:ind w:left="720" w:right="139" w:hanging="326"/>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nature of competing treatments and ongoing clinical trials of competing therapies for the same indication;</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proximity of patients to clinical sites;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1" w:lineRule="exact"/>
        <w:rPr>
          <w:rFonts w:ascii="Arial" w:cs="Arial" w:eastAsia="Arial" w:hAnsi="Arial"/>
          <w:sz w:val="18"/>
          <w:szCs w:val="18"/>
          <w:color w:val="auto"/>
        </w:rPr>
      </w:pPr>
    </w:p>
    <w:p>
      <w:pPr>
        <w:ind w:left="720" w:right="519" w:hanging="326"/>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adequately monitor patients during a trial, clinicians’ and patients’ perceptions as to the potential advantages of the product candidate being studied;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that patients will drop out of a trial before completing all site visits; and</w:t>
      </w:r>
    </w:p>
    <w:p>
      <w:pPr>
        <w:spacing w:after="0" w:line="111" w:lineRule="exact"/>
        <w:rPr>
          <w:rFonts w:ascii="Arial" w:cs="Arial" w:eastAsia="Arial" w:hAnsi="Arial"/>
          <w:sz w:val="18"/>
          <w:szCs w:val="18"/>
          <w:color w:val="auto"/>
        </w:rPr>
      </w:pPr>
    </w:p>
    <w:p>
      <w:pPr>
        <w:ind w:left="720" w:right="99" w:hanging="326"/>
        <w:spacing w:after="0" w:line="250"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being studied in relation to other available therapies.</w:t>
      </w:r>
    </w:p>
    <w:p>
      <w:pPr>
        <w:spacing w:after="0" w:line="180" w:lineRule="exact"/>
        <w:rPr>
          <w:sz w:val="20"/>
          <w:szCs w:val="20"/>
          <w:color w:val="auto"/>
        </w:rPr>
      </w:pPr>
    </w:p>
    <w:p>
      <w:pPr>
        <w:ind w:left="40" w:right="99"/>
        <w:spacing w:after="0" w:line="247" w:lineRule="auto"/>
        <w:rPr>
          <w:sz w:val="20"/>
          <w:szCs w:val="20"/>
          <w:color w:val="auto"/>
        </w:rPr>
      </w:pPr>
      <w:r>
        <w:rPr>
          <w:rFonts w:ascii="Arial" w:cs="Arial" w:eastAsia="Arial" w:hAnsi="Arial"/>
          <w:sz w:val="17"/>
          <w:szCs w:val="17"/>
          <w:color w:val="auto"/>
        </w:rPr>
        <w:t>Furthermore, our efforts to build relationships with patient communities may not succeed, which could result in delays in patient enrollment in our clinical trials. In addition, any negative results we may report in clinical trials of our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the integrity of data from our clinical trials may be compromised or not accepted by the FDA or applicable foreign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 Such delays or failures could adversely affect our business, operating results and prospects.</w:t>
      </w:r>
    </w:p>
    <w:p>
      <w:pPr>
        <w:spacing w:after="0" w:line="173" w:lineRule="exact"/>
        <w:rPr>
          <w:sz w:val="20"/>
          <w:szCs w:val="20"/>
          <w:color w:val="auto"/>
        </w:rPr>
      </w:pPr>
    </w:p>
    <w:p>
      <w:pPr>
        <w:ind w:left="40" w:right="359"/>
        <w:spacing w:after="0"/>
        <w:rPr>
          <w:sz w:val="20"/>
          <w:szCs w:val="20"/>
          <w:color w:val="auto"/>
        </w:rPr>
      </w:pPr>
      <w:r>
        <w:rPr>
          <w:rFonts w:ascii="Arial" w:cs="Arial" w:eastAsia="Arial" w:hAnsi="Arial"/>
          <w:sz w:val="18"/>
          <w:szCs w:val="18"/>
          <w:b w:val="1"/>
          <w:bCs w:val="1"/>
          <w:i w:val="1"/>
          <w:i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spacing w:after="0" w:line="176" w:lineRule="exact"/>
        <w:rPr>
          <w:sz w:val="20"/>
          <w:szCs w:val="20"/>
          <w:color w:val="auto"/>
        </w:rPr>
      </w:pPr>
    </w:p>
    <w:p>
      <w:pPr>
        <w:ind w:left="40" w:right="539"/>
        <w:spacing w:after="0" w:line="253"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47" w:lineRule="auto"/>
        <w:rPr>
          <w:sz w:val="20"/>
          <w:szCs w:val="20"/>
          <w:color w:val="auto"/>
        </w:rPr>
      </w:pPr>
      <w:r>
        <w:rPr>
          <w:rFonts w:ascii="Arial" w:cs="Arial" w:eastAsia="Arial" w:hAnsi="Arial"/>
          <w:sz w:val="17"/>
          <w:szCs w:val="17"/>
          <w:color w:val="auto"/>
        </w:rPr>
        <w:t>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III trials or, in some cases, after they are made available to patients on a commercial scale after approval. If additional clinical experience indicates that any of our current product candidates and any future product candidates has serious or life-threatening 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and applicable foreign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spacing w:after="0" w:line="183" w:lineRule="exact"/>
        <w:rPr>
          <w:sz w:val="20"/>
          <w:szCs w:val="20"/>
          <w:color w:val="auto"/>
        </w:rPr>
      </w:pPr>
    </w:p>
    <w:p>
      <w:pPr>
        <w:ind w:left="40" w:right="59"/>
        <w:spacing w:after="0" w:line="247"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in our ongoing clinical trials. In our completed Phase 1 SAD study of GSBR-1290, the following adverse events occurred and were considered probably or possibly related to the study drug: nausea, headache, vomiting, dehydration, decreased appetite, dizziness, and diarrhea. In our completed Phase 1 SAD and MAD study of ANPA-0073, the following adverse events occurred and were considered probably or possibly related to the study drug: blood creatine phosphokinase increase, dizziness, electrocardiogram T wave inversion, diarrhea, headache, lethargy, nausea, vomiting, chills, palpitations, and sinus tachycardia. However, further analysis may reveal AEs inconsistent with the safety results observed.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spacing w:after="0" w:line="185"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In addition, if any of our product candidates receive marketing approval, the FDA could require us to include a black box warning in our label or adopt a REMS, to ensure that the benefits outweigh its risks, which may include, among other things, a medication guide outlining the risks of the drug for distribution to patients and a communication plan to health care practitioners. For example, the FDA has required that the product labels of approved drugs targeting GLP-1R include a black box warning related to the risk of thyroid C-cell tumors based on rodent carcinogenicity studies. While we have not yet conducted carcinogenicity studies for GSBR-1290, because it also targets GLP-1R, it is possible that absent compelling data to the contrary, the FDA and applicable foreign authorities will similarly require a black box warning for GSBR-1290 if it is approved for marketing. Furthermore, if we or others later identify undesirable side effects caused by our product candidates, several other potentially significant negative consequences could result, including:</w:t>
      </w:r>
    </w:p>
    <w:p>
      <w:pPr>
        <w:spacing w:after="0" w:line="195" w:lineRule="exact"/>
        <w:rPr>
          <w:sz w:val="20"/>
          <w:szCs w:val="20"/>
          <w:color w:val="auto"/>
        </w:rPr>
      </w:pPr>
    </w:p>
    <w:p>
      <w:pPr>
        <w:ind w:left="720" w:hanging="32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product candidate;</w:t>
      </w:r>
    </w:p>
    <w:p>
      <w:pPr>
        <w:spacing w:after="0" w:line="111" w:lineRule="exact"/>
        <w:rPr>
          <w:rFonts w:ascii="Arial" w:cs="Arial" w:eastAsia="Arial" w:hAnsi="Arial"/>
          <w:sz w:val="18"/>
          <w:szCs w:val="18"/>
          <w:color w:val="auto"/>
        </w:rPr>
      </w:pPr>
    </w:p>
    <w:p>
      <w:pPr>
        <w:ind w:left="720" w:right="219" w:hanging="32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82" w:lineRule="exact"/>
        <w:rPr>
          <w:rFonts w:ascii="Arial" w:cs="Arial" w:eastAsia="Arial" w:hAnsi="Arial"/>
          <w:sz w:val="18"/>
          <w:szCs w:val="18"/>
          <w:color w:val="auto"/>
        </w:rPr>
      </w:pPr>
    </w:p>
    <w:p>
      <w:pPr>
        <w:ind w:left="720" w:right="159" w:hanging="326"/>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hanging="32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subject to fines, injunctions, or the imposition of criminal or civil penalties;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need to conduct a recall;</w:t>
      </w:r>
    </w:p>
    <w:p>
      <w:pPr>
        <w:spacing w:after="0" w:line="111" w:lineRule="exact"/>
        <w:rPr>
          <w:rFonts w:ascii="Arial" w:cs="Arial" w:eastAsia="Arial" w:hAnsi="Arial"/>
          <w:sz w:val="18"/>
          <w:szCs w:val="18"/>
          <w:color w:val="auto"/>
        </w:rPr>
      </w:pPr>
    </w:p>
    <w:p>
      <w:pPr>
        <w:ind w:left="720" w:right="699" w:hanging="326"/>
        <w:spacing w:after="0" w:line="250"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forced to suspend marketing of that product, or decide to remove the product from the marketplace; and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18" w:lineRule="exact"/>
        <w:rPr>
          <w:sz w:val="20"/>
          <w:szCs w:val="20"/>
          <w:color w:val="auto"/>
        </w:rPr>
      </w:pPr>
    </w:p>
    <w:p>
      <w:pPr>
        <w:ind w:left="40" w:right="119"/>
        <w:spacing w:after="0" w:line="250"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70" w:lineRule="exact"/>
        <w:rPr>
          <w:sz w:val="20"/>
          <w:szCs w:val="20"/>
          <w:color w:val="auto"/>
        </w:rPr>
      </w:pPr>
    </w:p>
    <w:p>
      <w:pPr>
        <w:ind w:left="40" w:right="179"/>
        <w:spacing w:after="0" w:line="278" w:lineRule="auto"/>
        <w:rPr>
          <w:sz w:val="20"/>
          <w:szCs w:val="20"/>
          <w:color w:val="auto"/>
        </w:rPr>
      </w:pPr>
      <w:r>
        <w:rPr>
          <w:rFonts w:ascii="Arial" w:cs="Arial" w:eastAsia="Arial" w:hAnsi="Arial"/>
          <w:sz w:val="18"/>
          <w:szCs w:val="18"/>
          <w:b w:val="1"/>
          <w:bCs w:val="1"/>
          <w:i w:val="1"/>
          <w:iCs w:val="1"/>
          <w:color w:val="auto"/>
        </w:rPr>
        <w:t>As an organization, we have never conducted later-stage clinical trials or submitted an NDA, and may be unable to do so for any of our product candidates.</w:t>
      </w:r>
    </w:p>
    <w:p>
      <w:pPr>
        <w:spacing w:after="0" w:line="141"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We are early in our development efforts for our product candidates, and we will need to successfully complete pivotal clinical trials in order to seek FDA or applicable foreign authority approval to market GSBR-1290, ANPA-0073 and any future product candidates we may develop. Carrying out clinical trials and the submission of NDAs is complicated. We completed a Phase 1 SAD study for GSBR-1290 in healthy volunteers in September 2022. Additionally, we completed our Phase 1 SAD and MAD study for ANPA-0073 in healthy volunteers for IPF and PAH. We have not conducted any later stage or pivotal clinical trials, have limited experience as a company in preparing, submitting and prosecuting regulatory filings and have not previously submitted an NDA or other applicable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no interactions with the FDA or applicable foreign authorities and cannot be certain how many clinical trials of our product candidates will be required or how such trials will have to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spacing w:after="0" w:line="188"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b w:val="1"/>
          <w:bCs w:val="1"/>
          <w:i w:val="1"/>
          <w:iCs w:val="1"/>
          <w:color w:val="auto"/>
        </w:rPr>
        <w:t>The marketing approval processes of the FDA and applicable foreign authorities are lengthy, time consuming, expensive and inherently unpredictable, and if we are ultimately unable to obtain marketing approval for our product candidates, our business will be substantially harmed.</w:t>
      </w:r>
    </w:p>
    <w:p>
      <w:pPr>
        <w:spacing w:after="0" w:line="163"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The time required to reach approval by the FDA and applicable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any product candidates we may seek to develop in the future will never obtain marketing approval. Neither we nor any future collaborator is permitted to market any of our product candidates in the United States until we receive FDA marketing approval of an NDA.</w:t>
      </w:r>
    </w:p>
    <w:p>
      <w:pPr>
        <w:spacing w:after="0" w:line="192"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or applicable foreign authorities, that such product candidates are safe and effective for their intended uses. The number of nonclinical studies and clinical trials that will be required for FDA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79"/>
        <w:spacing w:after="0" w:line="238" w:lineRule="auto"/>
        <w:rPr>
          <w:sz w:val="20"/>
          <w:szCs w:val="20"/>
          <w:color w:val="auto"/>
        </w:rPr>
      </w:pPr>
      <w:r>
        <w:rPr>
          <w:rFonts w:ascii="Arial" w:cs="Arial" w:eastAsia="Arial" w:hAnsi="Arial"/>
          <w:sz w:val="18"/>
          <w:szCs w:val="18"/>
          <w:color w:val="auto"/>
        </w:rPr>
        <w:t>clinical data for our product candidates are promising, such data may not be sufficient to support approval by the FDA and other regulatory authorities. The FDA and applicable foreign authorities may also require us to conduct additional preclinical studies or clinical trials for our product candidates either prior to or post-approval, or could object to elements of our clinical development program.</w:t>
      </w:r>
    </w:p>
    <w:p>
      <w:pPr>
        <w:spacing w:after="0" w:line="188" w:lineRule="exact"/>
        <w:rPr>
          <w:sz w:val="20"/>
          <w:szCs w:val="20"/>
          <w:color w:val="auto"/>
        </w:rPr>
      </w:pPr>
    </w:p>
    <w:p>
      <w:pPr>
        <w:ind w:left="40" w:right="79"/>
        <w:spacing w:after="0"/>
        <w:rPr>
          <w:sz w:val="20"/>
          <w:szCs w:val="20"/>
          <w:color w:val="auto"/>
        </w:rPr>
      </w:pPr>
      <w:r>
        <w:rPr>
          <w:rFonts w:ascii="Arial" w:cs="Arial" w:eastAsia="Arial" w:hAnsi="Arial"/>
          <w:sz w:val="18"/>
          <w:szCs w:val="18"/>
          <w:color w:val="auto"/>
        </w:rPr>
        <w:t>The FDA or applicable foreign authorities can delay, limit or deny approval of our product candidates or require us to conduct additional nonclinical or clinical testing or abandon a program for various reasons, including the following:</w:t>
      </w:r>
    </w:p>
    <w:p>
      <w:pPr>
        <w:spacing w:after="0" w:line="189" w:lineRule="exact"/>
        <w:rPr>
          <w:sz w:val="20"/>
          <w:szCs w:val="20"/>
          <w:color w:val="auto"/>
        </w:rPr>
      </w:pPr>
    </w:p>
    <w:p>
      <w:pPr>
        <w:ind w:left="720" w:right="25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applicable foreign authorities may disagree with the design or implementation of our clinical trials;</w:t>
      </w:r>
    </w:p>
    <w:p>
      <w:pPr>
        <w:spacing w:after="0" w:line="73" w:lineRule="exact"/>
        <w:rPr>
          <w:rFonts w:ascii="Arial" w:cs="Arial" w:eastAsia="Arial" w:hAnsi="Arial"/>
          <w:sz w:val="18"/>
          <w:szCs w:val="18"/>
          <w:color w:val="auto"/>
        </w:rPr>
      </w:pPr>
    </w:p>
    <w:p>
      <w:pPr>
        <w:ind w:left="720" w:right="31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applicable foreign authorities that a product candidate is safe and effective for its proposed indication;</w:t>
      </w:r>
    </w:p>
    <w:p>
      <w:pPr>
        <w:spacing w:after="0" w:line="73" w:lineRule="exact"/>
        <w:rPr>
          <w:rFonts w:ascii="Arial" w:cs="Arial" w:eastAsia="Arial" w:hAnsi="Arial"/>
          <w:sz w:val="18"/>
          <w:szCs w:val="18"/>
          <w:color w:val="auto"/>
        </w:rPr>
      </w:pPr>
    </w:p>
    <w:p>
      <w:pPr>
        <w:ind w:left="720" w:right="67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applicable foreign authorities for approval;</w:t>
      </w:r>
    </w:p>
    <w:p>
      <w:pPr>
        <w:spacing w:after="0" w:line="73" w:lineRule="exact"/>
        <w:rPr>
          <w:rFonts w:ascii="Arial" w:cs="Arial" w:eastAsia="Arial" w:hAnsi="Arial"/>
          <w:sz w:val="18"/>
          <w:szCs w:val="18"/>
          <w:color w:val="auto"/>
        </w:rPr>
      </w:pPr>
    </w:p>
    <w:p>
      <w:pPr>
        <w:ind w:left="720" w:right="33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clinical trials or by individuals using drugs similar to our product candidates;</w:t>
      </w:r>
    </w:p>
    <w:p>
      <w:pPr>
        <w:spacing w:after="0" w:line="73" w:lineRule="exact"/>
        <w:rPr>
          <w:rFonts w:ascii="Arial" w:cs="Arial" w:eastAsia="Arial" w:hAnsi="Arial"/>
          <w:sz w:val="18"/>
          <w:szCs w:val="18"/>
          <w:color w:val="auto"/>
        </w:rPr>
      </w:pPr>
    </w:p>
    <w:p>
      <w:pPr>
        <w:ind w:left="720" w:right="53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73" w:lineRule="exact"/>
        <w:rPr>
          <w:rFonts w:ascii="Arial" w:cs="Arial" w:eastAsia="Arial" w:hAnsi="Arial"/>
          <w:sz w:val="18"/>
          <w:szCs w:val="18"/>
          <w:color w:val="auto"/>
        </w:rPr>
      </w:pPr>
    </w:p>
    <w:p>
      <w:pPr>
        <w:ind w:left="720" w:right="45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applicable foreign authorities may disagree with our interpretation of data from preclinical studies or clinical trials;</w:t>
      </w:r>
    </w:p>
    <w:p>
      <w:pPr>
        <w:spacing w:after="0" w:line="73" w:lineRule="exact"/>
        <w:rPr>
          <w:rFonts w:ascii="Arial" w:cs="Arial" w:eastAsia="Arial" w:hAnsi="Arial"/>
          <w:sz w:val="18"/>
          <w:szCs w:val="18"/>
          <w:color w:val="auto"/>
        </w:rPr>
      </w:pPr>
    </w:p>
    <w:p>
      <w:pPr>
        <w:jc w:val="both"/>
        <w:ind w:left="720" w:right="479" w:hanging="326"/>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acceptable or sufficient to support the submission of an NDA or other submission or to obtain marketing approval in the United States or elsewhere, and we may be required to conduct additional clinical trials;</w:t>
      </w:r>
    </w:p>
    <w:p>
      <w:pPr>
        <w:spacing w:after="0" w:line="82" w:lineRule="exact"/>
        <w:rPr>
          <w:rFonts w:ascii="Arial" w:cs="Arial" w:eastAsia="Arial" w:hAnsi="Arial"/>
          <w:sz w:val="18"/>
          <w:szCs w:val="18"/>
          <w:color w:val="auto"/>
        </w:rPr>
      </w:pPr>
    </w:p>
    <w:p>
      <w:pPr>
        <w:ind w:left="720" w:right="41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FDA’s or the applicable foreign authority’s requirement for additional nonclinical studies or clinical trials;</w:t>
      </w:r>
    </w:p>
    <w:p>
      <w:pPr>
        <w:spacing w:after="0" w:line="73" w:lineRule="exact"/>
        <w:rPr>
          <w:rFonts w:ascii="Arial" w:cs="Arial" w:eastAsia="Arial" w:hAnsi="Arial"/>
          <w:sz w:val="18"/>
          <w:szCs w:val="18"/>
          <w:color w:val="auto"/>
        </w:rPr>
      </w:pPr>
    </w:p>
    <w:p>
      <w:pPr>
        <w:ind w:left="720" w:right="29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the applicable foreign authority may disagree regarding the formulation, labeling and/or the specifications of our product candidates;</w:t>
      </w:r>
    </w:p>
    <w:p>
      <w:pPr>
        <w:spacing w:after="0" w:line="73" w:lineRule="exact"/>
        <w:rPr>
          <w:rFonts w:ascii="Arial" w:cs="Arial" w:eastAsia="Arial" w:hAnsi="Arial"/>
          <w:sz w:val="18"/>
          <w:szCs w:val="18"/>
          <w:color w:val="auto"/>
        </w:rPr>
      </w:pPr>
    </w:p>
    <w:p>
      <w:pPr>
        <w:ind w:left="720" w:right="19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applicable foreign authorities may fail to approve the manufacturing processes or facilities of third-party manufacturers with which we contract for clinical and commercial supplies; and</w:t>
      </w:r>
    </w:p>
    <w:p>
      <w:pPr>
        <w:spacing w:after="0" w:line="73" w:lineRule="exact"/>
        <w:rPr>
          <w:rFonts w:ascii="Arial" w:cs="Arial" w:eastAsia="Arial" w:hAnsi="Arial"/>
          <w:sz w:val="18"/>
          <w:szCs w:val="18"/>
          <w:color w:val="auto"/>
        </w:rPr>
      </w:pPr>
    </w:p>
    <w:p>
      <w:pPr>
        <w:ind w:left="720" w:right="179" w:hanging="326"/>
        <w:spacing w:after="0" w:line="250"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applicable foreign authorities may significantly change in a manner rendering our clinical data insufficient for approval.</w:t>
      </w:r>
    </w:p>
    <w:p>
      <w:pPr>
        <w:spacing w:after="0" w:line="180" w:lineRule="exact"/>
        <w:rPr>
          <w:sz w:val="20"/>
          <w:szCs w:val="20"/>
          <w:color w:val="auto"/>
        </w:rPr>
      </w:pPr>
    </w:p>
    <w:p>
      <w:pPr>
        <w:ind w:left="40" w:right="359"/>
        <w:spacing w:after="0" w:line="238"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marketing approval processes and are commercialized. The lengthy approval process as well as the unpredictability of future clinical trial results may result in our failing to obtain marketing approval to market our product candidates, which would significantly harm our business, results of operations and prospects.</w:t>
      </w:r>
    </w:p>
    <w:p>
      <w:pPr>
        <w:spacing w:after="0" w:line="178"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or indications that may be more profitable or for which there is a greater likelihood of success.</w:t>
      </w:r>
    </w:p>
    <w:p>
      <w:pPr>
        <w:spacing w:after="0" w:line="163" w:lineRule="exact"/>
        <w:rPr>
          <w:sz w:val="20"/>
          <w:szCs w:val="20"/>
          <w:color w:val="auto"/>
        </w:rPr>
      </w:pPr>
    </w:p>
    <w:p>
      <w:pPr>
        <w:ind w:left="40" w:right="279"/>
        <w:spacing w:after="0" w:line="236" w:lineRule="auto"/>
        <w:rPr>
          <w:sz w:val="20"/>
          <w:szCs w:val="20"/>
          <w:color w:val="auto"/>
        </w:rPr>
      </w:pPr>
      <w:r>
        <w:rPr>
          <w:rFonts w:ascii="Arial" w:cs="Arial" w:eastAsia="Arial" w:hAnsi="Arial"/>
          <w:sz w:val="18"/>
          <w:szCs w:val="18"/>
          <w:color w:val="auto"/>
        </w:rPr>
        <w:t>Because we have limited financial and managerial resources, we focus on specific product candidates, indications and discovery programs. Correctly prioritizing our research and development activities is particularly important for us due to the breadth of potential product candidates and indications that we believe could be pursued using our platform technologies. As a result, we may forgo or delay pursuit of opportunities with other product candidates that could have had greater commercial potential. Our resource allocation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59"/>
        <w:spacing w:after="0" w:line="233" w:lineRule="auto"/>
        <w:rPr>
          <w:sz w:val="20"/>
          <w:szCs w:val="20"/>
          <w:color w:val="auto"/>
        </w:rPr>
      </w:pPr>
      <w:r>
        <w:rPr>
          <w:rFonts w:ascii="Arial" w:cs="Arial" w:eastAsia="Arial" w:hAnsi="Arial"/>
          <w:sz w:val="18"/>
          <w:szCs w:val="18"/>
          <w:color w:val="auto"/>
        </w:rPr>
        <w:t>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 In addition, in recent years, a number of companies have entered the drug discovery industry utilizing different AI approaches. The success of other such AI approaches to drug discovery could create more competition for us. We believe that we must continue to invest a significant amount of time and resources in our platform technologies to maintain and improve our competitive position.</w:t>
      </w:r>
    </w:p>
    <w:p>
      <w:pPr>
        <w:spacing w:after="0" w:line="185" w:lineRule="exact"/>
        <w:rPr>
          <w:sz w:val="20"/>
          <w:szCs w:val="20"/>
          <w:color w:val="auto"/>
        </w:rPr>
      </w:pPr>
    </w:p>
    <w:p>
      <w:pPr>
        <w:ind w:left="40" w:right="779"/>
        <w:spacing w:after="0" w:line="278"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designations or exclusivity for our product candidates, which could limit the potential profitability of our product candidates.</w:t>
      </w:r>
    </w:p>
    <w:p>
      <w:pPr>
        <w:spacing w:after="0" w:line="141" w:lineRule="exact"/>
        <w:rPr>
          <w:sz w:val="20"/>
          <w:szCs w:val="20"/>
          <w:color w:val="auto"/>
        </w:rPr>
      </w:pPr>
    </w:p>
    <w:p>
      <w:pPr>
        <w:ind w:left="40" w:right="59"/>
        <w:spacing w:after="0" w:line="232"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alone.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Orphan drug designation, however, neither shortens the development time or regulatory review time of a drug nor gives the drug any advantage in the regulatory review or approval process. Generally, if a drug with an orphan drug designation subsequently receives the first marketing approval for the targeted indication, then the drug is entitled to a seven-year period of marketing exclusivity that precludes the applicable regulatory authority from approving another marketing application for the same chemical entity for the same indication for the exclusivity period except in limited situations, such as a showing of clinical superiority to the product with orphan drug exclusivity or where the manufacturer is unable to assure sufficient product quantity. For purposes of small molecule drugs, the FDA defines “same drug” as a drug that contains the same active moiety and is intended for the same use as the drug in question. A designated orphan drug may not receive orphan drug exclusivity if it is approved for a use that is broader than the indication for which it received orphan drug designation.</w:t>
      </w:r>
    </w:p>
    <w:p>
      <w:pPr>
        <w:spacing w:after="0" w:line="196"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We intend to pursue orphan drug designation for one or more of our product candidates, as well as for potential other future product candidates. Obtaining orphan drug designations is important to our business strategy; however, obtaining an orphan drug designation can be difficult and we may not be successful in doing so.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119"/>
        <w:spacing w:after="0" w:line="246" w:lineRule="auto"/>
        <w:rPr>
          <w:sz w:val="20"/>
          <w:szCs w:val="20"/>
          <w:color w:val="auto"/>
        </w:rPr>
      </w:pPr>
      <w:r>
        <w:rPr>
          <w:rFonts w:ascii="Arial" w:cs="Arial" w:eastAsia="Arial" w:hAnsi="Arial"/>
          <w:sz w:val="18"/>
          <w:szCs w:val="18"/>
          <w:b w:val="1"/>
          <w:bCs w:val="1"/>
          <w:i w:val="1"/>
          <w:iCs w:val="1"/>
          <w:color w:val="auto"/>
        </w:rPr>
        <w:t>We have conducted, or plan to conduct, our initial clinical studies for GSBR-1290, ANPA-0073, LTSE-2578 and our other product candidates outside of the United States. However, the FDA and other foreign equivalents may not accept data from such trials, in which case our development plans will be delayed, which could materially harm our business.</w:t>
      </w:r>
    </w:p>
    <w:p>
      <w:pPr>
        <w:spacing w:after="0" w:line="171" w:lineRule="exact"/>
        <w:rPr>
          <w:sz w:val="20"/>
          <w:szCs w:val="20"/>
          <w:color w:val="auto"/>
        </w:rPr>
      </w:pPr>
    </w:p>
    <w:p>
      <w:pPr>
        <w:ind w:left="40" w:right="119"/>
        <w:spacing w:after="0" w:line="246" w:lineRule="auto"/>
        <w:rPr>
          <w:sz w:val="20"/>
          <w:szCs w:val="20"/>
          <w:color w:val="auto"/>
        </w:rPr>
      </w:pPr>
      <w:r>
        <w:rPr>
          <w:rFonts w:ascii="Arial" w:cs="Arial" w:eastAsia="Arial" w:hAnsi="Arial"/>
          <w:sz w:val="17"/>
          <w:szCs w:val="17"/>
          <w:color w:val="auto"/>
        </w:rPr>
        <w:t>We have conducted our initial clinical studies for GSBR-1290 and ANPA-0073 in Australia, and will likely conduct our Phase 1 studies for other drug candidates in Australia. The acceptance of study data from clinical trials conducted outside the United States or another jurisdiction by the FDA or applicable foreign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practices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applicable foreign authority will accept data from trials conducted outside of the United States or the applicable jurisdiction. If the FDA or any applicable foreign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390" w:lineRule="exact"/>
        <w:rPr>
          <w:sz w:val="20"/>
          <w:szCs w:val="20"/>
          <w:color w:val="auto"/>
        </w:rPr>
      </w:pPr>
    </w:p>
    <w:p>
      <w:pPr>
        <w:ind w:left="40" w:right="79"/>
        <w:spacing w:after="0" w:line="253" w:lineRule="auto"/>
        <w:rPr>
          <w:sz w:val="20"/>
          <w:szCs w:val="20"/>
          <w:color w:val="auto"/>
        </w:rPr>
      </w:pPr>
      <w:r>
        <w:rPr>
          <w:rFonts w:ascii="Arial" w:cs="Arial" w:eastAsia="Arial" w:hAnsi="Arial"/>
          <w:sz w:val="17"/>
          <w:szCs w:val="17"/>
          <w:color w:val="auto"/>
        </w:rPr>
        <w:t>We believe that clinical data generated in Australia will be accepted by the FDA and its foreign equivalents outside of Australia; however, there can be no assurance the FDA or applicable foreign authorities will accept data from any other clinical studies that we may conduct in Australia. If the FDA or applicable foreign authorities do not accept any such data, we would likely be required to conduct additional Phase 1 clinical studies, which would be costly and time consuming, and delay aspects of our development plan, which could harm our business.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Conducting clinical trials outside the United States exposes us to additional risks, including risks associated with:</w:t>
      </w:r>
    </w:p>
    <w:p>
      <w:pPr>
        <w:spacing w:after="0" w:line="216" w:lineRule="exact"/>
        <w:rPr>
          <w:sz w:val="20"/>
          <w:szCs w:val="20"/>
          <w:color w:val="auto"/>
        </w:rPr>
      </w:pPr>
    </w:p>
    <w:p>
      <w:pPr>
        <w:ind w:left="720" w:hanging="32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08"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b w:val="1"/>
          <w:bCs w:val="1"/>
          <w:i w:val="1"/>
          <w:iCs w:val="1"/>
          <w:color w:val="auto"/>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spacing w:after="0" w:line="163" w:lineRule="exact"/>
        <w:rPr>
          <w:sz w:val="20"/>
          <w:szCs w:val="20"/>
          <w:color w:val="auto"/>
        </w:rPr>
      </w:pPr>
    </w:p>
    <w:p>
      <w:pPr>
        <w:jc w:val="both"/>
        <w:ind w:left="40" w:right="279"/>
        <w:spacing w:after="0" w:line="256" w:lineRule="auto"/>
        <w:rPr>
          <w:sz w:val="20"/>
          <w:szCs w:val="20"/>
          <w:color w:val="auto"/>
        </w:rPr>
      </w:pPr>
      <w:r>
        <w:rPr>
          <w:rFonts w:ascii="Arial" w:cs="Arial" w:eastAsia="Arial" w:hAnsi="Arial"/>
          <w:sz w:val="17"/>
          <w:szCs w:val="17"/>
          <w:color w:val="auto"/>
        </w:rPr>
        <w:t>From time to time, we may publicly disclose interim,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spacing w:after="0" w:line="195"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2" w:lineRule="exact"/>
        <w:rPr>
          <w:sz w:val="20"/>
          <w:szCs w:val="20"/>
          <w:color w:val="auto"/>
        </w:rPr>
      </w:pPr>
    </w:p>
    <w:p>
      <w:pPr>
        <w:ind w:left="40" w:right="459"/>
        <w:spacing w:after="0" w:line="254" w:lineRule="auto"/>
        <w:rPr>
          <w:sz w:val="20"/>
          <w:szCs w:val="20"/>
          <w:color w:val="auto"/>
        </w:rPr>
      </w:pPr>
      <w:r>
        <w:rPr>
          <w:rFonts w:ascii="Arial" w:cs="Arial" w:eastAsia="Arial" w:hAnsi="Arial"/>
          <w:sz w:val="18"/>
          <w:szCs w:val="18"/>
          <w:b w:val="1"/>
          <w:bCs w:val="1"/>
          <w:i w:val="1"/>
          <w:iCs w:val="1"/>
          <w:color w:val="auto"/>
        </w:rPr>
        <w:t>Obtaining and maintaining marketing approval of our product candidates in one jurisdiction does not mean that we will be successful in obtaining marketing approval of our product candidates in other jurisdictions.</w:t>
      </w:r>
    </w:p>
    <w:p>
      <w:pPr>
        <w:spacing w:after="0" w:line="163"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3"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color w:val="auto"/>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459"/>
        <w:spacing w:after="0" w:line="246"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1"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The ability of the FDA and applicable foreign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spacing w:after="0" w:line="192"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furloughed critical employees and ceased critical activities. If a prolonged government shutdown occurs, it could significantly impact the ability of the FDA and applicable foreign authorities to timely review and process our regulatory submissions, which could have a material adverse effect on our business.</w:t>
      </w:r>
    </w:p>
    <w:p>
      <w:pPr>
        <w:spacing w:after="0" w:line="192" w:lineRule="exact"/>
        <w:rPr>
          <w:sz w:val="20"/>
          <w:szCs w:val="20"/>
          <w:color w:val="auto"/>
        </w:rPr>
      </w:pPr>
    </w:p>
    <w:p>
      <w:pPr>
        <w:ind w:left="40" w:right="319"/>
        <w:spacing w:after="0" w:line="238" w:lineRule="auto"/>
        <w:rPr>
          <w:sz w:val="20"/>
          <w:szCs w:val="20"/>
          <w:color w:val="auto"/>
        </w:rPr>
      </w:pPr>
      <w:r>
        <w:rPr>
          <w:rFonts w:ascii="Arial" w:cs="Arial" w:eastAsia="Arial" w:hAnsi="Arial"/>
          <w:sz w:val="18"/>
          <w:szCs w:val="18"/>
          <w:color w:val="auto"/>
        </w:rPr>
        <w:t>If a prolonged government shutdown occurs, or if global health concerns prevent the FDA or applicable foreign authorities from conducting their regular inspections, reviews, or other regulatory activities, it could significantly impact the ability of the FDA or applicable foreign authorities to timely review and process our regulatory submissions, which could have a material adverse effect on our business.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5" w:lineRule="exact"/>
        <w:rPr>
          <w:sz w:val="20"/>
          <w:szCs w:val="20"/>
          <w:color w:val="auto"/>
        </w:rPr>
      </w:pPr>
    </w:p>
    <w:p>
      <w:pPr>
        <w:ind w:left="40" w:right="459"/>
        <w:spacing w:after="0" w:line="242" w:lineRule="auto"/>
        <w:rPr>
          <w:sz w:val="20"/>
          <w:szCs w:val="20"/>
          <w:color w:val="auto"/>
        </w:rPr>
      </w:pPr>
      <w:r>
        <w:rPr>
          <w:rFonts w:ascii="Arial" w:cs="Arial" w:eastAsia="Arial" w:hAnsi="Arial"/>
          <w:sz w:val="18"/>
          <w:szCs w:val="18"/>
          <w:b w:val="1"/>
          <w:bCs w:val="1"/>
          <w:i w:val="1"/>
          <w:iCs w:val="1"/>
          <w:color w:val="auto"/>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We do not own or operate manufacturing facilities and have no plans to build our own clinical or commercial scale manufacturing capabilities. We rely, and expect to continue to rely, on third parties for the manufacture of our product candidates and related raw materials for preclinical and clinical development, as well as for commercial manufacture if any of our product candidates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active pharmaceutical ingredients and drug product for our product candidates are currently provided by a single-source supplier, WuXi STA, and we expect to rely on this supplier for the foreseeable future. While we believe that adequate alternative sources for such supplies exist, there is a risk that, if supplies are interrupted, it would materially harm our business.</w:t>
      </w:r>
    </w:p>
    <w:p>
      <w:pPr>
        <w:spacing w:after="0" w:line="195" w:lineRule="exact"/>
        <w:rPr>
          <w:sz w:val="20"/>
          <w:szCs w:val="20"/>
          <w:color w:val="auto"/>
        </w:rPr>
      </w:pPr>
    </w:p>
    <w:p>
      <w:pPr>
        <w:ind w:left="40" w:right="139"/>
        <w:spacing w:after="0" w:line="234" w:lineRule="auto"/>
        <w:rPr>
          <w:sz w:val="20"/>
          <w:szCs w:val="20"/>
          <w:color w:val="auto"/>
        </w:rPr>
      </w:pPr>
      <w:r>
        <w:rPr>
          <w:rFonts w:ascii="Arial" w:cs="Arial" w:eastAsia="Arial" w:hAnsi="Arial"/>
          <w:sz w:val="18"/>
          <w:szCs w:val="18"/>
          <w:color w:val="auto"/>
        </w:rPr>
        <w:t>Furthermore,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and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219"/>
        <w:spacing w:after="0" w:line="234" w:lineRule="auto"/>
        <w:rPr>
          <w:sz w:val="20"/>
          <w:szCs w:val="20"/>
          <w:color w:val="auto"/>
        </w:rPr>
      </w:pPr>
      <w:r>
        <w:rPr>
          <w:rFonts w:ascii="Arial" w:cs="Arial" w:eastAsia="Arial" w:hAnsi="Arial"/>
          <w:sz w:val="18"/>
          <w:szCs w:val="18"/>
          <w:color w:val="auto"/>
        </w:rPr>
        <w:t>or if the FDA or applicable foreign authority,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2" w:lineRule="exact"/>
        <w:rPr>
          <w:sz w:val="20"/>
          <w:szCs w:val="20"/>
          <w:color w:val="auto"/>
        </w:rPr>
      </w:pPr>
    </w:p>
    <w:p>
      <w:pPr>
        <w:ind w:left="40" w:right="259"/>
        <w:spacing w:after="0" w:line="254" w:lineRule="auto"/>
        <w:rPr>
          <w:sz w:val="20"/>
          <w:szCs w:val="20"/>
          <w:color w:val="auto"/>
        </w:rPr>
      </w:pPr>
      <w:r>
        <w:rPr>
          <w:rFonts w:ascii="Arial" w:cs="Arial" w:eastAsia="Arial" w:hAnsi="Arial"/>
          <w:sz w:val="18"/>
          <w:szCs w:val="18"/>
          <w:b w:val="1"/>
          <w:bCs w:val="1"/>
          <w:i w:val="1"/>
          <w:iCs w:val="1"/>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63" w:lineRule="exact"/>
        <w:rPr>
          <w:sz w:val="20"/>
          <w:szCs w:val="20"/>
          <w:color w:val="auto"/>
        </w:rPr>
      </w:pPr>
    </w:p>
    <w:p>
      <w:pPr>
        <w:ind w:left="40" w:right="59"/>
        <w:spacing w:after="0" w:line="246" w:lineRule="auto"/>
        <w:rPr>
          <w:sz w:val="20"/>
          <w:szCs w:val="20"/>
          <w:color w:val="auto"/>
        </w:rPr>
      </w:pPr>
      <w:r>
        <w:rPr>
          <w:rFonts w:ascii="Arial" w:cs="Arial" w:eastAsia="Arial" w:hAnsi="Arial"/>
          <w:sz w:val="17"/>
          <w:szCs w:val="17"/>
          <w:color w:val="auto"/>
        </w:rPr>
        <w:t>In the event that any of our manufacturers fails to comply with applicable requirements or to perform its obligations to us in relation to quality, timing or otherwise, or if our supply of components or other materials becomes limited or interrupted for other reasons, including due to the impact of future global pandemics,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our third-party manufacturers or require us to obtain a license from such manufacturers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90" w:lineRule="exact"/>
        <w:rPr>
          <w:sz w:val="20"/>
          <w:szCs w:val="20"/>
          <w:color w:val="auto"/>
        </w:rPr>
      </w:pPr>
    </w:p>
    <w:p>
      <w:pPr>
        <w:ind w:left="40" w:right="59"/>
        <w:spacing w:after="0"/>
        <w:rPr>
          <w:sz w:val="20"/>
          <w:szCs w:val="20"/>
          <w:color w:val="auto"/>
        </w:rPr>
      </w:pPr>
      <w:r>
        <w:rPr>
          <w:rFonts w:ascii="Arial" w:cs="Arial" w:eastAsia="Arial" w:hAnsi="Arial"/>
          <w:sz w:val="18"/>
          <w:szCs w:val="18"/>
          <w:color w:val="auto"/>
        </w:rPr>
        <w:t>Our or a third-party’s failure to execute on our manufacturing requirements on commercially reasonable terms and timelines, if at all, and comply with cGMP requirements could adversely affect our business in a number of ways, including:</w:t>
      </w:r>
    </w:p>
    <w:p>
      <w:pPr>
        <w:spacing w:after="0" w:line="189" w:lineRule="exact"/>
        <w:rPr>
          <w:sz w:val="20"/>
          <w:szCs w:val="20"/>
          <w:color w:val="auto"/>
        </w:rPr>
      </w:pPr>
    </w:p>
    <w:p>
      <w:pPr>
        <w:ind w:left="720" w:hanging="32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meet our drug specifications and quality requirements consistently;</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inability to procure or expand sufficient manufacturing capacity;</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issues related to scale-up of manufacturing;</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comply with cGMP or similar foreign standards;</w:t>
      </w:r>
    </w:p>
    <w:p>
      <w:pPr>
        <w:spacing w:after="0" w:line="111" w:lineRule="exact"/>
        <w:rPr>
          <w:rFonts w:ascii="Arial" w:cs="Arial" w:eastAsia="Arial" w:hAnsi="Arial"/>
          <w:sz w:val="18"/>
          <w:szCs w:val="18"/>
          <w:color w:val="auto"/>
        </w:rPr>
      </w:pPr>
    </w:p>
    <w:p>
      <w:pPr>
        <w:ind w:left="720" w:right="199" w:hanging="326"/>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 if at all;</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reliance on single source manufacturers for drug substances and drug products;</w:t>
      </w:r>
    </w:p>
    <w:p>
      <w:pPr>
        <w:spacing w:after="0" w:line="111" w:lineRule="exact"/>
        <w:rPr>
          <w:rFonts w:ascii="Arial" w:cs="Arial" w:eastAsia="Arial" w:hAnsi="Arial"/>
          <w:sz w:val="18"/>
          <w:szCs w:val="18"/>
          <w:color w:val="auto"/>
        </w:rPr>
      </w:pPr>
    </w:p>
    <w:p>
      <w:pPr>
        <w:ind w:left="720" w:right="579" w:hanging="326"/>
        <w:spacing w:after="0" w:line="250"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qualified backup suppliers for those components that are currently purchased from a sole or single source supplier;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hanging="32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misappropriation of proprietary information, including our trade secrets and know-how;</w:t>
      </w:r>
    </w:p>
    <w:p>
      <w:pPr>
        <w:spacing w:after="0" w:line="111" w:lineRule="exact"/>
        <w:rPr>
          <w:rFonts w:ascii="Arial" w:cs="Arial" w:eastAsia="Arial" w:hAnsi="Arial"/>
          <w:sz w:val="18"/>
          <w:szCs w:val="18"/>
          <w:color w:val="auto"/>
        </w:rPr>
      </w:pPr>
    </w:p>
    <w:p>
      <w:pPr>
        <w:ind w:left="720" w:right="459" w:hanging="326"/>
        <w:spacing w:after="0" w:line="25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study drug or placebo not being properly identified;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w:t>
      </w:r>
    </w:p>
    <w:p>
      <w:pPr>
        <w:spacing w:after="0" w:line="111" w:lineRule="exact"/>
        <w:rPr>
          <w:rFonts w:ascii="Arial" w:cs="Arial" w:eastAsia="Arial" w:hAnsi="Arial"/>
          <w:sz w:val="18"/>
          <w:szCs w:val="18"/>
          <w:color w:val="auto"/>
        </w:rPr>
      </w:pPr>
    </w:p>
    <w:p>
      <w:pPr>
        <w:ind w:left="720" w:right="119" w:hanging="326"/>
        <w:spacing w:after="0" w:line="250"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and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w:t>
      </w:r>
    </w:p>
    <w:p>
      <w:pPr>
        <w:spacing w:after="0" w:line="218" w:lineRule="exact"/>
        <w:rPr>
          <w:sz w:val="20"/>
          <w:szCs w:val="20"/>
          <w:color w:val="auto"/>
        </w:rPr>
      </w:pPr>
    </w:p>
    <w:p>
      <w:pPr>
        <w:ind w:left="40" w:right="119"/>
        <w:spacing w:after="0" w:line="238" w:lineRule="auto"/>
        <w:rPr>
          <w:sz w:val="20"/>
          <w:szCs w:val="20"/>
          <w:color w:val="auto"/>
        </w:rPr>
      </w:pPr>
      <w:r>
        <w:rPr>
          <w:rFonts w:ascii="Arial" w:cs="Arial" w:eastAsia="Arial" w:hAnsi="Arial"/>
          <w:sz w:val="18"/>
          <w:szCs w:val="18"/>
          <w:color w:val="auto"/>
        </w:rPr>
        <w:t>In addition, we do not have any long-term commitments or supply agreements with our third-party manufacturers. We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spacing w:after="0" w:line="178" w:lineRule="exact"/>
        <w:rPr>
          <w:sz w:val="20"/>
          <w:szCs w:val="20"/>
          <w:color w:val="auto"/>
        </w:rPr>
      </w:pPr>
    </w:p>
    <w:p>
      <w:pPr>
        <w:ind w:left="40" w:right="279"/>
        <w:spacing w:after="0" w:line="266" w:lineRule="auto"/>
        <w:rPr>
          <w:sz w:val="20"/>
          <w:szCs w:val="20"/>
          <w:color w:val="auto"/>
        </w:rPr>
      </w:pPr>
      <w:r>
        <w:rPr>
          <w:rFonts w:ascii="Arial" w:cs="Arial" w:eastAsia="Arial" w:hAnsi="Arial"/>
          <w:sz w:val="17"/>
          <w:szCs w:val="17"/>
          <w:b w:val="1"/>
          <w:bCs w:val="1"/>
          <w:i w:val="1"/>
          <w:iCs w:val="1"/>
          <w:color w:val="auto"/>
        </w:rPr>
        <w:t>We intend to rely on third parties to conduct, supervise and monitor our discovery research, preclinical studies and clinical trials. If those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53" w:lineRule="exact"/>
        <w:rPr>
          <w:sz w:val="20"/>
          <w:szCs w:val="20"/>
          <w:color w:val="auto"/>
        </w:rPr>
      </w:pPr>
    </w:p>
    <w:p>
      <w:pPr>
        <w:ind w:left="40" w:right="119"/>
        <w:spacing w:after="0" w:line="234" w:lineRule="auto"/>
        <w:rPr>
          <w:sz w:val="20"/>
          <w:szCs w:val="20"/>
          <w:color w:val="auto"/>
        </w:rPr>
      </w:pPr>
      <w:r>
        <w:rPr>
          <w:rFonts w:ascii="Arial" w:cs="Arial" w:eastAsia="Arial" w:hAnsi="Arial"/>
          <w:sz w:val="18"/>
          <w:szCs w:val="18"/>
          <w:color w:val="auto"/>
        </w:rPr>
        <w:t>We do not currently have the ability to independently conduct certain discovery research, preclinical studies and clinical trials for our product candidates.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or clinical trials are conducted in accordance with the applicable protocol, legal, regulatory and scientific standards and our reliance on the CROs does not relieve us of our regulatory responsibilities.</w:t>
      </w:r>
    </w:p>
    <w:p>
      <w:pPr>
        <w:spacing w:after="0" w:line="192" w:lineRule="exact"/>
        <w:rPr>
          <w:sz w:val="20"/>
          <w:szCs w:val="20"/>
          <w:color w:val="auto"/>
        </w:rPr>
      </w:pPr>
    </w:p>
    <w:p>
      <w:pPr>
        <w:ind w:left="40" w:right="59"/>
        <w:spacing w:after="0" w:line="247" w:lineRule="auto"/>
        <w:rPr>
          <w:sz w:val="20"/>
          <w:szCs w:val="20"/>
          <w:color w:val="auto"/>
        </w:rPr>
      </w:pPr>
      <w:r>
        <w:rPr>
          <w:rFonts w:ascii="Arial" w:cs="Arial" w:eastAsia="Arial" w:hAnsi="Arial"/>
          <w:sz w:val="17"/>
          <w:szCs w:val="17"/>
          <w:color w:val="auto"/>
        </w:rPr>
        <w:t>We and our CROs will be required to comply with the good laboratory practices (“GLPs”),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to conduct GLP-compliant preclinical studies and GCP-compliant clinical trials, we remain responsible for ensuring that each of our GLP preclinical studies and clinical trials is conducted in accordance with its investigational plan and protocol and applicable laws and regulations, and our reliance on the CROs does not relieve us of our regulatory responsibilities. If we or our CROs fail to comply with GCPs, the clinical data generated in our clinical trials may be deemed unreliable and the FDA or applicable foreign authorities may require us to perform additional clinical trials before approving our marketing applications. Accordingly, if our CROs fail to comply with these regulations or fail to recruit a sufficient number of participants, we may be required to repeat clinical trials, which would delay the marketing approval process.</w:t>
      </w:r>
    </w:p>
    <w:p>
      <w:pPr>
        <w:spacing w:after="0" w:line="189" w:lineRule="exact"/>
        <w:rPr>
          <w:sz w:val="20"/>
          <w:szCs w:val="20"/>
          <w:color w:val="auto"/>
        </w:rPr>
      </w:pPr>
    </w:p>
    <w:p>
      <w:pPr>
        <w:ind w:left="40" w:right="279"/>
        <w:spacing w:after="0" w:line="248" w:lineRule="auto"/>
        <w:rPr>
          <w:sz w:val="20"/>
          <w:szCs w:val="20"/>
          <w:color w:val="auto"/>
        </w:rPr>
      </w:pPr>
      <w:r>
        <w:rPr>
          <w:rFonts w:ascii="Arial" w:cs="Arial" w:eastAsia="Arial" w:hAnsi="Arial"/>
          <w:sz w:val="17"/>
          <w:szCs w:val="17"/>
          <w:color w:val="auto"/>
        </w:rPr>
        <w:t>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40" w:right="659"/>
        <w:spacing w:after="0" w:line="262" w:lineRule="auto"/>
        <w:rPr>
          <w:sz w:val="20"/>
          <w:szCs w:val="20"/>
          <w:color w:val="auto"/>
        </w:rPr>
      </w:pPr>
      <w:r>
        <w:rPr>
          <w:rFonts w:ascii="Arial" w:cs="Arial" w:eastAsia="Arial" w:hAnsi="Arial"/>
          <w:sz w:val="17"/>
          <w:szCs w:val="17"/>
          <w:color w:val="auto"/>
        </w:rPr>
        <w:t>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170" w:lineRule="exact"/>
        <w:rPr>
          <w:sz w:val="20"/>
          <w:szCs w:val="20"/>
          <w:color w:val="auto"/>
        </w:rPr>
      </w:pPr>
    </w:p>
    <w:p>
      <w:pPr>
        <w:ind w:left="40" w:right="79"/>
        <w:spacing w:after="0" w:line="248" w:lineRule="auto"/>
        <w:rPr>
          <w:sz w:val="20"/>
          <w:szCs w:val="20"/>
          <w:color w:val="auto"/>
        </w:rPr>
      </w:pPr>
      <w:r>
        <w:rPr>
          <w:rFonts w:ascii="Arial" w:cs="Arial" w:eastAsia="Arial" w:hAnsi="Arial"/>
          <w:sz w:val="17"/>
          <w:szCs w:val="17"/>
          <w:color w:val="auto"/>
        </w:rPr>
        <w:t>In addition, quarantines, shelter-in-place, and similar government orders, or the perception that such orders, shutdowns or other restrictions on the conduct of business operations could occur, which could disrupt our clinical timelines, which could have a material adverse impact on our business, prospects, financial condition, and results of operations. 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we may encounter challenges or delays in the future and we cannot assure you that these delays or challenges will not have a negative impact on our business, financial condition and prospects.</w:t>
      </w:r>
    </w:p>
    <w:p>
      <w:pPr>
        <w:spacing w:after="0" w:line="185" w:lineRule="exact"/>
        <w:rPr>
          <w:sz w:val="20"/>
          <w:szCs w:val="20"/>
          <w:color w:val="auto"/>
        </w:rPr>
      </w:pPr>
    </w:p>
    <w:p>
      <w:pPr>
        <w:ind w:left="40" w:right="59"/>
        <w:spacing w:after="0" w:line="234"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or rejection, of our marketing applications by the FDA or applicable foreign authorities and may ultimately lead to the denial of marketing approval of our current and future product candidates.</w:t>
      </w:r>
    </w:p>
    <w:p>
      <w:pPr>
        <w:spacing w:after="0" w:line="179" w:lineRule="exact"/>
        <w:rPr>
          <w:sz w:val="20"/>
          <w:szCs w:val="20"/>
          <w:color w:val="auto"/>
        </w:rPr>
      </w:pPr>
    </w:p>
    <w:p>
      <w:pPr>
        <w:ind w:left="40" w:right="79"/>
        <w:spacing w:after="0"/>
        <w:rPr>
          <w:sz w:val="20"/>
          <w:szCs w:val="20"/>
          <w:color w:val="auto"/>
        </w:rPr>
      </w:pPr>
      <w:r>
        <w:rPr>
          <w:rFonts w:ascii="Arial" w:cs="Arial" w:eastAsia="Arial" w:hAnsi="Arial"/>
          <w:sz w:val="18"/>
          <w:szCs w:val="18"/>
          <w:b w:val="1"/>
          <w:bCs w:val="1"/>
          <w:i w:val="1"/>
          <w:iCs w:val="1"/>
          <w:color w:val="auto"/>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176"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Part of our business strategy is to explore additional collaborations with third parties to further strengthen our platform capabilities and to leverage our platform for external opportunities where partners bring additional disease biology understanding, development and commercial expertise, regional insights or other complementary capabilities. We may therefore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 collaborations are subject to numerous risks, which may include the following:</w:t>
      </w:r>
    </w:p>
    <w:p>
      <w:pPr>
        <w:spacing w:after="0" w:line="205" w:lineRule="exact"/>
        <w:rPr>
          <w:sz w:val="20"/>
          <w:szCs w:val="20"/>
          <w:color w:val="auto"/>
        </w:rPr>
      </w:pPr>
    </w:p>
    <w:p>
      <w:pPr>
        <w:ind w:left="720" w:right="219" w:hanging="32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 and may not commit sufficient efforts and resources, or may misapply those efforts and resources;</w:t>
      </w:r>
    </w:p>
    <w:p>
      <w:pPr>
        <w:spacing w:after="0" w:line="82" w:lineRule="exact"/>
        <w:rPr>
          <w:rFonts w:ascii="Arial" w:cs="Arial" w:eastAsia="Arial" w:hAnsi="Arial"/>
          <w:sz w:val="18"/>
          <w:szCs w:val="18"/>
          <w:color w:val="auto"/>
        </w:rPr>
      </w:pPr>
    </w:p>
    <w:p>
      <w:pPr>
        <w:ind w:left="720" w:right="179" w:hanging="326"/>
        <w:spacing w:after="0" w:line="262" w:lineRule="auto"/>
        <w:tabs>
          <w:tab w:leader="none" w:pos="7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p>
      <w:pPr>
        <w:spacing w:after="0" w:line="63" w:lineRule="exact"/>
        <w:rPr>
          <w:rFonts w:ascii="Arial" w:cs="Arial" w:eastAsia="Arial" w:hAnsi="Arial"/>
          <w:sz w:val="17"/>
          <w:szCs w:val="17"/>
          <w:color w:val="auto"/>
        </w:rPr>
      </w:pPr>
    </w:p>
    <w:p>
      <w:pPr>
        <w:ind w:left="720" w:right="79" w:hanging="326"/>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delay, provide insufficient resources to, or modify or stop clinical trials for our structure-based drug discovery platform or collaboration product candidates;</w:t>
      </w:r>
    </w:p>
    <w:p>
      <w:pPr>
        <w:spacing w:after="0" w:line="73" w:lineRule="exact"/>
        <w:rPr>
          <w:rFonts w:ascii="Arial" w:cs="Arial" w:eastAsia="Arial" w:hAnsi="Arial"/>
          <w:sz w:val="18"/>
          <w:szCs w:val="18"/>
          <w:color w:val="auto"/>
        </w:rPr>
      </w:pPr>
    </w:p>
    <w:p>
      <w:pPr>
        <w:ind w:left="720" w:right="539" w:hanging="326"/>
        <w:spacing w:after="0" w:line="250"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could develop or acquire products outside of the collaboration that compete directly or indirectly with our products or product candidates;</w:t>
      </w:r>
    </w:p>
    <w:p>
      <w:pPr>
        <w:spacing w:after="0" w:line="73" w:lineRule="exact"/>
        <w:rPr>
          <w:rFonts w:ascii="Arial" w:cs="Arial" w:eastAsia="Arial" w:hAnsi="Arial"/>
          <w:sz w:val="18"/>
          <w:szCs w:val="18"/>
          <w:color w:val="auto"/>
        </w:rPr>
      </w:pPr>
    </w:p>
    <w:p>
      <w:pPr>
        <w:ind w:left="720" w:right="379" w:hanging="326"/>
        <w:spacing w:after="0" w:line="238"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2" w:lineRule="exact"/>
        <w:rPr>
          <w:rFonts w:ascii="Arial" w:cs="Arial" w:eastAsia="Arial" w:hAnsi="Arial"/>
          <w:sz w:val="18"/>
          <w:szCs w:val="18"/>
          <w:color w:val="auto"/>
        </w:rPr>
      </w:pPr>
    </w:p>
    <w:p>
      <w:pPr>
        <w:ind w:left="720" w:right="359" w:hanging="32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82" w:lineRule="exact"/>
        <w:rPr>
          <w:rFonts w:ascii="Arial" w:cs="Arial" w:eastAsia="Arial" w:hAnsi="Arial"/>
          <w:sz w:val="18"/>
          <w:szCs w:val="18"/>
          <w:color w:val="auto"/>
        </w:rPr>
      </w:pPr>
    </w:p>
    <w:p>
      <w:pPr>
        <w:ind w:left="720" w:right="459" w:hanging="32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and personnel to pursue further development or commercialization of our structure-based drug discovery platform or the applicable product candidates; and</w:t>
      </w:r>
    </w:p>
    <w:p>
      <w:pPr>
        <w:spacing w:after="0" w:line="82" w:lineRule="exact"/>
        <w:rPr>
          <w:rFonts w:ascii="Arial" w:cs="Arial" w:eastAsia="Arial" w:hAnsi="Arial"/>
          <w:sz w:val="18"/>
          <w:szCs w:val="18"/>
          <w:color w:val="auto"/>
        </w:rPr>
      </w:pPr>
    </w:p>
    <w:p>
      <w:pPr>
        <w:ind w:left="720" w:right="279" w:hanging="32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may not have the exclusive right to commercialize such intellectual property.</w:t>
      </w:r>
    </w:p>
    <w:p>
      <w:pPr>
        <w:spacing w:after="0" w:line="189"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spacing w:after="0" w:line="188"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combined company. As a result, we may not be able to negotiate collaborations on a timely basis, on acceptable terms, or at all. In addition, we may face regulatory obstacles in completing such transactions. If we are unable to do so, we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spacing w:after="0" w:line="192" w:lineRule="exact"/>
        <w:rPr>
          <w:sz w:val="20"/>
          <w:szCs w:val="20"/>
          <w:color w:val="auto"/>
        </w:rPr>
      </w:pPr>
    </w:p>
    <w:p>
      <w:pPr>
        <w:ind w:left="40" w:right="79"/>
        <w:spacing w:after="0" w:line="249" w:lineRule="auto"/>
        <w:rPr>
          <w:sz w:val="20"/>
          <w:szCs w:val="20"/>
          <w:color w:val="auto"/>
        </w:rPr>
      </w:pPr>
      <w:r>
        <w:rPr>
          <w:rFonts w:ascii="Arial" w:cs="Arial" w:eastAsia="Arial" w:hAnsi="Arial"/>
          <w:sz w:val="17"/>
          <w:szCs w:val="17"/>
          <w:color w:val="auto"/>
        </w:rPr>
        <w:t>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4" w:lineRule="exact"/>
        <w:rPr>
          <w:sz w:val="20"/>
          <w:szCs w:val="20"/>
          <w:color w:val="auto"/>
        </w:rPr>
      </w:pPr>
    </w:p>
    <w:p>
      <w:pPr>
        <w:ind w:left="40" w:right="59"/>
        <w:spacing w:after="0" w:line="247" w:lineRule="auto"/>
        <w:rPr>
          <w:sz w:val="20"/>
          <w:szCs w:val="20"/>
          <w:color w:val="auto"/>
        </w:rPr>
      </w:pPr>
      <w:r>
        <w:rPr>
          <w:rFonts w:ascii="Arial" w:cs="Arial" w:eastAsia="Arial" w:hAnsi="Arial"/>
          <w:sz w:val="17"/>
          <w:szCs w:val="17"/>
          <w:color w:val="auto"/>
        </w:rPr>
        <w:t>Our products require specific constituents to work effectively and efficiently, and rights to those constituents are, and in the future may be, held by others. We may also seek to in-license third-party technologies to enhance our structure-based drug discovery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spacing w:after="0" w:line="179" w:lineRule="exact"/>
        <w:rPr>
          <w:sz w:val="20"/>
          <w:szCs w:val="20"/>
          <w:color w:val="auto"/>
        </w:rPr>
      </w:pPr>
    </w:p>
    <w:p>
      <w:pPr>
        <w:jc w:val="both"/>
        <w:ind w:left="40" w:right="339"/>
        <w:spacing w:after="0" w:line="254" w:lineRule="auto"/>
        <w:rPr>
          <w:sz w:val="20"/>
          <w:szCs w:val="20"/>
          <w:color w:val="auto"/>
        </w:rPr>
      </w:pPr>
      <w:r>
        <w:rPr>
          <w:rFonts w:ascii="Arial" w:cs="Arial" w:eastAsia="Arial" w:hAnsi="Arial"/>
          <w:sz w:val="18"/>
          <w:szCs w:val="18"/>
          <w:b w:val="1"/>
          <w:bCs w:val="1"/>
          <w:i w:val="1"/>
          <w:iCs w:val="1"/>
          <w:color w:val="auto"/>
        </w:rPr>
        <w:t>Our existing discovery collaboration with Schrödinger is important to our business. If we are unable to maintain this collaboration, or if this collaboration is not successful, our business could be adversely affected.</w:t>
      </w:r>
    </w:p>
    <w:p>
      <w:pPr>
        <w:spacing w:after="0" w:line="163"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In October 2020, Lhotse, our wholly-owned subsidiary, entered into the Lhotse-Schrödinger Agreement. Under the Lhotse-Schrödinger Agreement, Schrödinger uses its technology platform to perform virtual screens of members of the target class of human integrins, and we and Schrödinger collaborate to facilitate prioritization of targets, perform target validation and analysis, identify leads and perform lead optimization. Schrödinger has granted us an exclusive license to certain intellectual property related to our product candidates discovered under this agreement. See the Part II. Item 2. “Management’s Discussion and Analysis of Results of Operations and Financial Condition—Lhotse Collaboration Agreement with Schrödinger, LLC” of this Quarterly Report.</w:t>
      </w:r>
    </w:p>
    <w:p>
      <w:pPr>
        <w:spacing w:after="0" w:line="188"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Because we currently rely on Schrödinger for a substantial portion of our discovery capabilities, if Schrödinger delays or fails to perform its obligations under the Lhotse-Schrödinger Agreement, disagrees with our interpretation of the terms of the collaboration or our discovery plan or terminates the Lhotse-Schrödinger Agreement, our pipeline of product candidates would be adversely affected. Schrödinger may also fail to properly maintain or defend the intellectual property we have licensed from them, or even infringe upon, our intellectual property rights, leading to the potential invalidation of our intellectual property or subjecting us to litigation or arbitration, any of which would be time-consuming and expensive. Additionally, either party has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79"/>
        <w:spacing w:after="0"/>
        <w:rPr>
          <w:sz w:val="20"/>
          <w:szCs w:val="20"/>
          <w:color w:val="auto"/>
        </w:rPr>
      </w:pPr>
      <w:r>
        <w:rPr>
          <w:rFonts w:ascii="Arial" w:cs="Arial" w:eastAsia="Arial" w:hAnsi="Arial"/>
          <w:sz w:val="18"/>
          <w:szCs w:val="18"/>
          <w:color w:val="auto"/>
        </w:rPr>
        <w:t>the right to terminate the collaboration pursuant to the terms of the Lhotse-Schrödinger Agreement. If our collaboration with Schrödinger is terminated, especially during our discovery phase, the development of our product candidates would be materially delayed or harmed.</w:t>
      </w:r>
    </w:p>
    <w:p>
      <w:pPr>
        <w:spacing w:after="0" w:line="179" w:lineRule="exact"/>
        <w:rPr>
          <w:sz w:val="20"/>
          <w:szCs w:val="20"/>
          <w:color w:val="auto"/>
        </w:rPr>
      </w:pPr>
    </w:p>
    <w:p>
      <w:pPr>
        <w:ind w:left="40" w:right="459"/>
        <w:spacing w:after="0" w:line="278"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141"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 -how and trade secrets, a competitor’s discovery of our trade secrets or other unauthorized use or disclosure could have an adverse effect on our business and results of operations.</w:t>
      </w:r>
    </w:p>
    <w:p>
      <w:pPr>
        <w:spacing w:after="0" w:line="199" w:lineRule="exact"/>
        <w:rPr>
          <w:sz w:val="20"/>
          <w:szCs w:val="20"/>
          <w:color w:val="auto"/>
        </w:rPr>
      </w:pPr>
    </w:p>
    <w:p>
      <w:pPr>
        <w:ind w:left="40" w:right="59"/>
        <w:spacing w:after="0" w:line="236" w:lineRule="auto"/>
        <w:rPr>
          <w:sz w:val="20"/>
          <w:szCs w:val="20"/>
          <w:color w:val="auto"/>
        </w:rPr>
      </w:pPr>
      <w:r>
        <w:rPr>
          <w:rFonts w:ascii="Arial" w:cs="Arial" w:eastAsia="Arial" w:hAnsi="Arial"/>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harm our business.</w:t>
      </w:r>
    </w:p>
    <w:p>
      <w:pPr>
        <w:spacing w:after="0" w:line="181" w:lineRule="exact"/>
        <w:rPr>
          <w:sz w:val="20"/>
          <w:szCs w:val="20"/>
          <w:color w:val="auto"/>
        </w:rPr>
      </w:pPr>
    </w:p>
    <w:p>
      <w:pPr>
        <w:ind w:left="40" w:right="159"/>
        <w:spacing w:after="0" w:line="278"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141" w:lineRule="exact"/>
        <w:rPr>
          <w:sz w:val="20"/>
          <w:szCs w:val="20"/>
          <w:color w:val="auto"/>
        </w:rPr>
      </w:pPr>
    </w:p>
    <w:p>
      <w:pPr>
        <w:ind w:left="40" w:right="119"/>
        <w:spacing w:after="0" w:line="247"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spacing w:after="0" w:line="189" w:lineRule="exact"/>
        <w:rPr>
          <w:sz w:val="20"/>
          <w:szCs w:val="20"/>
          <w:color w:val="auto"/>
        </w:rPr>
      </w:pPr>
    </w:p>
    <w:p>
      <w:pPr>
        <w:ind w:left="40" w:right="279"/>
        <w:spacing w:after="0" w:line="235" w:lineRule="auto"/>
        <w:rPr>
          <w:sz w:val="20"/>
          <w:szCs w:val="20"/>
          <w:color w:val="auto"/>
        </w:rPr>
      </w:pPr>
      <w:r>
        <w:rPr>
          <w:rFonts w:ascii="Arial" w:cs="Arial" w:eastAsia="Arial" w:hAnsi="Arial"/>
          <w:sz w:val="18"/>
          <w:szCs w:val="18"/>
          <w:color w:val="auto"/>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our employees, consultants, outside scientific advisors, contractors, and collaborators might intentionally or inadvertently disclose our trade secret information, including to competitors. In addition,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80" w:lineRule="exact"/>
        <w:rPr>
          <w:sz w:val="20"/>
          <w:szCs w:val="20"/>
          <w:color w:val="auto"/>
        </w:rPr>
      </w:pPr>
    </w:p>
    <w:p>
      <w:pPr>
        <w:ind w:left="40" w:right="139"/>
        <w:spacing w:after="0" w:line="246" w:lineRule="auto"/>
        <w:rPr>
          <w:sz w:val="20"/>
          <w:szCs w:val="20"/>
          <w:color w:val="auto"/>
        </w:rPr>
      </w:pPr>
      <w:r>
        <w:rPr>
          <w:rFonts w:ascii="Arial" w:cs="Arial" w:eastAsia="Arial" w:hAnsi="Arial"/>
          <w:sz w:val="18"/>
          <w:szCs w:val="18"/>
          <w:b w:val="1"/>
          <w:bCs w:val="1"/>
          <w:i w:val="1"/>
          <w:iCs w:val="1"/>
          <w:color w:val="auto"/>
        </w:rPr>
        <w:t>The adoption and deployment of artificial intelligence (“AI”) in our, and any third-party collaborators’ operations, and in particular our and any third-party collaborators’ research and development (“R&amp;D”) efforts to explore new targets and develop effective products, may not be effective and may expose us to risk.</w:t>
      </w:r>
    </w:p>
    <w:p>
      <w:pPr>
        <w:spacing w:after="0" w:line="157"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The industry in which we compete is characterized by rapid technological advancements, frequent introductions of new products and heavy competition. The discovery of new products and targets remain vital to our success and the implementation by us and by any third-party collaborators of artificial intelligence technologies and processes, including advanced predictive analytics, computational approaches for drug discovery and so-called “generative” AI, has the potential to provide significant benefits in these areas. Use of AI in our efforts may be difficult to deploy successfully due to operational issues inherent in such methods. In particular, the AI algorithms utilize machine learning and predictive analytics which may lead to flawed, biased, and inaccurate results, which could lead to ineffective product or target candidates and exposure to competitive and reputational harm. We face increased competition from other companies that are using AI and related methods for drug discovery, some of which have more resources than we do and may have developed more effective methods than we and any third-party collaborators have, which may reduce our and any third-party collaborator’s effectiveness in identifying potential targets and attracting additional collaborators to work with us. Even with the successful implementation of AI, we may fail to correctly identify indications and allocate resources efficiently, which could adversely impact our pipeline and ability to compete effectively.</w:t>
      </w:r>
    </w:p>
    <w:p>
      <w:pPr>
        <w:spacing w:after="0" w:line="175"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Further, AI presents additional risks and challenges, especially as the use of these technologies becomes more important to our operations over time. Generative AI may be used improperly or inappropriately which could lead to the tainting of our proprietary information and render us unable to qualify for patent protection. Their use by people, including our vendors, employees, suppliers and contractors, with access to our proprietary and confidential information, including trade secrets, may continue to increase and may lead to the release of such information, which may impact our ability to realize the benefit of our intellectual property. Our use of generative AI platforms may lead to novel and urgent cybersecurity risks, which may adversely affect our operations and reputation, as well as the operations of any third-party collaborators. Emerging ethical issues surround the use of AI, and we may be subject to reputational and legal risk if our deployment or use of AI becomes controversial. Regulators could limit our, or any third-party collaborator’s ability to develop or implement AI-based technologies as part of measures taken against us or any third-party collaborators in particular or as a consequence of broader legislation, which could have an adverse effect on our or any third-party collaborators’ business, results of operations and financial conditions. Uncertainty in the legal regulatory regime may require significant resources to modify and maintain business practices to comply with U.S. and non-U.S. laws, the nature of which cannot be determined at this time.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05" w:lineRule="exact"/>
        <w:rPr>
          <w:sz w:val="20"/>
          <w:szCs w:val="20"/>
          <w:color w:val="auto"/>
        </w:rPr>
      </w:pPr>
    </w:p>
    <w:p>
      <w:pPr>
        <w:ind w:left="40" w:right="239"/>
        <w:spacing w:after="0"/>
        <w:rPr>
          <w:sz w:val="20"/>
          <w:szCs w:val="20"/>
          <w:color w:val="auto"/>
        </w:rPr>
      </w:pPr>
      <w:r>
        <w:rPr>
          <w:rFonts w:ascii="Arial" w:cs="Arial" w:eastAsia="Arial" w:hAnsi="Arial"/>
          <w:sz w:val="18"/>
          <w:szCs w:val="18"/>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76"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Even if we obtain any marketing approval for our current or any future product candidates, such approvals will be subject to ongoing regulatory requirements for manufacturing, labeling, packaging, storage, advertising, promotion, sampling, record-keeping and submission of safety and other post-market information. These requirements include submissions of safety and other post-marketing information and reports, registration, as well as on-going compliance with cGMPs and GCPs, for any clinical trials that we may conduct post-approval. Any marketing approvals that we receive for our current or future product candidates may also be subject to a REMS, limitations on the approved indicated uses for which the drug may be marketed or to the conditions of approval, or contain requirements for potentially costly post-marketing testing, including Phase 4 trials, and surveillance to monitor the quality, safety and efficacy of the drug.</w:t>
      </w:r>
    </w:p>
    <w:p>
      <w:pPr>
        <w:spacing w:after="0" w:line="189"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192" w:lineRule="exact"/>
        <w:rPr>
          <w:sz w:val="20"/>
          <w:szCs w:val="20"/>
          <w:color w:val="auto"/>
        </w:rPr>
      </w:pPr>
    </w:p>
    <w:p>
      <w:pPr>
        <w:ind w:left="40" w:right="479"/>
        <w:spacing w:after="0" w:line="250" w:lineRule="auto"/>
        <w:rPr>
          <w:sz w:val="20"/>
          <w:szCs w:val="20"/>
          <w:color w:val="auto"/>
        </w:rPr>
      </w:pPr>
      <w:r>
        <w:rPr>
          <w:rFonts w:ascii="Arial" w:cs="Arial" w:eastAsia="Arial" w:hAnsi="Arial"/>
          <w:sz w:val="18"/>
          <w:szCs w:val="18"/>
          <w:color w:val="auto"/>
        </w:rPr>
        <w:t>If we fail to comply with applicable regulatory requirements following approval of our current or future product candidates, a regulatory authority may, among other things:</w:t>
      </w:r>
    </w:p>
    <w:p>
      <w:pPr>
        <w:spacing w:after="0" w:line="180" w:lineRule="exact"/>
        <w:rPr>
          <w:sz w:val="20"/>
          <w:szCs w:val="20"/>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1" w:lineRule="exact"/>
        <w:rPr>
          <w:rFonts w:ascii="Arial" w:cs="Arial" w:eastAsia="Arial" w:hAnsi="Arial"/>
          <w:sz w:val="18"/>
          <w:szCs w:val="18"/>
          <w:color w:val="auto"/>
        </w:rPr>
      </w:pPr>
    </w:p>
    <w:p>
      <w:pPr>
        <w:ind w:left="720" w:right="279" w:hanging="326"/>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approve a pending NDA or NDA supplement, or comparable foreign marketing application (or any supplements thereto) submitted by us or our strategic partners;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 or suspend the marketing or manufacturing of the drug;</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18"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color w:val="auto"/>
        </w:rPr>
        <w:t>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w:t>
      </w:r>
    </w:p>
    <w:p>
      <w:pPr>
        <w:spacing w:after="0" w:line="192" w:lineRule="exact"/>
        <w:rPr>
          <w:sz w:val="20"/>
          <w:szCs w:val="20"/>
          <w:color w:val="auto"/>
        </w:rPr>
      </w:pPr>
    </w:p>
    <w:p>
      <w:pPr>
        <w:ind w:left="40" w:right="99"/>
        <w:spacing w:after="0" w:line="234" w:lineRule="auto"/>
        <w:rPr>
          <w:sz w:val="20"/>
          <w:szCs w:val="20"/>
          <w:color w:val="auto"/>
        </w:rPr>
      </w:pPr>
      <w:r>
        <w:rPr>
          <w:rFonts w:ascii="Arial" w:cs="Arial" w:eastAsia="Arial" w:hAnsi="Arial"/>
          <w:sz w:val="18"/>
          <w:szCs w:val="18"/>
          <w:color w:val="auto"/>
        </w:rPr>
        <w:t>The FDA’s policies, and those of equivalent foreign regulatory agencies, may change and additional government regulations may be enacted that could cause changes to or delays in the drug review process, or suspend or restrict marketing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w:t>
      </w:r>
    </w:p>
    <w:p>
      <w:pPr>
        <w:spacing w:after="0" w:line="182" w:lineRule="exact"/>
        <w:rPr>
          <w:sz w:val="20"/>
          <w:szCs w:val="20"/>
          <w:color w:val="auto"/>
        </w:rPr>
      </w:pPr>
    </w:p>
    <w:p>
      <w:pPr>
        <w:ind w:left="40" w:right="519"/>
        <w:spacing w:after="0" w:line="254" w:lineRule="auto"/>
        <w:rPr>
          <w:sz w:val="20"/>
          <w:szCs w:val="20"/>
          <w:color w:val="auto"/>
        </w:rPr>
      </w:pPr>
      <w:r>
        <w:rPr>
          <w:rFonts w:ascii="Arial" w:cs="Arial" w:eastAsia="Arial" w:hAnsi="Arial"/>
          <w:sz w:val="18"/>
          <w:szCs w:val="18"/>
          <w:b w:val="1"/>
          <w:bCs w:val="1"/>
          <w:i w:val="1"/>
          <w:iCs w:val="1"/>
          <w:color w:val="auto"/>
        </w:rPr>
        <w:t>Even if our current or future product candidates receive marketing approval, they may fail to achieve market acceptance by physicians, patients, third-party payors or others in the medical community necessary for commercial success.</w:t>
      </w:r>
    </w:p>
    <w:p>
      <w:pPr>
        <w:spacing w:after="0" w:line="163" w:lineRule="exact"/>
        <w:rPr>
          <w:sz w:val="20"/>
          <w:szCs w:val="20"/>
          <w:color w:val="auto"/>
        </w:rPr>
      </w:pPr>
    </w:p>
    <w:p>
      <w:pPr>
        <w:ind w:left="40" w:right="79"/>
        <w:spacing w:after="0" w:line="236" w:lineRule="auto"/>
        <w:rPr>
          <w:sz w:val="20"/>
          <w:szCs w:val="20"/>
          <w:color w:val="auto"/>
        </w:rPr>
      </w:pPr>
      <w:r>
        <w:rPr>
          <w:rFonts w:ascii="Arial" w:cs="Arial" w:eastAsia="Arial" w:hAnsi="Arial"/>
          <w:sz w:val="18"/>
          <w:szCs w:val="18"/>
          <w:color w:val="auto"/>
        </w:rPr>
        <w:t>Even if our current or future product candidates receive marketing approval, they may fail to gain sufficient market acceptance by physicians, patients, third-party payors and others in the medical community. If they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p>
      <w:pPr>
        <w:spacing w:after="0" w:line="191" w:lineRule="exact"/>
        <w:rPr>
          <w:sz w:val="20"/>
          <w:szCs w:val="20"/>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and therapies;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the product as well as competitive products;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effectiveness of sales and marketing efforts;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our relationships with patient communities;</w:t>
      </w:r>
    </w:p>
    <w:p>
      <w:pPr>
        <w:spacing w:after="0" w:line="111" w:lineRule="exact"/>
        <w:rPr>
          <w:rFonts w:ascii="Arial" w:cs="Arial" w:eastAsia="Arial" w:hAnsi="Arial"/>
          <w:sz w:val="18"/>
          <w:szCs w:val="18"/>
          <w:color w:val="auto"/>
        </w:rPr>
      </w:pPr>
    </w:p>
    <w:p>
      <w:pPr>
        <w:ind w:left="720" w:right="479" w:hanging="326"/>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therapies, including any similar generic treatments;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such product for sale at competitive prices;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 and therapies;</w:t>
      </w:r>
    </w:p>
    <w:p>
      <w:pPr>
        <w:spacing w:after="0" w:line="111" w:lineRule="exact"/>
        <w:rPr>
          <w:rFonts w:ascii="Arial" w:cs="Arial" w:eastAsia="Arial" w:hAnsi="Arial"/>
          <w:sz w:val="18"/>
          <w:szCs w:val="18"/>
          <w:color w:val="auto"/>
        </w:rPr>
      </w:pPr>
    </w:p>
    <w:p>
      <w:pPr>
        <w:ind w:left="720" w:right="239" w:hanging="326"/>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w:t>
      </w:r>
    </w:p>
    <w:p>
      <w:pPr>
        <w:spacing w:after="0" w:line="111" w:lineRule="exact"/>
        <w:rPr>
          <w:rFonts w:ascii="Arial" w:cs="Arial" w:eastAsia="Arial" w:hAnsi="Arial"/>
          <w:sz w:val="18"/>
          <w:szCs w:val="18"/>
          <w:color w:val="auto"/>
        </w:rPr>
      </w:pPr>
    </w:p>
    <w:p>
      <w:pPr>
        <w:ind w:left="720" w:right="139" w:hanging="326"/>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and adequate reimbursement by third-party payors and government authorities;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the product together with other medications.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if approved, to find market acceptance would harm our business and could require us to seek additional financing.</w:t>
      </w:r>
    </w:p>
    <w:p>
      <w:pPr>
        <w:spacing w:after="0" w:line="182" w:lineRule="exact"/>
        <w:rPr>
          <w:sz w:val="20"/>
          <w:szCs w:val="20"/>
          <w:color w:val="auto"/>
        </w:rPr>
      </w:pPr>
    </w:p>
    <w:p>
      <w:pPr>
        <w:ind w:left="40" w:right="739"/>
        <w:spacing w:after="0" w:line="278"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our current or any future product candidates, which could make it difficult for us to sell profitably, if approved.</w:t>
      </w:r>
    </w:p>
    <w:p>
      <w:pPr>
        <w:spacing w:after="0" w:line="141"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unless coverage is provided and reimbursement is adequate to cover a significant portion of the cost of our drugs.</w:t>
      </w:r>
    </w:p>
    <w:p>
      <w:pPr>
        <w:spacing w:after="0" w:line="197" w:lineRule="exact"/>
        <w:rPr>
          <w:sz w:val="20"/>
          <w:szCs w:val="20"/>
          <w:color w:val="auto"/>
        </w:rPr>
      </w:pPr>
    </w:p>
    <w:p>
      <w:pPr>
        <w:ind w:left="40" w:right="219"/>
        <w:spacing w:after="0" w:line="233" w:lineRule="auto"/>
        <w:rPr>
          <w:sz w:val="20"/>
          <w:szCs w:val="20"/>
          <w:color w:val="auto"/>
        </w:rPr>
      </w:pPr>
      <w:r>
        <w:rPr>
          <w:rFonts w:ascii="Arial" w:cs="Arial" w:eastAsia="Arial" w:hAnsi="Arial"/>
          <w:sz w:val="18"/>
          <w:szCs w:val="18"/>
          <w:color w:val="auto"/>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spacing w:after="0" w:line="183" w:lineRule="exact"/>
        <w:rPr>
          <w:sz w:val="20"/>
          <w:szCs w:val="20"/>
          <w:color w:val="auto"/>
        </w:rPr>
      </w:pPr>
    </w:p>
    <w:p>
      <w:pPr>
        <w:ind w:left="40" w:right="199"/>
        <w:spacing w:after="0" w:line="278"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us.</w:t>
      </w:r>
    </w:p>
    <w:p>
      <w:pPr>
        <w:spacing w:after="0" w:line="141"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The biotechnology and biopharmaceutical industries are characterized by rapidly advancing technologies.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In addition, we face competition with respect to our current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We are aware of GLP-1R small molecules in development by Pfizer, Eli Lilly, and Qilu Regor Therapeutics Inc. There are currently approved GLP-1R peptides for the treatment of diabetes and obesity marketed by Novo Nordisk, Eli Lilly, AstraZeneca, and Sanofi. We are also aware of other GLP-1R plus dual/tri incretin targeting peptides in development by Eli Lilly, Jiangsu Hansoh Pharmaceutical Group Co., Ltd., Boehringer Ingelheim, Altimmune, Inc., Carmot Therapeutics, Inc., and Sciwind Biosciences Co., Ltd. Additionally, we are aware of APJR targeted product candidates in development for COVID-19 acute respiratory distress syndrome by CohBar, Inc.; IPF, systemic sclerosis interstitial lung disease, and kidney nephrotic syndrome by Apie Therapeutics; and muscle atrophy by BioAge Labs, Inc. Both Amgen and BMS have APJR targeted product candidates for heart failure. Furthermore, we are aware of LPA1R targeted product candidates in development for IPF by BMS, Horizon Therapeutics plc, and DJS Antibodies Ltd; myelin restoration and neuroinflammation by Pipeline Therapeutics.</w:t>
      </w:r>
    </w:p>
    <w:p>
      <w:pPr>
        <w:spacing w:after="0" w:line="193"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93"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spacing w:after="0" w:line="188"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In addition, we and any third-party collaborators are facing increasing competition from companies utilizing AI and other computational approaches for drug discovery. Some of these competitors are involved in drug discovery themselves and/or with partners, and others develop software or as well as other tools utilizing AI which can be used, directly or indirectly, in drug discovery. To the extent these other AI approaches to drug discovery prove to be successful, or more successful, than our and any third-party collaborators’ approach, our business, financial condition and operating results could be adversely affected.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79"/>
        <w:spacing w:after="0" w:line="254" w:lineRule="auto"/>
        <w:rPr>
          <w:sz w:val="20"/>
          <w:szCs w:val="20"/>
          <w:color w:val="auto"/>
        </w:rPr>
      </w:pPr>
      <w:r>
        <w:rPr>
          <w:rFonts w:ascii="Arial" w:cs="Arial" w:eastAsia="Arial" w:hAnsi="Arial"/>
          <w:sz w:val="18"/>
          <w:szCs w:val="18"/>
          <w:b w:val="1"/>
          <w:bCs w:val="1"/>
          <w:i w:val="1"/>
          <w:iCs w:val="1"/>
          <w:color w:val="auto"/>
        </w:rPr>
        <w:t>If the market opportunities for any of our product candidates are smaller than we estimate, even assuming approval of a product candidate, our revenue may be adversely affected, and our business may suffer.</w:t>
      </w:r>
    </w:p>
    <w:p>
      <w:pPr>
        <w:spacing w:after="0" w:line="163"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78" w:lineRule="exact"/>
        <w:rPr>
          <w:sz w:val="20"/>
          <w:szCs w:val="20"/>
          <w:color w:val="auto"/>
        </w:rPr>
      </w:pPr>
    </w:p>
    <w:p>
      <w:pPr>
        <w:ind w:left="40" w:right="339"/>
        <w:spacing w:after="0" w:line="24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71" w:lineRule="exact"/>
        <w:rPr>
          <w:sz w:val="20"/>
          <w:szCs w:val="20"/>
          <w:color w:val="auto"/>
        </w:rPr>
      </w:pPr>
    </w:p>
    <w:p>
      <w:pPr>
        <w:ind w:left="40" w:right="59"/>
        <w:spacing w:after="0" w:line="246" w:lineRule="auto"/>
        <w:rPr>
          <w:sz w:val="20"/>
          <w:szCs w:val="20"/>
          <w:color w:val="auto"/>
        </w:rPr>
      </w:pPr>
      <w:r>
        <w:rPr>
          <w:rFonts w:ascii="Arial" w:cs="Arial" w:eastAsia="Arial" w:hAnsi="Arial"/>
          <w:sz w:val="17"/>
          <w:szCs w:val="17"/>
          <w:color w:val="auto"/>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381" w:lineRule="exact"/>
        <w:rPr>
          <w:sz w:val="20"/>
          <w:szCs w:val="20"/>
          <w:color w:val="auto"/>
        </w:rPr>
      </w:pPr>
    </w:p>
    <w:p>
      <w:pPr>
        <w:ind w:left="40" w:right="619"/>
        <w:spacing w:after="0" w:line="309" w:lineRule="auto"/>
        <w:rPr>
          <w:sz w:val="20"/>
          <w:szCs w:val="20"/>
          <w:color w:val="auto"/>
        </w:rPr>
      </w:pPr>
      <w:r>
        <w:rPr>
          <w:rFonts w:ascii="Arial" w:cs="Arial" w:eastAsia="Arial" w:hAnsi="Arial"/>
          <w:sz w:val="17"/>
          <w:szCs w:val="17"/>
          <w:b w:val="1"/>
          <w:bCs w:val="1"/>
          <w:i w:val="1"/>
          <w:iCs w:val="1"/>
          <w:color w:val="auto"/>
        </w:rPr>
        <w:t>Our future growth may depend, in part, on our ability to commercialize products in foreign markets, where we would be subject to additional regulatory burdens and other risks and uncertainties.</w:t>
      </w:r>
    </w:p>
    <w:p>
      <w:pPr>
        <w:spacing w:after="0" w:line="118" w:lineRule="exact"/>
        <w:rPr>
          <w:sz w:val="20"/>
          <w:szCs w:val="20"/>
          <w:color w:val="auto"/>
        </w:rPr>
      </w:pPr>
    </w:p>
    <w:p>
      <w:pPr>
        <w:jc w:val="both"/>
        <w:ind w:left="40" w:right="459"/>
        <w:spacing w:after="0" w:line="253"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39"/>
        <w:spacing w:after="0"/>
        <w:rPr>
          <w:sz w:val="20"/>
          <w:szCs w:val="20"/>
          <w:color w:val="auto"/>
        </w:rPr>
      </w:pPr>
      <w:r>
        <w:rPr>
          <w:rFonts w:ascii="Arial" w:cs="Arial" w:eastAsia="Arial" w:hAnsi="Arial"/>
          <w:sz w:val="18"/>
          <w:szCs w:val="18"/>
          <w:color w:val="auto"/>
        </w:rPr>
        <w:t>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p>
      <w:pPr>
        <w:spacing w:after="0" w:line="189" w:lineRule="exact"/>
        <w:rPr>
          <w:sz w:val="20"/>
          <w:szCs w:val="20"/>
          <w:color w:val="auto"/>
        </w:rPr>
      </w:pPr>
    </w:p>
    <w:p>
      <w:pPr>
        <w:ind w:left="720" w:hanging="32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existence of additional third-party patent rights of potential relevance to our business;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1" w:lineRule="exact"/>
        <w:rPr>
          <w:rFonts w:ascii="Arial" w:cs="Arial" w:eastAsia="Arial" w:hAnsi="Arial"/>
          <w:sz w:val="18"/>
          <w:szCs w:val="18"/>
          <w:color w:val="auto"/>
        </w:rPr>
      </w:pPr>
    </w:p>
    <w:p>
      <w:pPr>
        <w:ind w:left="720" w:right="779" w:hanging="326"/>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1" w:lineRule="exact"/>
        <w:rPr>
          <w:rFonts w:ascii="Arial" w:cs="Arial" w:eastAsia="Arial" w:hAnsi="Arial"/>
          <w:sz w:val="18"/>
          <w:szCs w:val="18"/>
          <w:color w:val="auto"/>
        </w:rPr>
      </w:pPr>
    </w:p>
    <w:p>
      <w:pPr>
        <w:ind w:left="720" w:right="139" w:hanging="326"/>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1" w:lineRule="exact"/>
        <w:rPr>
          <w:rFonts w:ascii="Arial" w:cs="Arial" w:eastAsia="Arial" w:hAnsi="Arial"/>
          <w:sz w:val="18"/>
          <w:szCs w:val="18"/>
          <w:color w:val="auto"/>
        </w:rPr>
      </w:pPr>
    </w:p>
    <w:p>
      <w:pPr>
        <w:ind w:left="720" w:right="959" w:hanging="326"/>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73" w:lineRule="exact"/>
        <w:rPr>
          <w:rFonts w:ascii="Arial" w:cs="Arial" w:eastAsia="Arial" w:hAnsi="Arial"/>
          <w:sz w:val="18"/>
          <w:szCs w:val="18"/>
          <w:color w:val="auto"/>
        </w:rPr>
      </w:pPr>
    </w:p>
    <w:p>
      <w:pPr>
        <w:ind w:left="720" w:right="99" w:hanging="326"/>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Business Operations and Industry</w:t>
      </w:r>
    </w:p>
    <w:p>
      <w:pPr>
        <w:spacing w:after="0" w:line="205" w:lineRule="exact"/>
        <w:rPr>
          <w:sz w:val="20"/>
          <w:szCs w:val="20"/>
          <w:color w:val="auto"/>
        </w:rPr>
      </w:pPr>
    </w:p>
    <w:p>
      <w:pPr>
        <w:ind w:left="40" w:right="79"/>
        <w:spacing w:after="0" w:line="309"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18" w:lineRule="exact"/>
        <w:rPr>
          <w:sz w:val="20"/>
          <w:szCs w:val="20"/>
          <w:color w:val="auto"/>
        </w:rPr>
      </w:pPr>
    </w:p>
    <w:p>
      <w:pPr>
        <w:ind w:left="40" w:right="59"/>
        <w:spacing w:after="0"/>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89" w:lineRule="exact"/>
        <w:rPr>
          <w:sz w:val="20"/>
          <w:szCs w:val="20"/>
          <w:color w:val="auto"/>
        </w:rPr>
      </w:pPr>
    </w:p>
    <w:p>
      <w:pPr>
        <w:ind w:left="720" w:right="199" w:hanging="32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degree of success and cost of, and level of investment in, research, development, regulatory approval and commercialization activities relating to our product candidates, which may change from time to time;</w:t>
      </w:r>
    </w:p>
    <w:p>
      <w:pPr>
        <w:spacing w:after="0" w:line="82" w:lineRule="exact"/>
        <w:rPr>
          <w:rFonts w:ascii="Arial" w:cs="Arial" w:eastAsia="Arial" w:hAnsi="Arial"/>
          <w:sz w:val="18"/>
          <w:szCs w:val="18"/>
          <w:color w:val="auto"/>
        </w:rPr>
      </w:pPr>
    </w:p>
    <w:p>
      <w:pPr>
        <w:ind w:left="720" w:right="239" w:hanging="326"/>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73" w:lineRule="exact"/>
        <w:rPr>
          <w:rFonts w:ascii="Arial" w:cs="Arial" w:eastAsia="Arial" w:hAnsi="Arial"/>
          <w:sz w:val="18"/>
          <w:szCs w:val="18"/>
          <w:color w:val="auto"/>
        </w:rPr>
      </w:pPr>
    </w:p>
    <w:p>
      <w:pPr>
        <w:ind w:left="720" w:right="859" w:hanging="326"/>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third-party manufacturers;</w:t>
      </w:r>
    </w:p>
    <w:p>
      <w:pPr>
        <w:spacing w:after="0" w:line="73" w:lineRule="exact"/>
        <w:rPr>
          <w:rFonts w:ascii="Arial" w:cs="Arial" w:eastAsia="Arial" w:hAnsi="Arial"/>
          <w:sz w:val="18"/>
          <w:szCs w:val="18"/>
          <w:color w:val="auto"/>
        </w:rPr>
      </w:pPr>
    </w:p>
    <w:p>
      <w:pPr>
        <w:ind w:left="720" w:right="219" w:hanging="326"/>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right="259" w:hanging="32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or clinical trials for our product candidates or any competing product candidates, or any other change in the competitive landscape of our industry, including consolidation among our competitors or partners.</w:t>
      </w:r>
    </w:p>
    <w:p>
      <w:pPr>
        <w:spacing w:after="0" w:line="189" w:lineRule="exact"/>
        <w:rPr>
          <w:sz w:val="20"/>
          <w:szCs w:val="20"/>
          <w:color w:val="auto"/>
        </w:rPr>
      </w:pPr>
    </w:p>
    <w:p>
      <w:pPr>
        <w:ind w:left="40" w:right="99"/>
        <w:spacing w:after="0" w:line="23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Such a price decline could occur even when we have met any previously publicly stated revenue or earnings guidance we may provide.</w:t>
      </w:r>
    </w:p>
    <w:p>
      <w:pPr>
        <w:spacing w:after="0" w:line="179" w:lineRule="exact"/>
        <w:rPr>
          <w:sz w:val="20"/>
          <w:szCs w:val="20"/>
          <w:color w:val="auto"/>
        </w:rPr>
      </w:pPr>
    </w:p>
    <w:p>
      <w:pPr>
        <w:ind w:left="40" w:right="219"/>
        <w:spacing w:after="0" w:line="254" w:lineRule="auto"/>
        <w:rPr>
          <w:sz w:val="20"/>
          <w:szCs w:val="20"/>
          <w:color w:val="auto"/>
        </w:rPr>
      </w:pPr>
      <w:r>
        <w:rPr>
          <w:rFonts w:ascii="Arial" w:cs="Arial" w:eastAsia="Arial" w:hAnsi="Arial"/>
          <w:sz w:val="18"/>
          <w:szCs w:val="18"/>
          <w:b w:val="1"/>
          <w:bCs w:val="1"/>
          <w:i w:val="1"/>
          <w:iCs w:val="1"/>
          <w:color w:val="auto"/>
        </w:rPr>
        <w:t>We are highly dependent on the services of our senior management team and if we are not able to retain these members of our management team and recruit and retain additional management, clinical and scientific personnel, our business will be harmed.</w:t>
      </w:r>
    </w:p>
    <w:p>
      <w:pPr>
        <w:spacing w:after="0" w:line="163"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color w:val="auto"/>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spacing w:after="0" w:line="188" w:lineRule="exact"/>
        <w:rPr>
          <w:sz w:val="20"/>
          <w:szCs w:val="20"/>
          <w:color w:val="auto"/>
        </w:rPr>
      </w:pPr>
    </w:p>
    <w:p>
      <w:pPr>
        <w:ind w:left="40" w:right="59"/>
        <w:spacing w:after="0" w:line="234" w:lineRule="auto"/>
        <w:rPr>
          <w:sz w:val="20"/>
          <w:szCs w:val="20"/>
          <w:color w:val="auto"/>
        </w:rPr>
      </w:pPr>
      <w:r>
        <w:rPr>
          <w:rFonts w:ascii="Arial" w:cs="Arial" w:eastAsia="Arial" w:hAnsi="Arial"/>
          <w:sz w:val="18"/>
          <w:szCs w:val="18"/>
          <w:color w:val="auto"/>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spacing w:after="0" w:line="189"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 Additionally, we do not currently maintain “key person” life insurance on the lives of our executives or any of our employees.</w:t>
      </w:r>
    </w:p>
    <w:p>
      <w:pPr>
        <w:spacing w:after="0" w:line="178" w:lineRule="exact"/>
        <w:rPr>
          <w:sz w:val="20"/>
          <w:szCs w:val="20"/>
          <w:color w:val="auto"/>
        </w:rPr>
      </w:pPr>
    </w:p>
    <w:p>
      <w:pPr>
        <w:ind w:left="40" w:right="439"/>
        <w:spacing w:after="0" w:line="278"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141" w:lineRule="exact"/>
        <w:rPr>
          <w:sz w:val="20"/>
          <w:szCs w:val="20"/>
          <w:color w:val="auto"/>
        </w:rPr>
      </w:pPr>
    </w:p>
    <w:p>
      <w:pPr>
        <w:ind w:left="40" w:right="119"/>
        <w:spacing w:after="0" w:line="238" w:lineRule="auto"/>
        <w:rPr>
          <w:sz w:val="20"/>
          <w:szCs w:val="20"/>
          <w:color w:val="auto"/>
        </w:rPr>
      </w:pPr>
      <w:r>
        <w:rPr>
          <w:rFonts w:ascii="Arial" w:cs="Arial" w:eastAsia="Arial" w:hAnsi="Arial"/>
          <w:sz w:val="18"/>
          <w:szCs w:val="18"/>
          <w:color w:val="auto"/>
        </w:rPr>
        <w:t>As of June 30, 2023, we had 77 full-time employees. As we advance our research and development programs, we may need to further increase the number of our employees and the scope of our operations, particularly in the areas of clinical development, discovery biology, chemistry, manufacturing, general and administrative matters related to being a public company, regulatory affairs and, if any of our product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499"/>
        <w:spacing w:after="0" w:line="250" w:lineRule="auto"/>
        <w:rPr>
          <w:sz w:val="20"/>
          <w:szCs w:val="20"/>
          <w:color w:val="auto"/>
        </w:rPr>
      </w:pPr>
      <w:r>
        <w:rPr>
          <w:rFonts w:ascii="Arial" w:cs="Arial" w:eastAsia="Arial" w:hAnsi="Arial"/>
          <w:sz w:val="18"/>
          <w:szCs w:val="18"/>
          <w:color w:val="auto"/>
        </w:rPr>
        <w:t>candidates receives marketing approval, sales, marketing and distribution. To manage any future growth, we must:</w:t>
      </w:r>
    </w:p>
    <w:p>
      <w:pPr>
        <w:spacing w:after="0" w:line="180" w:lineRule="exact"/>
        <w:rPr>
          <w:sz w:val="20"/>
          <w:szCs w:val="20"/>
          <w:color w:val="auto"/>
        </w:rPr>
      </w:pPr>
    </w:p>
    <w:p>
      <w:pPr>
        <w:ind w:left="720" w:hanging="32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identify, recruit, integrate, maintain and motivate additional qualified personnel;</w:t>
      </w:r>
    </w:p>
    <w:p>
      <w:pPr>
        <w:spacing w:after="0" w:line="111" w:lineRule="exact"/>
        <w:rPr>
          <w:rFonts w:ascii="Arial" w:cs="Arial" w:eastAsia="Arial" w:hAnsi="Arial"/>
          <w:sz w:val="18"/>
          <w:szCs w:val="18"/>
          <w:color w:val="auto"/>
        </w:rPr>
      </w:pPr>
    </w:p>
    <w:p>
      <w:pPr>
        <w:ind w:left="720" w:right="379" w:hanging="326"/>
        <w:spacing w:after="0" w:line="250"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 our development efforts effectively, including the initiation and conduct of clinical trials for our product candidates; and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reporting systems and procedures.</w:t>
      </w:r>
    </w:p>
    <w:p>
      <w:pPr>
        <w:spacing w:after="0" w:line="218" w:lineRule="exact"/>
        <w:rPr>
          <w:sz w:val="20"/>
          <w:szCs w:val="20"/>
          <w:color w:val="auto"/>
        </w:rPr>
      </w:pPr>
    </w:p>
    <w:p>
      <w:pPr>
        <w:ind w:left="40" w:right="99"/>
        <w:spacing w:after="0" w:line="238" w:lineRule="auto"/>
        <w:rPr>
          <w:sz w:val="20"/>
          <w:szCs w:val="20"/>
          <w:color w:val="auto"/>
        </w:rPr>
      </w:pPr>
      <w:r>
        <w:rPr>
          <w:rFonts w:ascii="Arial" w:cs="Arial" w:eastAsia="Arial" w:hAnsi="Arial"/>
          <w:sz w:val="18"/>
          <w:szCs w:val="18"/>
          <w:color w:val="auto"/>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spacing w:after="0" w:line="188" w:lineRule="exact"/>
        <w:rPr>
          <w:sz w:val="20"/>
          <w:szCs w:val="20"/>
          <w:color w:val="auto"/>
        </w:rPr>
      </w:pPr>
    </w:p>
    <w:p>
      <w:pPr>
        <w:ind w:left="40" w:right="5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78" w:lineRule="exact"/>
        <w:rPr>
          <w:sz w:val="20"/>
          <w:szCs w:val="20"/>
          <w:color w:val="auto"/>
        </w:rPr>
      </w:pPr>
    </w:p>
    <w:p>
      <w:pPr>
        <w:ind w:left="40" w:right="519"/>
        <w:spacing w:after="0" w:line="242"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or are required to refund any research and development tax credit previously received or reserve for such credit in our financial statements, our business and results of operations could suffer.</w:t>
      </w:r>
    </w:p>
    <w:p>
      <w:pPr>
        <w:spacing w:after="0" w:line="175"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color w:val="auto"/>
        </w:rPr>
        <w:t>In 2021, we formed two wholly-owned Australian subsidiaries, Annapurna Bio Pty Limited (“Annapurna AU”) and Gasherbrum Bio Pty Limited (“Gasherbrum AU”),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applicable foreign authorities.</w:t>
      </w:r>
    </w:p>
    <w:p>
      <w:pPr>
        <w:spacing w:after="0" w:line="188" w:lineRule="exact"/>
        <w:rPr>
          <w:sz w:val="20"/>
          <w:szCs w:val="20"/>
          <w:color w:val="auto"/>
        </w:rPr>
      </w:pPr>
    </w:p>
    <w:p>
      <w:pPr>
        <w:ind w:left="40" w:right="119"/>
        <w:spacing w:after="0" w:line="234"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Although we have previously claimed a refundable research and development tax credit there is a possibility that we may not be able to claim such credit or we might qualify for a lesser credit. If we lose our ability to operate Annapurna AU or Gasherbrum AU in Australia, or if in the future we are ineligible or unable to receive the research and development tax credit or are required to refund any research and development tax credit previously received or have to reserve for such credit in our financial statements, or if the Australian government significantly reduces or eliminates the tax credit, our business and results of operation may be adversely affected.</w:t>
      </w:r>
    </w:p>
    <w:p>
      <w:pPr>
        <w:spacing w:after="0" w:line="182" w:lineRule="exact"/>
        <w:rPr>
          <w:sz w:val="20"/>
          <w:szCs w:val="20"/>
          <w:color w:val="auto"/>
        </w:rPr>
      </w:pPr>
    </w:p>
    <w:p>
      <w:pPr>
        <w:ind w:left="40" w:right="139"/>
        <w:spacing w:after="0" w:line="242"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spacing w:after="0" w:line="175" w:lineRule="exact"/>
        <w:rPr>
          <w:sz w:val="20"/>
          <w:szCs w:val="20"/>
          <w:color w:val="auto"/>
        </w:rPr>
      </w:pPr>
    </w:p>
    <w:p>
      <w:pPr>
        <w:ind w:left="40" w:right="159"/>
        <w:spacing w:after="0" w:line="236" w:lineRule="auto"/>
        <w:rPr>
          <w:sz w:val="20"/>
          <w:szCs w:val="20"/>
          <w:color w:val="auto"/>
        </w:rPr>
      </w:pPr>
      <w:r>
        <w:rPr>
          <w:rFonts w:ascii="Arial" w:cs="Arial" w:eastAsia="Arial" w:hAnsi="Arial"/>
          <w:sz w:val="18"/>
          <w:szCs w:val="18"/>
          <w:color w:val="auto"/>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19"/>
        <w:spacing w:after="0" w:line="236" w:lineRule="auto"/>
        <w:rPr>
          <w:sz w:val="20"/>
          <w:szCs w:val="20"/>
          <w:color w:val="auto"/>
        </w:rPr>
      </w:pPr>
      <w:r>
        <w:rPr>
          <w:rFonts w:ascii="Arial" w:cs="Arial" w:eastAsia="Arial" w:hAnsi="Arial"/>
          <w:sz w:val="18"/>
          <w:szCs w:val="18"/>
          <w:color w:val="auto"/>
        </w:rPr>
        <w:t>laws and the law commonly referred to as the Physician Payments Sunshine Act and regulations. These laws will impact, among other things, our clinical research, as well as our proposed sales and marketing programs. In addition, we may be subject to health information privacy and security laws by the federal government, the states and other jurisdictions in which we may conduct our business. The laws that may affect our operations include, but are not limited to:</w:t>
      </w:r>
    </w:p>
    <w:p>
      <w:pPr>
        <w:spacing w:after="0" w:line="191" w:lineRule="exact"/>
        <w:rPr>
          <w:sz w:val="20"/>
          <w:szCs w:val="20"/>
          <w:color w:val="auto"/>
        </w:rPr>
      </w:pPr>
    </w:p>
    <w:p>
      <w:pPr>
        <w:ind w:left="720" w:right="79" w:hanging="326"/>
        <w:spacing w:after="0" w:line="249"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among other things, arrangements between pharmaceutical manufacturers on the one hand, and prescribers, purchasers and formulary managers on the other. A person or entity does not need to have actual knowledge of this statute or specific intent to violate it in order to have committed a violation;</w:t>
      </w:r>
    </w:p>
    <w:p>
      <w:pPr>
        <w:spacing w:after="0" w:line="77" w:lineRule="exact"/>
        <w:rPr>
          <w:rFonts w:ascii="Arial" w:cs="Arial" w:eastAsia="Arial" w:hAnsi="Arial"/>
          <w:sz w:val="17"/>
          <w:szCs w:val="17"/>
          <w:color w:val="auto"/>
        </w:rPr>
      </w:pPr>
    </w:p>
    <w:p>
      <w:pPr>
        <w:ind w:left="720" w:right="179" w:hanging="326"/>
        <w:spacing w:after="0" w:line="23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False Claims Act, and civil monetary penalty laws, such as the Civil Monetary Penalties Law,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p>
      <w:pPr>
        <w:spacing w:after="0" w:line="85" w:lineRule="exact"/>
        <w:rPr>
          <w:rFonts w:ascii="Arial" w:cs="Arial" w:eastAsia="Arial" w:hAnsi="Arial"/>
          <w:sz w:val="18"/>
          <w:szCs w:val="18"/>
          <w:color w:val="auto"/>
        </w:rPr>
      </w:pPr>
    </w:p>
    <w:p>
      <w:pPr>
        <w:ind w:left="720" w:right="139" w:hanging="326"/>
        <w:spacing w:after="0" w:line="235"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additional federal criminal statutes that prohibit, among other things, a person from knowingly and willfully executing a scheme or making false or fraudulent statements to defraud any healthcare benefit program, regardless of the payor (</w:t>
      </w:r>
      <w:r>
        <w:rPr>
          <w:rFonts w:ascii="Arial" w:cs="Arial" w:eastAsia="Arial" w:hAnsi="Arial"/>
          <w:sz w:val="18"/>
          <w:szCs w:val="18"/>
          <w:i w:val="1"/>
          <w:iCs w:val="1"/>
          <w:color w:val="auto"/>
        </w:rPr>
        <w:t>e.g.</w:t>
      </w:r>
      <w:r>
        <w:rPr>
          <w:rFonts w:ascii="Arial" w:cs="Arial" w:eastAsia="Arial" w:hAnsi="Arial"/>
          <w:sz w:val="18"/>
          <w:szCs w:val="18"/>
          <w:color w:val="auto"/>
        </w:rPr>
        <w:t>, public or private). Similar to the federal Anti-Kickback Statute, a person or entity does not need to have actual knowledge of this statute or specific intent to violate it in order to have committed a violation;</w:t>
      </w:r>
    </w:p>
    <w:p>
      <w:pPr>
        <w:spacing w:after="0" w:line="85" w:lineRule="exact"/>
        <w:rPr>
          <w:rFonts w:ascii="Arial" w:cs="Arial" w:eastAsia="Arial" w:hAnsi="Arial"/>
          <w:sz w:val="18"/>
          <w:szCs w:val="18"/>
          <w:color w:val="auto"/>
        </w:rPr>
      </w:pPr>
    </w:p>
    <w:p>
      <w:pPr>
        <w:ind w:left="720" w:right="99" w:hanging="326"/>
        <w:spacing w:after="0" w:line="234"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and covered contractors, individuals or entities that perform certain services on behalf of a covered entity that involves the use or disclosure of individually identifiable health information and their subcontractors that use, disclose or otherwise process individually identifiable health information;</w:t>
      </w:r>
    </w:p>
    <w:p>
      <w:pPr>
        <w:spacing w:after="0" w:line="85" w:lineRule="exact"/>
        <w:rPr>
          <w:rFonts w:ascii="Arial" w:cs="Arial" w:eastAsia="Arial" w:hAnsi="Arial"/>
          <w:sz w:val="18"/>
          <w:szCs w:val="18"/>
          <w:color w:val="auto"/>
        </w:rPr>
      </w:pPr>
    </w:p>
    <w:p>
      <w:pPr>
        <w:ind w:left="720" w:right="99" w:hanging="326"/>
        <w:spacing w:after="0" w:line="249"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Physician Payments Sunshine Act, which requires certain manufacturers of drugs, devices, biologics and medical supplies for which payment is available under Medicare, Medicaid or the Children’s Health Insurance Program, with specific exceptions, to report annually to the CMS information related to:</w:t>
      </w:r>
    </w:p>
    <w:p>
      <w:pPr>
        <w:spacing w:after="0" w:line="1" w:lineRule="exact"/>
        <w:rPr>
          <w:rFonts w:ascii="Arial" w:cs="Arial" w:eastAsia="Arial" w:hAnsi="Arial"/>
          <w:sz w:val="17"/>
          <w:szCs w:val="17"/>
          <w:color w:val="auto"/>
        </w:rPr>
      </w:pPr>
    </w:p>
    <w:p>
      <w:pPr>
        <w:ind w:left="720" w:right="159"/>
        <w:spacing w:after="0" w:line="234" w:lineRule="auto"/>
        <w:rPr>
          <w:rFonts w:ascii="Arial" w:cs="Arial" w:eastAsia="Arial" w:hAnsi="Arial"/>
          <w:sz w:val="17"/>
          <w:szCs w:val="17"/>
          <w:color w:val="auto"/>
        </w:rPr>
      </w:pPr>
      <w:r>
        <w:rPr>
          <w:rFonts w:ascii="Arial" w:cs="Arial" w:eastAsia="Arial" w:hAnsi="Arial"/>
          <w:sz w:val="18"/>
          <w:szCs w:val="18"/>
          <w:color w:val="auto"/>
        </w:rPr>
        <w:t>(i)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p>
      <w:pPr>
        <w:spacing w:after="0" w:line="83" w:lineRule="exact"/>
        <w:rPr>
          <w:rFonts w:ascii="Arial" w:cs="Arial" w:eastAsia="Arial" w:hAnsi="Arial"/>
          <w:sz w:val="17"/>
          <w:szCs w:val="17"/>
          <w:color w:val="auto"/>
        </w:rPr>
      </w:pPr>
    </w:p>
    <w:p>
      <w:pPr>
        <w:ind w:left="720" w:right="319" w:hanging="326"/>
        <w:spacing w:after="0" w:line="23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state laws that require manufacturers to report information related to payments and other transfers of value to physicians and other healthcare providers or marketing expenditures and/or information regarding drug pricing, state laws that require pharmaceutical companies to comply with the pharmaceutical industry’s voluntary compliance guidelines and the relevant compliance guidance promulgated by the federal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right="339"/>
        <w:spacing w:after="0" w:line="238" w:lineRule="auto"/>
        <w:rPr>
          <w:sz w:val="20"/>
          <w:szCs w:val="20"/>
          <w:color w:val="auto"/>
        </w:rPr>
      </w:pPr>
      <w:r>
        <w:rPr>
          <w:rFonts w:ascii="Arial" w:cs="Arial" w:eastAsia="Arial" w:hAnsi="Arial"/>
          <w:sz w:val="18"/>
          <w:szCs w:val="18"/>
          <w:color w:val="auto"/>
        </w:rPr>
        <w:t>government or to adopt compliance programs as prescribed by state laws and regulations, or that otherwise restrict payments that may be made to healthcare providers, state laws and regulations that require drug manufacturers to file reports relating to drug pricing and marketing information, and state and local laws that require the registration of pharmaceutical sales representatives; and</w:t>
      </w:r>
    </w:p>
    <w:p>
      <w:pPr>
        <w:spacing w:after="0" w:line="82" w:lineRule="exact"/>
        <w:rPr>
          <w:sz w:val="20"/>
          <w:szCs w:val="20"/>
          <w:color w:val="auto"/>
        </w:rPr>
      </w:pPr>
    </w:p>
    <w:p>
      <w:pPr>
        <w:ind w:left="720" w:right="219" w:hanging="32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personal information, including health-related information in some circumstances, many of which differ from each other in significant ways and often are not preempted by HIPAA, thus complicating compliance efforts.</w:t>
      </w:r>
    </w:p>
    <w:p>
      <w:pPr>
        <w:spacing w:after="0" w:line="189" w:lineRule="exact"/>
        <w:rPr>
          <w:sz w:val="20"/>
          <w:szCs w:val="20"/>
          <w:color w:val="auto"/>
        </w:rPr>
      </w:pPr>
    </w:p>
    <w:p>
      <w:pPr>
        <w:ind w:left="40" w:right="79"/>
        <w:spacing w:after="0" w:line="238" w:lineRule="auto"/>
        <w:rPr>
          <w:sz w:val="20"/>
          <w:szCs w:val="20"/>
          <w:color w:val="auto"/>
        </w:rPr>
      </w:pPr>
      <w:r>
        <w:rPr>
          <w:rFonts w:ascii="Arial" w:cs="Arial" w:eastAsia="Arial" w:hAnsi="Arial"/>
          <w:sz w:val="18"/>
          <w:szCs w:val="18"/>
          <w:color w:val="auto"/>
        </w:rPr>
        <w:t>Because of the breadth of these laws and the limited statutory exceptions and regulatory safe harbors available, it is possible that some of our business activities, including certain scientific advisory board agreements with physicians who are compensated in the form of ordinary shares or share options in addition to cash consideration, could be subject to challenge under one or more of such laws.</w:t>
      </w:r>
    </w:p>
    <w:p>
      <w:pPr>
        <w:spacing w:after="0" w:line="188" w:lineRule="exact"/>
        <w:rPr>
          <w:sz w:val="20"/>
          <w:szCs w:val="20"/>
          <w:color w:val="auto"/>
        </w:rPr>
      </w:pPr>
    </w:p>
    <w:p>
      <w:pPr>
        <w:ind w:left="40" w:right="319"/>
        <w:spacing w:after="0" w:line="235"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88"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182" w:lineRule="exact"/>
        <w:rPr>
          <w:sz w:val="20"/>
          <w:szCs w:val="20"/>
          <w:color w:val="auto"/>
        </w:rPr>
      </w:pPr>
    </w:p>
    <w:p>
      <w:pPr>
        <w:ind w:left="40" w:right="659"/>
        <w:spacing w:after="0" w:line="278" w:lineRule="auto"/>
        <w:rPr>
          <w:sz w:val="20"/>
          <w:szCs w:val="20"/>
          <w:color w:val="auto"/>
        </w:rPr>
      </w:pPr>
      <w:r>
        <w:rPr>
          <w:rFonts w:ascii="Arial" w:cs="Arial" w:eastAsia="Arial" w:hAnsi="Arial"/>
          <w:sz w:val="18"/>
          <w:szCs w:val="18"/>
          <w:b w:val="1"/>
          <w:bCs w:val="1"/>
          <w:i w:val="1"/>
          <w:iCs w:val="1"/>
          <w:color w:val="auto"/>
        </w:rPr>
        <w:t>Healthcare legislative reform measures may have a negative impact on our business and results of operations.</w:t>
      </w:r>
    </w:p>
    <w:p>
      <w:pPr>
        <w:spacing w:after="0" w:line="141" w:lineRule="exact"/>
        <w:rPr>
          <w:sz w:val="20"/>
          <w:szCs w:val="20"/>
          <w:color w:val="auto"/>
        </w:rPr>
      </w:pPr>
    </w:p>
    <w:p>
      <w:pPr>
        <w:ind w:left="40" w:right="79"/>
        <w:spacing w:after="0" w:line="238"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88" w:lineRule="exact"/>
        <w:rPr>
          <w:sz w:val="20"/>
          <w:szCs w:val="20"/>
          <w:color w:val="auto"/>
        </w:rPr>
      </w:pPr>
    </w:p>
    <w:p>
      <w:pPr>
        <w:ind w:left="40" w:right="239"/>
        <w:spacing w:after="0" w:line="235"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the government and private insurers, and significantly impacts the U.S. pharmaceutical industry.</w:t>
      </w:r>
    </w:p>
    <w:p>
      <w:pPr>
        <w:spacing w:after="0" w:line="188"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Since its enactment, there have been judicial, Congressional and executive branch challenges to certain aspects of the ACA. On June 17, 2021, the U.S. Supreme Court dismissed the most recent judicial challenge to the ACA brought by several states on procedural grounds without specifically ruling on the constitutionality of the ACA.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459"/>
        <w:spacing w:after="0" w:line="250" w:lineRule="auto"/>
        <w:rPr>
          <w:sz w:val="20"/>
          <w:szCs w:val="20"/>
          <w:color w:val="auto"/>
        </w:rPr>
      </w:pPr>
      <w:r>
        <w:rPr>
          <w:rFonts w:ascii="Arial" w:cs="Arial" w:eastAsia="Arial" w:hAnsi="Arial"/>
          <w:sz w:val="18"/>
          <w:szCs w:val="18"/>
          <w:color w:val="auto"/>
        </w:rPr>
        <w:t>of-pocket cost and through a newly established manufacturer discount program. It is possible the ACA will be subject to judicial or Congressional challenges in the future.</w:t>
      </w:r>
    </w:p>
    <w:p>
      <w:pPr>
        <w:spacing w:after="0" w:line="180"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Also, there has been heightened governmental scrutiny recently over the manner in which drug manufacturers set prices for their marketed products, which have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in July 2021, the Biden administration released an executive order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to advance these principles. In addition, the IRA, among other things, (1) directs the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 Medicare drug price negotiation program is currently subject to legal challenges. HHS has and will continue to issue and update guidance as these programs are implemented. It is currently unclear how the IRA will be implemented but it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spacing w:after="0" w:line="189"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color w:val="auto"/>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2" w:lineRule="exact"/>
        <w:rPr>
          <w:sz w:val="20"/>
          <w:szCs w:val="20"/>
          <w:color w:val="auto"/>
        </w:rPr>
      </w:pPr>
    </w:p>
    <w:p>
      <w:pPr>
        <w:ind w:left="40" w:right="379"/>
        <w:spacing w:after="0" w:line="278" w:lineRule="auto"/>
        <w:rPr>
          <w:sz w:val="20"/>
          <w:szCs w:val="20"/>
          <w:color w:val="auto"/>
        </w:rPr>
      </w:pPr>
      <w:r>
        <w:rPr>
          <w:rFonts w:ascii="Arial" w:cs="Arial" w:eastAsia="Arial" w:hAnsi="Arial"/>
          <w:sz w:val="18"/>
          <w:szCs w:val="18"/>
          <w:b w:val="1"/>
          <w:bCs w:val="1"/>
          <w:i w:val="1"/>
          <w:iCs w:val="1"/>
          <w:color w:val="auto"/>
        </w:rPr>
        <w:t>If we or our third-party manufacturers use hazardous and biological materials in a manner that causes injury or violates applicable law, we may be liable for damages.</w:t>
      </w:r>
    </w:p>
    <w:p>
      <w:pPr>
        <w:spacing w:after="0" w:line="141"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and foreign jurisdictions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619"/>
        <w:spacing w:after="0" w:line="279" w:lineRule="auto"/>
        <w:rPr>
          <w:sz w:val="20"/>
          <w:szCs w:val="20"/>
          <w:color w:val="auto"/>
        </w:rPr>
      </w:pPr>
      <w:r>
        <w:rPr>
          <w:rFonts w:ascii="Arial" w:cs="Arial" w:eastAsia="Arial" w:hAnsi="Arial"/>
          <w:sz w:val="17"/>
          <w:szCs w:val="17"/>
          <w:color w:val="auto"/>
        </w:rPr>
        <w:t>is expensive, and current or future environmental regulations may impair our research, development, and production efforts, which could harm our business, prospects, financial condition, and results of operations.</w:t>
      </w:r>
    </w:p>
    <w:p>
      <w:pPr>
        <w:spacing w:after="0" w:line="146" w:lineRule="exact"/>
        <w:rPr>
          <w:sz w:val="20"/>
          <w:szCs w:val="20"/>
          <w:color w:val="auto"/>
        </w:rPr>
      </w:pPr>
    </w:p>
    <w:p>
      <w:pPr>
        <w:ind w:left="40" w:right="859"/>
        <w:spacing w:after="0" w:line="27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product candidate that we may develop.</w:t>
      </w:r>
    </w:p>
    <w:p>
      <w:pPr>
        <w:spacing w:after="0" w:line="141" w:lineRule="exact"/>
        <w:rPr>
          <w:sz w:val="20"/>
          <w:szCs w:val="20"/>
          <w:color w:val="auto"/>
        </w:rPr>
      </w:pPr>
    </w:p>
    <w:p>
      <w:pPr>
        <w:ind w:left="40" w:right="79"/>
        <w:spacing w:after="0" w:line="236" w:lineRule="auto"/>
        <w:rPr>
          <w:sz w:val="20"/>
          <w:szCs w:val="20"/>
          <w:color w:val="auto"/>
        </w:rPr>
      </w:pPr>
      <w:r>
        <w:rPr>
          <w:rFonts w:ascii="Arial" w:cs="Arial" w:eastAsia="Arial" w:hAnsi="Arial"/>
          <w:sz w:val="18"/>
          <w:szCs w:val="18"/>
          <w:color w:val="auto"/>
        </w:rPr>
        <w:t>We face an inherent risk of product liability exposure related to the testing of our current and any future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p>
      <w:pPr>
        <w:spacing w:after="0" w:line="191" w:lineRule="exact"/>
        <w:rPr>
          <w:sz w:val="20"/>
          <w:szCs w:val="20"/>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product candidate that we may develop;</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that we may develop;</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 and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decline in our ADS price.</w:t>
      </w:r>
    </w:p>
    <w:p>
      <w:pPr>
        <w:spacing w:after="0" w:line="218"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We currently hold approximately $10.0 million in product liability insurance coverage in the aggregate. We may need to increase our insurance coverage as we expand our clinical trials and if we successfully commercialize any product candidate. Insurance coverage is increasingly expensive. We may not be able to obtain or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85" w:lineRule="exact"/>
        <w:rPr>
          <w:sz w:val="20"/>
          <w:szCs w:val="20"/>
          <w:color w:val="auto"/>
        </w:rPr>
      </w:pPr>
    </w:p>
    <w:p>
      <w:pPr>
        <w:ind w:left="40" w:right="179"/>
        <w:spacing w:after="0"/>
        <w:rPr>
          <w:sz w:val="20"/>
          <w:szCs w:val="20"/>
          <w:color w:val="auto"/>
        </w:rPr>
      </w:pPr>
      <w:r>
        <w:rPr>
          <w:rFonts w:ascii="Arial" w:cs="Arial" w:eastAsia="Arial" w:hAnsi="Arial"/>
          <w:sz w:val="18"/>
          <w:szCs w:val="18"/>
          <w:b w:val="1"/>
          <w:bCs w:val="1"/>
          <w:i w:val="1"/>
          <w:iCs w:val="1"/>
          <w:color w:val="auto"/>
        </w:rPr>
        <w:t>If our information technology systems or data, or those of third parties upon which we rely, are or were compromised or experienced significant disruptions of our information technology systems or data security incidents, we could experience adverse consequences including but not limited to significant financial, legal, regulatory, business and reputational harm; litigation; fines and penalties; disruptions of our business operations; loss of revenue or profits; loss of customers or sales; or other adverse consequences.</w:t>
      </w:r>
    </w:p>
    <w:p>
      <w:pPr>
        <w:spacing w:after="0" w:line="176" w:lineRule="exact"/>
        <w:rPr>
          <w:sz w:val="20"/>
          <w:szCs w:val="20"/>
          <w:color w:val="auto"/>
        </w:rPr>
      </w:pPr>
    </w:p>
    <w:p>
      <w:pPr>
        <w:ind w:left="40" w:right="159"/>
        <w:spacing w:after="0" w:line="238" w:lineRule="auto"/>
        <w:rPr>
          <w:sz w:val="20"/>
          <w:szCs w:val="20"/>
          <w:color w:val="auto"/>
        </w:rPr>
      </w:pPr>
      <w:r>
        <w:rPr>
          <w:rFonts w:ascii="Arial" w:cs="Arial" w:eastAsia="Arial" w:hAnsi="Arial"/>
          <w:sz w:val="18"/>
          <w:szCs w:val="18"/>
          <w:color w:val="auto"/>
        </w:rPr>
        <w:t>We are increasingly dependent on information technology systems and infrastructure, including mobile and third-party, cloud-based technologies, to operate our business. In the ordinary course of our business, we may collect, store, process and transmit large amounts of sensitive information, including intellectual property, proprietary business information, personal information and other confidential information. It is critical that we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46" w:lineRule="auto"/>
        <w:rPr>
          <w:sz w:val="20"/>
          <w:szCs w:val="20"/>
          <w:color w:val="auto"/>
        </w:rPr>
      </w:pPr>
      <w:r>
        <w:rPr>
          <w:rFonts w:ascii="Arial" w:cs="Arial" w:eastAsia="Arial" w:hAnsi="Arial"/>
          <w:sz w:val="17"/>
          <w:szCs w:val="17"/>
          <w:color w:val="auto"/>
        </w:rPr>
        <w:t>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including by organized groups and individuals with a wide range of motives (including, but not limited to, industrial espionage) and expertise, including organized criminal groups, “hacktivists,” nation states and others. Further, due to the COVID-19 pandemic, we enabled all of our employees to work remotely, which may make us more vulnerable to cyberattacks. Cyberattacks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 Data security incidents and other inappropriate access can also be difficult to detect, can result from the intentional or inadvertent actions or inactions of those with authorized access to our network and any delay in identifying them may lead to increased harm. In addition, the prevalent use of mobile devices increases the risk of data security incidents.</w:t>
      </w:r>
    </w:p>
    <w:p>
      <w:pPr>
        <w:spacing w:after="0" w:line="188"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Significant disruptions of, or cyber incidents directed at, our or our third-party vendors’ and/or business partners’ information technology systems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could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for which we are responsible may require us,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spacing w:after="0" w:line="197" w:lineRule="exact"/>
        <w:rPr>
          <w:sz w:val="20"/>
          <w:szCs w:val="20"/>
          <w:color w:val="auto"/>
        </w:rPr>
      </w:pPr>
    </w:p>
    <w:p>
      <w:pPr>
        <w:ind w:left="40" w:right="79"/>
        <w:spacing w:after="0" w:line="249" w:lineRule="auto"/>
        <w:rPr>
          <w:sz w:val="20"/>
          <w:szCs w:val="20"/>
          <w:color w:val="auto"/>
        </w:rPr>
      </w:pPr>
      <w:r>
        <w:rPr>
          <w:rFonts w:ascii="Arial" w:cs="Arial" w:eastAsia="Arial" w:hAnsi="Arial"/>
          <w:sz w:val="17"/>
          <w:szCs w:val="17"/>
          <w:color w:val="auto"/>
        </w:rPr>
        <w:t>We and certain of our service providers are from time to time subject to cyberattacks and security incidents. While we have no reason to believe that we have been subject to any significant system failure, accident or security breach to date, attackers have become very sophisticated in the way they conceal access to systems, and many companies that have been attacked are not aware that they have been attacked.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have implemented security measures intended to protect our information technology systems and infrastructure, such measures may not successfully prevent service interruptions or security incidents.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219"/>
        <w:spacing w:after="0" w:line="235"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2" w:lineRule="exact"/>
        <w:rPr>
          <w:sz w:val="20"/>
          <w:szCs w:val="20"/>
          <w:color w:val="auto"/>
        </w:rPr>
      </w:pPr>
    </w:p>
    <w:p>
      <w:pPr>
        <w:ind w:left="40" w:right="139"/>
        <w:spacing w:after="0" w:line="254"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63"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applicable foreign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applicable foreign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negative impact on our business, financial condition, results of operations and prospects, including the imposition of significant fines or other sanctions.</w:t>
      </w:r>
    </w:p>
    <w:p>
      <w:pPr>
        <w:spacing w:after="0" w:line="188" w:lineRule="exact"/>
        <w:rPr>
          <w:sz w:val="20"/>
          <w:szCs w:val="20"/>
          <w:color w:val="auto"/>
        </w:rPr>
      </w:pPr>
    </w:p>
    <w:p>
      <w:pPr>
        <w:ind w:left="40" w:right="259"/>
        <w:spacing w:after="0" w:line="278"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41"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199"/>
        <w:spacing w:after="0"/>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industry standards, contractual obligations, policies and other obligations related to data security and privacy. Our actual or perceived failure to comply with such obligations could lead to government enforcement actions, which could include civil, criminal or administrative penalties, private litigation, reputational harm, and/or adverse publicity and could negatively affect our operating results and business, financial condition, results of operations and prospects.</w:t>
      </w:r>
    </w:p>
    <w:p>
      <w:pPr>
        <w:spacing w:after="0" w:line="176" w:lineRule="exact"/>
        <w:rPr>
          <w:sz w:val="20"/>
          <w:szCs w:val="20"/>
          <w:color w:val="auto"/>
        </w:rPr>
      </w:pPr>
    </w:p>
    <w:p>
      <w:pPr>
        <w:ind w:left="40" w:right="139"/>
        <w:spacing w:after="0" w:line="246" w:lineRule="auto"/>
        <w:rPr>
          <w:sz w:val="20"/>
          <w:szCs w:val="20"/>
          <w:color w:val="auto"/>
        </w:rPr>
      </w:pPr>
      <w:r>
        <w:rPr>
          <w:rFonts w:ascii="Arial" w:cs="Arial" w:eastAsia="Arial" w:hAnsi="Arial"/>
          <w:sz w:val="17"/>
          <w:szCs w:val="17"/>
          <w:color w:val="auto"/>
        </w:rPr>
        <w:t>The global data protection landscape is rapidly evolving, and we are or may become subject to or be affected by evolving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such as Section 5 of the Federal Trade Commission Act, govern the collection, use, disclosure and protection of health information and other personal information and could apply to our operations. These laws and regulations are subject to differing interpretations and may be inconsistent among jurisdictions, and guidance on implementation and compliance practices are often updated or otherwise revised, which adds to the complexity of processing personal information. HIPAA, as amended by HITECH, imposes, among other things, certain standards relating to the privacy, security, transmission and breach reporting of individually identifiable health information.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93"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Certain states have also adopted comparable privacy and security laws and regulations governing the privacy, processing and protection of personal information. For example, the California Consumer Privacy Act of 2018 (“CCPA”)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California Privacy Rights Act of 2020 (“CPRA”) expands the CCPA’s requirements, including by adding a new right for individuals to correct their personal information and establishing a new regulatory agency to implement and enforce the law. Several other states, including Virginia, Colorado, Utah, and Connecticut have also passed comprehensive privacy laws, and similar laws have been passed or are being considered in other states, as well as at the federal and local levels. While these state laws, like the CCPA, also exempt some data processed in the context of clinical trials, these developments further complicate compliance efforts, and increase legal risk and compliance costs for us and the third parties upon whom we rely. The CCPA provides for civil penalties for violations, as well as a private right of action for certain data breaches that is expected to increase data breach litigation. The Attorney General and local government attorneys may also bring enforcement actions for alleged violations of the CCPA. Although there are some exemptions for clinical trial data and health information, the CCPA may impact our business activities and increase our compliance costs and potential liability. Further, the CPRA recently took effect in California. The CPRA significantly amends the CCPA and imposes additional data protection obligations on covered businesses,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While other state privacy laws are similar to the CCPA and CPRA, certain aspects of these other state privacy statutes remain unclear, resulting in further legal uncertainty and potentially requiring us to modify our data practices and policies and to incur substantial additional costs and expenses in an effort to comply. The enactment of additional laws could have potentially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239"/>
        <w:spacing w:after="0"/>
        <w:rPr>
          <w:sz w:val="20"/>
          <w:szCs w:val="20"/>
          <w:color w:val="auto"/>
        </w:rPr>
      </w:pPr>
      <w:r>
        <w:rPr>
          <w:rFonts w:ascii="Arial" w:cs="Arial" w:eastAsia="Arial" w:hAnsi="Arial"/>
          <w:sz w:val="18"/>
          <w:szCs w:val="18"/>
          <w:color w:val="auto"/>
        </w:rPr>
        <w:t>conflicting requirements that would make compliance challenging. In the event that we are subject to or affected by these laws or other domestic privacy and data protection laws, any liability from failure to comply with the requirements of these laws could adversely affect our financial condition.</w:t>
      </w:r>
    </w:p>
    <w:p>
      <w:pPr>
        <w:spacing w:after="0" w:line="189"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Outside the United States, an increasing number of laws, regulations, and industry standards may govern data privacy and security. For example, the EU GDPR, the United Kingdom’s GDPR (“UK GDPR”), and the Personal Information Protection Act in South Korea,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88"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Other jurisdictions may adopt similarly stringent interpretations of their data localization and cross-border data transfer laws. Although there are currently various mechanisms that may be used to transfer personal data from the European Economic Area (“EEA”) and United Kingdom (“UK”) to the United States in compliance with law, such as the EEA and UK’s standard contractual clauses, these mechanisms are subject to legal challenges, and there is no assurance that we can satisfy or rely on these measures to lawfully transfer personal data to the United States. Recently, however, the UK has implemented an International Data Transfer Agreement/Addendum and the EU-U.S. Data Privacy Framework has been introduced, (the latter of which allows for transfers of personal data for relevant U.S.-based organizations who self-certify compliance and participate in the Framework), but these mechanisms are subject to legal challenges, and there is no assurance that we can satisfy or rely on these measures to lawfully transfer personal data to the United States.</w:t>
      </w:r>
    </w:p>
    <w:p>
      <w:pPr>
        <w:spacing w:after="0" w:line="190" w:lineRule="exact"/>
        <w:rPr>
          <w:sz w:val="20"/>
          <w:szCs w:val="20"/>
          <w:color w:val="auto"/>
        </w:rPr>
      </w:pPr>
    </w:p>
    <w:p>
      <w:pPr>
        <w:ind w:left="40" w:right="79"/>
        <w:spacing w:after="0" w:line="248" w:lineRule="auto"/>
        <w:rPr>
          <w:sz w:val="20"/>
          <w:szCs w:val="20"/>
          <w:color w:val="auto"/>
        </w:rPr>
      </w:pPr>
      <w:r>
        <w:rPr>
          <w:rFonts w:ascii="Arial" w:cs="Arial" w:eastAsia="Arial" w:hAnsi="Arial"/>
          <w:sz w:val="17"/>
          <w:szCs w:val="17"/>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5"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The EU has also proposed a Regulation on Privacy and Electronic Communications (“ePrivacy Regulation”) which, if adopted, would impose new obligations on the use of personal data in the context of electronic communications, particularly with respect to online tracking technologies and direct marketing. Additionally, the EU adopted the EU Clinical Trials Regulation, which came into effect on January 31, 2022. This regulation imposes new obligations on the use of data generated from clinical trials and enables European patients to have the opportunity to access information about clinical trials.</w:t>
      </w:r>
    </w:p>
    <w:p>
      <w:pPr>
        <w:spacing w:after="0" w:line="192" w:lineRule="exact"/>
        <w:rPr>
          <w:sz w:val="20"/>
          <w:szCs w:val="20"/>
          <w:color w:val="auto"/>
        </w:rPr>
      </w:pPr>
    </w:p>
    <w:p>
      <w:pPr>
        <w:ind w:left="40" w:right="219"/>
        <w:spacing w:after="0" w:line="234" w:lineRule="auto"/>
        <w:rPr>
          <w:sz w:val="20"/>
          <w:szCs w:val="20"/>
          <w:color w:val="auto"/>
        </w:rPr>
      </w:pPr>
      <w:r>
        <w:rPr>
          <w:rFonts w:ascii="Arial" w:cs="Arial" w:eastAsia="Arial" w:hAnsi="Arial"/>
          <w:sz w:val="18"/>
          <w:szCs w:val="18"/>
          <w:color w:val="auto"/>
        </w:rPr>
        <w:t>The Cayman Islands Data Protection Act imposes obligations on data controllers in relation to the processing of personal data, and also introduced rights for data subjects (which may be subject to various exemptions), including, among others: (a) personal data must be processed fairly and on the basis of one of the grounds for processing as set out in the Data Protection Act; (b) personal data must be obtained for a specified lawful purpose; (c) personal data must be adequate, relevant and not excessive in relation to the purpose for which it was processed; (d) personal data must be accurate and, where necessary, kept up to date; (e) personal data must not be kept for longer than is necessary; (f) personal data must be processed in accordance with the rights of the data subject; (g) appropriate technical and organizational security measures must be taken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40" w:right="99"/>
        <w:spacing w:after="0"/>
        <w:rPr>
          <w:sz w:val="20"/>
          <w:szCs w:val="20"/>
          <w:color w:val="auto"/>
        </w:rPr>
      </w:pPr>
      <w:r>
        <w:rPr>
          <w:rFonts w:ascii="Arial" w:cs="Arial" w:eastAsia="Arial" w:hAnsi="Arial"/>
          <w:sz w:val="18"/>
          <w:szCs w:val="18"/>
          <w:color w:val="auto"/>
        </w:rPr>
        <w:t>prevent unauthorized or unlawful processing, accidental loss or destruction of personal data; and (h) the personal data may not be transferred to a country unless that country ensures an adequate level of protection for the rights and freedoms of data subjects.</w:t>
      </w:r>
    </w:p>
    <w:p>
      <w:pPr>
        <w:spacing w:after="0" w:line="189" w:lineRule="exact"/>
        <w:rPr>
          <w:sz w:val="20"/>
          <w:szCs w:val="20"/>
          <w:color w:val="auto"/>
        </w:rPr>
      </w:pPr>
    </w:p>
    <w:p>
      <w:pPr>
        <w:ind w:left="40" w:right="139"/>
        <w:spacing w:after="0" w:line="233" w:lineRule="auto"/>
        <w:rPr>
          <w:sz w:val="20"/>
          <w:szCs w:val="20"/>
          <w:color w:val="auto"/>
        </w:rPr>
      </w:pPr>
      <w:r>
        <w:rPr>
          <w:rFonts w:ascii="Arial" w:cs="Arial" w:eastAsia="Arial" w:hAnsi="Arial"/>
          <w:sz w:val="18"/>
          <w:szCs w:val="18"/>
          <w:color w:val="auto"/>
        </w:rPr>
        <w:t>In recent years, authorities of the PRC have promulgated certain laws and regulations in respect of information security, data collection and privacy protection regulations in the PRC, including the Cybersecurity Law of the PRC, the Provisions on Protection of Personal Information of Telecommunication and Internet Users, the Data Security Law of the PRC which became effective from September 1, 2021, and the Personal Information Protection Law of the PRC which became effective from November 1, 2021. Under the Personal Information Protection Law of the PRC, in case of any personal information processing, such individual prior consent shall be obtained, unless other circumstances clearly mentioned therein to the contrary. Further, any data processing activities in relation to the sensitive personal information such as biometrics, medical health and personal information of teenagers under fourteen years old are not allowed unless such activities have a specific purpose, are highly necessary and have taken strictly protective measures.</w:t>
      </w:r>
    </w:p>
    <w:p>
      <w:pPr>
        <w:spacing w:after="0" w:line="195"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In addition to data privacy and security laws, we contractually may be subject to industry standards adopted by industry groups and may become subject to such obligations in the future. We are also bound by contractual obligations related to data privacy and security, and our efforts to comply with such obligations may not be successful. In particular, compliance with U.S. and foreign data protection laws and regulations could require us to take on more onerous obligations in our contracts, increase our costs of legal compliance, restrict our ability to collect, use and disclose data, or in some cases, impact our or our partners’ suppliers’ ability to operate in certain jurisdictions. Our or our service providers’ and vendors’ actual or perceived failure to comply with U.S. and foreign data protection laws and regulations could result in threatened or actual government investigations and/or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or our third party service providers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99"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spacing w:after="0" w:line="178" w:lineRule="exact"/>
        <w:rPr>
          <w:sz w:val="20"/>
          <w:szCs w:val="20"/>
          <w:color w:val="auto"/>
        </w:rPr>
      </w:pPr>
    </w:p>
    <w:p>
      <w:pPr>
        <w:ind w:left="40" w:right="359"/>
        <w:spacing w:after="0" w:line="278" w:lineRule="auto"/>
        <w:rPr>
          <w:sz w:val="20"/>
          <w:szCs w:val="20"/>
          <w:color w:val="auto"/>
        </w:rPr>
      </w:pPr>
      <w:r>
        <w:rPr>
          <w:rFonts w:ascii="Arial" w:cs="Arial" w:eastAsia="Arial" w:hAnsi="Arial"/>
          <w:sz w:val="18"/>
          <w:szCs w:val="18"/>
          <w:b w:val="1"/>
          <w:bCs w:val="1"/>
          <w:i w:val="1"/>
          <w:iCs w:val="1"/>
          <w:color w:val="auto"/>
        </w:rPr>
        <w:t>There is tax risk associated with the reporting of cross-border arrangements and activities between us and our subsidiaries.</w:t>
      </w:r>
    </w:p>
    <w:p>
      <w:pPr>
        <w:spacing w:after="0" w:line="141" w:lineRule="exact"/>
        <w:rPr>
          <w:sz w:val="20"/>
          <w:szCs w:val="20"/>
          <w:color w:val="auto"/>
        </w:rPr>
      </w:pPr>
    </w:p>
    <w:p>
      <w:pPr>
        <w:ind w:left="40" w:right="139"/>
        <w:spacing w:after="0" w:line="249" w:lineRule="auto"/>
        <w:rPr>
          <w:sz w:val="20"/>
          <w:szCs w:val="20"/>
          <w:color w:val="auto"/>
        </w:rPr>
      </w:pPr>
      <w:r>
        <w:rPr>
          <w:rFonts w:ascii="Arial" w:cs="Arial" w:eastAsia="Arial" w:hAnsi="Arial"/>
          <w:sz w:val="17"/>
          <w:szCs w:val="17"/>
          <w:color w:val="auto"/>
        </w:rPr>
        <w:t>We are incorporated under the laws of the Cayman Islands and currently have subsidiaries in Mainland China, Hong Kong, Australia, the Cayman Islands and the United States.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88"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78" w:lineRule="exact"/>
        <w:rPr>
          <w:sz w:val="20"/>
          <w:szCs w:val="20"/>
          <w:color w:val="auto"/>
        </w:rPr>
      </w:pPr>
    </w:p>
    <w:p>
      <w:pPr>
        <w:ind w:left="40" w:right="839"/>
        <w:spacing w:after="0" w:line="278"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41"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83" w:lineRule="exact"/>
        <w:rPr>
          <w:sz w:val="20"/>
          <w:szCs w:val="20"/>
          <w:color w:val="auto"/>
        </w:rPr>
      </w:pPr>
    </w:p>
    <w:p>
      <w:pPr>
        <w:ind w:left="40" w:right="119"/>
        <w:spacing w:after="0" w:line="278"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141" w:lineRule="exact"/>
        <w:rPr>
          <w:sz w:val="20"/>
          <w:szCs w:val="20"/>
          <w:color w:val="auto"/>
        </w:rPr>
      </w:pPr>
    </w:p>
    <w:p>
      <w:pPr>
        <w:ind w:left="40" w:right="79"/>
        <w:spacing w:after="0" w:line="247" w:lineRule="auto"/>
        <w:rPr>
          <w:sz w:val="20"/>
          <w:szCs w:val="20"/>
          <w:color w:val="auto"/>
        </w:rPr>
      </w:pPr>
      <w:r>
        <w:rPr>
          <w:rFonts w:ascii="Arial" w:cs="Arial" w:eastAsia="Arial" w:hAnsi="Arial"/>
          <w:sz w:val="17"/>
          <w:szCs w:val="17"/>
          <w:color w:val="auto"/>
        </w:rPr>
        <w:t>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instance, the recently enacted Inflation Reduction Act (“IRA”) imposes, among other rules, a 15% minimum tax on the book income of certain large corporations and a 1% excise tax on certain corporate stock repurchases. The Tax Cuts and Jobs Act of 2017 (“TCJA”), as amended by the Coronavirus Aid, Relief, and Economic Security Act significantly reformed the United States Internal Revenue Code of 1986, as amended (the “Code”), by lowering U.S. federal corporate income tax rates, changing the utilization of future net operating loss (“NOL”) carryforwards, permitting for the expensing of certain capital expenditures, eliminating the option to currently deduct research and development expenditures and requiring taxpayers to capitalize and amortize U.S.-based and non-U.S.-based research and development expenditures over five and fifteen years, respectively. and putting into effect significant changes to U.S. taxation of international business activities. The IRA, TCJA, or any future tax reform legislation could have a material impact on the value of our deferred tax assets, result in significant one-time charges, and increase our future tax expenses.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Doing Business in China and Our International Operations</w:t>
      </w:r>
    </w:p>
    <w:p>
      <w:pPr>
        <w:spacing w:after="0" w:line="205" w:lineRule="exact"/>
        <w:rPr>
          <w:sz w:val="20"/>
          <w:szCs w:val="20"/>
          <w:color w:val="auto"/>
        </w:rPr>
      </w:pPr>
    </w:p>
    <w:p>
      <w:pPr>
        <w:jc w:val="both"/>
        <w:ind w:left="40" w:right="179"/>
        <w:spacing w:after="0" w:line="254" w:lineRule="auto"/>
        <w:rPr>
          <w:sz w:val="20"/>
          <w:szCs w:val="20"/>
          <w:color w:val="auto"/>
        </w:rPr>
      </w:pPr>
      <w:r>
        <w:rPr>
          <w:rFonts w:ascii="Arial" w:cs="Arial" w:eastAsia="Arial" w:hAnsi="Arial"/>
          <w:sz w:val="18"/>
          <w:szCs w:val="18"/>
          <w:b w:val="1"/>
          <w:bCs w:val="1"/>
          <w:i w:val="1"/>
          <w:iCs w:val="1"/>
          <w:color w:val="auto"/>
        </w:rPr>
        <w:t>Changes in the political and economic policies of the Chinese government or in relations between China and the United States may affect our business, financial condition, results of operations and the market price of our ADSs.</w:t>
      </w:r>
    </w:p>
    <w:p>
      <w:pPr>
        <w:spacing w:after="0" w:line="163" w:lineRule="exact"/>
        <w:rPr>
          <w:sz w:val="20"/>
          <w:szCs w:val="20"/>
          <w:color w:val="auto"/>
        </w:rPr>
      </w:pPr>
    </w:p>
    <w:p>
      <w:pPr>
        <w:ind w:left="40" w:right="119"/>
        <w:spacing w:after="0" w:line="232" w:lineRule="auto"/>
        <w:rPr>
          <w:sz w:val="20"/>
          <w:szCs w:val="20"/>
          <w:color w:val="auto"/>
        </w:rPr>
      </w:pPr>
      <w:r>
        <w:rPr>
          <w:rFonts w:ascii="Arial" w:cs="Arial" w:eastAsia="Arial" w:hAnsi="Arial"/>
          <w:sz w:val="18"/>
          <w:szCs w:val="18"/>
          <w:color w:val="auto"/>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There is significant uncertainty about the future relationship between the United States and China with respect to trade policies, treaties, government regulations and tariffs. China’s economy differs from the economies of developed countries in many respects, including with respect to the amount of government involvement, level of development, growth rate, control of foreign exchange and allocation of resources. While China’s economy has experienced significant growth over the past four decades, growth has been uneven across different regions and among various economic sectors. The Chinese government has implemented various measures to encourage economic development and guide the allocation of resources. Some of these measures may benefit the overall Chinese economy, but may have a negative effect on us. For example, our financial condition and results of operations may be affected by government control over capital investments or changes in tax regulations that are currently applicable to us. In addition, in the past, the Chinese government implemented certain measures, including interest rate increases, to control the pace of economic growth. These measures may cause a decrease in economic activity in China, which may affect our business and results of operations. In July 2021, the Chinese government provided new guidance on China-based companies raising capital outside of China, including through arrangements called variable interest entities (“VIEs”). In light of such developments, the SEC has imposed enhanced disclosure requirements on China-based companies seeking to register securities with the SEC. Although we do not have a VIE structure,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governments deteriorate and geopolitical tensions between China and the United States increase, the Chinese government may intervene with our operations and our business in China and United States, as well as the market price of our ADSs, may also be affected.</w:t>
      </w:r>
    </w:p>
    <w:p>
      <w:pPr>
        <w:spacing w:after="0" w:line="181" w:lineRule="exact"/>
        <w:rPr>
          <w:sz w:val="20"/>
          <w:szCs w:val="20"/>
          <w:color w:val="auto"/>
        </w:rPr>
      </w:pPr>
    </w:p>
    <w:p>
      <w:pPr>
        <w:ind w:left="40" w:right="79"/>
        <w:spacing w:after="0" w:line="278" w:lineRule="auto"/>
        <w:rPr>
          <w:sz w:val="20"/>
          <w:szCs w:val="20"/>
          <w:color w:val="auto"/>
        </w:rPr>
      </w:pPr>
      <w:r>
        <w:rPr>
          <w:rFonts w:ascii="Arial" w:cs="Arial" w:eastAsia="Arial" w:hAnsi="Arial"/>
          <w:sz w:val="18"/>
          <w:szCs w:val="18"/>
          <w:b w:val="1"/>
          <w:bCs w:val="1"/>
          <w:i w:val="1"/>
          <w:iCs w:val="1"/>
          <w:color w:val="auto"/>
        </w:rPr>
        <w:t>The Chinese government may intervene in or influence our operations at any time, which could result in a change in our operations and impact the value of our ADSs.</w:t>
      </w:r>
    </w:p>
    <w:p>
      <w:pPr>
        <w:spacing w:after="0" w:line="141" w:lineRule="exact"/>
        <w:rPr>
          <w:sz w:val="20"/>
          <w:szCs w:val="20"/>
          <w:color w:val="auto"/>
        </w:rPr>
      </w:pPr>
    </w:p>
    <w:p>
      <w:pPr>
        <w:ind w:left="40" w:right="59"/>
        <w:spacing w:after="0" w:line="232" w:lineRule="auto"/>
        <w:rPr>
          <w:sz w:val="20"/>
          <w:szCs w:val="20"/>
          <w:color w:val="auto"/>
        </w:rPr>
      </w:pPr>
      <w:r>
        <w:rPr>
          <w:rFonts w:ascii="Arial" w:cs="Arial" w:eastAsia="Arial" w:hAnsi="Arial"/>
          <w:sz w:val="18"/>
          <w:szCs w:val="18"/>
          <w:color w:val="auto"/>
        </w:rPr>
        <w:t>The Chinese government has some oversight and discretion over the conduct of our business and may intervene or influence our operations as the government deems appropriate to further regulatory, political and societal goals. 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Chinese authorities to continue to operate our business that could potentially affect our business, financial condition and results of operations. Furthermore, recent statements made by the Chinese government, including the Opinions on Strictly Cracking Down Illegal Securities Activities in Accordance with the Law published on July 6, 2021, and a new set of regulations consisting of the Trial Administrative Measures of Overseas Securities Offering and Listing by Domestic Companies (the “Trial Measures”) and five supporting guidelines published on February 17, have indicated an intent to increase the government’s oversight and control over offerings of companies with certain amount of operations in China that are to be conducted in foreign markets, as well as foreign investment in certain qualified issuers. If we were to become subject to the direct intervention or influence of the Chinese government at any time due to changes in laws or other unforeseeable reasons, it may require a material change in our operations and/or the value of our ADSs.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319"/>
        <w:spacing w:after="0" w:line="278" w:lineRule="auto"/>
        <w:rPr>
          <w:sz w:val="20"/>
          <w:szCs w:val="20"/>
          <w:color w:val="auto"/>
        </w:rPr>
      </w:pPr>
      <w:r>
        <w:rPr>
          <w:rFonts w:ascii="Arial" w:cs="Arial" w:eastAsia="Arial" w:hAnsi="Arial"/>
          <w:sz w:val="18"/>
          <w:szCs w:val="18"/>
          <w:b w:val="1"/>
          <w:bCs w:val="1"/>
          <w:i w:val="1"/>
          <w:iCs w:val="1"/>
          <w:color w:val="auto"/>
        </w:rPr>
        <w:t>Changes in U.S. and Chinese regulations may impact our business, our operating results, our ability to raise capital and the market price of our ADSs.</w:t>
      </w:r>
    </w:p>
    <w:p>
      <w:pPr>
        <w:spacing w:after="0" w:line="141"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drug products, the hiring of scientists and other research and development personnel, the demand for our drug products, the import or export of raw materials in relation to drug development, our ability to raise capital, the market price of our ADSs or prevent us from selling our drug products in certain countries. Furthermore, the SEC has issued statements primarily focused on companies with certain operations based in China,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certain operations based in China. The statement also addressed risks inherent in companies with VIE structures. We do not have a VIE structure and are not in an industry that is subject to foreign ownership limitations by China. However, it is possible that our periodic reports and other filings with the SEC may be subject to enhanced review by the SEC and this additional scrutiny could affect our ability to effectively raise capital in the United States.</w:t>
      </w:r>
    </w:p>
    <w:p>
      <w:pPr>
        <w:spacing w:after="0" w:line="194" w:lineRule="exact"/>
        <w:rPr>
          <w:sz w:val="20"/>
          <w:szCs w:val="20"/>
          <w:color w:val="auto"/>
        </w:rPr>
      </w:pPr>
    </w:p>
    <w:p>
      <w:pPr>
        <w:ind w:left="40" w:right="259"/>
        <w:spacing w:after="0" w:line="234" w:lineRule="auto"/>
        <w:rPr>
          <w:sz w:val="20"/>
          <w:szCs w:val="20"/>
          <w:color w:val="auto"/>
        </w:rPr>
      </w:pPr>
      <w:r>
        <w:rPr>
          <w:rFonts w:ascii="Arial" w:cs="Arial" w:eastAsia="Arial" w:hAnsi="Arial"/>
          <w:sz w:val="18"/>
          <w:szCs w:val="18"/>
          <w:color w:val="auto"/>
        </w:rPr>
        <w:t>In response to the SEC’s July 30, 2021 statement, the China Securities Regulatory Commission (“CSRC”) announced on August 1, 2021, that “[i]t is our belief that Chinese and U.S. regulators shall continue to enhance communication with the principle of mutual respect and cooperation, and properly address the issues related to the supervision of China-based companies listed in the U.S. so as to form stable policy expectations and create benign rules framework for the market.” While the CSRC will continue to collaborate “closely with different stakeholders including investors, companies, and relevant authorities to further promote transparency and certainty of policies and implementing measures,” it emphasized that it “has always been open to companies’ choices to list their securities on international or domestic markets in compliance with relevant laws and regulations.”</w:t>
      </w:r>
    </w:p>
    <w:p>
      <w:pPr>
        <w:spacing w:after="0" w:line="189" w:lineRule="exact"/>
        <w:rPr>
          <w:sz w:val="20"/>
          <w:szCs w:val="20"/>
          <w:color w:val="auto"/>
        </w:rPr>
      </w:pPr>
    </w:p>
    <w:p>
      <w:pPr>
        <w:ind w:left="40" w:right="199"/>
        <w:spacing w:after="0" w:line="236" w:lineRule="auto"/>
        <w:rPr>
          <w:sz w:val="20"/>
          <w:szCs w:val="20"/>
          <w:color w:val="auto"/>
        </w:rPr>
      </w:pPr>
      <w:r>
        <w:rPr>
          <w:rFonts w:ascii="Arial" w:cs="Arial" w:eastAsia="Arial" w:hAnsi="Arial"/>
          <w:sz w:val="18"/>
          <w:szCs w:val="18"/>
          <w:color w:val="auto"/>
        </w:rPr>
        <w:t>If any new legislation, executive orders, tariffs, laws and/or regulations are implemented, if existing trade agreements are renegotiated, if the U.S. or Chinese governments take retaliatory actions due to the recent U.S.-China tension or if the Chinese government exerts more oversight and control over securities offerings that are conducted in the United States, such changes could have an adverse effect on our business, financial condition and results of operations, our ability to raise capital and the market price of our ADSs.</w:t>
      </w:r>
    </w:p>
    <w:p>
      <w:pPr>
        <w:spacing w:after="0" w:line="181" w:lineRule="exact"/>
        <w:rPr>
          <w:sz w:val="20"/>
          <w:szCs w:val="20"/>
          <w:color w:val="auto"/>
        </w:rPr>
      </w:pPr>
    </w:p>
    <w:p>
      <w:pPr>
        <w:ind w:left="40" w:right="159"/>
        <w:spacing w:after="0" w:line="246" w:lineRule="auto"/>
        <w:rPr>
          <w:sz w:val="20"/>
          <w:szCs w:val="20"/>
          <w:color w:val="auto"/>
        </w:rPr>
      </w:pPr>
      <w:r>
        <w:rPr>
          <w:rFonts w:ascii="Arial" w:cs="Arial" w:eastAsia="Arial" w:hAnsi="Arial"/>
          <w:sz w:val="18"/>
          <w:szCs w:val="18"/>
          <w:b w:val="1"/>
          <w:bCs w:val="1"/>
          <w:i w:val="1"/>
          <w:iCs w:val="1"/>
          <w:color w:val="auto"/>
        </w:rPr>
        <w:t>Compliance with China’s new Data Security Law, Cyber Security Law, Cybersecurity Review Measures, Personal Information Protection Law, regulations and guidelines relating to the multi-level protection scheme on cyber security and any other future laws and regulations may entail significant expenses and could affect our business.</w:t>
      </w:r>
    </w:p>
    <w:p>
      <w:pPr>
        <w:spacing w:after="0" w:line="171" w:lineRule="exact"/>
        <w:rPr>
          <w:sz w:val="20"/>
          <w:szCs w:val="20"/>
          <w:color w:val="auto"/>
        </w:rPr>
      </w:pPr>
    </w:p>
    <w:p>
      <w:pPr>
        <w:ind w:left="40" w:right="139"/>
        <w:spacing w:after="0" w:line="253" w:lineRule="auto"/>
        <w:rPr>
          <w:sz w:val="20"/>
          <w:szCs w:val="20"/>
          <w:color w:val="auto"/>
        </w:rPr>
      </w:pPr>
      <w:r>
        <w:rPr>
          <w:rFonts w:ascii="Arial" w:cs="Arial" w:eastAsia="Arial" w:hAnsi="Arial"/>
          <w:sz w:val="17"/>
          <w:szCs w:val="17"/>
          <w:color w:val="auto"/>
        </w:rPr>
        <w:t>China has implemented or will implement rules and is considering a number of additional proposals relating to data protection. China’s new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47" w:lineRule="auto"/>
        <w:rPr>
          <w:sz w:val="20"/>
          <w:szCs w:val="20"/>
          <w:color w:val="auto"/>
        </w:rPr>
      </w:pPr>
      <w:r>
        <w:rPr>
          <w:rFonts w:ascii="Arial" w:cs="Arial" w:eastAsia="Arial" w:hAnsi="Arial"/>
          <w:sz w:val="17"/>
          <w:szCs w:val="17"/>
          <w:color w:val="auto"/>
        </w:rPr>
        <w:t>Additionally, China’s Cyber Security Law, promulgated by the Standing Committee of the National People’s Congress in November 2016 and came into effect in June 2017, and the Administrative Measures for the Hierarchical Protection of Information Security promulgated by the Ministry of Public Security, National Administration of State Secrets Protection, State Cryptography Administration and other government authority in June 2007,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83"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Recently, the Cyberspace Administration of China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the Cybersecurity Review Measures, which are aimed at “preventing national data security risks, maintaining national security and safeguarding public interests.”</w:t>
      </w:r>
    </w:p>
    <w:p>
      <w:pPr>
        <w:spacing w:after="0" w:line="192"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On July 10, 2021, the CAC published a draft revision to the existing Cybersecurity Review Measures for public comment (the “Revised Draft CAC Measures”). On January 4, 2022, together with 12 other Chinese regulatory authorities, the CAC released the final version of the Revised Draft CAC Measures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(the “Draft Management Regulations”), under which data processors refer to individuals and organizations who determine the data processing activities in terms of the purpose and methods at their discretion. The Draft Management Regulations reiterate that data processors shall be subject to cybersecurity review if (i) they process personal information of more than one million persons and they are aiming to list on foreign stock markets, or (ii) their data processing activities affect or may affect Chinese national security. The Draft Management Regulations also request data processors seeking to list on foreign stock markets to annually assess their data security by themselves or through data security service organizations, and submit the assessment reports to relevant competent authorities. As the Draft Management Regulations are released only for public comment, the final version and the effective date thereof is subject to change.</w:t>
      </w:r>
    </w:p>
    <w:p>
      <w:pPr>
        <w:spacing w:after="0" w:line="196" w:lineRule="exact"/>
        <w:rPr>
          <w:sz w:val="20"/>
          <w:szCs w:val="20"/>
          <w:color w:val="auto"/>
        </w:rPr>
      </w:pPr>
    </w:p>
    <w:p>
      <w:pPr>
        <w:ind w:left="40" w:right="179"/>
        <w:spacing w:after="0" w:line="234" w:lineRule="auto"/>
        <w:rPr>
          <w:sz w:val="20"/>
          <w:szCs w:val="20"/>
          <w:color w:val="auto"/>
        </w:rPr>
      </w:pPr>
      <w:r>
        <w:rPr>
          <w:rFonts w:ascii="Arial" w:cs="Arial" w:eastAsia="Arial" w:hAnsi="Arial"/>
          <w:sz w:val="18"/>
          <w:szCs w:val="18"/>
          <w:color w:val="auto"/>
        </w:rPr>
        <w:t>As of the date of this Quarterly Report, we have not received any notice from any Chinese regulatory authority identifying us as a “critical information infrastructure operator,” “online platform operator” or “data processor,” or requiring us to go through the cybersecurity review procedures pursuant to the Revised CAC Measures and the Draft Management Regulations. Based on our understanding of the Revised CAC Measures, and the Draft Management Regulations if enacted as currently proposed, we do not expect to become subject to cybersecurity review by the CAC for issuing securities to foreign investors because: (i) the clinical and preclinical data we handle in our business operations, either by its nature or in scale, do not normally trigger significant concerns over PRC national security; and (ii) we have not processed, and do not anticipate to process in the foreseeable future, personal information for more than one million users 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persons. However, there remains uncertainty as to how the Revised CAC Measures, and the Draft Management Regulations if enacted as currently proposed, will be interpreted or implemented; for example, neither the Revised CAC Measures nor the Draft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Draft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Draft Management Regulations or other laws and regulations related to privacy, data protection and information security.</w:t>
      </w:r>
    </w:p>
    <w:p>
      <w:pPr>
        <w:spacing w:after="0" w:line="193" w:lineRule="exact"/>
        <w:rPr>
          <w:sz w:val="20"/>
          <w:szCs w:val="20"/>
          <w:color w:val="auto"/>
        </w:rPr>
      </w:pPr>
    </w:p>
    <w:p>
      <w:pPr>
        <w:ind w:left="40" w:right="139"/>
        <w:spacing w:after="0" w:line="247" w:lineRule="auto"/>
        <w:rPr>
          <w:sz w:val="20"/>
          <w:szCs w:val="20"/>
          <w:color w:val="auto"/>
        </w:rPr>
      </w:pPr>
      <w:r>
        <w:rPr>
          <w:rFonts w:ascii="Arial" w:cs="Arial" w:eastAsia="Arial" w:hAnsi="Arial"/>
          <w:sz w:val="17"/>
          <w:szCs w:val="17"/>
          <w:color w:val="auto"/>
        </w:rPr>
        <w:t>Also, the National People’s Congress released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 We do not maintain, nor do we intend to maintain in the future, personally identifiable health information of patients in China.</w:t>
      </w:r>
    </w:p>
    <w:p>
      <w:pPr>
        <w:spacing w:after="0" w:line="185" w:lineRule="exact"/>
        <w:rPr>
          <w:sz w:val="20"/>
          <w:szCs w:val="20"/>
          <w:color w:val="auto"/>
        </w:rPr>
      </w:pPr>
    </w:p>
    <w:p>
      <w:pPr>
        <w:ind w:left="40" w:right="59"/>
        <w:spacing w:after="0" w:line="246" w:lineRule="auto"/>
        <w:rPr>
          <w:sz w:val="20"/>
          <w:szCs w:val="20"/>
          <w:color w:val="auto"/>
        </w:rPr>
      </w:pPr>
      <w:r>
        <w:rPr>
          <w:rFonts w:ascii="Arial" w:cs="Arial" w:eastAsia="Arial" w:hAnsi="Arial"/>
          <w:sz w:val="17"/>
          <w:szCs w:val="17"/>
          <w:color w:val="auto"/>
        </w:rPr>
        <w:t>In addition, certain industry-specific laws and regulations affect the collection and transfer of data in the PRC. The Regulations on the Administration of Human Genetic Resources of the PRC (the “HGR Regulation”) was promulgated by the State Council in May 2019 and came into effect in July 2019.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October 2020, the SCNPC promulgated the Biosecurity Law of the PRC, which reaffirms the regulatory requirements stipulated by the HGR Regulation while potentially increasing the administrative sanctions where China’s human genetic resources are collected, preserved, exported or used in international cooperation in violation of applicable laws. In May 2023, the Ministry of Science and Technology published the Implementing Rules for the Regulations on the Administration of Human Genetic Resources (the “HGR Implementing Rules”) which came into effect in July 2023. The HGR Implementing Rules have, among other things, further clarified the scope of China’s human genetic resources information, improved the procedure rules for applicable approval, filing and security review, and refined the provisions with respect to the forbiddance on the collection, preservation and export of China’s human genetic resources by foreign organizations, individuals, and the entities established or actually controlled by foreign organizations or individuals. There remain significant uncertainties as to how various provisions of the HGR Regulation and the related laws and regulations may be interpreted and implemented. Given such uncertainty, although we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6" w:lineRule="auto"/>
        <w:rPr>
          <w:sz w:val="20"/>
          <w:szCs w:val="20"/>
          <w:color w:val="auto"/>
        </w:rPr>
      </w:pPr>
      <w:r>
        <w:rPr>
          <w:rFonts w:ascii="Arial" w:cs="Arial" w:eastAsia="Arial" w:hAnsi="Arial"/>
          <w:sz w:val="18"/>
          <w:szCs w:val="18"/>
          <w:color w:val="auto"/>
        </w:rPr>
        <w:t>have made great efforts to comply with mandatory requirements of laws and government authorities in this regard, we cannot assure you that we will be deemed at all times in full compliance with the HGR Regulation, the Biosecurity Law of the PRC, the HGR Implementing Rules and other applicable laws in our utilizing of and dealing with China’s human genetic resources. As a result, we may be exposed to compliance risks under the HGR Regulation, the Biosecurity Law of the PRC and the HGR Implementing Rules.</w:t>
      </w:r>
    </w:p>
    <w:p>
      <w:pPr>
        <w:spacing w:after="0" w:line="191"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Interpretation, application and enforcement of these laws, rules and regulations evolve from time to time and their scope may continually change, through new legislation, amendments to existing legislation or changes in enforcement. Compliance with China’s new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Revised CAC Measures and the recent Chinese government actions could adversely affect our ability, on favorable terms, to raise capital, including engaging in follow-on offerings of our securities in the U.S. market.</w:t>
      </w:r>
    </w:p>
    <w:p>
      <w:pPr>
        <w:spacing w:after="0" w:line="185" w:lineRule="exact"/>
        <w:rPr>
          <w:sz w:val="20"/>
          <w:szCs w:val="20"/>
          <w:color w:val="auto"/>
        </w:rPr>
      </w:pPr>
    </w:p>
    <w:p>
      <w:pPr>
        <w:ind w:left="40" w:right="99"/>
        <w:spacing w:after="0" w:line="246" w:lineRule="auto"/>
        <w:rPr>
          <w:sz w:val="20"/>
          <w:szCs w:val="20"/>
          <w:color w:val="auto"/>
        </w:rPr>
      </w:pPr>
      <w:r>
        <w:rPr>
          <w:rFonts w:ascii="Arial" w:cs="Arial" w:eastAsia="Arial" w:hAnsi="Arial"/>
          <w:sz w:val="18"/>
          <w:szCs w:val="18"/>
          <w:b w:val="1"/>
          <w:bCs w:val="1"/>
          <w:i w:val="1"/>
          <w:iCs w:val="1"/>
          <w:color w:val="auto"/>
        </w:rPr>
        <w:t>The approval of, filing or other procedures with the CSRC or other Chinese regulatory authorities may be required in connection with issuing securities to foreign investors under Chinese law, and, if required, we cannot predict whether we will be able, or how long it will take us, to obtain such approval or complete such filing or other procedures.</w:t>
      </w:r>
    </w:p>
    <w:p>
      <w:pPr>
        <w:spacing w:after="0" w:line="171" w:lineRule="exact"/>
        <w:rPr>
          <w:sz w:val="20"/>
          <w:szCs w:val="20"/>
          <w:color w:val="auto"/>
        </w:rPr>
      </w:pPr>
    </w:p>
    <w:p>
      <w:pPr>
        <w:ind w:left="40" w:right="119"/>
        <w:spacing w:after="0" w:line="253" w:lineRule="auto"/>
        <w:rPr>
          <w:sz w:val="20"/>
          <w:szCs w:val="20"/>
          <w:color w:val="auto"/>
        </w:rPr>
      </w:pPr>
      <w:r>
        <w:rPr>
          <w:rFonts w:ascii="Arial" w:cs="Arial" w:eastAsia="Arial" w:hAnsi="Arial"/>
          <w:sz w:val="17"/>
          <w:szCs w:val="17"/>
          <w:color w:val="auto"/>
        </w:rPr>
        <w:t>The Regulations on Mergers and Acquisitions of Domestic Enterprises by Foreign Investors (the “M&amp;A Rules”) purport to require offshore special purpose vehicles that are controlled by Chinese companies or individuals and that have been formed for the purpose of seeking a public listing on an overseas stock exchange through acquisitions of Chinese domestic companies or assets in exchange for the shares of the offshore special purpose vehicles shall obtain CSRC approval prior to publicly listing their securities on an overseas stock exchange.</w:t>
      </w:r>
    </w:p>
    <w:p>
      <w:pPr>
        <w:spacing w:after="0" w:line="178" w:lineRule="exact"/>
        <w:rPr>
          <w:sz w:val="20"/>
          <w:szCs w:val="20"/>
          <w:color w:val="auto"/>
        </w:rPr>
      </w:pPr>
    </w:p>
    <w:p>
      <w:pPr>
        <w:ind w:left="40" w:right="59"/>
        <w:spacing w:after="0" w:line="236" w:lineRule="auto"/>
        <w:rPr>
          <w:sz w:val="20"/>
          <w:szCs w:val="20"/>
          <w:color w:val="auto"/>
        </w:rPr>
      </w:pPr>
      <w:r>
        <w:rPr>
          <w:rFonts w:ascii="Arial" w:cs="Arial" w:eastAsia="Arial" w:hAnsi="Arial"/>
          <w:sz w:val="18"/>
          <w:szCs w:val="18"/>
          <w:color w:val="auto"/>
        </w:rPr>
        <w:t>On July 6, 2021, the relevant Chinese government authorities published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spacing w:after="0" w:line="191"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Furthermore, on February 17, 2023, the CSRC promulgated a new set of regulations that consists of the Trial Measures and five supporting guidelines which came into effect on March 31, 2023 to regulate overseas securities offering and listing activities by domestic companies either in direct or indirect form. According to the Trial Measures, we may be required to submit filings to the CSRC in connection with future issuances of our equity securities to foreign investors. For more details, see the Part I. Item 1. “Business—Regulation—Other Significant Chinese Regulation Affecting Our Business Activities in China” of our Annual Report on Form 10-K for the year ended December 31,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46" w:lineRule="auto"/>
        <w:rPr>
          <w:sz w:val="20"/>
          <w:szCs w:val="20"/>
          <w:color w:val="auto"/>
        </w:rPr>
      </w:pPr>
      <w:r>
        <w:rPr>
          <w:rFonts w:ascii="Arial" w:cs="Arial" w:eastAsia="Arial" w:hAnsi="Arial"/>
          <w:sz w:val="17"/>
          <w:szCs w:val="17"/>
          <w:color w:val="auto"/>
        </w:rPr>
        <w:t>As of the date of this Quarterly Report, we have not received any inquiry, notice, warning or sanction regarding obtaining approval, completing filings or other procedures in connection with our previous issuances of securities to foreign investors from the CSRC or any other Chinese regulatory authorities that have jurisdiction over our operations. Based on the above and our understanding of the newly issued Trial Measures and the supporting guidelines, after they came into effect on March 31, 2023, we will not at once be required to submit an application to the CSRC for our previous issuances of securities to foreign investors, but if we intend to make any subsequent securities offering in the same overseas market, we may be required to submit filing with the CSRC within three working days after such subsequent securities offering is completed. However, there remains uncertainty as to the interpretation and implementation of regulatory requirements related to overseas securities offerings and other capital markets activities, and we cannot assure you that the relevant Chinese regulatory authorities, including the CSRC, would reach the same conclusion as us. If it is determined in the future that the approval of, filing or other procedure is required with the CSRC or any other regulatory authority is required for our previous issuances of securities to foreign investors, or if we are required to complete relevant procedures for our future issuances of securities to foreign investors, it is uncertain whether we will be able and how long it will take for us to obtain the approval or complete the filing or other procedure or obtain a waiver for such procedures, despite our best efforts.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 repatriation of the proceeds from securities offerings into China or take other actions that could have an adverse effect on our business, financial condition, results of operations and prospects, as well as the trading price of the ADSs. Any uncertainties and/or negative publicity regarding the aforementioned approval(s), filing or other procedure(s), the interpretation and implementation of existing laws and regulations, or any further laws, regulations or interpretations that may be released and enacted in the future could have a material adverse effect on the trading price of the ADSs.</w:t>
      </w:r>
    </w:p>
    <w:p>
      <w:pPr>
        <w:spacing w:after="0" w:line="375" w:lineRule="exact"/>
        <w:rPr>
          <w:sz w:val="20"/>
          <w:szCs w:val="20"/>
          <w:color w:val="auto"/>
        </w:rPr>
      </w:pPr>
    </w:p>
    <w:p>
      <w:pPr>
        <w:ind w:left="40" w:right="79"/>
        <w:spacing w:after="0" w:line="246" w:lineRule="auto"/>
        <w:rPr>
          <w:sz w:val="20"/>
          <w:szCs w:val="20"/>
          <w:color w:val="auto"/>
        </w:rPr>
      </w:pPr>
      <w:r>
        <w:rPr>
          <w:rFonts w:ascii="Arial" w:cs="Arial" w:eastAsia="Arial" w:hAnsi="Arial"/>
          <w:sz w:val="18"/>
          <w:szCs w:val="18"/>
          <w:b w:val="1"/>
          <w:bCs w:val="1"/>
          <w:i w:val="1"/>
          <w:iCs w:val="1"/>
          <w:color w:val="auto"/>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spacing w:after="0" w:line="171"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In particular, we are subject to many of these laws and regulations because our wholly-owned subsidiary, Basecamp Bio, through which we conduct our technology development and early discovery activities, operates primarily in China. Violation of applicable laws and regulations may materially and adversely affect our business.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299"/>
        <w:spacing w:after="0" w:line="278" w:lineRule="auto"/>
        <w:rPr>
          <w:sz w:val="20"/>
          <w:szCs w:val="20"/>
          <w:color w:val="auto"/>
        </w:rPr>
      </w:pPr>
      <w:r>
        <w:rPr>
          <w:rFonts w:ascii="Arial" w:cs="Arial" w:eastAsia="Arial" w:hAnsi="Arial"/>
          <w:sz w:val="18"/>
          <w:szCs w:val="18"/>
          <w:b w:val="1"/>
          <w:bCs w:val="1"/>
          <w:i w:val="1"/>
          <w:iCs w:val="1"/>
          <w:color w:val="auto"/>
        </w:rPr>
        <w:t>As a company with operations and business relationships outside of the United States, our business is subject to economic, political, regulatory and other risks associated with international operations.</w:t>
      </w:r>
    </w:p>
    <w:p>
      <w:pPr>
        <w:spacing w:after="0" w:line="141" w:lineRule="exact"/>
        <w:rPr>
          <w:sz w:val="20"/>
          <w:szCs w:val="20"/>
          <w:color w:val="auto"/>
        </w:rPr>
      </w:pPr>
    </w:p>
    <w:p>
      <w:pPr>
        <w:ind w:left="40" w:right="439"/>
        <w:spacing w:after="0" w:line="256" w:lineRule="auto"/>
        <w:rPr>
          <w:sz w:val="20"/>
          <w:szCs w:val="20"/>
          <w:color w:val="auto"/>
        </w:rPr>
      </w:pPr>
      <w:r>
        <w:rPr>
          <w:rFonts w:ascii="Arial" w:cs="Arial" w:eastAsia="Arial" w:hAnsi="Arial"/>
          <w:sz w:val="17"/>
          <w:szCs w:val="17"/>
          <w:color w:val="auto"/>
        </w:rPr>
        <w:t>As a company with operations in China, our business is subject to risks associated with conducting business outside the United States. In addition to our technology development and early discovery activities through Basecamp Bio in China, substantially all of our suppliers and clinical trial relationships are located outside the United States. Accordingly, our future results could be harmed by a variety of factors, including:</w:t>
      </w:r>
    </w:p>
    <w:p>
      <w:pPr>
        <w:spacing w:after="0" w:line="175" w:lineRule="exact"/>
        <w:rPr>
          <w:sz w:val="20"/>
          <w:szCs w:val="20"/>
          <w:color w:val="auto"/>
        </w:rPr>
      </w:pPr>
    </w:p>
    <w:p>
      <w:pPr>
        <w:ind w:left="720" w:right="619" w:hanging="326"/>
        <w:spacing w:after="0" w:line="25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and changing regulatory requirements for product approvals;</w:t>
      </w:r>
    </w:p>
    <w:p>
      <w:pPr>
        <w:spacing w:after="0" w:line="111" w:lineRule="exact"/>
        <w:rPr>
          <w:rFonts w:ascii="Arial" w:cs="Arial" w:eastAsia="Arial" w:hAnsi="Arial"/>
          <w:sz w:val="18"/>
          <w:szCs w:val="18"/>
          <w:color w:val="auto"/>
        </w:rPr>
      </w:pPr>
    </w:p>
    <w:p>
      <w:pPr>
        <w:ind w:left="720" w:right="519" w:hanging="326"/>
        <w:spacing w:after="0" w:line="25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jurisdictions could present different issues for securing, maintaining or obtaining freedom to operate in such jurisdictions;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11" w:lineRule="exact"/>
        <w:rPr>
          <w:rFonts w:ascii="Arial" w:cs="Arial" w:eastAsia="Arial" w:hAnsi="Arial"/>
          <w:sz w:val="18"/>
          <w:szCs w:val="18"/>
          <w:color w:val="auto"/>
        </w:rPr>
      </w:pPr>
    </w:p>
    <w:p>
      <w:pPr>
        <w:ind w:left="720" w:right="439" w:hanging="326"/>
        <w:spacing w:after="0" w:line="279" w:lineRule="auto"/>
        <w:tabs>
          <w:tab w:leader="none" w:pos="7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difficulties in compliance with different, complex and changing laws, regulations and court systems of multiple jurisdictions and compliance with a wide variety of foreign laws, treaties and regulations;</w:t>
      </w:r>
    </w:p>
    <w:p>
      <w:pPr>
        <w:spacing w:after="0" w:line="50" w:lineRule="exact"/>
        <w:rPr>
          <w:rFonts w:ascii="Arial" w:cs="Arial" w:eastAsia="Arial" w:hAnsi="Arial"/>
          <w:sz w:val="17"/>
          <w:szCs w:val="17"/>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non-U.S. currency exchange rates of the RMB;</w:t>
      </w:r>
    </w:p>
    <w:p>
      <w:pPr>
        <w:spacing w:after="0" w:line="111" w:lineRule="exact"/>
        <w:rPr>
          <w:rFonts w:ascii="Arial" w:cs="Arial" w:eastAsia="Arial" w:hAnsi="Arial"/>
          <w:sz w:val="18"/>
          <w:szCs w:val="18"/>
          <w:color w:val="auto"/>
        </w:rPr>
      </w:pPr>
    </w:p>
    <w:p>
      <w:pPr>
        <w:ind w:left="720" w:right="119"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increasing geopolitical tensions between the U.S. and China and changes in a specific country’s or region’s political or economic environment especially with respect to a particular country’s treatment of or stance towards other countries;</w:t>
      </w:r>
    </w:p>
    <w:p>
      <w:pPr>
        <w:spacing w:after="0" w:line="82" w:lineRule="exact"/>
        <w:rPr>
          <w:rFonts w:ascii="Arial" w:cs="Arial" w:eastAsia="Arial" w:hAnsi="Arial"/>
          <w:sz w:val="18"/>
          <w:szCs w:val="18"/>
          <w:color w:val="auto"/>
        </w:rPr>
      </w:pPr>
    </w:p>
    <w:p>
      <w:pPr>
        <w:ind w:left="720" w:right="779" w:hanging="326"/>
        <w:spacing w:after="0" w:line="25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differing reimbursement regimes and price controls in certain non-U.S. markets;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variable tax treatment in different jurisdictions of options granted under our equity incentive plans;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w:t>
      </w:r>
    </w:p>
    <w:p>
      <w:pPr>
        <w:spacing w:after="0" w:line="111" w:lineRule="exact"/>
        <w:rPr>
          <w:rFonts w:ascii="Arial" w:cs="Arial" w:eastAsia="Arial" w:hAnsi="Arial"/>
          <w:sz w:val="18"/>
          <w:szCs w:val="18"/>
          <w:color w:val="auto"/>
        </w:rPr>
      </w:pPr>
    </w:p>
    <w:p>
      <w:pPr>
        <w:ind w:left="720" w:right="159" w:hanging="326"/>
        <w:spacing w:after="0" w:line="250"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health epidemics, or natural disasters including earthquakes, typhoons, floods and fires.</w:t>
      </w:r>
    </w:p>
    <w:p>
      <w:pPr>
        <w:spacing w:after="0" w:line="170" w:lineRule="exact"/>
        <w:rPr>
          <w:sz w:val="20"/>
          <w:szCs w:val="20"/>
          <w:color w:val="auto"/>
        </w:rPr>
      </w:pPr>
    </w:p>
    <w:p>
      <w:pPr>
        <w:jc w:val="both"/>
        <w:ind w:left="40" w:right="59"/>
        <w:spacing w:after="0" w:line="254" w:lineRule="auto"/>
        <w:rPr>
          <w:sz w:val="20"/>
          <w:szCs w:val="20"/>
          <w:color w:val="auto"/>
        </w:rPr>
      </w:pPr>
      <w:r>
        <w:rPr>
          <w:rFonts w:ascii="Arial" w:cs="Arial" w:eastAsia="Arial" w:hAnsi="Arial"/>
          <w:sz w:val="18"/>
          <w:szCs w:val="18"/>
          <w:b w:val="1"/>
          <w:bCs w:val="1"/>
          <w:i w:val="1"/>
          <w:iCs w:val="1"/>
          <w:color w:val="auto"/>
        </w:rPr>
        <w:t>If we fail to comply with Chinese environmental, health and safety laws and regulations, we could become subject to fines or penalties or incur costs that could have a material adverse effect on the success of our business.</w:t>
      </w:r>
    </w:p>
    <w:p>
      <w:pPr>
        <w:spacing w:after="0" w:line="163" w:lineRule="exact"/>
        <w:rPr>
          <w:sz w:val="20"/>
          <w:szCs w:val="20"/>
          <w:color w:val="auto"/>
        </w:rPr>
      </w:pPr>
    </w:p>
    <w:p>
      <w:pPr>
        <w:ind w:left="40" w:right="99"/>
        <w:spacing w:after="0" w:line="23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fire safety and the handling, use, storage, treatment and disposal of hazardous materials and wastes. Our technology development and early discovery operations primarily occur in China and involve the use of hazardous materials, including chemical materials. Our operations also produce hazardous waste products. We are therefore subject to Chinese laws and regulations concerning the discharge of wastewater, gaseous waste and solid waste during our processes, including those relating to product development. We engage competent third-party contractors for the transfer and disposal of these materials and wastes. Despite our efforts to comply fully with environmental and safety regulations, any violation of these regulations may result in substantial fines, criminal sanctions, revocations of operating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99"/>
        <w:spacing w:after="0" w:line="236" w:lineRule="auto"/>
        <w:rPr>
          <w:sz w:val="20"/>
          <w:szCs w:val="20"/>
          <w:color w:val="auto"/>
        </w:rPr>
      </w:pPr>
      <w:r>
        <w:rPr>
          <w:rFonts w:ascii="Arial" w:cs="Arial" w:eastAsia="Arial" w:hAnsi="Arial"/>
          <w:sz w:val="18"/>
          <w:szCs w:val="18"/>
          <w:color w:val="auto"/>
        </w:rPr>
        <w:t>permits, the shutdown of our facilities and the incurrence of obligations to take corrective measures. We cannot completely eliminate the risk of contamination or injury from these materials and wastes. In the event of contamination or injury resulting from the use or discharge of hazardous materials, we could be held liable for any resulting damages, and any liability could exceed our resources. We also could incur significant costs associated with civil, administrative or criminal fines and penalties.</w:t>
      </w:r>
    </w:p>
    <w:p>
      <w:pPr>
        <w:spacing w:after="0" w:line="191"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Although we maintain workers’ compensation insurance to cover costs and expenses incurred due to on-the-job injuries to our employees and public liability insurance to cover costs and expenses that may be incurred if third parties are injured on our property, such insurance may not provide adequate coverage against potential liabilities. Furthermore, the Chinese government may take steps towards the adoption of more stringent environmental regulations, and, due to the possibility of unanticipated regulatory or other developments, the amount and timing of future environmental expenditures may vary substantially from those currently anticipated. If there is any unanticipated change in the environmental regulations, our third-party manufacturers and other service providers may incur substantial capital expenditures to install, replace, upgrade or supplement their manufacturing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and our business may be materially adversely affected.</w:t>
      </w:r>
    </w:p>
    <w:p>
      <w:pPr>
        <w:spacing w:after="0" w:line="182" w:lineRule="exact"/>
        <w:rPr>
          <w:sz w:val="20"/>
          <w:szCs w:val="20"/>
          <w:color w:val="auto"/>
        </w:rPr>
      </w:pPr>
    </w:p>
    <w:p>
      <w:pPr>
        <w:ind w:left="40" w:right="379"/>
        <w:spacing w:after="0" w:line="254" w:lineRule="auto"/>
        <w:rPr>
          <w:sz w:val="20"/>
          <w:szCs w:val="20"/>
          <w:color w:val="auto"/>
        </w:rPr>
      </w:pPr>
      <w:r>
        <w:rPr>
          <w:rFonts w:ascii="Arial" w:cs="Arial" w:eastAsia="Arial" w:hAnsi="Arial"/>
          <w:sz w:val="18"/>
          <w:szCs w:val="18"/>
          <w:b w:val="1"/>
          <w:bCs w:val="1"/>
          <w:i w:val="1"/>
          <w:iCs w:val="1"/>
          <w:color w:val="auto"/>
        </w:rPr>
        <w:t>China’s economic, political and social conditions, as well as governmental policies, could affect the business environment and financial markets in China, our ability to operate our business, our liquidity and our access to capital.</w:t>
      </w:r>
    </w:p>
    <w:p>
      <w:pPr>
        <w:spacing w:after="0" w:line="163"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There are legal and operational risks associated with having our early discovery and preclinical operations conducted in China. Accordingly, our business, results of operations, financial condition and prospects may be influenced to a significant degree by economic, political, legal and social conditions in China. China’s economy differs from the economies of developed countries in many respects, including with respect to the amount of government involvement, level of development, growth rate, control of foreign exchange and allocation of resources. While China’s economy has experienced significant growth over the past 40 years, growth has been uneven across different regions and among various economic sectors of China. The Chinese government has implemented various measures to encourage economic development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that are currently applicable to us. In addition, in the past the Chinese government implemented certain measures, including interest rate increases, to control the pace of economic growth. These measures may cause decreased economic activity in China, which may adversely affect our business and results of operations.</w:t>
      </w:r>
    </w:p>
    <w:p>
      <w:pPr>
        <w:spacing w:after="0" w:line="178" w:lineRule="exact"/>
        <w:rPr>
          <w:sz w:val="20"/>
          <w:szCs w:val="20"/>
          <w:color w:val="auto"/>
        </w:rPr>
      </w:pPr>
    </w:p>
    <w:p>
      <w:pPr>
        <w:ind w:left="40" w:right="279"/>
        <w:spacing w:after="0" w:line="278" w:lineRule="auto"/>
        <w:rPr>
          <w:sz w:val="20"/>
          <w:szCs w:val="20"/>
          <w:color w:val="auto"/>
        </w:rPr>
      </w:pPr>
      <w:r>
        <w:rPr>
          <w:rFonts w:ascii="Arial" w:cs="Arial" w:eastAsia="Arial" w:hAnsi="Arial"/>
          <w:sz w:val="18"/>
          <w:szCs w:val="18"/>
          <w:b w:val="1"/>
          <w:bCs w:val="1"/>
          <w:i w:val="1"/>
          <w:iCs w:val="1"/>
          <w:color w:val="auto"/>
        </w:rPr>
        <w:t>Uncertainties with respect to the Chinese legal system and changes in laws, regulations and policies in China could materially and adversely affect us.</w:t>
      </w:r>
    </w:p>
    <w:p>
      <w:pPr>
        <w:spacing w:after="0" w:line="141"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Chinese laws and regulations govern our operations in China and the implementation of these laws and regulations may be in part based on government policies and internal rules that are subject to the interpretation and discretion of different government agencies (some of which are not published on a timely basis or at all) that may have a retroactive effect. As a result, we may not always be aware of any potential violation of these policies and rules. Such unpredictability regarding our contractual, property and procedural rights could adversely affect our business and impede our ability to continue our operations. Furthermore, since Chinese administrative and court authorities have significant discretion in interpreting and implementing statutory and contractual terms, it may be more difficult to evaluate the outcome of administrative and court proceedings and we may not receive the level of legal protection we enjoy than in more developed legal systems. The Chinese legal system is evolving rapidly and the Chinese laws, regulations, and rules may change quickly with little or no advance notice. In particular, because these laws, rules and regulations are relatively new, and because of the limited number of published decisions and the non-precedential nature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679"/>
        <w:spacing w:after="0"/>
        <w:rPr>
          <w:sz w:val="20"/>
          <w:szCs w:val="20"/>
          <w:color w:val="auto"/>
        </w:rPr>
      </w:pPr>
      <w:r>
        <w:rPr>
          <w:rFonts w:ascii="Arial" w:cs="Arial" w:eastAsia="Arial" w:hAnsi="Arial"/>
          <w:sz w:val="18"/>
          <w:szCs w:val="18"/>
          <w:color w:val="auto"/>
        </w:rPr>
        <w:t>these decisions, the interpretation of these laws, rules and regulations may contain inconsistencies, the enforcement of which involves uncertainties. These uncertainties could materially and adversely affect our business and results of operations.</w:t>
      </w:r>
    </w:p>
    <w:p>
      <w:pPr>
        <w:spacing w:after="0" w:line="189" w:lineRule="exact"/>
        <w:rPr>
          <w:sz w:val="20"/>
          <w:szCs w:val="20"/>
          <w:color w:val="auto"/>
        </w:rPr>
      </w:pPr>
    </w:p>
    <w:p>
      <w:pPr>
        <w:ind w:left="40" w:right="339"/>
        <w:spacing w:after="0" w:line="250" w:lineRule="auto"/>
        <w:rPr>
          <w:sz w:val="20"/>
          <w:szCs w:val="20"/>
          <w:color w:val="auto"/>
        </w:rPr>
      </w:pPr>
      <w:r>
        <w:rPr>
          <w:rFonts w:ascii="Arial" w:cs="Arial" w:eastAsia="Arial" w:hAnsi="Arial"/>
          <w:sz w:val="18"/>
          <w:szCs w:val="18"/>
          <w:color w:val="auto"/>
        </w:rPr>
        <w:t>In addition, any administrative and court proceedings in China may be protracted, resulting in substantial costs and diversion of resources and management attention.</w:t>
      </w:r>
    </w:p>
    <w:p>
      <w:pPr>
        <w:spacing w:after="0" w:line="170" w:lineRule="exact"/>
        <w:rPr>
          <w:sz w:val="20"/>
          <w:szCs w:val="20"/>
          <w:color w:val="auto"/>
        </w:rPr>
      </w:pPr>
    </w:p>
    <w:p>
      <w:pPr>
        <w:ind w:left="40" w:right="159"/>
        <w:spacing w:after="0" w:line="260" w:lineRule="auto"/>
        <w:rPr>
          <w:sz w:val="20"/>
          <w:szCs w:val="20"/>
          <w:color w:val="auto"/>
        </w:rPr>
      </w:pPr>
      <w:r>
        <w:rPr>
          <w:rFonts w:ascii="Arial" w:cs="Arial" w:eastAsia="Arial" w:hAnsi="Arial"/>
          <w:sz w:val="17"/>
          <w:szCs w:val="17"/>
          <w:b w:val="1"/>
          <w:bCs w:val="1"/>
          <w:i w:val="1"/>
          <w:iCs w:val="1"/>
          <w:color w:val="auto"/>
        </w:rPr>
        <w:t>We may be exposed to liabilities under the U.S. Foreign Corrupt Practices Act (the “FCPA”), and similar anti-corruption and anti-bribery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spacing w:after="0" w:line="160"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Our operations are subject to the FCPA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non-U.S. government officials for the purpose of obtaining or retaining business or other advantage.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spacing w:after="0" w:line="188"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78" w:lineRule="exact"/>
        <w:rPr>
          <w:sz w:val="20"/>
          <w:szCs w:val="20"/>
          <w:color w:val="auto"/>
        </w:rPr>
      </w:pPr>
    </w:p>
    <w:p>
      <w:pPr>
        <w:ind w:left="40" w:right="119"/>
        <w:spacing w:after="0" w:line="278" w:lineRule="auto"/>
        <w:rPr>
          <w:sz w:val="20"/>
          <w:szCs w:val="20"/>
          <w:color w:val="auto"/>
        </w:rPr>
      </w:pPr>
      <w:r>
        <w:rPr>
          <w:rFonts w:ascii="Arial" w:cs="Arial" w:eastAsia="Arial" w:hAnsi="Arial"/>
          <w:sz w:val="18"/>
          <w:szCs w:val="18"/>
          <w:b w:val="1"/>
          <w:bCs w:val="1"/>
          <w:i w:val="1"/>
          <w:iCs w:val="1"/>
          <w:color w:val="auto"/>
        </w:rPr>
        <w:t>Restrictions on currency exchange may limit our ability to receive and use effectively financing in foreign currencies.</w:t>
      </w:r>
    </w:p>
    <w:p>
      <w:pPr>
        <w:spacing w:after="0" w:line="141" w:lineRule="exact"/>
        <w:rPr>
          <w:sz w:val="20"/>
          <w:szCs w:val="20"/>
          <w:color w:val="auto"/>
        </w:rPr>
      </w:pPr>
    </w:p>
    <w:p>
      <w:pPr>
        <w:ind w:left="40" w:right="119"/>
        <w:spacing w:after="0" w:line="236" w:lineRule="auto"/>
        <w:rPr>
          <w:sz w:val="20"/>
          <w:szCs w:val="20"/>
          <w:color w:val="auto"/>
        </w:rPr>
      </w:pPr>
      <w:r>
        <w:rPr>
          <w:rFonts w:ascii="Arial" w:cs="Arial" w:eastAsia="Arial" w:hAnsi="Arial"/>
          <w:sz w:val="18"/>
          <w:szCs w:val="18"/>
          <w:color w:val="auto"/>
        </w:rPr>
        <w:t>Our Chinese subsidiaries’ ability to obtain currency exchange is subject to significant foreign exchange controls and, in the case of transactions under the capital account, requires the approval of and/or registration with Chinese government authorities, including the State Administration of Foreign Exchange (“SAFE”). In particular, if we finance our Chinese subsidiaries by means of foreign debt from us or other foreign lenders, the amount is not allowed to, among other things, exceed the statutory limits and such loans must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39"/>
        <w:spacing w:after="0" w:line="236" w:lineRule="auto"/>
        <w:rPr>
          <w:sz w:val="20"/>
          <w:szCs w:val="20"/>
          <w:color w:val="auto"/>
        </w:rPr>
      </w:pPr>
      <w:r>
        <w:rPr>
          <w:rFonts w:ascii="Arial" w:cs="Arial" w:eastAsia="Arial" w:hAnsi="Arial"/>
          <w:sz w:val="18"/>
          <w:szCs w:val="18"/>
          <w:color w:val="auto"/>
        </w:rPr>
        <w:t>registered with the local branch of SAFE. If we finance our Chinese subsidiaries by means of additional capital contributions, these capital contributions are subject to registration with the State Administration for Market Regulation or its local branch, reporting of foreign investment information with the Ministry of Commerce of the People’s Republic of China (“MOFCOM”), or its local branch or registration with other governmental authorities in China.</w:t>
      </w:r>
    </w:p>
    <w:p>
      <w:pPr>
        <w:spacing w:after="0" w:line="191" w:lineRule="exact"/>
        <w:rPr>
          <w:sz w:val="20"/>
          <w:szCs w:val="20"/>
          <w:color w:val="auto"/>
        </w:rPr>
      </w:pPr>
    </w:p>
    <w:p>
      <w:pPr>
        <w:ind w:left="40" w:right="119"/>
        <w:spacing w:after="0" w:line="234" w:lineRule="auto"/>
        <w:rPr>
          <w:sz w:val="20"/>
          <w:szCs w:val="20"/>
          <w:color w:val="auto"/>
        </w:rPr>
      </w:pPr>
      <w:r>
        <w:rPr>
          <w:rFonts w:ascii="Arial" w:cs="Arial" w:eastAsia="Arial" w:hAnsi="Arial"/>
          <w:sz w:val="18"/>
          <w:szCs w:val="18"/>
          <w:color w:val="auto"/>
        </w:rPr>
        <w:t>In light of the various requirements imposed by Chinese regulations on loans to, and direct investment in, China-based entities by offshore holding companies, we cannot assure you that we will be able to complete the necessary government requirements or obtain the necessary government approvals on a timely basis, if at all, with respect to future loans or capital contributions by us to our Chinese subsidiaries. If we fail to adhere to such requirements or obtain such approval, our ability to use the proceeds we received from the IPO and to capitalize or otherwise fund our Chinese operations, including our technology development and early discovery activities through Basecamp Bio, may be negatively affected, which could materially and adversely affect our ability to fund and expand our business.</w:t>
      </w:r>
    </w:p>
    <w:p>
      <w:pPr>
        <w:spacing w:after="0" w:line="182" w:lineRule="exact"/>
        <w:rPr>
          <w:sz w:val="20"/>
          <w:szCs w:val="20"/>
          <w:color w:val="auto"/>
        </w:rPr>
      </w:pPr>
    </w:p>
    <w:p>
      <w:pPr>
        <w:ind w:left="40" w:right="179"/>
        <w:spacing w:after="0" w:line="242" w:lineRule="auto"/>
        <w:rPr>
          <w:sz w:val="20"/>
          <w:szCs w:val="20"/>
          <w:color w:val="auto"/>
        </w:rPr>
      </w:pPr>
      <w:r>
        <w:rPr>
          <w:rFonts w:ascii="Arial" w:cs="Arial" w:eastAsia="Arial" w:hAnsi="Arial"/>
          <w:sz w:val="18"/>
          <w:szCs w:val="18"/>
          <w:b w:val="1"/>
          <w:bCs w:val="1"/>
          <w:i w:val="1"/>
          <w:iCs w:val="1"/>
          <w:color w:val="auto"/>
        </w:rPr>
        <w:t>Chinese regulations relating to the establishment of offshore special purpose companies by residents in China may subject our China resident beneficial owners or our wholly foreign-owned subsidiaries in China to liability or penalties, limit our ability to inject capital into these subsidiaries, limit these subsidiaries’ ability to increase their registered capital or distribute profits to us, or may otherwise adversely affect us.</w:t>
      </w:r>
    </w:p>
    <w:p>
      <w:pPr>
        <w:spacing w:after="0" w:line="175" w:lineRule="exact"/>
        <w:rPr>
          <w:sz w:val="20"/>
          <w:szCs w:val="20"/>
          <w:color w:val="auto"/>
        </w:rPr>
      </w:pPr>
    </w:p>
    <w:p>
      <w:pPr>
        <w:ind w:left="40" w:right="59"/>
        <w:spacing w:after="0" w:line="246" w:lineRule="auto"/>
        <w:rPr>
          <w:sz w:val="20"/>
          <w:szCs w:val="20"/>
          <w:color w:val="auto"/>
        </w:rPr>
      </w:pPr>
      <w:r>
        <w:rPr>
          <w:rFonts w:ascii="Arial" w:cs="Arial" w:eastAsia="Arial" w:hAnsi="Arial"/>
          <w:sz w:val="17"/>
          <w:szCs w:val="17"/>
          <w:color w:val="auto"/>
        </w:rPr>
        <w:t>In 2014, SAFE promulgated the SAFE Circular 37, which requires residents of China to register with local branches of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such as an increase or decrease of capital contributed by China residents, share transfer or exchange, merger, division or other material events. If the shareholders of the offshore holding company who are residents of China do not complete their registration with the local SAFE branches, the Chinese subsidiaries may be prohibited from making distributions of profits and proceeds from any reduction in capital, share transfer or liquidation to the offshore parent company and from carrying out subsequent cross-border foreign exchange activities, and the offshore parent company may be restricted in its ability to contribute additional capital into its Chinese subsidiaries. Moreover, failure to comply with the SAFE registration and amendment requirements described above could result in liability under Chinese law for evasion of applicable foreign exchange restrictions.</w:t>
      </w:r>
    </w:p>
    <w:p>
      <w:pPr>
        <w:spacing w:after="0" w:line="393"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Certain residents of China may hold direct or indirect interests in our company, and we will request residents of China who we know hold direct or indirect interests in our company, if any, to make the necessary applications, filings and amendments as required under SAFE Circular 37 and other related rules. However, we may not at all times be fully aware or informed of the identities of our shareholders or beneficial owners that are required to make such registrations, and we cannot provide any assurance that these residents will comply with our requests to make or obtain any applicable registrations or comply with other requirements under SAFE Circular 37 or other related rules. The failure or inability of our China resident shareholders to comply with the registration procedures set forth in these regulations may subject us to fines or legal sanctions, restrictions on our cross-border investment activities or those of our China subsidiaries and limitations on the ability of our wholly foreign-owned subsidiaries in China to distribute dividends or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459"/>
        <w:spacing w:after="0" w:line="250" w:lineRule="auto"/>
        <w:rPr>
          <w:sz w:val="20"/>
          <w:szCs w:val="20"/>
          <w:color w:val="auto"/>
        </w:rPr>
      </w:pPr>
      <w:r>
        <w:rPr>
          <w:rFonts w:ascii="Arial" w:cs="Arial" w:eastAsia="Arial" w:hAnsi="Arial"/>
          <w:sz w:val="18"/>
          <w:szCs w:val="18"/>
          <w:color w:val="auto"/>
        </w:rPr>
        <w:t>circumventing applicable foreign exchange restrictions. As a result, our business operations and our ability to make distributions to you could be materially and adversely affected.</w:t>
      </w:r>
    </w:p>
    <w:p>
      <w:pPr>
        <w:spacing w:after="0" w:line="170" w:lineRule="exact"/>
        <w:rPr>
          <w:sz w:val="20"/>
          <w:szCs w:val="20"/>
          <w:color w:val="auto"/>
        </w:rPr>
      </w:pPr>
    </w:p>
    <w:p>
      <w:pPr>
        <w:ind w:left="40" w:right="279"/>
        <w:spacing w:after="0" w:line="309" w:lineRule="auto"/>
        <w:rPr>
          <w:sz w:val="20"/>
          <w:szCs w:val="20"/>
          <w:color w:val="auto"/>
        </w:rPr>
      </w:pPr>
      <w:r>
        <w:rPr>
          <w:rFonts w:ascii="Arial" w:cs="Arial" w:eastAsia="Arial" w:hAnsi="Arial"/>
          <w:sz w:val="17"/>
          <w:szCs w:val="17"/>
          <w:b w:val="1"/>
          <w:bCs w:val="1"/>
          <w:i w:val="1"/>
          <w:iCs w:val="1"/>
          <w:color w:val="auto"/>
        </w:rPr>
        <w:t>If we are classified as a China resident enterprise for China income tax purposes, such classification could result in unfavorable tax consequences to us and our non-Chinese shareholders or ADS holders.</w:t>
      </w:r>
    </w:p>
    <w:p>
      <w:pPr>
        <w:spacing w:after="0" w:line="118" w:lineRule="exact"/>
        <w:rPr>
          <w:sz w:val="20"/>
          <w:szCs w:val="20"/>
          <w:color w:val="auto"/>
        </w:rPr>
      </w:pPr>
    </w:p>
    <w:p>
      <w:pPr>
        <w:ind w:left="40" w:right="59"/>
        <w:spacing w:after="0" w:line="232" w:lineRule="auto"/>
        <w:rPr>
          <w:sz w:val="20"/>
          <w:szCs w:val="20"/>
          <w:color w:val="auto"/>
        </w:rPr>
      </w:pPr>
      <w:r>
        <w:rPr>
          <w:rFonts w:ascii="Arial" w:cs="Arial" w:eastAsia="Arial" w:hAnsi="Arial"/>
          <w:sz w:val="18"/>
          <w:szCs w:val="18"/>
          <w:color w:val="auto"/>
        </w:rPr>
        <w:t>The Enterprise Income Tax Law of the People’s Republic of China (the “EIT Law”), which was promulgated in March 2007, became effective in January 2008 and was amended in February 2017 and December 2018, and the Regulation on the Implementation of the EIT Law, effective as of January 1, 2008 and as amended in April 2019, define the term “de facto management bodies” as “bodies that substantially carry out comprehensive management and control on the business operation, personnel, accounts and assets of enterprises.” Under the EIT Law, an enterprise incorporated outside of China whose “de facto management bodies” are located in China may be considered a “resident enterprise” and will be subject to a uniform 25% enterprise income tax (“EIT”), rate on its global income. The Notice Regarding the Determination of Chinese-Controlled Offshore-Incorporated Enterprises as Chinese Tax Resident Enterprises on the Basis of De Facto Management Bodies (“SAT Circular 82”), issued by the State Taxation Administration of the People’s Republic of China (“SAT”) on April 22, 2009 and as amended in November 2013 and December 2017 further specifies certain criteria for the determination of what constitutes “de facto management bodies.” If all of these criteria are met, the relevant foreign enterprise may be regarded to have its “de facto management bodies” located in China and therefore be considered a Chinese resident enterprise. These criteria include: (i) the enterprise’s day-to-day operational management is primarily exercised in China; (ii) decisions relating to the enterprise’s financial and human resource matters are made or subject to approval by organizations or personnel in China; (iii) the enterprise’s primary assets, accounting books and records, company seals, and board and shareholders’ meeting minutes are located or maintained in China; and (iv) 50% or more of voting board members or senior executives of the enterprise habitually reside in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reference for determining whether the enterprises are Chinese tax residents, regardless of whether they are majority-owned and controlled by Chinese enterprises.</w:t>
      </w:r>
    </w:p>
    <w:p>
      <w:pPr>
        <w:spacing w:after="0" w:line="192"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We believe that neither we nor any of our subsidiaries outside of China is a China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we or any of our subsidiaries outside of China is a Chinese resident enterprise for EIT purposes, that entity would be subject to a 25% EIT on its global income. If such entity derives income other than dividends from its wholly-owned subsidiaries in China, a 25% EIT on its global income may increase our tax burden.</w:t>
      </w:r>
    </w:p>
    <w:p>
      <w:pPr>
        <w:spacing w:after="0" w:line="188"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In addition, if we are classified as a China resident enterprise for Chinese tax purposes, we may be required to withhold tax at a rate of 10% from dividends we pay to our shareholders, including the holders of our ADSs, that are non-resident enterprises. Further, non-resident enterprise shareholders (including our ADS holders) may be subject to a 10% Chinese withholding tax on gains realized on the sale or other disposition of our ADSs or ordinary shares if such income is treated as sourced from within China. Furthermore, gains derived by our non-Chinese individual shareholders from the sale of our ordinary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China resident enterprise. If any Chinese tax were to apply to such dividends, it would generally apply at a rate of 20%. Chinese tax liability may vary under applicable tax treaties. However, it is unclear whether our non-China shareholders would be able to claim the benefits of any tax treaties between their country of tax residence and China in the event that we are treated as a China resident enterprise.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179"/>
        <w:spacing w:after="0" w:line="278" w:lineRule="auto"/>
        <w:rPr>
          <w:sz w:val="20"/>
          <w:szCs w:val="20"/>
          <w:color w:val="auto"/>
        </w:rPr>
      </w:pPr>
      <w:r>
        <w:rPr>
          <w:rFonts w:ascii="Arial" w:cs="Arial" w:eastAsia="Arial" w:hAnsi="Arial"/>
          <w:sz w:val="18"/>
          <w:szCs w:val="18"/>
          <w:b w:val="1"/>
          <w:bCs w:val="1"/>
          <w:i w:val="1"/>
          <w:iCs w:val="1"/>
          <w:color w:val="auto"/>
        </w:rPr>
        <w:t>We and our shareholders face uncertainties in China with respect to indirect transfers of equity interests in China resident enterprises.</w:t>
      </w:r>
    </w:p>
    <w:p>
      <w:pPr>
        <w:spacing w:after="0" w:line="141"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The indirect transfer of equity interests in China resident enterprises by a non-China resident enterprise (“Indirect Transfer”), is potentially subject to income tax in China at a rate of 10% on the gain if such transfer 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(“SAT Circular 7”), sets out the scope of Indirect Transfers, which includes any changes in the shareholder’s ownership of a foreign enterprise holding Chinese assets directly or indirectly in the course of a group’s overseas restructuring, and the factors to be considered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 comprised directly or indirectly of investments in China, or 90% or more of its income is derived directly or indirectly from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A transaction that does not satisfy all four tests in the immediately preceding sentence may nevertheless be deemed to lack a bona fide commercial purpose if the taxpayer cannot justify such purpose from a totality approach, taking into account the transferred group’s value, income, asset composition, the history and substance in the structure, the non-Chinese tax implications, any tax treaty benefit and the availability of alternative transactions. Nevertheless, a non-resident enterprise’s buying and selling shares or ADSs of the same listed foreign enterprise on the public market will fall under the safe harbor available under SAT Circular 7 if the shares and ADSs were purchased on the public market as well and will not be subject to Chinese tax pursuant to SAT Circular 7.</w:t>
      </w:r>
    </w:p>
    <w:p>
      <w:pPr>
        <w:spacing w:after="0" w:line="191"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However, as these rules and notices are relatively new and there is a lack of clear statutory interpretation, we face uncertainties regarding the reporting required for and impact on future private equity financing transactions, share exchanges or other transactions involving the transfer of shares in our company by investors that are non-Chinese resident enterprises, or the sale or purchase of shares in other non-Chinese resident companies or other taxable assets by us. For example, the Chinese tax authorities may consider that a future securities offering involves an indirect change of shareholding in our Chinese subsidiaries and therefore it may be regarded as an Indirect Transfer under SAT Circular 7. Even if we believe no SAT Circular 7 reporting is required on the basis that such an offering has commercial purposes and is not conducted for tax avoidance, Chinese tax authorities may pursue us to report under SAT Circular 7 and request that we and our Chinese subsidiaries assist in the filing. As a result, we and our subsidiaries may be required to expend significant resources to provide assistance and comply with SAT Circular 7, or establish that we or our non-resident enterprises should not be subject to tax under SAT Circular 7, for such an offering or other transactions, which may have an adverse effect on our and their financial condition and day-to-day operations.</w:t>
      </w:r>
    </w:p>
    <w:p>
      <w:pPr>
        <w:spacing w:after="0" w:line="180"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b w:val="1"/>
          <w:bCs w:val="1"/>
          <w:i w:val="1"/>
          <w:iCs w:val="1"/>
          <w:color w:val="auto"/>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spacing w:after="0" w:line="163" w:lineRule="exact"/>
        <w:rPr>
          <w:sz w:val="20"/>
          <w:szCs w:val="20"/>
          <w:color w:val="auto"/>
        </w:rPr>
      </w:pPr>
    </w:p>
    <w:p>
      <w:pPr>
        <w:ind w:left="40" w:right="79"/>
        <w:spacing w:after="0" w:line="238" w:lineRule="auto"/>
        <w:rPr>
          <w:sz w:val="20"/>
          <w:szCs w:val="20"/>
          <w:color w:val="auto"/>
        </w:rPr>
      </w:pPr>
      <w:r>
        <w:rPr>
          <w:rFonts w:ascii="Arial" w:cs="Arial" w:eastAsia="Arial" w:hAnsi="Arial"/>
          <w:sz w:val="18"/>
          <w:szCs w:val="18"/>
          <w:color w:val="auto"/>
        </w:rPr>
        <w:t>In February 2012, the SAFE promulgated the Notices on Issues Concerning the Foreign Exchange Administration for Domestic Individuals Participating in Stock Incentive Plans of Overseas Publicly Listed Companies (the “Stock Option Rules”). In accordance with the Stock Option Rules and other relevant rules and regulations, Chinese citizens or non-Chinese citizens residing in China for a continuous period of</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48" w:lineRule="auto"/>
        <w:rPr>
          <w:sz w:val="20"/>
          <w:szCs w:val="20"/>
          <w:color w:val="auto"/>
        </w:rPr>
      </w:pPr>
      <w:r>
        <w:rPr>
          <w:rFonts w:ascii="Arial" w:cs="Arial" w:eastAsia="Arial" w:hAnsi="Arial"/>
          <w:sz w:val="17"/>
          <w:szCs w:val="17"/>
          <w:color w:val="auto"/>
        </w:rPr>
        <w:t>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plans are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dividends to us. We also face regulatory uncertainties that could restrict our ability to adopt additional incentive plans for our directors and employees under Chinese law.</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5" w:lineRule="exact"/>
        <w:rPr>
          <w:sz w:val="20"/>
          <w:szCs w:val="20"/>
          <w:color w:val="auto"/>
        </w:rPr>
      </w:pPr>
    </w:p>
    <w:p>
      <w:pPr>
        <w:ind w:left="40" w:right="59"/>
        <w:spacing w:after="0" w:line="246"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1"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markets. Our success depends in large part on our ability to obtain and maintain patent protection for our product candidates and their intended uses, maintain trade secret protection of our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may not result in issued patents that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or products.</w:t>
      </w:r>
    </w:p>
    <w:p>
      <w:pPr>
        <w:spacing w:after="0" w:line="192" w:lineRule="exact"/>
        <w:rPr>
          <w:sz w:val="20"/>
          <w:szCs w:val="20"/>
          <w:color w:val="auto"/>
        </w:rPr>
      </w:pPr>
    </w:p>
    <w:p>
      <w:pPr>
        <w:ind w:left="40" w:right="99"/>
        <w:spacing w:after="0" w:line="247" w:lineRule="auto"/>
        <w:rPr>
          <w:sz w:val="20"/>
          <w:szCs w:val="20"/>
          <w:color w:val="auto"/>
        </w:rPr>
      </w:pPr>
      <w:r>
        <w:rPr>
          <w:rFonts w:ascii="Arial" w:cs="Arial" w:eastAsia="Arial" w:hAnsi="Arial"/>
          <w:sz w:val="17"/>
          <w:szCs w:val="17"/>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due to delays as a result of global pandemics impacting our or our licensors’ operations. Further, we may decide to not pursue or seek patent protection in all relevant markets.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 If we delay in filing a patent application, and a competitor files a patent application on the same or a similar technology before we do, we may face a limited ability to secure patent rights. Or we may not be able to obtain a patent on such technology at all. Even if we can patent the technology, we may be able to patent only a limited scope of the technology, and the limited scope may be inadequate to protect our product candidates, or to block competitor products or product candidates that are similar to ours.</w:t>
      </w:r>
    </w:p>
    <w:p>
      <w:pPr>
        <w:spacing w:after="0" w:line="183" w:lineRule="exact"/>
        <w:rPr>
          <w:sz w:val="20"/>
          <w:szCs w:val="20"/>
          <w:color w:val="auto"/>
        </w:rPr>
      </w:pPr>
    </w:p>
    <w:p>
      <w:pPr>
        <w:ind w:left="40" w:right="179"/>
        <w:spacing w:after="0" w:line="236" w:lineRule="auto"/>
        <w:rPr>
          <w:sz w:val="20"/>
          <w:szCs w:val="20"/>
          <w:color w:val="auto"/>
        </w:rPr>
      </w:pPr>
      <w:r>
        <w:rPr>
          <w:rFonts w:ascii="Arial" w:cs="Arial" w:eastAsia="Arial" w:hAnsi="Arial"/>
          <w:sz w:val="18"/>
          <w:szCs w:val="18"/>
          <w:color w:val="auto"/>
        </w:rPr>
        <w:t>Composition of matter patents for pharmaceutical product candidates often provide a strong form of intellectual property protection for those types of products, as such patents provide protection without regard to any method of use. The claims in our pending patent applications directed to composition of matter of our product candidates may not be considered patentable by the United States Patent and Trademark Office (“USPTO”) or by patent offices in foreign countries, or that the claims in any of our issued patents will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spacing w:after="0" w:line="188"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for which many legal principles continue to change. In recent years, patent rights have been the subject of much litigation. As a result, the issuance, scope, validity, enforceability and commercial value of our patent rights are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or vice versa.</w:t>
      </w:r>
    </w:p>
    <w:p>
      <w:pPr>
        <w:spacing w:after="0" w:line="178" w:lineRule="exact"/>
        <w:rPr>
          <w:sz w:val="20"/>
          <w:szCs w:val="20"/>
          <w:color w:val="auto"/>
        </w:rPr>
      </w:pPr>
    </w:p>
    <w:p>
      <w:pPr>
        <w:ind w:left="40" w:right="299"/>
        <w:spacing w:after="0" w:line="254" w:lineRule="auto"/>
        <w:rPr>
          <w:sz w:val="20"/>
          <w:szCs w:val="20"/>
          <w:color w:val="auto"/>
        </w:rPr>
      </w:pPr>
      <w:r>
        <w:rPr>
          <w:rFonts w:ascii="Arial" w:cs="Arial" w:eastAsia="Arial" w:hAnsi="Arial"/>
          <w:sz w:val="18"/>
          <w:szCs w:val="18"/>
          <w:b w:val="1"/>
          <w:bCs w:val="1"/>
          <w:i w:val="1"/>
          <w:iCs w:val="1"/>
          <w:color w:val="auto"/>
        </w:rPr>
        <w:t>We cannot ensure that patent rights relating to inventions described and claimed in our pending patent applications will issue or that patents based on our patent applications will not be challenged and rendered invalid and/or unenforceable.</w:t>
      </w:r>
    </w:p>
    <w:p>
      <w:pPr>
        <w:spacing w:after="0" w:line="163"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The patent application process is subject to numerous risks and uncertainties, and we or any of our potential future collaborators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foreign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We or any of our potential future collaborators may not be successful in protecting our product candidates by obtaining and defending patents. We have pending U.S. and foreign patent applications in our portfolio; however, we cannot predict:</w:t>
      </w:r>
    </w:p>
    <w:p>
      <w:pPr>
        <w:spacing w:after="0" w:line="190" w:lineRule="exact"/>
        <w:rPr>
          <w:sz w:val="20"/>
          <w:szCs w:val="20"/>
          <w:color w:val="auto"/>
        </w:rPr>
      </w:pPr>
    </w:p>
    <w:p>
      <w:pPr>
        <w:ind w:left="720" w:hanging="32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and when patents may issue based on our patent applications;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protection of any patent issuing based on our patent applications;</w:t>
      </w:r>
    </w:p>
    <w:p>
      <w:pPr>
        <w:spacing w:after="0" w:line="111" w:lineRule="exact"/>
        <w:rPr>
          <w:rFonts w:ascii="Arial" w:cs="Arial" w:eastAsia="Arial" w:hAnsi="Arial"/>
          <w:sz w:val="18"/>
          <w:szCs w:val="18"/>
          <w:color w:val="auto"/>
        </w:rPr>
      </w:pPr>
    </w:p>
    <w:p>
      <w:pPr>
        <w:ind w:left="720" w:right="179" w:hanging="326"/>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claims of any patent issuing based on our patent applications will provide protection against competitors;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or not third parties will find ways to invalidate or circumvent our patent rights;</w:t>
      </w:r>
    </w:p>
    <w:p>
      <w:pPr>
        <w:spacing w:after="0" w:line="111" w:lineRule="exact"/>
        <w:rPr>
          <w:rFonts w:ascii="Arial" w:cs="Arial" w:eastAsia="Arial" w:hAnsi="Arial"/>
          <w:sz w:val="18"/>
          <w:szCs w:val="18"/>
          <w:color w:val="auto"/>
        </w:rPr>
      </w:pPr>
    </w:p>
    <w:p>
      <w:pPr>
        <w:ind w:left="720" w:right="379" w:hanging="326"/>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patents and patent applications;</w:t>
      </w:r>
    </w:p>
    <w:p>
      <w:pPr>
        <w:spacing w:after="0" w:line="73" w:lineRule="exact"/>
        <w:rPr>
          <w:rFonts w:ascii="Arial" w:cs="Arial" w:eastAsia="Arial" w:hAnsi="Arial"/>
          <w:sz w:val="18"/>
          <w:szCs w:val="18"/>
          <w:color w:val="auto"/>
        </w:rPr>
      </w:pPr>
    </w:p>
    <w:p>
      <w:pPr>
        <w:ind w:left="720" w:right="559" w:hanging="326"/>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enforce and/or defend our patent rights which will be costly whether we win or lose;</w:t>
      </w:r>
    </w:p>
    <w:p>
      <w:pPr>
        <w:spacing w:after="0" w:line="73" w:lineRule="exact"/>
        <w:rPr>
          <w:rFonts w:ascii="Arial" w:cs="Arial" w:eastAsia="Arial" w:hAnsi="Arial"/>
          <w:sz w:val="18"/>
          <w:szCs w:val="18"/>
          <w:color w:val="auto"/>
        </w:rPr>
      </w:pPr>
    </w:p>
    <w:p>
      <w:pPr>
        <w:jc w:val="both"/>
        <w:ind w:left="720" w:right="399" w:hanging="326"/>
        <w:spacing w:after="0" w:line="279" w:lineRule="auto"/>
        <w:tabs>
          <w:tab w:leader="none" w:pos="7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whether the patent applications that we own or in-license will result in issued patents with claims that cover our product candidates or uses thereof in the United States or in other foreign countries; and/or</w:t>
      </w:r>
    </w:p>
    <w:p>
      <w:pPr>
        <w:spacing w:after="0" w:line="50" w:lineRule="exact"/>
        <w:rPr>
          <w:rFonts w:ascii="Arial" w:cs="Arial" w:eastAsia="Arial" w:hAnsi="Arial"/>
          <w:sz w:val="17"/>
          <w:szCs w:val="17"/>
          <w:color w:val="auto"/>
        </w:rPr>
      </w:pPr>
    </w:p>
    <w:p>
      <w:pPr>
        <w:ind w:left="720" w:right="559" w:hanging="326"/>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we may experience patent office interruption or delays to our ability to timely secure patent coverage to our product candidates.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79"/>
        <w:spacing w:after="0" w:line="233" w:lineRule="auto"/>
        <w:rPr>
          <w:sz w:val="20"/>
          <w:szCs w:val="20"/>
          <w:color w:val="auto"/>
        </w:rPr>
      </w:pPr>
      <w:r>
        <w:rPr>
          <w:rFonts w:ascii="Arial" w:cs="Arial" w:eastAsia="Arial" w:hAnsi="Arial"/>
          <w:sz w:val="18"/>
          <w:szCs w:val="18"/>
          <w:color w:val="auto"/>
        </w:rPr>
        <w:t>The claims in our pending patent applications directed to our product candidates and/or technologies may not be considered patentable by the USPTO or by patent offices in foreign countries. Any such patent applications may not be issued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There may be double patenting among our own patents, which the patent examiner(s) fail to raise during prosecution.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w:t>
      </w:r>
    </w:p>
    <w:p>
      <w:pPr>
        <w:spacing w:after="0" w:line="188"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 xml:space="preserve">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(“PGR”) proceedings, oppositions, derivations, reexaminations, or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(“IPR”) proceedings, in the United States or elsewhere, challenging our patent rights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 candidates.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spacing w:after="0" w:line="188" w:lineRule="exact"/>
        <w:rPr>
          <w:sz w:val="20"/>
          <w:szCs w:val="20"/>
          <w:color w:val="auto"/>
        </w:rPr>
      </w:pPr>
    </w:p>
    <w:p>
      <w:pPr>
        <w:ind w:left="40" w:right="319"/>
        <w:spacing w:after="0" w:line="254" w:lineRule="auto"/>
        <w:rPr>
          <w:sz w:val="20"/>
          <w:szCs w:val="20"/>
          <w:color w:val="auto"/>
        </w:rPr>
      </w:pPr>
      <w:r>
        <w:rPr>
          <w:rFonts w:ascii="Arial" w:cs="Arial" w:eastAsia="Arial" w:hAnsi="Arial"/>
          <w:sz w:val="18"/>
          <w:szCs w:val="18"/>
          <w:b w:val="1"/>
          <w:bCs w:val="1"/>
          <w:i w:val="1"/>
          <w:iCs w:val="1"/>
          <w:color w:val="auto"/>
        </w:rPr>
        <w:t>We rely on trade secret and proprietary know-how which can be difficult to trace and enforce and, if we are unable to protect the confidentiality of our trade secrets, our business and competitive position would be harmed.</w:t>
      </w:r>
    </w:p>
    <w:p>
      <w:pPr>
        <w:spacing w:after="0" w:line="163" w:lineRule="exact"/>
        <w:rPr>
          <w:sz w:val="20"/>
          <w:szCs w:val="20"/>
          <w:color w:val="auto"/>
        </w:rPr>
      </w:pPr>
    </w:p>
    <w:p>
      <w:pPr>
        <w:ind w:left="40" w:right="119"/>
        <w:spacing w:after="0" w:line="232" w:lineRule="auto"/>
        <w:rPr>
          <w:sz w:val="20"/>
          <w:szCs w:val="20"/>
          <w:color w:val="auto"/>
        </w:rPr>
      </w:pPr>
      <w:r>
        <w:rPr>
          <w:rFonts w:ascii="Arial" w:cs="Arial" w:eastAsia="Arial" w:hAnsi="Arial"/>
          <w:sz w:val="18"/>
          <w:szCs w:val="18"/>
          <w:color w:val="auto"/>
        </w:rPr>
        <w:t>In addition to seeking patent protection for our product candidates and technologies,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We expect to rely on CROs and third parties to generate chemical molecules and important research data. Any disclosure, either intentional or unintentional, by our employees or third-party consultants and vendors or CROs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59"/>
        <w:spacing w:after="0" w:line="250" w:lineRule="auto"/>
        <w:rPr>
          <w:sz w:val="20"/>
          <w:szCs w:val="20"/>
          <w:color w:val="auto"/>
        </w:rPr>
      </w:pPr>
      <w:r>
        <w:rPr>
          <w:rFonts w:ascii="Arial" w:cs="Arial" w:eastAsia="Arial" w:hAnsi="Arial"/>
          <w:sz w:val="18"/>
          <w:szCs w:val="18"/>
          <w:color w:val="auto"/>
        </w:rPr>
        <w:t>share our trade secrets, which increases the possibility that a competitor will discover them or that our trade secrets will be misappropriated or disclosed.</w:t>
      </w:r>
    </w:p>
    <w:p>
      <w:pPr>
        <w:spacing w:after="0" w:line="180" w:lineRule="exact"/>
        <w:rPr>
          <w:sz w:val="20"/>
          <w:szCs w:val="20"/>
          <w:color w:val="auto"/>
        </w:rPr>
      </w:pPr>
    </w:p>
    <w:p>
      <w:pPr>
        <w:ind w:left="40" w:right="59"/>
        <w:spacing w:after="0" w:line="232" w:lineRule="auto"/>
        <w:rPr>
          <w:sz w:val="20"/>
          <w:szCs w:val="20"/>
          <w:color w:val="auto"/>
        </w:rPr>
      </w:pPr>
      <w:r>
        <w:rPr>
          <w:rFonts w:ascii="Arial" w:cs="Arial" w:eastAsia="Arial" w:hAnsi="Arial"/>
          <w:sz w:val="18"/>
          <w:szCs w:val="18"/>
          <w:color w:val="auto"/>
        </w:rPr>
        <w:t>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complete development of, or commercialize, our products. Although we require all of our employees, consultants, collaborators, CROs, contract manufacturers, advisors and any third parties who have access to our proprietary know-how, information or technologies to enter into confidentiality agreements, we cannot guarantee that we have entered into such agreements with each party that may have or has had access to our trade secrets or proprietary technology and processes. We cannot be certain that our trade secrets and other confidential proprietary information may not be disclosed or that competitors will not otherwise gain access to our trade secrets or independently develop substantially equivalent information and techniques.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179" w:lineRule="exact"/>
        <w:rPr>
          <w:sz w:val="20"/>
          <w:szCs w:val="20"/>
          <w:color w:val="auto"/>
        </w:rPr>
      </w:pPr>
    </w:p>
    <w:p>
      <w:pPr>
        <w:ind w:left="40" w:right="199"/>
        <w:spacing w:after="0" w:line="246" w:lineRule="auto"/>
        <w:rPr>
          <w:sz w:val="20"/>
          <w:szCs w:val="20"/>
          <w:color w:val="auto"/>
        </w:rPr>
      </w:pPr>
      <w:r>
        <w:rPr>
          <w:rFonts w:ascii="Arial" w:cs="Arial" w:eastAsia="Arial" w:hAnsi="Arial"/>
          <w:sz w:val="18"/>
          <w:szCs w:val="18"/>
          <w:b w:val="1"/>
          <w:bCs w:val="1"/>
          <w:i w:val="1"/>
          <w:iCs w:val="1"/>
          <w:color w:val="auto"/>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spacing w:after="0" w:line="171" w:lineRule="exact"/>
        <w:rPr>
          <w:sz w:val="20"/>
          <w:szCs w:val="20"/>
          <w:color w:val="auto"/>
        </w:rPr>
      </w:pPr>
    </w:p>
    <w:p>
      <w:pPr>
        <w:ind w:left="40" w:right="159"/>
        <w:spacing w:after="0" w:line="232"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technology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439"/>
        <w:spacing w:after="0" w:line="250" w:lineRule="auto"/>
        <w:rPr>
          <w:sz w:val="20"/>
          <w:szCs w:val="20"/>
          <w:color w:val="auto"/>
        </w:rPr>
      </w:pPr>
      <w:r>
        <w:rPr>
          <w:rFonts w:ascii="Arial" w:cs="Arial" w:eastAsia="Arial" w:hAnsi="Arial"/>
          <w:sz w:val="18"/>
          <w:szCs w:val="18"/>
          <w:color w:val="auto"/>
        </w:rPr>
        <w:t>to the intellectual property surrounding the additional product candidates and technology that we may seek to acquire.</w:t>
      </w:r>
    </w:p>
    <w:p>
      <w:pPr>
        <w:spacing w:after="0" w:line="180"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Our rights to use the technology we license are subject to the continuation of and compliance with the terms of those agreements. These intellectual property license agreements may require of us various development, regulatory and/or commercial diligence obligations, payment of milestones and/or royalties and other obligations. If we fail to comply with our obligations under these agreements, we use the licensed intellectual property in an unauthorized manner or we are subject to bankruptcy-related proceedings, the terms of the license agreements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spacing w:after="0" w:line="195"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88" w:lineRule="exact"/>
        <w:rPr>
          <w:sz w:val="20"/>
          <w:szCs w:val="20"/>
          <w:color w:val="auto"/>
        </w:rPr>
      </w:pPr>
    </w:p>
    <w:p>
      <w:pPr>
        <w:ind w:left="40" w:right="79"/>
        <w:spacing w:after="0" w:line="246" w:lineRule="auto"/>
        <w:rPr>
          <w:sz w:val="20"/>
          <w:szCs w:val="20"/>
          <w:color w:val="auto"/>
        </w:rPr>
      </w:pPr>
      <w:r>
        <w:rPr>
          <w:rFonts w:ascii="Arial" w:cs="Arial" w:eastAsia="Arial" w:hAnsi="Arial"/>
          <w:sz w:val="17"/>
          <w:szCs w:val="17"/>
          <w:color w:val="auto"/>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Moreover, disputes may arise with respect to our licensing or other upstream agreements, including:</w:t>
      </w:r>
    </w:p>
    <w:p>
      <w:pPr>
        <w:spacing w:after="0" w:line="205" w:lineRule="exact"/>
        <w:rPr>
          <w:sz w:val="20"/>
          <w:szCs w:val="20"/>
          <w:color w:val="auto"/>
        </w:rPr>
      </w:pPr>
    </w:p>
    <w:p>
      <w:pPr>
        <w:ind w:left="720" w:hanging="32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agreements and other interpretation-related issues;</w:t>
      </w:r>
    </w:p>
    <w:p>
      <w:pPr>
        <w:spacing w:after="0" w:line="111" w:lineRule="exact"/>
        <w:rPr>
          <w:rFonts w:ascii="Arial" w:cs="Arial" w:eastAsia="Arial" w:hAnsi="Arial"/>
          <w:sz w:val="18"/>
          <w:szCs w:val="18"/>
          <w:color w:val="auto"/>
        </w:rPr>
      </w:pPr>
    </w:p>
    <w:p>
      <w:pPr>
        <w:ind w:left="720" w:right="199" w:hanging="326"/>
        <w:spacing w:after="0" w:line="250"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the extent to which our systems and consumables, technologies and processes infringe on intellectual property of the licensor that is not subject to the licensing agreement;</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right="759" w:hanging="326"/>
        <w:spacing w:after="0" w:line="250"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agreements and what activities satisfy those diligence obligations;</w:t>
      </w:r>
    </w:p>
    <w:p>
      <w:pPr>
        <w:spacing w:after="0" w:line="73" w:lineRule="exact"/>
        <w:rPr>
          <w:rFonts w:ascii="Arial" w:cs="Arial" w:eastAsia="Arial" w:hAnsi="Arial"/>
          <w:sz w:val="18"/>
          <w:szCs w:val="18"/>
          <w:color w:val="auto"/>
        </w:rPr>
      </w:pPr>
    </w:p>
    <w:p>
      <w:pPr>
        <w:ind w:left="720" w:right="419" w:hanging="326"/>
        <w:spacing w:after="0" w:line="250"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8" w:lineRule="exact"/>
        <w:rPr>
          <w:sz w:val="20"/>
          <w:szCs w:val="20"/>
          <w:color w:val="auto"/>
        </w:rPr>
      </w:pPr>
    </w:p>
    <w:p>
      <w:pPr>
        <w:ind w:left="40" w:right="99"/>
        <w:spacing w:after="0" w:line="247" w:lineRule="auto"/>
        <w:rPr>
          <w:sz w:val="20"/>
          <w:szCs w:val="20"/>
          <w:color w:val="auto"/>
        </w:rPr>
      </w:pPr>
      <w:r>
        <w:rPr>
          <w:rFonts w:ascii="Arial" w:cs="Arial" w:eastAsia="Arial" w:hAnsi="Arial"/>
          <w:sz w:val="17"/>
          <w:szCs w:val="17"/>
          <w:color w:val="auto"/>
        </w:rPr>
        <w:t>In spite of our efforts to comply with our obligations under our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spacing w:after="0" w:line="187" w:lineRule="exact"/>
        <w:rPr>
          <w:sz w:val="20"/>
          <w:szCs w:val="20"/>
          <w:color w:val="auto"/>
        </w:rPr>
      </w:pPr>
    </w:p>
    <w:p>
      <w:pPr>
        <w:ind w:left="40" w:right="119"/>
        <w:spacing w:after="0" w:line="238" w:lineRule="auto"/>
        <w:rPr>
          <w:sz w:val="20"/>
          <w:szCs w:val="20"/>
          <w:color w:val="auto"/>
        </w:rPr>
      </w:pPr>
      <w:r>
        <w:rPr>
          <w:rFonts w:ascii="Arial" w:cs="Arial" w:eastAsia="Arial" w:hAnsi="Arial"/>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intellectual property licensed from third parties may be subject to retained rights.</w:t>
      </w:r>
    </w:p>
    <w:p>
      <w:pPr>
        <w:spacing w:after="0" w:line="215" w:lineRule="exact"/>
        <w:rPr>
          <w:sz w:val="20"/>
          <w:szCs w:val="20"/>
          <w:color w:val="auto"/>
        </w:rPr>
      </w:pPr>
    </w:p>
    <w:p>
      <w:pPr>
        <w:ind w:left="40" w:right="239"/>
        <w:spacing w:after="0" w:line="235" w:lineRule="auto"/>
        <w:rPr>
          <w:sz w:val="20"/>
          <w:szCs w:val="20"/>
          <w:color w:val="auto"/>
        </w:rPr>
      </w:pPr>
      <w:r>
        <w:rPr>
          <w:rFonts w:ascii="Arial" w:cs="Arial" w:eastAsia="Arial" w:hAnsi="Arial"/>
          <w:sz w:val="18"/>
          <w:szCs w:val="18"/>
          <w:color w:val="auto"/>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spacing w:after="0" w:line="192" w:lineRule="exact"/>
        <w:rPr>
          <w:sz w:val="20"/>
          <w:szCs w:val="20"/>
          <w:color w:val="auto"/>
        </w:rPr>
      </w:pPr>
    </w:p>
    <w:p>
      <w:pPr>
        <w:ind w:left="40" w:right="119"/>
        <w:spacing w:after="0" w:line="232" w:lineRule="auto"/>
        <w:rPr>
          <w:sz w:val="20"/>
          <w:szCs w:val="20"/>
          <w:color w:val="auto"/>
        </w:rPr>
      </w:pPr>
      <w:r>
        <w:rPr>
          <w:rFonts w:ascii="Arial" w:cs="Arial" w:eastAsia="Arial" w:hAnsi="Arial"/>
          <w:sz w:val="18"/>
          <w:szCs w:val="18"/>
          <w:color w:val="auto"/>
        </w:rPr>
        <w:t>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339"/>
        <w:spacing w:after="0" w:line="27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46"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due to non-U.S. patent agencies. If these fees are not paid to the USPTO or the non-U.S. patent agencies when due, our rights to such patents or patent applications may be abandoned or otherwise materially impaired.</w:t>
      </w:r>
    </w:p>
    <w:p>
      <w:pPr>
        <w:spacing w:after="0" w:line="188" w:lineRule="exact"/>
        <w:rPr>
          <w:sz w:val="20"/>
          <w:szCs w:val="20"/>
          <w:color w:val="auto"/>
        </w:rPr>
      </w:pPr>
    </w:p>
    <w:p>
      <w:pPr>
        <w:ind w:left="40" w:right="139"/>
        <w:spacing w:after="0" w:line="233" w:lineRule="auto"/>
        <w:rPr>
          <w:sz w:val="20"/>
          <w:szCs w:val="20"/>
          <w:color w:val="auto"/>
        </w:rPr>
      </w:pPr>
      <w:r>
        <w:rPr>
          <w:rFonts w:ascii="Arial" w:cs="Arial" w:eastAsia="Arial" w:hAnsi="Arial"/>
          <w:sz w:val="18"/>
          <w:szCs w:val="18"/>
          <w:color w:val="auto"/>
        </w:rPr>
        <w:t>The USPTO and various non-U.S. government patent agencies require compliance with several procedural, documentary, and other similar provisions during the patent application process. For example, many countries, including the U.S. and China, require a foreign filing license to seek patent protection in a country outside of the inventor’s or invention’s country. Each country’s laws regarding foreign filing licenses vary and may even conflict. We employ reputable law firms and other professionals to help us comply and we are also dependent on our licensors to take the necessary action to comply with these requirements with respect to our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spacing w:after="0" w:line="180" w:lineRule="exact"/>
        <w:rPr>
          <w:sz w:val="20"/>
          <w:szCs w:val="20"/>
          <w:color w:val="auto"/>
        </w:rPr>
      </w:pPr>
    </w:p>
    <w:p>
      <w:pPr>
        <w:ind w:left="40" w:right="459"/>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41"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patent claims, but instead only to patent claims that read on the product as approved. Even if patents covering our product candidates are obtained, once the patent life has expired for a product candidate, we may be open to competition.</w:t>
      </w:r>
    </w:p>
    <w:p>
      <w:pPr>
        <w:spacing w:after="0" w:line="189"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Given the amount of time required for the development, testing and regulatory review of our new product candidates such as GSBR-1290, ANPA-0073 and any of our future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as compensation for effective patent term lost during product development and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term beyond 14 years from approval and only those claims covering the approved drug, a method for using it or a method for manufacturing it may be extended. Further,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take advantage of our investment in development and clinical trials by referencing our clinical and preclinical data and launch their product candidates earlier than might otherwise be the case.</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215" w:lineRule="exact"/>
        <w:rPr>
          <w:sz w:val="20"/>
          <w:szCs w:val="20"/>
          <w:color w:val="auto"/>
        </w:rPr>
      </w:pPr>
    </w:p>
    <w:p>
      <w:pPr>
        <w:jc w:val="both"/>
        <w:ind w:left="40" w:right="67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189" w:lineRule="exact"/>
        <w:rPr>
          <w:sz w:val="20"/>
          <w:szCs w:val="20"/>
          <w:color w:val="auto"/>
        </w:rPr>
      </w:pPr>
    </w:p>
    <w:p>
      <w:pPr>
        <w:ind w:left="720" w:right="379" w:hanging="326"/>
        <w:spacing w:after="0" w:line="250"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that we own or control;</w:t>
      </w:r>
    </w:p>
    <w:p>
      <w:pPr>
        <w:spacing w:after="0" w:line="73" w:lineRule="exact"/>
        <w:rPr>
          <w:rFonts w:ascii="Arial" w:cs="Arial" w:eastAsia="Arial" w:hAnsi="Arial"/>
          <w:sz w:val="18"/>
          <w:szCs w:val="18"/>
          <w:color w:val="auto"/>
        </w:rPr>
      </w:pPr>
    </w:p>
    <w:p>
      <w:pPr>
        <w:ind w:left="720" w:right="239" w:hanging="326"/>
        <w:spacing w:after="0" w:line="250"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73" w:lineRule="exact"/>
        <w:rPr>
          <w:rFonts w:ascii="Arial" w:cs="Arial" w:eastAsia="Arial" w:hAnsi="Arial"/>
          <w:sz w:val="18"/>
          <w:szCs w:val="18"/>
          <w:color w:val="auto"/>
        </w:rPr>
      </w:pPr>
    </w:p>
    <w:p>
      <w:pPr>
        <w:ind w:left="720" w:right="299" w:hanging="326"/>
        <w:spacing w:after="0" w:line="250"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the inventions we own or control;</w:t>
      </w:r>
    </w:p>
    <w:p>
      <w:pPr>
        <w:spacing w:after="0" w:line="73" w:lineRule="exact"/>
        <w:rPr>
          <w:rFonts w:ascii="Arial" w:cs="Arial" w:eastAsia="Arial" w:hAnsi="Arial"/>
          <w:sz w:val="18"/>
          <w:szCs w:val="18"/>
          <w:color w:val="auto"/>
        </w:rPr>
      </w:pPr>
    </w:p>
    <w:p>
      <w:pPr>
        <w:ind w:left="720" w:right="99" w:hanging="326"/>
        <w:spacing w:after="0" w:line="250"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3" w:lineRule="exact"/>
        <w:rPr>
          <w:rFonts w:ascii="Arial" w:cs="Arial" w:eastAsia="Arial" w:hAnsi="Arial"/>
          <w:sz w:val="18"/>
          <w:szCs w:val="18"/>
          <w:color w:val="auto"/>
        </w:rPr>
      </w:pPr>
    </w:p>
    <w:p>
      <w:pPr>
        <w:ind w:left="720" w:right="239" w:hanging="326"/>
        <w:spacing w:after="0" w:line="238"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noncompliance with the USPTO and foreign governmental agencies requirement for a number of procedural, documentary, fee payment and other provisions during the patent process or technology export can result in abandonment or lapse of a patent or patent application, and partial or complete loss of patent rights in the relevant jurisdiction;</w:t>
      </w:r>
    </w:p>
    <w:p>
      <w:pPr>
        <w:spacing w:after="0" w:line="82" w:lineRule="exact"/>
        <w:rPr>
          <w:rFonts w:ascii="Arial" w:cs="Arial" w:eastAsia="Arial" w:hAnsi="Arial"/>
          <w:sz w:val="18"/>
          <w:szCs w:val="18"/>
          <w:color w:val="auto"/>
        </w:rPr>
      </w:pPr>
    </w:p>
    <w:p>
      <w:pPr>
        <w:ind w:left="720" w:hanging="32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pending patent applications that we own or control may not lead to issued patents;</w:t>
      </w:r>
    </w:p>
    <w:p>
      <w:pPr>
        <w:spacing w:after="0" w:line="111" w:lineRule="exact"/>
        <w:rPr>
          <w:rFonts w:ascii="Arial" w:cs="Arial" w:eastAsia="Arial" w:hAnsi="Arial"/>
          <w:sz w:val="18"/>
          <w:szCs w:val="18"/>
          <w:color w:val="auto"/>
        </w:rPr>
      </w:pPr>
    </w:p>
    <w:p>
      <w:pPr>
        <w:ind w:left="720" w:right="959" w:hanging="326"/>
        <w:spacing w:after="0" w:line="250"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own or control may be held invalid or unenforceable as a result of legal challenges;</w:t>
      </w:r>
    </w:p>
    <w:p>
      <w:pPr>
        <w:spacing w:after="0" w:line="73" w:lineRule="exact"/>
        <w:rPr>
          <w:rFonts w:ascii="Arial" w:cs="Arial" w:eastAsia="Arial" w:hAnsi="Arial"/>
          <w:sz w:val="18"/>
          <w:szCs w:val="18"/>
          <w:color w:val="auto"/>
        </w:rPr>
      </w:pPr>
    </w:p>
    <w:p>
      <w:pPr>
        <w:ind w:left="720" w:right="79" w:hanging="326"/>
        <w:spacing w:after="0" w:line="23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United States and other foreign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w:t>
      </w:r>
    </w:p>
    <w:p>
      <w:pPr>
        <w:spacing w:after="0" w:line="84" w:lineRule="exact"/>
        <w:rPr>
          <w:rFonts w:ascii="Arial" w:cs="Arial" w:eastAsia="Arial" w:hAnsi="Arial"/>
          <w:sz w:val="18"/>
          <w:szCs w:val="18"/>
          <w:color w:val="auto"/>
        </w:rPr>
      </w:pPr>
    </w:p>
    <w:p>
      <w:pPr>
        <w:ind w:left="720" w:hanging="32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1" w:lineRule="exact"/>
        <w:rPr>
          <w:rFonts w:ascii="Arial" w:cs="Arial" w:eastAsia="Arial" w:hAnsi="Arial"/>
          <w:sz w:val="18"/>
          <w:szCs w:val="18"/>
          <w:color w:val="auto"/>
        </w:rPr>
      </w:pPr>
    </w:p>
    <w:p>
      <w:pPr>
        <w:ind w:left="720" w:right="479" w:hanging="326"/>
        <w:spacing w:after="0" w:line="238"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p>
      <w:pPr>
        <w:spacing w:after="0" w:line="82" w:lineRule="exact"/>
        <w:rPr>
          <w:rFonts w:ascii="Arial" w:cs="Arial" w:eastAsia="Arial" w:hAnsi="Arial"/>
          <w:sz w:val="18"/>
          <w:szCs w:val="18"/>
          <w:color w:val="auto"/>
        </w:rPr>
      </w:pPr>
    </w:p>
    <w:p>
      <w:pPr>
        <w:ind w:left="720" w:right="159" w:hanging="32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right="359" w:hanging="32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countries other than the United States may have patent laws that are less favorable to patentees than those upheld by U.S. courts, allowing foreign competitors a better opportunity to create, develop and market competing product candidates;</w:t>
      </w:r>
    </w:p>
    <w:p>
      <w:pPr>
        <w:spacing w:after="0" w:line="82" w:lineRule="exact"/>
        <w:rPr>
          <w:rFonts w:ascii="Arial" w:cs="Arial" w:eastAsia="Arial" w:hAnsi="Arial"/>
          <w:sz w:val="18"/>
          <w:szCs w:val="18"/>
          <w:color w:val="auto"/>
        </w:rPr>
      </w:pPr>
    </w:p>
    <w:p>
      <w:pPr>
        <w:ind w:left="720" w:right="479" w:hanging="326"/>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claims of any patent issuing based on our patent applications may not provide protection against competitors or any competitive advantages, or may be challenged by third parties;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enforced, a court may not hold that our patents are valid, enforceable and infringed;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11" w:lineRule="exact"/>
        <w:rPr>
          <w:rFonts w:ascii="Arial" w:cs="Arial" w:eastAsia="Arial" w:hAnsi="Arial"/>
          <w:sz w:val="18"/>
          <w:szCs w:val="18"/>
          <w:color w:val="auto"/>
        </w:rPr>
      </w:pPr>
    </w:p>
    <w:p>
      <w:pPr>
        <w:ind w:left="720" w:right="539" w:hanging="326"/>
        <w:spacing w:after="0" w:line="279" w:lineRule="auto"/>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 including if others obtain patents claiming subject matter similar to or improving that covered by our patents and patent applications.</w:t>
      </w:r>
    </w:p>
    <w:p>
      <w:pPr>
        <w:spacing w:after="0" w:line="146"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spacing w:after="0" w:line="163" w:lineRule="exact"/>
        <w:rPr>
          <w:sz w:val="20"/>
          <w:szCs w:val="20"/>
          <w:color w:val="auto"/>
        </w:rPr>
      </w:pPr>
    </w:p>
    <w:p>
      <w:pPr>
        <w:ind w:left="40" w:right="159"/>
        <w:spacing w:after="0" w:line="247" w:lineRule="auto"/>
        <w:rPr>
          <w:sz w:val="20"/>
          <w:szCs w:val="20"/>
          <w:color w:val="auto"/>
        </w:rPr>
      </w:pPr>
      <w:r>
        <w:rPr>
          <w:rFonts w:ascii="Arial" w:cs="Arial" w:eastAsia="Arial" w:hAnsi="Arial"/>
          <w:sz w:val="17"/>
          <w:szCs w:val="17"/>
          <w:color w:val="auto"/>
        </w:rPr>
        <w:t>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7" w:lineRule="exact"/>
        <w:rPr>
          <w:sz w:val="20"/>
          <w:szCs w:val="20"/>
          <w:color w:val="auto"/>
        </w:rPr>
      </w:pPr>
    </w:p>
    <w:p>
      <w:pPr>
        <w:ind w:left="40" w:right="59"/>
        <w:spacing w:after="0" w:line="232" w:lineRule="auto"/>
        <w:rPr>
          <w:sz w:val="20"/>
          <w:szCs w:val="20"/>
          <w:color w:val="auto"/>
        </w:rPr>
      </w:pPr>
      <w:r>
        <w:rPr>
          <w:rFonts w:ascii="Arial" w:cs="Arial" w:eastAsia="Arial" w:hAnsi="Arial"/>
          <w:sz w:val="18"/>
          <w:szCs w:val="18"/>
          <w:color w:val="auto"/>
        </w:rPr>
        <w:t>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PGR and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6" w:lineRule="auto"/>
        <w:rPr>
          <w:sz w:val="20"/>
          <w:szCs w:val="20"/>
          <w:color w:val="auto"/>
        </w:rPr>
      </w:pPr>
      <w:r>
        <w:rPr>
          <w:rFonts w:ascii="Arial" w:cs="Arial" w:eastAsia="Arial" w:hAnsi="Arial"/>
          <w:sz w:val="18"/>
          <w:szCs w:val="18"/>
          <w:color w:val="auto"/>
        </w:rPr>
        <w:t>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1"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spacing w:after="0" w:line="192" w:lineRule="exact"/>
        <w:rPr>
          <w:sz w:val="20"/>
          <w:szCs w:val="20"/>
          <w:color w:val="auto"/>
        </w:rPr>
      </w:pPr>
    </w:p>
    <w:p>
      <w:pPr>
        <w:ind w:left="40" w:right="119"/>
        <w:spacing w:after="0" w:line="251" w:lineRule="auto"/>
        <w:rPr>
          <w:sz w:val="20"/>
          <w:szCs w:val="20"/>
          <w:color w:val="auto"/>
        </w:rPr>
      </w:pPr>
      <w:r>
        <w:rPr>
          <w:rFonts w:ascii="Arial" w:cs="Arial" w:eastAsia="Arial" w:hAnsi="Arial"/>
          <w:sz w:val="17"/>
          <w:szCs w:val="17"/>
          <w:color w:val="auto"/>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181" w:lineRule="exact"/>
        <w:rPr>
          <w:sz w:val="20"/>
          <w:szCs w:val="20"/>
          <w:color w:val="auto"/>
        </w:rPr>
      </w:pPr>
    </w:p>
    <w:p>
      <w:pPr>
        <w:ind w:left="40" w:right="219"/>
        <w:spacing w:after="0" w:line="236"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1"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Additionally, 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 candidates, programs or intellectual property could be diminished. Accordingly, the market price of our ADSs may decline. Such announcements could also harm our reputation or the market for our future products, which could have a material adverse effect on our business.</w:t>
      </w:r>
    </w:p>
    <w:p>
      <w:pPr>
        <w:spacing w:after="0" w:line="182" w:lineRule="exact"/>
        <w:rPr>
          <w:sz w:val="20"/>
          <w:szCs w:val="20"/>
          <w:color w:val="auto"/>
        </w:rPr>
      </w:pPr>
    </w:p>
    <w:p>
      <w:pPr>
        <w:ind w:left="40" w:right="579"/>
        <w:spacing w:after="0" w:line="27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41" w:lineRule="exact"/>
        <w:rPr>
          <w:sz w:val="20"/>
          <w:szCs w:val="20"/>
          <w:color w:val="auto"/>
        </w:rPr>
      </w:pPr>
    </w:p>
    <w:p>
      <w:pPr>
        <w:ind w:left="40" w:right="59"/>
        <w:spacing w:after="0" w:line="232" w:lineRule="auto"/>
        <w:rPr>
          <w:sz w:val="20"/>
          <w:szCs w:val="20"/>
          <w:color w:val="auto"/>
        </w:rPr>
      </w:pPr>
      <w:r>
        <w:rPr>
          <w:rFonts w:ascii="Arial" w:cs="Arial" w:eastAsia="Arial" w:hAnsi="Arial"/>
          <w:sz w:val="18"/>
          <w:szCs w:val="18"/>
          <w:color w:val="auto"/>
        </w:rPr>
        <w:t>Competitors or other third parties may infringe or otherwise violate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technologies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patent offices in foreign countries or made a misleading statement during prosecution. Third parties may also raise similar validity claims before the USPTO in post-grant proceedings such as ex parte reexaminations, IPR, or PGR, or oppositions or similar proceedings outside the United States, in parallel with litigation or even outside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50" w:lineRule="auto"/>
        <w:rPr>
          <w:sz w:val="20"/>
          <w:szCs w:val="20"/>
          <w:color w:val="auto"/>
        </w:rPr>
      </w:pPr>
      <w:r>
        <w:rPr>
          <w:rFonts w:ascii="Arial" w:cs="Arial" w:eastAsia="Arial" w:hAnsi="Arial"/>
          <w:sz w:val="17"/>
          <w:szCs w:val="17"/>
          <w:color w:val="auto"/>
        </w:rPr>
        <w:t>context of litigation. The outcome following legal assertions of invalidity and unenforceability is unpredictable. There may be invalidating prior art, of which we and the patent examiner were unaware during prosecution. There may be double patenting among our own patents, which the patent examiner(s) fail to raise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82" w:lineRule="exact"/>
        <w:rPr>
          <w:sz w:val="20"/>
          <w:szCs w:val="20"/>
          <w:color w:val="auto"/>
        </w:rPr>
      </w:pPr>
    </w:p>
    <w:p>
      <w:pPr>
        <w:ind w:left="40" w:right="59"/>
        <w:spacing w:after="0" w:line="232" w:lineRule="auto"/>
        <w:rPr>
          <w:sz w:val="20"/>
          <w:szCs w:val="20"/>
          <w:color w:val="auto"/>
        </w:rPr>
      </w:pPr>
      <w:r>
        <w:rPr>
          <w:rFonts w:ascii="Arial" w:cs="Arial" w:eastAsia="Arial" w:hAnsi="Arial"/>
          <w:sz w:val="18"/>
          <w:szCs w:val="18"/>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technologies falls under the safe harbor to patent infringement under 35 U.S.C. §271(e)(1). An adverse outcome in a litigation or other proceeding involving our patents could limit our ability to assert our patents against those parties or other competitors and may curtail or preclude our ability to exclude third parties from making and selling similar or competitive products.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w:t>
      </w:r>
    </w:p>
    <w:p>
      <w:pPr>
        <w:spacing w:after="0" w:line="198" w:lineRule="exact"/>
        <w:rPr>
          <w:sz w:val="20"/>
          <w:szCs w:val="20"/>
          <w:color w:val="auto"/>
        </w:rPr>
      </w:pPr>
    </w:p>
    <w:p>
      <w:pPr>
        <w:ind w:left="40" w:right="59"/>
        <w:spacing w:after="0" w:line="248"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5" w:lineRule="exact"/>
        <w:rPr>
          <w:sz w:val="20"/>
          <w:szCs w:val="20"/>
          <w:color w:val="auto"/>
        </w:rPr>
      </w:pPr>
    </w:p>
    <w:p>
      <w:pPr>
        <w:ind w:left="40" w:right="99"/>
        <w:spacing w:after="0" w:line="234" w:lineRule="auto"/>
        <w:rPr>
          <w:sz w:val="20"/>
          <w:szCs w:val="20"/>
          <w:color w:val="auto"/>
        </w:rPr>
      </w:pPr>
      <w:r>
        <w:rPr>
          <w:rFonts w:ascii="Arial" w:cs="Arial" w:eastAsia="Arial" w:hAnsi="Arial"/>
          <w:sz w:val="18"/>
          <w:szCs w:val="18"/>
          <w:color w:val="auto"/>
        </w:rPr>
        <w:t>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spacing w:after="0" w:line="192" w:lineRule="exact"/>
        <w:rPr>
          <w:sz w:val="20"/>
          <w:szCs w:val="20"/>
          <w:color w:val="auto"/>
        </w:rPr>
      </w:pPr>
    </w:p>
    <w:p>
      <w:pPr>
        <w:ind w:left="40" w:right="159"/>
        <w:spacing w:after="0" w:line="238" w:lineRule="auto"/>
        <w:rPr>
          <w:sz w:val="20"/>
          <w:szCs w:val="20"/>
          <w:color w:val="auto"/>
        </w:rPr>
      </w:pPr>
      <w:r>
        <w:rPr>
          <w:rFonts w:ascii="Arial" w:cs="Arial" w:eastAsia="Arial" w:hAnsi="Arial"/>
          <w:sz w:val="18"/>
          <w:szCs w:val="18"/>
          <w:color w:val="auto"/>
        </w:rPr>
        <w:t>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939"/>
        <w:spacing w:after="0" w:line="278"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141"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spacing w:after="0" w:line="182" w:lineRule="exact"/>
        <w:rPr>
          <w:sz w:val="20"/>
          <w:szCs w:val="20"/>
          <w:color w:val="auto"/>
        </w:rPr>
      </w:pPr>
    </w:p>
    <w:p>
      <w:pPr>
        <w:ind w:left="40" w:right="259"/>
        <w:spacing w:after="0" w:line="254"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current and any future product candidates.</w:t>
      </w:r>
    </w:p>
    <w:p>
      <w:pPr>
        <w:spacing w:after="0" w:line="163" w:lineRule="exact"/>
        <w:rPr>
          <w:sz w:val="20"/>
          <w:szCs w:val="20"/>
          <w:color w:val="auto"/>
        </w:rPr>
      </w:pPr>
    </w:p>
    <w:p>
      <w:pPr>
        <w:ind w:left="40" w:right="79"/>
        <w:spacing w:after="0" w:line="246" w:lineRule="auto"/>
        <w:rPr>
          <w:sz w:val="20"/>
          <w:szCs w:val="20"/>
          <w:color w:val="auto"/>
        </w:rPr>
      </w:pPr>
      <w:r>
        <w:rPr>
          <w:rFonts w:ascii="Arial" w:cs="Arial" w:eastAsia="Arial" w:hAnsi="Arial"/>
          <w:sz w:val="17"/>
          <w:szCs w:val="17"/>
          <w:color w:val="auto"/>
        </w:rPr>
        <w:t>Changes in either the patent laws or interpretation of the patent laws in the United States and other foreign countries could increase uncertainties and costs, and may diminish our ability to protect our inventions, obtain, maintain, and enforce our intellectual property rights and, more generally, could affect the value of our patents or narrow the scope of our patent protection. On September 16, 2011, the Leahy-Smith America Invents Act (the “Leahy-Smith Act”) was signed into law. When implemented, the Leahy-Smith Act included several significant changes to U.S. patent law that impacted how patent rights could be prosecuted, enforced and defended.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patent claim invalid even though the same evidence would be insufficient to invalidate the patent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1"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59"/>
        <w:spacing w:after="0" w:line="250" w:lineRule="auto"/>
        <w:rPr>
          <w:sz w:val="20"/>
          <w:szCs w:val="20"/>
          <w:color w:val="auto"/>
        </w:rPr>
      </w:pPr>
      <w:r>
        <w:rPr>
          <w:rFonts w:ascii="Arial" w:cs="Arial" w:eastAsia="Arial" w:hAnsi="Arial"/>
          <w:sz w:val="18"/>
          <w:szCs w:val="18"/>
          <w:color w:val="auto"/>
        </w:rPr>
        <w:t>where the other party can show that they used the invention in commerce before our filing date or the other party benefits from a compulsory license.</w:t>
      </w:r>
    </w:p>
    <w:p>
      <w:pPr>
        <w:spacing w:after="0" w:line="180"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The USPTO developed new regulations and procedures governing the administration of the Leahy-Smith Act, and many of the substantive changes to patent law associated with the Leahy-Smith Act, and in particular, the first to file provisions,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negative effect on our business.</w:t>
      </w:r>
    </w:p>
    <w:p>
      <w:pPr>
        <w:spacing w:after="0" w:line="192"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85" w:lineRule="exact"/>
        <w:rPr>
          <w:sz w:val="20"/>
          <w:szCs w:val="20"/>
          <w:color w:val="auto"/>
        </w:rPr>
      </w:pPr>
    </w:p>
    <w:p>
      <w:pPr>
        <w:ind w:left="40" w:right="899"/>
        <w:spacing w:after="0" w:line="278" w:lineRule="auto"/>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negatively impact our business.</w:t>
      </w:r>
    </w:p>
    <w:p>
      <w:pPr>
        <w:spacing w:after="0" w:line="141"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Filing, prosecuting and defending patents covering our current and any future product candidates throughout the world would be prohibitively expensive, and our intellectual property rights in some countries outside the United States can have a different scope and strength than do those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193"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w:t>
      </w:r>
    </w:p>
    <w:p>
      <w:pPr>
        <w:spacing w:after="0" w:line="190" w:lineRule="exact"/>
        <w:rPr>
          <w:sz w:val="20"/>
          <w:szCs w:val="20"/>
          <w:color w:val="auto"/>
        </w:rPr>
      </w:pPr>
    </w:p>
    <w:p>
      <w:pPr>
        <w:ind w:left="40" w:right="59"/>
        <w:spacing w:after="0"/>
        <w:rPr>
          <w:sz w:val="20"/>
          <w:szCs w:val="20"/>
          <w:color w:val="auto"/>
        </w:rPr>
      </w:pPr>
      <w:r>
        <w:rPr>
          <w:rFonts w:ascii="Arial" w:cs="Arial" w:eastAsia="Arial" w:hAnsi="Arial"/>
          <w:sz w:val="18"/>
          <w:szCs w:val="18"/>
          <w:color w:val="auto"/>
        </w:rPr>
        <w:t>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39"/>
        <w:spacing w:after="0" w:line="235" w:lineRule="auto"/>
        <w:rPr>
          <w:sz w:val="20"/>
          <w:szCs w:val="20"/>
          <w:color w:val="auto"/>
        </w:rPr>
      </w:pPr>
      <w:r>
        <w:rPr>
          <w:rFonts w:ascii="Arial" w:cs="Arial" w:eastAsia="Arial" w:hAnsi="Arial"/>
          <w:sz w:val="18"/>
          <w:szCs w:val="18"/>
          <w:color w:val="auto"/>
        </w:rPr>
        <w:t>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78" w:lineRule="exact"/>
        <w:rPr>
          <w:sz w:val="20"/>
          <w:szCs w:val="20"/>
          <w:color w:val="auto"/>
        </w:rPr>
      </w:pPr>
    </w:p>
    <w:p>
      <w:pPr>
        <w:ind w:left="40" w:right="319"/>
        <w:spacing w:after="0" w:line="25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trade secrets or other confidential information of their current or former employers or claims asserting inventorship or ownership of what we regard as our own intellectual property.</w:t>
      </w:r>
    </w:p>
    <w:p>
      <w:pPr>
        <w:spacing w:after="0" w:line="163" w:lineRule="exact"/>
        <w:rPr>
          <w:sz w:val="20"/>
          <w:szCs w:val="20"/>
          <w:color w:val="auto"/>
        </w:rPr>
      </w:pPr>
    </w:p>
    <w:p>
      <w:pPr>
        <w:ind w:left="40" w:right="119"/>
        <w:spacing w:after="0" w:line="23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healthcare,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client.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9" w:lineRule="exact"/>
        <w:rPr>
          <w:sz w:val="20"/>
          <w:szCs w:val="20"/>
          <w:color w:val="auto"/>
        </w:rPr>
      </w:pPr>
    </w:p>
    <w:p>
      <w:pPr>
        <w:ind w:left="40" w:right="59"/>
        <w:spacing w:after="0" w:line="247" w:lineRule="auto"/>
        <w:rPr>
          <w:sz w:val="20"/>
          <w:szCs w:val="20"/>
          <w:color w:val="auto"/>
        </w:rPr>
      </w:pPr>
      <w:r>
        <w:rPr>
          <w:rFonts w:ascii="Arial" w:cs="Arial" w:eastAsia="Arial" w:hAnsi="Arial"/>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Litigation may be necessary to defend against these and other claims challenging inventorship.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our management and other employees.</w:t>
      </w:r>
    </w:p>
    <w:p>
      <w:pPr>
        <w:spacing w:after="0" w:line="185"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 candidates and technology. This could have a material adverse effect on our competitive position, business, financial conditions, results of operations, and prospects.</w:t>
      </w:r>
    </w:p>
    <w:p>
      <w:pPr>
        <w:spacing w:after="0" w:line="192" w:lineRule="exact"/>
        <w:rPr>
          <w:sz w:val="20"/>
          <w:szCs w:val="20"/>
          <w:color w:val="auto"/>
        </w:rPr>
      </w:pPr>
    </w:p>
    <w:p>
      <w:pPr>
        <w:ind w:left="40" w:right="159"/>
        <w:spacing w:after="0" w:line="234"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40" w:right="579"/>
        <w:spacing w:after="0" w:line="254"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63"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Any of our patent searches or analyses, including the identification of relevant patents, the scope of patent claims or the expiration of relevant patents, may not be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products are not covered by a third-party patent or may incorrectly predict whether a third-party’s pending application will issue with claims of relevant scope. Also,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92"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the claims of our patent applications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may not be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patent claim not entitled to priority before March 16, 2013, there is a greater level of uncertainty in the patent law in view of the passage of the Leahy-Smith Act, which brought into effect significant changes to the U.S. patent laws, including new procedures for challenging pending patent applications and issued patents.</w:t>
      </w:r>
    </w:p>
    <w:p>
      <w:pPr>
        <w:spacing w:after="0" w:line="188" w:lineRule="exact"/>
        <w:rPr>
          <w:sz w:val="20"/>
          <w:szCs w:val="20"/>
          <w:color w:val="auto"/>
        </w:rPr>
      </w:pPr>
    </w:p>
    <w:p>
      <w:pPr>
        <w:ind w:left="40" w:right="679"/>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41" w:lineRule="exact"/>
        <w:rPr>
          <w:sz w:val="20"/>
          <w:szCs w:val="20"/>
          <w:color w:val="auto"/>
        </w:rPr>
      </w:pPr>
    </w:p>
    <w:p>
      <w:pPr>
        <w:ind w:left="40" w:right="119"/>
        <w:spacing w:after="0" w:line="233" w:lineRule="auto"/>
        <w:rPr>
          <w:sz w:val="20"/>
          <w:szCs w:val="20"/>
          <w:color w:val="auto"/>
        </w:rPr>
      </w:pPr>
      <w:r>
        <w:rPr>
          <w:rFonts w:ascii="Arial" w:cs="Arial" w:eastAsia="Arial" w:hAnsi="Arial"/>
          <w:sz w:val="18"/>
          <w:szCs w:val="18"/>
          <w:color w:val="auto"/>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399"/>
        <w:spacing w:after="0" w:line="238" w:lineRule="auto"/>
        <w:rPr>
          <w:sz w:val="20"/>
          <w:szCs w:val="20"/>
          <w:color w:val="auto"/>
        </w:rPr>
      </w:pPr>
      <w:r>
        <w:rPr>
          <w:rFonts w:ascii="Arial" w:cs="Arial" w:eastAsia="Arial" w:hAnsi="Arial"/>
          <w:sz w:val="18"/>
          <w:szCs w:val="18"/>
          <w:color w:val="auto"/>
        </w:rPr>
        <w:t>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8" w:lineRule="exact"/>
        <w:rPr>
          <w:sz w:val="20"/>
          <w:szCs w:val="20"/>
          <w:color w:val="auto"/>
        </w:rPr>
      </w:pPr>
    </w:p>
    <w:p>
      <w:pPr>
        <w:ind w:left="40" w:right="59"/>
        <w:spacing w:after="0" w:line="234" w:lineRule="auto"/>
        <w:rPr>
          <w:sz w:val="20"/>
          <w:szCs w:val="20"/>
          <w:color w:val="auto"/>
        </w:rPr>
      </w:pPr>
      <w:r>
        <w:rPr>
          <w:rFonts w:ascii="Arial" w:cs="Arial" w:eastAsia="Arial" w:hAnsi="Arial"/>
          <w:sz w:val="18"/>
          <w:szCs w:val="18"/>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Our ADSs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price of our ADSs may be volatile, and you could lose all or part of your investment.</w:t>
      </w:r>
    </w:p>
    <w:p>
      <w:pPr>
        <w:spacing w:after="0" w:line="215" w:lineRule="exact"/>
        <w:rPr>
          <w:sz w:val="20"/>
          <w:szCs w:val="20"/>
          <w:color w:val="auto"/>
        </w:rPr>
      </w:pPr>
    </w:p>
    <w:p>
      <w:pPr>
        <w:ind w:left="40" w:right="79"/>
        <w:spacing w:after="0"/>
        <w:rPr>
          <w:sz w:val="20"/>
          <w:szCs w:val="20"/>
          <w:color w:val="auto"/>
        </w:rPr>
      </w:pPr>
      <w:r>
        <w:rPr>
          <w:rFonts w:ascii="Arial" w:cs="Arial" w:eastAsia="Arial" w:hAnsi="Arial"/>
          <w:sz w:val="18"/>
          <w:szCs w:val="18"/>
          <w:color w:val="auto"/>
        </w:rPr>
        <w:t>The trading price of our ADSs is likely to be highly volatile and could be subject to wide fluctuations in response to various factors, some of which are beyond our control, including limited trading volume. In addition to the factors discussed in this “Risk Factors” section and elsewhere in this Quarterly Report, these factors include:</w:t>
      </w:r>
    </w:p>
    <w:p>
      <w:pPr>
        <w:spacing w:after="0" w:line="189" w:lineRule="exact"/>
        <w:rPr>
          <w:sz w:val="20"/>
          <w:szCs w:val="20"/>
          <w:color w:val="auto"/>
        </w:rPr>
      </w:pPr>
    </w:p>
    <w:p>
      <w:pPr>
        <w:ind w:left="720" w:right="479" w:hanging="326"/>
        <w:spacing w:after="0" w:line="23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commencement, enrollment or results of our ongoing and planned preclinical studies and clinical trials, or any future preclinical studies or clinical trials, we may conduct of our current and any future product candidates, or changes in the development status of our current and any future product candidates;</w:t>
      </w:r>
    </w:p>
    <w:p>
      <w:pPr>
        <w:spacing w:after="0" w:line="82" w:lineRule="exact"/>
        <w:rPr>
          <w:rFonts w:ascii="Arial" w:cs="Arial" w:eastAsia="Arial" w:hAnsi="Arial"/>
          <w:sz w:val="18"/>
          <w:szCs w:val="18"/>
          <w:color w:val="auto"/>
        </w:rPr>
      </w:pPr>
    </w:p>
    <w:p>
      <w:pPr>
        <w:ind w:left="720" w:right="279" w:hanging="326"/>
        <w:spacing w:after="0" w:line="256"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any delay in preparing regulatory submissions to support development or commercialization of our current and any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p>
      <w:pPr>
        <w:spacing w:after="0" w:line="69" w:lineRule="exact"/>
        <w:rPr>
          <w:rFonts w:ascii="Arial" w:cs="Arial" w:eastAsia="Arial" w:hAnsi="Arial"/>
          <w:sz w:val="17"/>
          <w:szCs w:val="17"/>
          <w:color w:val="auto"/>
        </w:rPr>
      </w:pPr>
    </w:p>
    <w:p>
      <w:pPr>
        <w:ind w:left="720" w:hanging="32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results or delays in our preclinical studies and clinical trials;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1" w:lineRule="exact"/>
        <w:rPr>
          <w:rFonts w:ascii="Arial" w:cs="Arial" w:eastAsia="Arial" w:hAnsi="Arial"/>
          <w:sz w:val="18"/>
          <w:szCs w:val="18"/>
          <w:color w:val="auto"/>
        </w:rPr>
      </w:pPr>
    </w:p>
    <w:p>
      <w:pPr>
        <w:ind w:left="720" w:right="519" w:hanging="326"/>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marketing approval for our current and any future product candidates;</w:t>
      </w:r>
    </w:p>
    <w:p>
      <w:pPr>
        <w:spacing w:after="0" w:line="73" w:lineRule="exact"/>
        <w:rPr>
          <w:rFonts w:ascii="Arial" w:cs="Arial" w:eastAsia="Arial" w:hAnsi="Arial"/>
          <w:sz w:val="18"/>
          <w:szCs w:val="18"/>
          <w:color w:val="auto"/>
        </w:rPr>
      </w:pPr>
    </w:p>
    <w:p>
      <w:pPr>
        <w:ind w:left="720" w:right="159" w:hanging="326"/>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current and any future product candidates, including but not limited to clinical trial requirements for approvals;</w:t>
      </w:r>
    </w:p>
    <w:p>
      <w:pPr>
        <w:spacing w:after="0" w:line="73" w:lineRule="exact"/>
        <w:rPr>
          <w:rFonts w:ascii="Arial" w:cs="Arial" w:eastAsia="Arial" w:hAnsi="Arial"/>
          <w:sz w:val="18"/>
          <w:szCs w:val="18"/>
          <w:color w:val="auto"/>
        </w:rPr>
      </w:pPr>
    </w:p>
    <w:p>
      <w:pPr>
        <w:ind w:left="720" w:right="739" w:hanging="326"/>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failure to obtain coverage and adequate reimbursement of our current and any future product candidates, if approved;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on the structure of healthcare payment systems;</w:t>
      </w:r>
    </w:p>
    <w:p>
      <w:pPr>
        <w:spacing w:after="0" w:line="111" w:lineRule="exact"/>
        <w:rPr>
          <w:rFonts w:ascii="Arial" w:cs="Arial" w:eastAsia="Arial" w:hAnsi="Arial"/>
          <w:sz w:val="18"/>
          <w:szCs w:val="18"/>
          <w:color w:val="auto"/>
        </w:rPr>
      </w:pPr>
    </w:p>
    <w:p>
      <w:pPr>
        <w:ind w:left="720" w:right="99" w:hanging="326"/>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licensors, future collaborators or other strategic partners;</w:t>
      </w:r>
    </w:p>
    <w:p>
      <w:pPr>
        <w:spacing w:after="0" w:line="73" w:lineRule="exact"/>
        <w:rPr>
          <w:rFonts w:ascii="Arial" w:cs="Arial" w:eastAsia="Arial" w:hAnsi="Arial"/>
          <w:sz w:val="18"/>
          <w:szCs w:val="18"/>
          <w:color w:val="auto"/>
        </w:rPr>
      </w:pPr>
    </w:p>
    <w:p>
      <w:pPr>
        <w:ind w:left="720" w:right="559" w:hanging="326"/>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drug product or inability to do so at acceptable prices;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commercialize our current and any future product candidates;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1" w:lineRule="exact"/>
        <w:rPr>
          <w:rFonts w:ascii="Arial" w:cs="Arial" w:eastAsia="Arial" w:hAnsi="Arial"/>
          <w:sz w:val="18"/>
          <w:szCs w:val="18"/>
          <w:color w:val="auto"/>
        </w:rPr>
      </w:pPr>
    </w:p>
    <w:p>
      <w:pPr>
        <w:ind w:left="720" w:right="999" w:hanging="326"/>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current and any future product candidates;</w:t>
      </w:r>
    </w:p>
    <w:p>
      <w:pPr>
        <w:spacing w:after="0" w:line="73" w:lineRule="exact"/>
        <w:rPr>
          <w:rFonts w:ascii="Arial" w:cs="Arial" w:eastAsia="Arial" w:hAnsi="Arial"/>
          <w:sz w:val="18"/>
          <w:szCs w:val="18"/>
          <w:color w:val="auto"/>
        </w:rPr>
      </w:pPr>
    </w:p>
    <w:p>
      <w:pPr>
        <w:ind w:left="720" w:right="159" w:hanging="326"/>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 or the release or publication of clinical trial results from competing product candidates;</w:t>
      </w:r>
    </w:p>
    <w:p>
      <w:pPr>
        <w:spacing w:after="0" w:line="73" w:lineRule="exact"/>
        <w:rPr>
          <w:rFonts w:ascii="Arial" w:cs="Arial" w:eastAsia="Arial" w:hAnsi="Arial"/>
          <w:sz w:val="18"/>
          <w:szCs w:val="18"/>
          <w:color w:val="auto"/>
        </w:rPr>
      </w:pPr>
    </w:p>
    <w:p>
      <w:pPr>
        <w:ind w:left="720" w:right="179" w:hanging="326"/>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1" w:lineRule="exact"/>
        <w:rPr>
          <w:rFonts w:ascii="Arial" w:cs="Arial" w:eastAsia="Arial" w:hAnsi="Arial"/>
          <w:sz w:val="18"/>
          <w:szCs w:val="18"/>
          <w:color w:val="auto"/>
        </w:rPr>
      </w:pPr>
    </w:p>
    <w:p>
      <w:pPr>
        <w:ind w:left="720" w:right="199" w:hanging="326"/>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73" w:lineRule="exact"/>
        <w:rPr>
          <w:rFonts w:ascii="Arial" w:cs="Arial" w:eastAsia="Arial" w:hAnsi="Arial"/>
          <w:sz w:val="18"/>
          <w:szCs w:val="18"/>
          <w:color w:val="auto"/>
        </w:rPr>
      </w:pPr>
    </w:p>
    <w:p>
      <w:pPr>
        <w:ind w:left="720" w:right="579" w:hanging="326"/>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issuances of debt or equity securities;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our ADSs by us or our shareholders in the future, or the perception that such sales may occur;</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volume of our ADSs;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1" w:lineRule="exact"/>
        <w:rPr>
          <w:rFonts w:ascii="Arial" w:cs="Arial" w:eastAsia="Arial" w:hAnsi="Arial"/>
          <w:sz w:val="18"/>
          <w:szCs w:val="18"/>
          <w:color w:val="auto"/>
        </w:rPr>
      </w:pPr>
    </w:p>
    <w:p>
      <w:pPr>
        <w:ind w:left="720" w:right="119" w:hanging="326"/>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11" w:lineRule="exact"/>
        <w:rPr>
          <w:rFonts w:ascii="Arial" w:cs="Arial" w:eastAsia="Arial" w:hAnsi="Arial"/>
          <w:sz w:val="18"/>
          <w:szCs w:val="18"/>
          <w:color w:val="auto"/>
        </w:rPr>
      </w:pPr>
    </w:p>
    <w:p>
      <w:pPr>
        <w:ind w:left="720" w:right="799" w:hanging="326"/>
        <w:spacing w:after="0" w:line="250"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geopolitical and macroeconomic conditions, including as a result of bank failures, global pandemics or the Russia/Ukraine conflict; and</w:t>
      </w:r>
    </w:p>
    <w:p>
      <w:pPr>
        <w:spacing w:after="0" w:line="73" w:lineRule="exact"/>
        <w:rPr>
          <w:rFonts w:ascii="Arial" w:cs="Arial" w:eastAsia="Arial" w:hAnsi="Arial"/>
          <w:sz w:val="18"/>
          <w:szCs w:val="18"/>
          <w:color w:val="auto"/>
        </w:rPr>
      </w:pPr>
    </w:p>
    <w:p>
      <w:pPr>
        <w:ind w:left="720" w:hanging="32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8"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119"/>
        <w:spacing w:after="0" w:line="236" w:lineRule="auto"/>
        <w:rPr>
          <w:sz w:val="20"/>
          <w:szCs w:val="20"/>
          <w:color w:val="auto"/>
        </w:rPr>
      </w:pPr>
      <w:r>
        <w:rPr>
          <w:rFonts w:ascii="Arial" w:cs="Arial" w:eastAsia="Arial" w:hAnsi="Arial"/>
          <w:sz w:val="18"/>
          <w:szCs w:val="18"/>
          <w:b w:val="1"/>
          <w:bCs w:val="1"/>
          <w:i w:val="1"/>
          <w:iCs w:val="1"/>
          <w:color w:val="auto"/>
        </w:rPr>
        <w:t>Although our annual financial statements were audited and reported upon by auditors who are currently subject to inspection by the Public Company Accounting Oversight Board (“PCAOB”), there is no guarantee that future audit reports will be prepared by auditors that are subject to inspection by the PCAOB and, as such, future investors may be deprived of such inspections, which could result in limitations or restrictions to our access of the U.S. capital markets. Furthermore, trading in our securities may be prohibited under the Holding Foreign Companies Accountable Act (“HFCA Act”) or the Accelerating Holding Foreign Companies Accountable Act (“AHFCA Act”) if the SEC subsequently identifies that our audit work is performed by an auditor that the PCAOB is unable to inspect or investigate completely, and as a result, U.S. national securities exchanges, such as the Nasdaq, may delist our securities.</w:t>
      </w:r>
    </w:p>
    <w:p>
      <w:pPr>
        <w:spacing w:after="0" w:line="179" w:lineRule="exact"/>
        <w:rPr>
          <w:sz w:val="20"/>
          <w:szCs w:val="20"/>
          <w:color w:val="auto"/>
        </w:rPr>
      </w:pPr>
    </w:p>
    <w:p>
      <w:pPr>
        <w:ind w:left="40" w:right="179"/>
        <w:spacing w:after="0" w:line="235" w:lineRule="auto"/>
        <w:rPr>
          <w:sz w:val="20"/>
          <w:szCs w:val="20"/>
          <w:color w:val="auto"/>
        </w:rPr>
      </w:pPr>
      <w:r>
        <w:rPr>
          <w:rFonts w:ascii="Arial" w:cs="Arial" w:eastAsia="Arial" w:hAnsi="Arial"/>
          <w:sz w:val="18"/>
          <w:szCs w:val="18"/>
          <w:color w:val="auto"/>
        </w:rPr>
        <w:t>As part of a continued regulatory focus in the United States on access to audit and other information, the United States passed the HFCA Act in December 2020. The HFCA Act requires the SEC to identify issuers whose audit work is performed by auditors that the PCAOB is unable to inspect or investigate completely because of a restriction imposed by a non-U.S. authority in the auditor’s local jurisdiction. The HFCA Act also requires public companies identified by the SEC to certify that they are neither owned nor controlled by a foreign government, and make certain additional disclosures in their SEC filings.</w:t>
      </w:r>
    </w:p>
    <w:p>
      <w:pPr>
        <w:spacing w:after="0" w:line="192" w:lineRule="exact"/>
        <w:rPr>
          <w:sz w:val="20"/>
          <w:szCs w:val="20"/>
          <w:color w:val="auto"/>
        </w:rPr>
      </w:pPr>
    </w:p>
    <w:p>
      <w:pPr>
        <w:ind w:left="40" w:right="119"/>
        <w:spacing w:after="0" w:line="246" w:lineRule="auto"/>
        <w:rPr>
          <w:sz w:val="20"/>
          <w:szCs w:val="20"/>
          <w:color w:val="auto"/>
        </w:rPr>
      </w:pPr>
      <w:r>
        <w:rPr>
          <w:rFonts w:ascii="Arial" w:cs="Arial" w:eastAsia="Arial" w:hAnsi="Arial"/>
          <w:sz w:val="17"/>
          <w:szCs w:val="17"/>
          <w:color w:val="auto"/>
        </w:rPr>
        <w:t>The HFCA Act also provides that if an auditor of a U.S. listed company’s financial statements is not subject for three consecutive “non-inspection years” after the HFCA Act becomes effective, the SEC must prohibit the securities of such issuer from being traded on a U.S. national securities exchange. However, in June 2021, the U.S. Senate passed the AHFCA Act which amends the HFCA Act and require the SEC to prohibit an issuer’s securities from trading on any U.S. stock exchanges if its auditor is subject to two “non-inspection years” instead of three. On February 4, 2022, the U.S. House of Representatives passed the America Creating Opportunities for Manufacturing, Pre-Eminence in Technology, and Economic Strength Act of 2022, which contained, among other things, an identical provision. In December 2021, the PCAOB issued a report on its determination that it is unable to inspect or investigate completely PCAOB-registered accounting firms headquartered in Mainland China and in Hong Kong. Also, in December 2021, the SEC adopted final amendments to its rules implementing the HFCA Act and established procedures to identify issuers and prohibit the trading of the securities of certain registrants as required by the HFCA Act.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In December 2022, the PCAOB vacated its determination that it was unable to inspect and investigate PCAOB-registered public accounting firms in Mainland China and Hong Kong. As a result, until such time as the PCAOB issues a new determination, the SEC has determined that there are no issuers currently at risk of having their securities subject to a trading prohibition under the HFCA Act. However, while vacating those determinations, the PCAOB noted that, should it encounter any impediment to conducting an inspection or investigation of auditors in Mainland China or Hong Kong as a result of a position taken by any authority there, the PCAOB would act to immediately issue a new determination.</w:t>
      </w:r>
    </w:p>
    <w:p>
      <w:pPr>
        <w:spacing w:after="0" w:line="389"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In May 2023, we dismissed PricewaterhouseCoopers LLP and engaged Ernst &amp; Young LLP as our independent registered public accounting firm. Each of PricewaterhouseCoopers LLP and Ernst &amp; Young LLP, is headquartered in the United States, is registered with the PCAOB and is an auditor of companies that are both registered with the SEC and publicly traded in the United States. As a result, the HFCA Act did not previously and does not currently apply to us. However, if our operations fundamentally change in a way that requires our independent registered public accounting firm to be located in China in order to comply with the standards of the PCAOB regarding auditors then the HFCA Act would apply to us. Such a restriction would negatively impact our ability to raise capital. We view the likelihood to be remote that our operations will fundamentally change, as to require our auditor to be located in China. Additionally, it is possible that in the future Congress could amend the HFCA Act or the SEC could modify its regulations to apply the restrictions, including trading prohibitions and delisting, under the HFCA Act in situations in which an independent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379"/>
        <w:spacing w:after="0" w:line="250" w:lineRule="auto"/>
        <w:rPr>
          <w:sz w:val="20"/>
          <w:szCs w:val="20"/>
          <w:color w:val="auto"/>
        </w:rPr>
      </w:pPr>
      <w:r>
        <w:rPr>
          <w:rFonts w:ascii="Arial" w:cs="Arial" w:eastAsia="Arial" w:hAnsi="Arial"/>
          <w:sz w:val="18"/>
          <w:szCs w:val="18"/>
          <w:color w:val="auto"/>
        </w:rPr>
        <w:t>registered public accounting firm in China performs part of the audit such as in our current situation. There are currently no such proposals.</w:t>
      </w:r>
    </w:p>
    <w:p>
      <w:pPr>
        <w:spacing w:after="0" w:line="180"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Further, while we understand that there has been dialogue among the CSRC, the SEC and the PCAOB regarding the inspection of PCAOB-registered accounting firms in China, there can be no assurance that, in the future, we will be able to comply with requirements imposed by U.S. regulators. The market price of our ADSs could be adversely affected as a result of anticipated negative impacts of these executive or legislative actions upon, as well as negative investor sentiment towards, companies with operations in China that are listed in the United States, regardless of whether these executive or legislative actions are implemented and regardless of our actual operating performance.</w:t>
      </w:r>
    </w:p>
    <w:p>
      <w:pPr>
        <w:spacing w:after="0" w:line="178" w:lineRule="exact"/>
        <w:rPr>
          <w:sz w:val="20"/>
          <w:szCs w:val="20"/>
          <w:color w:val="auto"/>
        </w:rPr>
      </w:pPr>
    </w:p>
    <w:p>
      <w:pPr>
        <w:ind w:left="40" w:right="219"/>
        <w:spacing w:after="0" w:line="246"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spacing w:after="0" w:line="171" w:lineRule="exact"/>
        <w:rPr>
          <w:sz w:val="20"/>
          <w:szCs w:val="20"/>
          <w:color w:val="auto"/>
        </w:rPr>
      </w:pPr>
    </w:p>
    <w:p>
      <w:pPr>
        <w:ind w:left="40" w:right="159"/>
        <w:spacing w:after="0" w:line="236" w:lineRule="auto"/>
        <w:rPr>
          <w:sz w:val="20"/>
          <w:szCs w:val="20"/>
          <w:color w:val="auto"/>
        </w:rPr>
      </w:pPr>
      <w:r>
        <w:rPr>
          <w:rFonts w:ascii="Arial" w:cs="Arial" w:eastAsia="Arial" w:hAnsi="Arial"/>
          <w:sz w:val="18"/>
          <w:szCs w:val="18"/>
          <w:color w:val="auto"/>
        </w:rPr>
        <w:t>We have identified material weaknesses in our internal control over financial reporting, which continue to exist as of June 30, 2023.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These material weaknesses are as follows:</w:t>
      </w:r>
    </w:p>
    <w:p>
      <w:pPr>
        <w:spacing w:after="0" w:line="191" w:lineRule="exact"/>
        <w:rPr>
          <w:sz w:val="20"/>
          <w:szCs w:val="20"/>
          <w:color w:val="auto"/>
        </w:rPr>
      </w:pPr>
    </w:p>
    <w:p>
      <w:pPr>
        <w:ind w:left="40" w:right="119"/>
        <w:spacing w:after="0" w:line="235" w:lineRule="auto"/>
        <w:rPr>
          <w:sz w:val="20"/>
          <w:szCs w:val="20"/>
          <w:color w:val="auto"/>
        </w:rPr>
      </w:pPr>
      <w:r>
        <w:rPr>
          <w:rFonts w:ascii="Arial" w:cs="Arial" w:eastAsia="Arial" w:hAnsi="Arial"/>
          <w:sz w:val="18"/>
          <w:szCs w:val="18"/>
          <w:color w:val="auto"/>
        </w:rPr>
        <w:t>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spacing w:after="0" w:line="192" w:lineRule="exact"/>
        <w:rPr>
          <w:sz w:val="20"/>
          <w:szCs w:val="20"/>
          <w:color w:val="auto"/>
        </w:rPr>
      </w:pPr>
    </w:p>
    <w:p>
      <w:pPr>
        <w:ind w:left="40" w:right="339"/>
        <w:spacing w:after="0" w:line="249" w:lineRule="auto"/>
        <w:rPr>
          <w:sz w:val="20"/>
          <w:szCs w:val="20"/>
          <w:color w:val="auto"/>
        </w:rPr>
      </w:pPr>
      <w:r>
        <w:rPr>
          <w:rFonts w:ascii="Arial" w:cs="Arial" w:eastAsia="Arial" w:hAnsi="Arial"/>
          <w:sz w:val="17"/>
          <w:szCs w:val="17"/>
          <w:color w:val="auto"/>
        </w:rPr>
        <w:t>We did not design and maintain effective controls to ensure adequate segregation of duties within our financial reporting function, including controls related to the procurement and payroll processes, journal entries and account reconciliations. Specifically, certain personnel have incompatible duties including the ability to</w:t>
      </w:r>
    </w:p>
    <w:p>
      <w:pPr>
        <w:spacing w:after="0" w:line="1" w:lineRule="exact"/>
        <w:rPr>
          <w:sz w:val="20"/>
          <w:szCs w:val="20"/>
          <w:color w:val="auto"/>
        </w:rPr>
      </w:pPr>
    </w:p>
    <w:p>
      <w:pPr>
        <w:jc w:val="both"/>
        <w:ind w:left="40" w:right="299" w:firstLine="9"/>
        <w:spacing w:after="0" w:line="236" w:lineRule="auto"/>
        <w:tabs>
          <w:tab w:leader="none" w:pos="2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generate and approve invoices and authorize disbursements; (ii) add employees or modify employee data in the payroll system and authorize payments; (iii) create and post manual journal entries without an independent review; and (iv) prepare and review account reconciliations.</w:t>
      </w:r>
    </w:p>
    <w:p>
      <w:pPr>
        <w:spacing w:after="0" w:line="188"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and (iii) computer operations controls to ensure that processing of data and data backups and recovery are monitored.</w:t>
      </w:r>
    </w:p>
    <w:p>
      <w:pPr>
        <w:spacing w:after="0" w:line="192" w:lineRule="exact"/>
        <w:rPr>
          <w:sz w:val="20"/>
          <w:szCs w:val="20"/>
          <w:color w:val="auto"/>
        </w:rPr>
      </w:pPr>
    </w:p>
    <w:p>
      <w:pPr>
        <w:ind w:left="40" w:right="119"/>
        <w:spacing w:after="0" w:line="238" w:lineRule="auto"/>
        <w:rPr>
          <w:sz w:val="20"/>
          <w:szCs w:val="20"/>
          <w:color w:val="auto"/>
        </w:rPr>
      </w:pPr>
      <w:r>
        <w:rPr>
          <w:rFonts w:ascii="Arial" w:cs="Arial" w:eastAsia="Arial" w:hAnsi="Arial"/>
          <w:sz w:val="18"/>
          <w:szCs w:val="18"/>
          <w:color w:val="auto"/>
        </w:rPr>
        <w:t>These material weaknesses did not result in any material misstatements to the consolidated financial statements. These material weaknesses could result in a misstatement of substantially all of our accounts or disclosures that would result in a material misstatement to the annual or interim consolidated financial statements that would not be prevented or detected.</w:t>
      </w:r>
    </w:p>
    <w:p>
      <w:pPr>
        <w:spacing w:after="0" w:line="188" w:lineRule="exact"/>
        <w:rPr>
          <w:sz w:val="20"/>
          <w:szCs w:val="20"/>
          <w:color w:val="auto"/>
        </w:rPr>
      </w:pPr>
    </w:p>
    <w:p>
      <w:pPr>
        <w:ind w:left="40" w:right="539"/>
        <w:spacing w:after="0"/>
        <w:rPr>
          <w:sz w:val="20"/>
          <w:szCs w:val="20"/>
          <w:color w:val="auto"/>
        </w:rPr>
      </w:pPr>
      <w:r>
        <w:rPr>
          <w:rFonts w:ascii="Arial" w:cs="Arial" w:eastAsia="Arial" w:hAnsi="Arial"/>
          <w:sz w:val="18"/>
          <w:szCs w:val="18"/>
          <w:color w:val="auto"/>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2" w:name="page113"/>
    <w:bookmarkEnd w:id="11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6" w:lineRule="auto"/>
        <w:rPr>
          <w:sz w:val="20"/>
          <w:szCs w:val="20"/>
          <w:color w:val="auto"/>
        </w:rPr>
      </w:pPr>
      <w:r>
        <w:rPr>
          <w:rFonts w:ascii="Arial" w:cs="Arial" w:eastAsia="Arial" w:hAnsi="Arial"/>
          <w:sz w:val="18"/>
          <w:szCs w:val="18"/>
          <w:color w:val="auto"/>
        </w:rPr>
        <w:t>We are working to remediate the material weaknesses as efficiently and effectively as possible and full remediation may go beyond December 31, 2023.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spacing w:after="0" w:line="191" w:lineRule="exact"/>
        <w:rPr>
          <w:sz w:val="20"/>
          <w:szCs w:val="20"/>
          <w:color w:val="auto"/>
        </w:rPr>
      </w:pPr>
    </w:p>
    <w:p>
      <w:pPr>
        <w:ind w:left="40" w:right="99"/>
        <w:spacing w:after="0" w:line="234" w:lineRule="auto"/>
        <w:rPr>
          <w:sz w:val="20"/>
          <w:szCs w:val="20"/>
          <w:color w:val="auto"/>
        </w:rPr>
      </w:pPr>
      <w:r>
        <w:rPr>
          <w:rFonts w:ascii="Arial" w:cs="Arial" w:eastAsia="Arial" w:hAnsi="Arial"/>
          <w:sz w:val="18"/>
          <w:szCs w:val="18"/>
          <w:color w:val="auto"/>
        </w:rPr>
        <w:t>Although we have begun to implement measures to address the material weaknesses, the implementation of these measures may not fully address the material weaknesses and deficiencies in our internal control over financial reporting. Further, in the future we may determine that we have additional material weaknesses. Our failure to remediate the material weaknesses or failure to identify and address any other material weaknesses that may be identified in the future could result in material misstatements to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securities. See Part I. Item 4. “Controls and Procedures— Management’s Plan to Remediate the Material Weakness” of this Quarterly Report.</w:t>
      </w:r>
    </w:p>
    <w:p>
      <w:pPr>
        <w:spacing w:after="0" w:line="179" w:lineRule="exact"/>
        <w:rPr>
          <w:sz w:val="20"/>
          <w:szCs w:val="20"/>
          <w:color w:val="auto"/>
        </w:rPr>
      </w:pPr>
    </w:p>
    <w:p>
      <w:pPr>
        <w:ind w:left="40" w:right="359"/>
        <w:spacing w:after="0" w:line="278" w:lineRule="auto"/>
        <w:rPr>
          <w:sz w:val="20"/>
          <w:szCs w:val="20"/>
          <w:color w:val="auto"/>
        </w:rPr>
      </w:pPr>
      <w:r>
        <w:rPr>
          <w:rFonts w:ascii="Arial" w:cs="Arial" w:eastAsia="Arial" w:hAnsi="Arial"/>
          <w:sz w:val="18"/>
          <w:szCs w:val="18"/>
          <w:b w:val="1"/>
          <w:bCs w:val="1"/>
          <w:i w:val="1"/>
          <w:iCs w:val="1"/>
          <w:color w:val="auto"/>
        </w:rPr>
        <w:t>Our principal shareholders and management own a significant percentage of our voting securities and will be able to exert significant control over matters subject to shareholder approval.</w:t>
      </w:r>
    </w:p>
    <w:p>
      <w:pPr>
        <w:spacing w:after="0" w:line="141"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As of June 30, 2023, our executive officers, directors, five percent shareholders and their affiliates beneficially owned approximately 46% of the voting power of our outstanding share capital. Therefore, these shareholders will have the ability to influence us through their ownership positions. These shareholders may be able to determine all matters requiring shareholder approval. For example, these shareholders, acting together, may be able to control elections of directors, issuances of equity, including to our employees under equity incentive plans, amendments of our organizational documents, or approval of any merger, amalgamation, sale of assets or other major corporate transaction. These shareholders’ interests may not always coincide with our corporate interests or the interests of other shareholders, and these shareholders may exercise their voting and other rights in a manner with which you may not agree or that may not be in the best interests of our other shareholders. This may prevent or discourage unsolicited acquisition proposals or offers for our ADSs that you may believe are in your best interest as a holder of our ADSs.</w:t>
      </w:r>
    </w:p>
    <w:p>
      <w:pPr>
        <w:spacing w:after="0" w:line="183" w:lineRule="exact"/>
        <w:rPr>
          <w:sz w:val="20"/>
          <w:szCs w:val="20"/>
          <w:color w:val="auto"/>
        </w:rPr>
      </w:pPr>
    </w:p>
    <w:p>
      <w:pPr>
        <w:ind w:left="40" w:right="459"/>
        <w:spacing w:after="0" w:line="254"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This could cause the market price of our ADSs to drop significantly, even if our business is doing well.</w:t>
      </w:r>
    </w:p>
    <w:p>
      <w:pPr>
        <w:spacing w:after="0" w:line="163" w:lineRule="exact"/>
        <w:rPr>
          <w:sz w:val="20"/>
          <w:szCs w:val="20"/>
          <w:color w:val="auto"/>
        </w:rPr>
      </w:pPr>
    </w:p>
    <w:p>
      <w:pPr>
        <w:ind w:left="40" w:right="239"/>
        <w:spacing w:after="0"/>
        <w:rPr>
          <w:sz w:val="20"/>
          <w:szCs w:val="20"/>
          <w:color w:val="auto"/>
        </w:rPr>
      </w:pPr>
      <w:r>
        <w:rPr>
          <w:rFonts w:ascii="Arial" w:cs="Arial" w:eastAsia="Arial" w:hAnsi="Arial"/>
          <w:sz w:val="18"/>
          <w:szCs w:val="18"/>
          <w:color w:val="auto"/>
        </w:rPr>
        <w:t>Sales of a substantial number of our ADSs in the public market could occur at any time. If our shareholders sell, or the market perceives that our shareholders intend to sell, substantial amounts of our ADSs in the public market, the market price of our ADSs could decline significantly.</w:t>
      </w:r>
    </w:p>
    <w:p>
      <w:pPr>
        <w:spacing w:after="0" w:line="189" w:lineRule="exact"/>
        <w:rPr>
          <w:sz w:val="20"/>
          <w:szCs w:val="20"/>
          <w:color w:val="auto"/>
        </w:rPr>
      </w:pPr>
    </w:p>
    <w:p>
      <w:pPr>
        <w:ind w:left="40" w:right="79"/>
        <w:spacing w:after="0" w:line="250" w:lineRule="auto"/>
        <w:rPr>
          <w:sz w:val="20"/>
          <w:szCs w:val="20"/>
          <w:color w:val="auto"/>
        </w:rPr>
      </w:pPr>
      <w:r>
        <w:rPr>
          <w:rFonts w:ascii="Arial" w:cs="Arial" w:eastAsia="Arial" w:hAnsi="Arial"/>
          <w:sz w:val="17"/>
          <w:szCs w:val="17"/>
          <w:color w:val="auto"/>
        </w:rPr>
        <w:t>Beginning August 2, 2023, 77,745,193 ordinary shares (excluding the 18,000,000 ordinary shares issued to our depositary bank for bulk issuance of ADSs reserved for future issuances upon the exercise or vesting of awards granted under our equity incentive plans are available for sale in the public market, following the expiration of lock-up agreements entered into by substantially all of our shareholders in connection with the IPO. Sales of a substantial number of such shares upon expiration of the lock-up agreements, the perception that such sales may occur, or early release of restrictions in the lock-up agreements, could cause the market price of our ADSs to fall or make it more difficult for our securityholders to sell their ADSs at a time and price that they deem appropriate.</w:t>
      </w:r>
    </w:p>
    <w:p>
      <w:pPr>
        <w:spacing w:after="0" w:line="182" w:lineRule="exact"/>
        <w:rPr>
          <w:sz w:val="20"/>
          <w:szCs w:val="20"/>
          <w:color w:val="auto"/>
        </w:rPr>
      </w:pPr>
    </w:p>
    <w:p>
      <w:pPr>
        <w:ind w:left="40" w:right="59"/>
        <w:spacing w:after="0" w:line="238" w:lineRule="auto"/>
        <w:rPr>
          <w:sz w:val="20"/>
          <w:szCs w:val="20"/>
          <w:color w:val="auto"/>
        </w:rPr>
      </w:pPr>
      <w:r>
        <w:rPr>
          <w:rFonts w:ascii="Arial" w:cs="Arial" w:eastAsia="Arial" w:hAnsi="Arial"/>
          <w:sz w:val="18"/>
          <w:szCs w:val="18"/>
          <w:color w:val="auto"/>
        </w:rPr>
        <w:t>In addition, promptly following the completion of our IPO, we filed a registration statement registering the issuance of approximately 22,099,376 ordinary shares (which may be in the form of ADSs) subject to options or other equity awards issued or reserved for future issuance under our equity incentive plans. Shares (or ADSs) registered under this registration statement are available for sale in the public market subject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99"/>
        <w:spacing w:after="0" w:line="250" w:lineRule="auto"/>
        <w:rPr>
          <w:sz w:val="20"/>
          <w:szCs w:val="20"/>
          <w:color w:val="auto"/>
        </w:rPr>
      </w:pPr>
      <w:r>
        <w:rPr>
          <w:rFonts w:ascii="Arial" w:cs="Arial" w:eastAsia="Arial" w:hAnsi="Arial"/>
          <w:sz w:val="18"/>
          <w:szCs w:val="18"/>
          <w:color w:val="auto"/>
        </w:rPr>
        <w:t>vesting arrangements and exercise of options and, in the case of our affiliates, the restrictions of Rule 144 under the Securities Act.</w:t>
      </w:r>
    </w:p>
    <w:p>
      <w:pPr>
        <w:spacing w:after="0" w:line="180"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Additionally, the holders of an aggregate of 67,018,087 of our ordinary shares (including non-voting ordinary shares), or their transferees, have rights, subject to some conditions, to require us to file one or more registration statements covering their shares (or ADSs representing such shares) or to include their shares (or ADSs representing such shares) in registration statements that we may file for ourselves or other shareholders. If we were to register the resale of these shares or ADSs, they could be freely sold in the public market. If these additional shares or ADSs are sold, or if it is perceived that they will be sold, in the public market, the trading price of our ADSs could decline.</w:t>
      </w:r>
    </w:p>
    <w:p>
      <w:pPr>
        <w:spacing w:after="0" w:line="178" w:lineRule="exact"/>
        <w:rPr>
          <w:sz w:val="20"/>
          <w:szCs w:val="20"/>
          <w:color w:val="auto"/>
        </w:rPr>
      </w:pPr>
    </w:p>
    <w:p>
      <w:pPr>
        <w:ind w:left="40" w:right="479"/>
        <w:spacing w:after="0" w:line="278" w:lineRule="auto"/>
        <w:rPr>
          <w:sz w:val="20"/>
          <w:szCs w:val="20"/>
          <w:color w:val="auto"/>
        </w:rPr>
      </w:pPr>
      <w:r>
        <w:rPr>
          <w:rFonts w:ascii="Arial" w:cs="Arial" w:eastAsia="Arial" w:hAnsi="Arial"/>
          <w:sz w:val="18"/>
          <w:szCs w:val="18"/>
          <w:b w:val="1"/>
          <w:bCs w:val="1"/>
          <w:i w:val="1"/>
          <w:iCs w:val="1"/>
          <w:color w:val="auto"/>
        </w:rPr>
        <w:t>Holders of our ADSs have fewer rights than our shareholders and must act through the depositary to exercise their rights.</w:t>
      </w:r>
    </w:p>
    <w:p>
      <w:pPr>
        <w:spacing w:after="0" w:line="141" w:lineRule="exact"/>
        <w:rPr>
          <w:sz w:val="20"/>
          <w:szCs w:val="20"/>
          <w:color w:val="auto"/>
        </w:rPr>
      </w:pPr>
    </w:p>
    <w:p>
      <w:pPr>
        <w:ind w:left="40" w:right="59"/>
        <w:spacing w:after="0" w:line="247" w:lineRule="auto"/>
        <w:rPr>
          <w:sz w:val="20"/>
          <w:szCs w:val="20"/>
          <w:color w:val="auto"/>
        </w:rPr>
      </w:pPr>
      <w:r>
        <w:rPr>
          <w:rFonts w:ascii="Arial" w:cs="Arial" w:eastAsia="Arial" w:hAnsi="Arial"/>
          <w:sz w:val="17"/>
          <w:szCs w:val="17"/>
          <w:color w:val="auto"/>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take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spacing w:after="0" w:line="177" w:lineRule="exact"/>
        <w:rPr>
          <w:sz w:val="20"/>
          <w:szCs w:val="20"/>
          <w:color w:val="auto"/>
        </w:rPr>
      </w:pPr>
    </w:p>
    <w:p>
      <w:pPr>
        <w:ind w:left="40" w:right="79"/>
        <w:spacing w:after="0" w:line="278"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41" w:lineRule="exact"/>
        <w:rPr>
          <w:sz w:val="20"/>
          <w:szCs w:val="20"/>
          <w:color w:val="auto"/>
        </w:rPr>
      </w:pPr>
    </w:p>
    <w:p>
      <w:pPr>
        <w:ind w:left="40" w:right="79"/>
        <w:spacing w:after="0" w:line="232" w:lineRule="auto"/>
        <w:rPr>
          <w:sz w:val="20"/>
          <w:szCs w:val="20"/>
          <w:color w:val="auto"/>
        </w:rPr>
      </w:pPr>
      <w:r>
        <w:rPr>
          <w:rFonts w:ascii="Arial" w:cs="Arial" w:eastAsia="Arial" w:hAnsi="Arial"/>
          <w:sz w:val="18"/>
          <w:szCs w:val="18"/>
          <w:color w:val="auto"/>
        </w:rPr>
        <w:t>The deposit agreement governing the ADSs representing our ordinary shares provides that holders and beneficial owners of ADSs irrevocably waive the right to a trial by jury in any legal proceeding arising out of or relating to the deposit agreement, our ordinary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59"/>
        <w:spacing w:after="0" w:line="234" w:lineRule="auto"/>
        <w:rPr>
          <w:sz w:val="20"/>
          <w:szCs w:val="20"/>
          <w:color w:val="auto"/>
        </w:rPr>
      </w:pPr>
      <w:r>
        <w:rPr>
          <w:rFonts w:ascii="Arial" w:cs="Arial" w:eastAsia="Arial" w:hAnsi="Arial"/>
          <w:sz w:val="18"/>
          <w:szCs w:val="18"/>
          <w:color w:val="auto"/>
        </w:rPr>
        <w:t>claim against us or the depositary in connection with matters arising under the deposit agreement, our ordinary shares or the ADSs or the transactions contemplated thereby,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82" w:lineRule="exact"/>
        <w:rPr>
          <w:sz w:val="20"/>
          <w:szCs w:val="20"/>
          <w:color w:val="auto"/>
        </w:rPr>
      </w:pPr>
    </w:p>
    <w:p>
      <w:pPr>
        <w:ind w:left="40" w:right="159"/>
        <w:spacing w:after="0" w:line="278"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141"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Although we do not have any present plans to declare or pay any dividends on our ordinary shares,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183" w:lineRule="exact"/>
        <w:rPr>
          <w:sz w:val="20"/>
          <w:szCs w:val="20"/>
          <w:color w:val="auto"/>
        </w:rPr>
      </w:pPr>
    </w:p>
    <w:p>
      <w:pPr>
        <w:ind w:left="40" w:right="339"/>
        <w:spacing w:after="0" w:line="278" w:lineRule="auto"/>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41" w:lineRule="exact"/>
        <w:rPr>
          <w:sz w:val="20"/>
          <w:szCs w:val="20"/>
          <w:color w:val="auto"/>
        </w:rPr>
      </w:pPr>
    </w:p>
    <w:p>
      <w:pPr>
        <w:ind w:left="40" w:right="99"/>
        <w:spacing w:after="0" w:line="248"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rights and any related securities are registered under the Securities Act or are otherwise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175" w:lineRule="exact"/>
        <w:rPr>
          <w:sz w:val="20"/>
          <w:szCs w:val="20"/>
          <w:color w:val="auto"/>
        </w:rPr>
      </w:pPr>
    </w:p>
    <w:p>
      <w:pPr>
        <w:ind w:left="40" w:right="299"/>
        <w:spacing w:after="0" w:line="254"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163" w:lineRule="exact"/>
        <w:rPr>
          <w:sz w:val="20"/>
          <w:szCs w:val="20"/>
          <w:color w:val="auto"/>
        </w:rPr>
      </w:pPr>
    </w:p>
    <w:p>
      <w:pPr>
        <w:ind w:left="40" w:right="59"/>
        <w:spacing w:after="0" w:line="234" w:lineRule="auto"/>
        <w:rPr>
          <w:sz w:val="20"/>
          <w:szCs w:val="20"/>
          <w:color w:val="auto"/>
        </w:rPr>
      </w:pPr>
      <w:r>
        <w:rPr>
          <w:rFonts w:ascii="Arial" w:cs="Arial" w:eastAsia="Arial" w:hAnsi="Arial"/>
          <w:sz w:val="18"/>
          <w:szCs w:val="18"/>
          <w:color w:val="auto"/>
        </w:rPr>
        <w:t>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including that our company may only pay dividends out of profits or out of the credit standing in our share premium account, and provided always that in no circumstances may a dividend be paid if it would result in our inability to pay our debts as they fall due in the ordinary course of business. In addition, our shareholders may, subject to our memorandum and articles of association, by ordinary resolution declare a dividend, but no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are subject to tax in the Cayman Islands and the United States.</w:t>
      </w:r>
    </w:p>
    <w:p>
      <w:pPr>
        <w:spacing w:after="0" w:line="215" w:lineRule="exact"/>
        <w:rPr>
          <w:sz w:val="20"/>
          <w:szCs w:val="20"/>
          <w:color w:val="auto"/>
        </w:rPr>
      </w:pPr>
    </w:p>
    <w:p>
      <w:pPr>
        <w:ind w:left="40" w:right="199"/>
        <w:spacing w:after="0" w:line="236" w:lineRule="auto"/>
        <w:rPr>
          <w:sz w:val="20"/>
          <w:szCs w:val="20"/>
          <w:color w:val="auto"/>
        </w:rPr>
      </w:pPr>
      <w:r>
        <w:rPr>
          <w:rFonts w:ascii="Arial" w:cs="Arial" w:eastAsia="Arial" w:hAnsi="Arial"/>
          <w:sz w:val="18"/>
          <w:szCs w:val="18"/>
          <w:color w:val="auto"/>
        </w:rPr>
        <w:t>We are a Cayman Islands corporation as of the date of this Quarterly Report. We are treated as an exempted company for Cayman Islands tax purposes. We are also treated as a U.S. corporation subject to U.S. federal income tax pursuant to Section 7874 of the Code, and are subject to U.S. federal income tax on our worldwide income. As a result, we are subject to tax both in the Cayman Islands and the United States, which could have a material adverse effect on our financial condition and results of operations.</w:t>
      </w:r>
    </w:p>
    <w:p>
      <w:pPr>
        <w:spacing w:after="0" w:line="191" w:lineRule="exact"/>
        <w:rPr>
          <w:sz w:val="20"/>
          <w:szCs w:val="20"/>
          <w:color w:val="auto"/>
        </w:rPr>
      </w:pPr>
    </w:p>
    <w:p>
      <w:pPr>
        <w:ind w:left="40" w:right="139"/>
        <w:spacing w:after="0" w:line="238" w:lineRule="auto"/>
        <w:rPr>
          <w:sz w:val="20"/>
          <w:szCs w:val="20"/>
          <w:color w:val="auto"/>
        </w:rPr>
      </w:pPr>
      <w:r>
        <w:rPr>
          <w:rFonts w:ascii="Arial" w:cs="Arial" w:eastAsia="Arial" w:hAnsi="Arial"/>
          <w:sz w:val="18"/>
          <w:szCs w:val="18"/>
          <w:color w:val="auto"/>
        </w:rPr>
        <w:t>It is unlikely that we will pay any dividends on our ordinary shares or ADSs in the foreseeable future. However, dividends received by “non-U.S. holders” will be subject to U.S. withholding tax. In addition, because the ordinary shares or ADSs are treated as shares of a U.S. domestic corporation, the U.S. gift, estate and generation-skipping transfer tax rules generally apply to a non-U.S. holder of ordinary shares or ADSs.</w:t>
      </w:r>
    </w:p>
    <w:p>
      <w:pPr>
        <w:spacing w:after="0" w:line="188" w:lineRule="exact"/>
        <w:rPr>
          <w:sz w:val="20"/>
          <w:szCs w:val="20"/>
          <w:color w:val="auto"/>
        </w:rPr>
      </w:pPr>
    </w:p>
    <w:p>
      <w:pPr>
        <w:ind w:left="40" w:right="339"/>
        <w:spacing w:after="0" w:line="250" w:lineRule="auto"/>
        <w:rPr>
          <w:sz w:val="20"/>
          <w:szCs w:val="20"/>
          <w:color w:val="auto"/>
        </w:rPr>
      </w:pPr>
      <w:r>
        <w:rPr>
          <w:rFonts w:ascii="Arial" w:cs="Arial" w:eastAsia="Arial" w:hAnsi="Arial"/>
          <w:sz w:val="18"/>
          <w:szCs w:val="18"/>
          <w:color w:val="auto"/>
        </w:rPr>
        <w:t>Each holder or prospective holder of our ordinary shares or ADSs should seek tax advice from an independent tax advisor based on such holder’s particular circumstances.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ability to use our NOLs carryforwards and certain other tax attributes may be limited.</w:t>
      </w:r>
    </w:p>
    <w:p>
      <w:pPr>
        <w:spacing w:after="0" w:line="215" w:lineRule="exact"/>
        <w:rPr>
          <w:sz w:val="20"/>
          <w:szCs w:val="20"/>
          <w:color w:val="auto"/>
        </w:rPr>
      </w:pPr>
    </w:p>
    <w:p>
      <w:pPr>
        <w:ind w:left="40" w:right="199"/>
        <w:spacing w:after="0" w:line="235" w:lineRule="auto"/>
        <w:rPr>
          <w:sz w:val="20"/>
          <w:szCs w:val="20"/>
          <w:color w:val="auto"/>
        </w:rPr>
      </w:pPr>
      <w:r>
        <w:rPr>
          <w:rFonts w:ascii="Arial" w:cs="Arial" w:eastAsia="Arial" w:hAnsi="Arial"/>
          <w:sz w:val="18"/>
          <w:szCs w:val="18"/>
          <w:color w:val="auto"/>
        </w:rPr>
        <w:t>As of December 31, 2022, we had $66.4 million of U.S. federal NOLs and $74.6 million of state NOLs. U.S. federal NOL carryforwards totaling $66.4 million can be carried forward indefinitely under current law. State NOL carryforwards totaling $74.6 million will begin to expire in 2037, unless previously utilized. As of December 31, 2022, we also had aggregate U.S. federal and state R&amp;D credits of approximately $0.6 million and $0.3 million, respectively. U.S. federal R&amp;D credits carryforwards begin to expire in 2029 unless previously utilized. The state R&amp;D credit carryforwards do not expire. Our NOL carryforwards and R&amp;D credits are subject to review and possible adjustment by the U.S. and state tax authorities.</w:t>
      </w:r>
    </w:p>
    <w:p>
      <w:pPr>
        <w:spacing w:after="0" w:line="188" w:lineRule="exact"/>
        <w:rPr>
          <w:sz w:val="20"/>
          <w:szCs w:val="20"/>
          <w:color w:val="auto"/>
        </w:rPr>
      </w:pPr>
    </w:p>
    <w:p>
      <w:pPr>
        <w:ind w:left="40" w:right="99"/>
        <w:spacing w:after="0" w:line="232" w:lineRule="auto"/>
        <w:rPr>
          <w:sz w:val="20"/>
          <w:szCs w:val="20"/>
          <w:color w:val="auto"/>
        </w:rPr>
      </w:pPr>
      <w:r>
        <w:rPr>
          <w:rFonts w:ascii="Arial" w:cs="Arial" w:eastAsia="Arial" w:hAnsi="Arial"/>
          <w:sz w:val="18"/>
          <w:szCs w:val="18"/>
          <w:color w:val="auto"/>
        </w:rPr>
        <w:t>In addition, under Sections 382 and 383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not undertaken a study under Section 382 of the Code, and it is possible that we have previously undergone one or more ownership changes so that our use of NOLs is subject to limitation. We may experience ownership changes in the future as a result of subsequent shifts in our share ownership, including as a result of our IPO.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319"/>
        <w:spacing w:after="0" w:line="254"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company whose ADSs are publicly traded in the United States, and our management will be required to devote substantial time to new compliance initiatives.</w:t>
      </w:r>
    </w:p>
    <w:p>
      <w:pPr>
        <w:spacing w:after="0" w:line="163"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As a public company in the United States, we will incur significant legal, accounting and other expenses that we did not incur previously. These expenses will likely be even more significant after we no longer qualify as an emerging growth company and/or a smaller reporting company. The Sarbanes-Oxley Act, the Dodd-Frank Wall Street Reform and Consumer Protection Act (the “Dodd-Frank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spacing w:after="0" w:line="192" w:lineRule="exact"/>
        <w:rPr>
          <w:sz w:val="20"/>
          <w:szCs w:val="20"/>
          <w:color w:val="auto"/>
        </w:rPr>
      </w:pPr>
    </w:p>
    <w:p>
      <w:pPr>
        <w:ind w:left="40" w:right="179"/>
        <w:spacing w:after="0" w:line="238" w:lineRule="auto"/>
        <w:rPr>
          <w:sz w:val="20"/>
          <w:szCs w:val="20"/>
          <w:color w:val="auto"/>
        </w:rPr>
      </w:pPr>
      <w:r>
        <w:rPr>
          <w:rFonts w:ascii="Arial" w:cs="Arial" w:eastAsia="Arial" w:hAnsi="Arial"/>
          <w:sz w:val="18"/>
          <w:szCs w:val="18"/>
          <w:color w:val="auto"/>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8" w:lineRule="exact"/>
        <w:rPr>
          <w:sz w:val="20"/>
          <w:szCs w:val="20"/>
          <w:color w:val="auto"/>
        </w:rPr>
      </w:pPr>
    </w:p>
    <w:p>
      <w:pPr>
        <w:ind w:left="40" w:right="99"/>
        <w:spacing w:after="0" w:line="247" w:lineRule="auto"/>
        <w:rPr>
          <w:sz w:val="20"/>
          <w:szCs w:val="20"/>
          <w:color w:val="auto"/>
        </w:rPr>
      </w:pPr>
      <w:r>
        <w:rPr>
          <w:rFonts w:ascii="Arial" w:cs="Arial" w:eastAsia="Arial" w:hAnsi="Arial"/>
          <w:sz w:val="17"/>
          <w:szCs w:val="17"/>
          <w:color w:val="auto"/>
        </w:rPr>
        <w:t>Pursuant to Section 404 of the Sarbanes-Oxley Act, beginning with our Annual Report on Form 10-K for the year ended December 31, 2023, we will be required to furnish a report by our senior management on our internal control over financial reporting. However, while we remain an emerging growth company or a smaller reporting company with less than $100 million in annual revenues, we will not be required to include an attestation report on internal controls over financial reporting issued by our independent registered public accounting firm. To prepare for eventual compliance with Section 404,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 Despite our efforts, there is a risk that we will not be able to conclude, within the prescribed time frame or at all, that our internal controls over financial reporting is effective as required by Section 404.</w:t>
      </w:r>
    </w:p>
    <w:p>
      <w:pPr>
        <w:spacing w:after="0" w:line="177" w:lineRule="exact"/>
        <w:rPr>
          <w:sz w:val="20"/>
          <w:szCs w:val="20"/>
          <w:color w:val="auto"/>
        </w:rPr>
      </w:pPr>
    </w:p>
    <w:p>
      <w:pPr>
        <w:ind w:left="40" w:right="179"/>
        <w:spacing w:after="0" w:line="25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reporting requirements applicable to emerging growth companies and smaller reporting companies may make our ADSs less attractive to investors.</w:t>
      </w:r>
    </w:p>
    <w:p>
      <w:pPr>
        <w:spacing w:after="0" w:line="163"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under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may take advantage of these exemptions until December 31, 2028, the last day of the fiscal year ending after the fifth anniversary of our IPO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19"/>
        <w:spacing w:after="0"/>
        <w:rPr>
          <w:sz w:val="20"/>
          <w:szCs w:val="20"/>
          <w:color w:val="auto"/>
        </w:rPr>
      </w:pPr>
      <w:r>
        <w:rPr>
          <w:rFonts w:ascii="Arial" w:cs="Arial" w:eastAsia="Arial" w:hAnsi="Arial"/>
          <w:sz w:val="18"/>
          <w:szCs w:val="18"/>
          <w:color w:val="auto"/>
        </w:rPr>
        <w:t>revenues equal or exceed $1.235 billion or we issue more than $1.0 billion of non-convertible debt in any three-year period prior to such time. Accordingly, the information contained herein may be different than the information you receive from other public companies in which you hold stock.</w:t>
      </w:r>
    </w:p>
    <w:p>
      <w:pPr>
        <w:spacing w:after="0" w:line="189" w:lineRule="exact"/>
        <w:rPr>
          <w:sz w:val="20"/>
          <w:szCs w:val="20"/>
          <w:color w:val="auto"/>
        </w:rPr>
      </w:pPr>
    </w:p>
    <w:p>
      <w:pPr>
        <w:ind w:left="40" w:right="239"/>
        <w:spacing w:after="0" w:line="236"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certain new or revised accounting standards until those standards would otherwise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spacing w:after="0" w:line="191" w:lineRule="exact"/>
        <w:rPr>
          <w:sz w:val="20"/>
          <w:szCs w:val="20"/>
          <w:color w:val="auto"/>
        </w:rPr>
      </w:pPr>
    </w:p>
    <w:p>
      <w:pPr>
        <w:ind w:left="40" w:right="159"/>
        <w:spacing w:after="0" w:line="23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ADSs held by non-affiliates is less than $250.0 million measured on the last business day of our second fiscal quarter, or our annual revenue is less than $ 100.0 million during the most recently completed fiscal year and our ADSs held by non-affiliates is less than $700.0 million measured on the last business day of our second fiscal quarter.</w:t>
      </w:r>
    </w:p>
    <w:p>
      <w:pPr>
        <w:spacing w:after="0" w:line="178" w:lineRule="exact"/>
        <w:rPr>
          <w:sz w:val="20"/>
          <w:szCs w:val="20"/>
          <w:color w:val="auto"/>
        </w:rPr>
      </w:pPr>
    </w:p>
    <w:p>
      <w:pPr>
        <w:ind w:left="40" w:right="639"/>
        <w:spacing w:after="0" w:line="278" w:lineRule="auto"/>
        <w:rPr>
          <w:sz w:val="20"/>
          <w:szCs w:val="20"/>
          <w:color w:val="auto"/>
        </w:rPr>
      </w:pPr>
      <w:r>
        <w:rPr>
          <w:rFonts w:ascii="Arial" w:cs="Arial" w:eastAsia="Arial" w:hAnsi="Arial"/>
          <w:sz w:val="18"/>
          <w:szCs w:val="18"/>
          <w:b w:val="1"/>
          <w:bCs w:val="1"/>
          <w:i w:val="1"/>
          <w:iCs w:val="1"/>
          <w:color w:val="auto"/>
        </w:rPr>
        <w:t>Since shareholder rights under Cayman Islands law differ from those under U.S. law, you may have difficulty protecting your shareholder rights.</w:t>
      </w:r>
    </w:p>
    <w:p>
      <w:pPr>
        <w:spacing w:after="0" w:line="141"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We are an exempted company limited by shares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8" w:lineRule="exact"/>
        <w:rPr>
          <w:sz w:val="20"/>
          <w:szCs w:val="20"/>
          <w:color w:val="auto"/>
        </w:rPr>
      </w:pPr>
    </w:p>
    <w:p>
      <w:pPr>
        <w:ind w:left="40" w:right="159"/>
        <w:spacing w:after="0" w:line="248"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post-offering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5" w:lineRule="exact"/>
        <w:rPr>
          <w:sz w:val="20"/>
          <w:szCs w:val="20"/>
          <w:color w:val="auto"/>
        </w:rPr>
      </w:pPr>
    </w:p>
    <w:p>
      <w:pPr>
        <w:ind w:left="40" w:right="79"/>
        <w:spacing w:after="0" w:line="236" w:lineRule="auto"/>
        <w:rPr>
          <w:sz w:val="20"/>
          <w:szCs w:val="20"/>
          <w:color w:val="auto"/>
        </w:rPr>
      </w:pPr>
      <w:r>
        <w:rPr>
          <w:rFonts w:ascii="Arial" w:cs="Arial" w:eastAsia="Arial" w:hAnsi="Arial"/>
          <w:sz w:val="18"/>
          <w:szCs w:val="18"/>
          <w:color w:val="auto"/>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8" w:name="page119"/>
    <w:bookmarkEnd w:id="118"/>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40" w:right="99"/>
        <w:spacing w:after="0"/>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179" w:lineRule="exact"/>
        <w:rPr>
          <w:sz w:val="20"/>
          <w:szCs w:val="20"/>
          <w:color w:val="auto"/>
        </w:rPr>
      </w:pPr>
    </w:p>
    <w:p>
      <w:pPr>
        <w:jc w:val="both"/>
        <w:ind w:left="40" w:right="759"/>
        <w:spacing w:after="0" w:line="254" w:lineRule="auto"/>
        <w:rPr>
          <w:sz w:val="20"/>
          <w:szCs w:val="20"/>
          <w:color w:val="auto"/>
        </w:rPr>
      </w:pPr>
      <w:r>
        <w:rPr>
          <w:rFonts w:ascii="Arial" w:cs="Arial" w:eastAsia="Arial" w:hAnsi="Arial"/>
          <w:sz w:val="18"/>
          <w:szCs w:val="18"/>
          <w:b w:val="1"/>
          <w:bCs w:val="1"/>
          <w:i w:val="1"/>
          <w:iCs w:val="1"/>
          <w:color w:val="auto"/>
        </w:rPr>
        <w:t>Provisions in our amended and restated memorandum and articles of association may prevent or frustrate attempts by our shareholders to change our management and hinder efforts to acquire a controlling interest in us, and the market price of our ADSs may be lower as a result.</w:t>
      </w:r>
    </w:p>
    <w:p>
      <w:pPr>
        <w:spacing w:after="0" w:line="163" w:lineRule="exact"/>
        <w:rPr>
          <w:sz w:val="20"/>
          <w:szCs w:val="20"/>
          <w:color w:val="auto"/>
        </w:rPr>
      </w:pPr>
    </w:p>
    <w:p>
      <w:pPr>
        <w:ind w:left="40" w:right="179"/>
        <w:spacing w:after="0" w:line="234" w:lineRule="auto"/>
        <w:rPr>
          <w:sz w:val="20"/>
          <w:szCs w:val="20"/>
          <w:color w:val="auto"/>
        </w:rPr>
      </w:pPr>
      <w:r>
        <w:rPr>
          <w:rFonts w:ascii="Arial" w:cs="Arial" w:eastAsia="Arial" w:hAnsi="Arial"/>
          <w:sz w:val="18"/>
          <w:szCs w:val="18"/>
          <w:color w:val="auto"/>
        </w:rPr>
        <w:t>There are provisions in our amended and restated memorandum and articles of association that may make it difficult for a third party to acquire, or attempt to acquire, control of our company, even if a change of control was considered favorable by you and other shareholders. For example, as of the date of this Quarterly Report, our board of directors will have the authority to issue up to 92,589,482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205" w:lineRule="exact"/>
        <w:rPr>
          <w:sz w:val="20"/>
          <w:szCs w:val="20"/>
          <w:color w:val="auto"/>
        </w:rPr>
      </w:pPr>
    </w:p>
    <w:p>
      <w:pPr>
        <w:ind w:left="720" w:hanging="32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will be entitled to remove directors only for cause;</w:t>
      </w:r>
    </w:p>
    <w:p>
      <w:pPr>
        <w:spacing w:after="0" w:line="111" w:lineRule="exact"/>
        <w:rPr>
          <w:rFonts w:ascii="Arial" w:cs="Arial" w:eastAsia="Arial" w:hAnsi="Arial"/>
          <w:sz w:val="18"/>
          <w:szCs w:val="18"/>
          <w:color w:val="auto"/>
        </w:rPr>
      </w:pPr>
    </w:p>
    <w:p>
      <w:pPr>
        <w:ind w:left="720" w:hanging="32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will not be permitted to take actions by written consent; and</w:t>
      </w:r>
    </w:p>
    <w:p>
      <w:pPr>
        <w:spacing w:after="0" w:line="111" w:lineRule="exact"/>
        <w:rPr>
          <w:rFonts w:ascii="Arial" w:cs="Arial" w:eastAsia="Arial" w:hAnsi="Arial"/>
          <w:sz w:val="18"/>
          <w:szCs w:val="18"/>
          <w:color w:val="auto"/>
        </w:rPr>
      </w:pPr>
    </w:p>
    <w:p>
      <w:pPr>
        <w:ind w:left="720" w:right="379" w:hanging="326"/>
        <w:spacing w:after="0" w:line="250"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submit proposals for consideration at annual general meetings.</w:t>
      </w:r>
    </w:p>
    <w:p>
      <w:pPr>
        <w:spacing w:after="0" w:line="180" w:lineRule="exact"/>
        <w:rPr>
          <w:sz w:val="20"/>
          <w:szCs w:val="20"/>
          <w:color w:val="auto"/>
        </w:rPr>
      </w:pPr>
    </w:p>
    <w:p>
      <w:pPr>
        <w:ind w:left="40" w:right="139"/>
        <w:spacing w:after="0" w:line="238" w:lineRule="auto"/>
        <w:rPr>
          <w:sz w:val="20"/>
          <w:szCs w:val="20"/>
          <w:color w:val="auto"/>
        </w:rPr>
      </w:pPr>
      <w:r>
        <w:rPr>
          <w:rFonts w:ascii="Arial" w:cs="Arial" w:eastAsia="Arial" w:hAnsi="Arial"/>
          <w:sz w:val="18"/>
          <w:szCs w:val="18"/>
          <w:color w:val="auto"/>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215"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Risk Factors</w:t>
      </w:r>
    </w:p>
    <w:p>
      <w:pPr>
        <w:spacing w:after="0" w:line="205" w:lineRule="exact"/>
        <w:rPr>
          <w:sz w:val="20"/>
          <w:szCs w:val="20"/>
          <w:color w:val="auto"/>
        </w:rPr>
      </w:pPr>
    </w:p>
    <w:p>
      <w:pPr>
        <w:ind w:left="40" w:right="899"/>
        <w:spacing w:after="0" w:line="278"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141" w:lineRule="exact"/>
        <w:rPr>
          <w:sz w:val="20"/>
          <w:szCs w:val="20"/>
          <w:color w:val="auto"/>
        </w:rPr>
      </w:pPr>
    </w:p>
    <w:p>
      <w:pPr>
        <w:ind w:left="40" w:right="139"/>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9" w:name="page120"/>
    <w:bookmarkEnd w:id="119"/>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139"/>
        <w:spacing w:after="0" w:line="233" w:lineRule="auto"/>
        <w:rPr>
          <w:sz w:val="20"/>
          <w:szCs w:val="20"/>
          <w:color w:val="auto"/>
        </w:rPr>
      </w:pPr>
      <w:r>
        <w:rPr>
          <w:rFonts w:ascii="Arial" w:cs="Arial" w:eastAsia="Arial" w:hAnsi="Arial"/>
          <w:sz w:val="18"/>
          <w:szCs w:val="18"/>
          <w:color w:val="auto"/>
        </w:rPr>
        <w:t>companies, including requiring establishment and maintenance of effective disclosure and financial controls and changes in corporate governance practices. Further, in July 2010, the Dodd-Frank Act was enacted and included significant corporate governance and executive compensation related provisions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5" w:lineRule="exact"/>
        <w:rPr>
          <w:sz w:val="20"/>
          <w:szCs w:val="20"/>
          <w:color w:val="auto"/>
        </w:rPr>
      </w:pPr>
    </w:p>
    <w:p>
      <w:pPr>
        <w:ind w:left="40" w:right="79"/>
        <w:spacing w:after="0" w:line="233"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left="40" w:right="99"/>
        <w:spacing w:after="0" w:line="254"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63" w:lineRule="exact"/>
        <w:rPr>
          <w:sz w:val="20"/>
          <w:szCs w:val="20"/>
          <w:color w:val="auto"/>
        </w:rPr>
      </w:pPr>
    </w:p>
    <w:p>
      <w:pPr>
        <w:ind w:left="40" w:right="139"/>
        <w:spacing w:after="0" w:line="248" w:lineRule="auto"/>
        <w:rPr>
          <w:sz w:val="20"/>
          <w:szCs w:val="20"/>
          <w:color w:val="auto"/>
        </w:rPr>
      </w:pPr>
      <w:r>
        <w:rPr>
          <w:rFonts w:ascii="Arial" w:cs="Arial" w:eastAsia="Arial" w:hAnsi="Arial"/>
          <w:sz w:val="17"/>
          <w:szCs w:val="17"/>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the year ending December 31, 2023, we must perform system and process evaluation and testing of our internal controls over financial reporting to allow management to report on the effectiveness of our internal controls over financial reporting in our annual report for that year, as required by Section 404 of the Sarbanes-Oxley Act. Prior to our IPO, we have never been required to test our internal controls within a specified period and, as a result, we may experience difficulty in meeting these reporting requirements in a timely manner.</w:t>
      </w:r>
    </w:p>
    <w:p>
      <w:pPr>
        <w:spacing w:after="0" w:line="182" w:lineRule="exact"/>
        <w:rPr>
          <w:sz w:val="20"/>
          <w:szCs w:val="20"/>
          <w:color w:val="auto"/>
        </w:rPr>
      </w:pPr>
    </w:p>
    <w:p>
      <w:pPr>
        <w:ind w:left="40" w:right="99"/>
        <w:spacing w:after="0" w:line="233"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0" w:name="page121"/>
    <w:bookmarkEnd w:id="120"/>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399"/>
        <w:spacing w:after="0" w:line="279" w:lineRule="auto"/>
        <w:rPr>
          <w:sz w:val="20"/>
          <w:szCs w:val="20"/>
          <w:color w:val="auto"/>
        </w:rPr>
      </w:pPr>
      <w:r>
        <w:rPr>
          <w:rFonts w:ascii="Arial" w:cs="Arial" w:eastAsia="Arial" w:hAnsi="Arial"/>
          <w:sz w:val="17"/>
          <w:szCs w:val="17"/>
          <w:color w:val="auto"/>
        </w:rPr>
        <w:t>limitations in all control systems, no evaluation of controls can provide absolute assurance that misstatements due to error or fraud will not occur or that all control issues and instances of fraud will be detected.</w:t>
      </w:r>
    </w:p>
    <w:p>
      <w:pPr>
        <w:spacing w:after="0" w:line="156" w:lineRule="exact"/>
        <w:rPr>
          <w:sz w:val="20"/>
          <w:szCs w:val="20"/>
          <w:color w:val="auto"/>
        </w:rPr>
      </w:pPr>
    </w:p>
    <w:p>
      <w:pPr>
        <w:ind w:left="40" w:right="119"/>
        <w:spacing w:after="0" w:line="234"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2" w:lineRule="exact"/>
        <w:rPr>
          <w:sz w:val="20"/>
          <w:szCs w:val="20"/>
          <w:color w:val="auto"/>
        </w:rPr>
      </w:pPr>
    </w:p>
    <w:p>
      <w:pPr>
        <w:ind w:left="40" w:right="479"/>
        <w:spacing w:after="0" w:line="278"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141" w:lineRule="exact"/>
        <w:rPr>
          <w:sz w:val="20"/>
          <w:szCs w:val="20"/>
          <w:color w:val="auto"/>
        </w:rPr>
      </w:pPr>
    </w:p>
    <w:p>
      <w:pPr>
        <w:ind w:left="40" w:right="319"/>
        <w:spacing w:after="0"/>
        <w:rPr>
          <w:sz w:val="20"/>
          <w:szCs w:val="20"/>
          <w:color w:val="auto"/>
        </w:rPr>
      </w:pPr>
      <w:r>
        <w:rPr>
          <w:rFonts w:ascii="Arial" w:cs="Arial" w:eastAsia="Arial" w:hAnsi="Arial"/>
          <w:sz w:val="18"/>
          <w:szCs w:val="18"/>
          <w:color w:val="auto"/>
        </w:rPr>
        <w:t>As a public company, beginning with our Annual Report on Form 10-K for the year ending December 31, 2023, we will be subject to the requirements of Section 404 of the Sarbanes-Oxley Act, which require annual management assessments of the effectiveness of our internal control over financial reporting.</w:t>
      </w:r>
    </w:p>
    <w:p>
      <w:pPr>
        <w:spacing w:after="0" w:line="189" w:lineRule="exact"/>
        <w:rPr>
          <w:sz w:val="20"/>
          <w:szCs w:val="20"/>
          <w:color w:val="auto"/>
        </w:rPr>
      </w:pPr>
    </w:p>
    <w:p>
      <w:pPr>
        <w:ind w:left="40" w:right="79"/>
        <w:spacing w:after="0" w:line="23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spacing w:after="0" w:line="192" w:lineRule="exact"/>
        <w:rPr>
          <w:sz w:val="20"/>
          <w:szCs w:val="20"/>
          <w:color w:val="auto"/>
        </w:rPr>
      </w:pPr>
    </w:p>
    <w:p>
      <w:pPr>
        <w:ind w:left="40" w:right="259"/>
        <w:spacing w:after="0" w:line="25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5" w:lineRule="exact"/>
        <w:rPr>
          <w:sz w:val="20"/>
          <w:szCs w:val="20"/>
          <w:color w:val="auto"/>
        </w:rPr>
      </w:pPr>
    </w:p>
    <w:p>
      <w:pPr>
        <w:ind w:left="40" w:right="59"/>
        <w:spacing w:after="0" w:line="23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ensure that information we must disclose in reports we file or submit pursuant to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2" w:lineRule="exact"/>
        <w:rPr>
          <w:sz w:val="20"/>
          <w:szCs w:val="20"/>
          <w:color w:val="auto"/>
        </w:rPr>
      </w:pPr>
    </w:p>
    <w:p>
      <w:pPr>
        <w:ind w:left="40" w:right="179"/>
        <w:spacing w:after="0" w:line="251"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1" w:name="page122"/>
    <w:bookmarkEnd w:id="12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659"/>
        <w:spacing w:after="0" w:line="278" w:lineRule="auto"/>
        <w:rPr>
          <w:sz w:val="20"/>
          <w:szCs w:val="20"/>
          <w:color w:val="auto"/>
        </w:rPr>
      </w:pPr>
      <w:r>
        <w:rPr>
          <w:rFonts w:ascii="Arial" w:cs="Arial" w:eastAsia="Arial" w:hAnsi="Arial"/>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41" w:lineRule="exact"/>
        <w:rPr>
          <w:sz w:val="20"/>
          <w:szCs w:val="20"/>
          <w:color w:val="auto"/>
        </w:rPr>
      </w:pPr>
    </w:p>
    <w:p>
      <w:pPr>
        <w:ind w:left="40" w:right="59"/>
        <w:spacing w:after="0" w:line="233" w:lineRule="auto"/>
        <w:rPr>
          <w:sz w:val="20"/>
          <w:szCs w:val="20"/>
          <w:color w:val="auto"/>
        </w:rPr>
      </w:pPr>
      <w:r>
        <w:rPr>
          <w:rFonts w:ascii="Arial" w:cs="Arial" w:eastAsia="Arial" w:hAnsi="Arial"/>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Part I. Item 2. “Management’s Discussion and Analysis of Financial Condition and Results of Operations—Recent Accounting Pronouncements” of this Quarterly Report.</w:t>
      </w:r>
    </w:p>
    <w:p>
      <w:pPr>
        <w:spacing w:after="0" w:line="185" w:lineRule="exact"/>
        <w:rPr>
          <w:sz w:val="20"/>
          <w:szCs w:val="20"/>
          <w:color w:val="auto"/>
        </w:rPr>
      </w:pPr>
    </w:p>
    <w:p>
      <w:pPr>
        <w:ind w:left="40" w:right="79"/>
        <w:spacing w:after="0" w:line="27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the price and trading volume of our ADSs could decline.</w:t>
      </w:r>
    </w:p>
    <w:p>
      <w:pPr>
        <w:spacing w:after="0" w:line="141" w:lineRule="exact"/>
        <w:rPr>
          <w:sz w:val="20"/>
          <w:szCs w:val="20"/>
          <w:color w:val="auto"/>
        </w:rPr>
      </w:pPr>
    </w:p>
    <w:p>
      <w:pPr>
        <w:ind w:left="40" w:right="59"/>
        <w:spacing w:after="0" w:line="234" w:lineRule="auto"/>
        <w:rPr>
          <w:sz w:val="20"/>
          <w:szCs w:val="20"/>
          <w:color w:val="auto"/>
        </w:rPr>
      </w:pPr>
      <w:r>
        <w:rPr>
          <w:rFonts w:ascii="Arial" w:cs="Arial" w:eastAsia="Arial" w:hAnsi="Arial"/>
          <w:sz w:val="18"/>
          <w:szCs w:val="18"/>
          <w:color w:val="auto"/>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15" w:lineRule="exact"/>
        <w:rPr>
          <w:sz w:val="20"/>
          <w:szCs w:val="20"/>
          <w:color w:val="auto"/>
        </w:rPr>
      </w:pPr>
    </w:p>
    <w:p>
      <w:pPr>
        <w:ind w:left="40" w:right="179"/>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left="40" w:right="139"/>
        <w:spacing w:after="0" w:line="254"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63" w:lineRule="exact"/>
        <w:rPr>
          <w:sz w:val="20"/>
          <w:szCs w:val="20"/>
          <w:color w:val="auto"/>
        </w:rPr>
      </w:pPr>
    </w:p>
    <w:p>
      <w:pPr>
        <w:ind w:left="40" w:right="119"/>
        <w:spacing w:after="0" w:line="248" w:lineRule="auto"/>
        <w:rPr>
          <w:sz w:val="20"/>
          <w:szCs w:val="20"/>
          <w:color w:val="auto"/>
        </w:rPr>
      </w:pPr>
      <w:r>
        <w:rPr>
          <w:rFonts w:ascii="Arial" w:cs="Arial" w:eastAsia="Arial" w:hAnsi="Arial"/>
          <w:sz w:val="17"/>
          <w:szCs w:val="17"/>
          <w:color w:val="auto"/>
        </w:rPr>
        <w:t>Our headquarters and main research facility are located near San Francisco,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2" w:name="page123"/>
    <w:bookmarkEnd w:id="12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right="139"/>
        <w:spacing w:after="0" w:line="254"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63" w:lineRule="exact"/>
        <w:rPr>
          <w:sz w:val="20"/>
          <w:szCs w:val="20"/>
          <w:color w:val="auto"/>
        </w:rPr>
      </w:pPr>
    </w:p>
    <w:p>
      <w:pPr>
        <w:ind w:left="40" w:right="79"/>
        <w:spacing w:after="0" w:line="234" w:lineRule="auto"/>
        <w:rPr>
          <w:sz w:val="20"/>
          <w:szCs w:val="20"/>
          <w:color w:val="auto"/>
        </w:rPr>
      </w:pPr>
      <w:r>
        <w:rPr>
          <w:rFonts w:ascii="Arial" w:cs="Arial" w:eastAsia="Arial" w:hAnsi="Arial"/>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89" w:lineRule="exact"/>
        <w:rPr>
          <w:sz w:val="20"/>
          <w:szCs w:val="20"/>
          <w:color w:val="auto"/>
        </w:rPr>
      </w:pPr>
    </w:p>
    <w:p>
      <w:pPr>
        <w:ind w:left="40" w:right="119"/>
        <w:spacing w:after="0" w:line="23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1" w:lineRule="exact"/>
        <w:rPr>
          <w:sz w:val="20"/>
          <w:szCs w:val="20"/>
          <w:color w:val="auto"/>
        </w:rPr>
      </w:pPr>
    </w:p>
    <w:p>
      <w:pPr>
        <w:ind w:left="40" w:right="239"/>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ADSs.</w:t>
      </w:r>
    </w:p>
    <w:p>
      <w:pPr>
        <w:spacing w:after="0" w:line="215" w:lineRule="exact"/>
        <w:rPr>
          <w:sz w:val="20"/>
          <w:szCs w:val="20"/>
          <w:color w:val="auto"/>
        </w:rPr>
      </w:pPr>
    </w:p>
    <w:p>
      <w:pPr>
        <w:ind w:left="40" w:right="99"/>
        <w:spacing w:after="0" w:line="235"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ADSs. Such a delisting would likely have a negative effect on the price of our ADSs and would impair your ability to sell or purchase our ADSs when you wish to do so. In the event of a delisting, any action taken by us to restore compliance with listing requirements may not allow our ADSs to become listed again, stabilize the market price or improve the liquidity of our ADSs, prevent our ADSs from dropping below the Nasdaq minimum bid price requirement or prevent future non-compliance with the listing requirements of Nasdaq.</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5" w:lineRule="exact"/>
        <w:rPr>
          <w:sz w:val="20"/>
          <w:szCs w:val="20"/>
          <w:color w:val="auto"/>
        </w:rPr>
      </w:pPr>
    </w:p>
    <w:p>
      <w:pPr>
        <w:ind w:left="40" w:right="239"/>
        <w:spacing w:after="0" w:line="236" w:lineRule="auto"/>
        <w:rPr>
          <w:sz w:val="20"/>
          <w:szCs w:val="20"/>
          <w:color w:val="auto"/>
        </w:rPr>
      </w:pPr>
      <w:r>
        <w:rPr>
          <w:rFonts w:ascii="Arial" w:cs="Arial" w:eastAsia="Arial" w:hAnsi="Arial"/>
          <w:sz w:val="18"/>
          <w:szCs w:val="18"/>
          <w:color w:val="auto"/>
        </w:rPr>
        <w:t>On February 2, 2023, the registration statement on Form S-1 (Registration No. 333-269200) for our IPO of our ADSs was declared effective by the SEC. On February 7, 2023, we closed our IPO and 12,351,000 ADSs, each representing three ordinary shares, were issued and sold at a public offering price of $15.00 per ADS (including the underwriters’ exercise in full of their option to purchase up to 1,611,000 additional ADSs). We raised approximately $185.3 million in aggregate offering proceeds.</w:t>
      </w:r>
    </w:p>
    <w:p>
      <w:pPr>
        <w:spacing w:after="0" w:line="191" w:lineRule="exact"/>
        <w:rPr>
          <w:sz w:val="20"/>
          <w:szCs w:val="20"/>
          <w:color w:val="auto"/>
        </w:rPr>
      </w:pPr>
    </w:p>
    <w:p>
      <w:pPr>
        <w:ind w:left="40" w:right="379"/>
        <w:spacing w:after="0" w:line="235" w:lineRule="auto"/>
        <w:rPr>
          <w:sz w:val="20"/>
          <w:szCs w:val="20"/>
          <w:color w:val="auto"/>
        </w:rPr>
      </w:pPr>
      <w:r>
        <w:rPr>
          <w:rFonts w:ascii="Arial" w:cs="Arial" w:eastAsia="Arial" w:hAnsi="Arial"/>
          <w:sz w:val="18"/>
          <w:szCs w:val="18"/>
          <w:color w:val="auto"/>
        </w:rPr>
        <w:t>Jefferies LLC, SVB Securities LLC, Guggenheim Securities, LLC, and BMO Capital Markets Corp. acted as representatives of the underwriters for the offering. We compensated the underwriters of our IPO underwriting discounts and commissions totaling $ 13.0 million and incurred approximately $5.6 million in estimated offering costs, thus our net offering proceeds, after deducting underwriting discounts and commissions and estimated offering expenses, were approximately $166.7 million. No payments for such expenses were made directly or indirectly to (i) any of our officers or directors or their associates, (ii) any persons owning 10% or more of any class of our equity securities or (iii) any of our affiliates.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3" w:name="page124"/>
    <w:bookmarkEnd w:id="123"/>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 w:right="419"/>
        <w:spacing w:after="0" w:line="250"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February 6, 2023 pursuant to Rule 424(b)(4).</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r>
        <w:rPr>
          <w:rFonts w:ascii="Arial" w:cs="Arial" w:eastAsia="Arial" w:hAnsi="Arial"/>
          <w:sz w:val="18"/>
          <w:szCs w:val="18"/>
          <w:color w:val="auto"/>
        </w:rPr>
        <w:t>.</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4" w:name="page125"/>
    <w:bookmarkEnd w:id="124"/>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39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w:t>
            </w: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48"/>
        </w:trPr>
        <w:tc>
          <w:tcPr>
            <w:tcW w:w="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21"/>
                <w:szCs w:val="21"/>
                <w:color w:val="auto"/>
              </w:rPr>
            </w:pPr>
          </w:p>
        </w:tc>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 of Document</w:t>
            </w:r>
          </w:p>
        </w:tc>
        <w:tc>
          <w:tcPr>
            <w:tcW w:w="120" w:type="dxa"/>
            <w:vAlign w:val="bottom"/>
          </w:tcPr>
          <w:p>
            <w:pPr>
              <w:spacing w:after="0"/>
              <w:rPr>
                <w:sz w:val="21"/>
                <w:szCs w:val="21"/>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Form</w:t>
            </w:r>
          </w:p>
        </w:tc>
        <w:tc>
          <w:tcPr>
            <w:tcW w:w="240" w:type="dxa"/>
            <w:vAlign w:val="bottom"/>
          </w:tcPr>
          <w:p>
            <w:pPr>
              <w:spacing w:after="0"/>
              <w:rPr>
                <w:sz w:val="21"/>
                <w:szCs w:val="21"/>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File No.</w:t>
            </w:r>
          </w:p>
        </w:tc>
        <w:tc>
          <w:tcPr>
            <w:tcW w:w="120" w:type="dxa"/>
            <w:vAlign w:val="bottom"/>
          </w:tcPr>
          <w:p>
            <w:pPr>
              <w:spacing w:after="0"/>
              <w:rPr>
                <w:sz w:val="21"/>
                <w:szCs w:val="21"/>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21"/>
                <w:szCs w:val="21"/>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Filing Date</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Herewith</w:t>
            </w:r>
          </w:p>
        </w:tc>
      </w:tr>
    </w:tbl>
    <w:p>
      <w:pPr>
        <w:spacing w:after="0" w:line="95" w:lineRule="exact"/>
        <w:rPr>
          <w:sz w:val="20"/>
          <w:szCs w:val="20"/>
          <w:color w:val="auto"/>
        </w:rPr>
      </w:pPr>
    </w:p>
    <w:p>
      <w:pPr>
        <w:sectPr>
          <w:pgSz w:w="11900" w:h="16838" w:orient="portrait"/>
          <w:cols w:equalWidth="0" w:num="1">
            <w:col w:w="9019"/>
          </w:cols>
          <w:pgMar w:left="1440" w:top="512" w:right="1440" w:bottom="1440" w:gutter="0" w:footer="0" w:header="0"/>
        </w:sectPr>
      </w:pPr>
    </w:p>
    <w:tbl>
      <w:tblPr>
        <w:tblLayout w:type="fixed"/>
        <w:tblInd w:w="100" w:type="dxa"/>
        <w:tblCellMar>
          <w:top w:w="0" w:type="dxa"/>
          <w:left w:w="0" w:type="dxa"/>
          <w:bottom w:w="0" w:type="dxa"/>
          <w:right w:w="0" w:type="dxa"/>
        </w:tblCellMar>
      </w:tblPr>
      <w:tr>
        <w:trPr>
          <w:trHeight w:val="184"/>
        </w:trPr>
        <w:tc>
          <w:tcPr>
            <w:tcW w:w="920" w:type="dxa"/>
            <w:vAlign w:val="bottom"/>
          </w:tcPr>
          <w:p>
            <w:pPr>
              <w:jc w:val="right"/>
              <w:ind w:right="620"/>
              <w:spacing w:after="0"/>
              <w:rPr>
                <w:sz w:val="20"/>
                <w:szCs w:val="20"/>
                <w:color w:val="auto"/>
              </w:rPr>
            </w:pPr>
            <w:r>
              <w:rPr>
                <w:rFonts w:ascii="Arial" w:cs="Arial" w:eastAsia="Arial" w:hAnsi="Arial"/>
                <w:sz w:val="16"/>
                <w:szCs w:val="16"/>
                <w:color w:val="auto"/>
                <w:w w:val="89"/>
              </w:rPr>
              <w:t>3.1</w:t>
            </w:r>
          </w:p>
        </w:tc>
        <w:tc>
          <w:tcPr>
            <w:tcW w:w="2700" w:type="dxa"/>
            <w:vAlign w:val="bottom"/>
            <w:tcBorders>
              <w:bottom w:val="single" w:sz="8" w:color="0000FF"/>
            </w:tcBorders>
            <w:gridSpan w:val="9"/>
          </w:tcPr>
          <w:p>
            <w:pPr>
              <w:spacing w:after="0"/>
              <w:rPr>
                <w:rFonts w:ascii="Arial" w:cs="Arial" w:eastAsia="Arial" w:hAnsi="Arial"/>
                <w:sz w:val="16"/>
                <w:szCs w:val="16"/>
                <w:color w:val="0000FF"/>
                <w:w w:val="98"/>
              </w:rPr>
            </w:pPr>
            <w:hyperlink r:id="rId160">
              <w:r>
                <w:rPr>
                  <w:rFonts w:ascii="Arial" w:cs="Arial" w:eastAsia="Arial" w:hAnsi="Arial"/>
                  <w:sz w:val="16"/>
                  <w:szCs w:val="16"/>
                  <w:color w:val="0000FF"/>
                  <w:w w:val="98"/>
                </w:rPr>
                <w:t>Amended and Restated Memorandum</w:t>
              </w:r>
            </w:hyperlink>
          </w:p>
        </w:tc>
        <w:tc>
          <w:tcPr>
            <w:tcW w:w="2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320" w:type="dxa"/>
            <w:vAlign w:val="bottom"/>
            <w:tcBorders>
              <w:bottom w:val="single" w:sz="8" w:color="0000FF"/>
            </w:tcBorders>
            <w:gridSpan w:val="6"/>
          </w:tcPr>
          <w:p>
            <w:pPr>
              <w:spacing w:after="0"/>
              <w:rPr>
                <w:rFonts w:ascii="Arial" w:cs="Arial" w:eastAsia="Arial" w:hAnsi="Arial"/>
                <w:sz w:val="16"/>
                <w:szCs w:val="16"/>
                <w:color w:val="0000FF"/>
                <w:w w:val="99"/>
              </w:rPr>
            </w:pPr>
            <w:hyperlink r:id="rId160">
              <w:r>
                <w:rPr>
                  <w:rFonts w:ascii="Arial" w:cs="Arial" w:eastAsia="Arial" w:hAnsi="Arial"/>
                  <w:sz w:val="16"/>
                  <w:szCs w:val="16"/>
                  <w:color w:val="0000FF"/>
                  <w:w w:val="99"/>
                </w:rPr>
                <w:t>and Articles of Association of the</w:t>
              </w:r>
            </w:hyperlink>
          </w:p>
        </w:tc>
        <w:tc>
          <w:tcPr>
            <w:tcW w:w="5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900" w:type="dxa"/>
            <w:vAlign w:val="bottom"/>
            <w:gridSpan w:val="12"/>
          </w:tcPr>
          <w:p>
            <w:pPr>
              <w:spacing w:after="0"/>
              <w:rPr>
                <w:rFonts w:ascii="Arial" w:cs="Arial" w:eastAsia="Arial" w:hAnsi="Arial"/>
                <w:sz w:val="16"/>
                <w:szCs w:val="16"/>
                <w:color w:val="0000FF"/>
              </w:rPr>
            </w:pPr>
            <w:hyperlink r:id="rId160">
              <w:r>
                <w:rPr>
                  <w:rFonts w:ascii="Arial" w:cs="Arial" w:eastAsia="Arial" w:hAnsi="Arial"/>
                  <w:sz w:val="16"/>
                  <w:szCs w:val="16"/>
                  <w:color w:val="0000FF"/>
                </w:rPr>
                <w:t>registrant.</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jc w:val="right"/>
              <w:ind w:right="620"/>
              <w:spacing w:after="0"/>
              <w:rPr>
                <w:sz w:val="20"/>
                <w:szCs w:val="20"/>
                <w:color w:val="auto"/>
              </w:rPr>
            </w:pPr>
            <w:r>
              <w:rPr>
                <w:rFonts w:ascii="Arial" w:cs="Arial" w:eastAsia="Arial" w:hAnsi="Arial"/>
                <w:sz w:val="16"/>
                <w:szCs w:val="16"/>
                <w:color w:val="auto"/>
                <w:w w:val="89"/>
              </w:rPr>
              <w:t>4.1</w:t>
            </w:r>
          </w:p>
        </w:tc>
        <w:tc>
          <w:tcPr>
            <w:tcW w:w="7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0" w:type="dxa"/>
            <w:vAlign w:val="bottom"/>
            <w:vMerge w:val="continue"/>
          </w:tcPr>
          <w:p>
            <w:pPr>
              <w:spacing w:after="0"/>
              <w:rPr>
                <w:sz w:val="24"/>
                <w:szCs w:val="24"/>
                <w:color w:val="auto"/>
              </w:rPr>
            </w:pPr>
          </w:p>
        </w:tc>
        <w:tc>
          <w:tcPr>
            <w:tcW w:w="2900" w:type="dxa"/>
            <w:vAlign w:val="bottom"/>
            <w:gridSpan w:val="12"/>
          </w:tcPr>
          <w:p>
            <w:pPr>
              <w:spacing w:after="0"/>
              <w:rPr>
                <w:rFonts w:ascii="Arial" w:cs="Arial" w:eastAsia="Arial" w:hAnsi="Arial"/>
                <w:sz w:val="16"/>
                <w:szCs w:val="16"/>
                <w:color w:val="0000FF"/>
              </w:rPr>
            </w:pPr>
            <w:hyperlink r:id="rId161">
              <w:r>
                <w:rPr>
                  <w:rFonts w:ascii="Arial" w:cs="Arial" w:eastAsia="Arial" w:hAnsi="Arial"/>
                  <w:sz w:val="16"/>
                  <w:szCs w:val="16"/>
                  <w:color w:val="0000FF"/>
                </w:rPr>
                <w:t>Registrant’s Specimen Certificate for</w:t>
              </w:r>
            </w:hyperlink>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580" w:type="dxa"/>
            <w:vAlign w:val="bottom"/>
            <w:tcBorders>
              <w:top w:val="single" w:sz="8" w:color="0000FF"/>
            </w:tcBorders>
            <w:gridSpan w:val="7"/>
          </w:tcPr>
          <w:p>
            <w:pPr>
              <w:spacing w:after="0"/>
              <w:rPr>
                <w:rFonts w:ascii="Arial" w:cs="Arial" w:eastAsia="Arial" w:hAnsi="Arial"/>
                <w:sz w:val="16"/>
                <w:szCs w:val="16"/>
                <w:color w:val="0000FF"/>
              </w:rPr>
            </w:pPr>
            <w:hyperlink r:id="rId161">
              <w:r>
                <w:rPr>
                  <w:rFonts w:ascii="Arial" w:cs="Arial" w:eastAsia="Arial" w:hAnsi="Arial"/>
                  <w:sz w:val="16"/>
                  <w:szCs w:val="16"/>
                  <w:color w:val="0000FF"/>
                </w:rPr>
                <w:t>Ordinary Shares.</w:t>
              </w:r>
            </w:hyperlink>
          </w:p>
        </w:tc>
        <w:tc>
          <w:tcPr>
            <w:tcW w:w="3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0" w:type="dxa"/>
            <w:vAlign w:val="bottom"/>
          </w:tcPr>
          <w:p>
            <w:pPr>
              <w:jc w:val="right"/>
              <w:ind w:right="620"/>
              <w:spacing w:after="0"/>
              <w:rPr>
                <w:sz w:val="20"/>
                <w:szCs w:val="20"/>
                <w:color w:val="auto"/>
              </w:rPr>
            </w:pPr>
            <w:r>
              <w:rPr>
                <w:rFonts w:ascii="Arial" w:cs="Arial" w:eastAsia="Arial" w:hAnsi="Arial"/>
                <w:sz w:val="16"/>
                <w:szCs w:val="16"/>
                <w:color w:val="auto"/>
                <w:w w:val="89"/>
              </w:rPr>
              <w:t>4.2</w:t>
            </w:r>
          </w:p>
        </w:tc>
        <w:tc>
          <w:tcPr>
            <w:tcW w:w="2000" w:type="dxa"/>
            <w:vAlign w:val="bottom"/>
            <w:tcBorders>
              <w:bottom w:val="single" w:sz="8" w:color="0000FF"/>
            </w:tcBorders>
            <w:gridSpan w:val="5"/>
          </w:tcPr>
          <w:p>
            <w:pPr>
              <w:spacing w:after="0"/>
              <w:rPr>
                <w:rFonts w:ascii="Arial" w:cs="Arial" w:eastAsia="Arial" w:hAnsi="Arial"/>
                <w:sz w:val="16"/>
                <w:szCs w:val="16"/>
                <w:color w:val="0000FF"/>
                <w:w w:val="98"/>
              </w:rPr>
            </w:pPr>
            <w:hyperlink r:id="rId162">
              <w:r>
                <w:rPr>
                  <w:rFonts w:ascii="Arial" w:cs="Arial" w:eastAsia="Arial" w:hAnsi="Arial"/>
                  <w:sz w:val="16"/>
                  <w:szCs w:val="16"/>
                  <w:color w:val="0000FF"/>
                  <w:w w:val="98"/>
                </w:rPr>
                <w:t>Form of Deposit Agreement.</w:t>
              </w:r>
            </w:hyperlink>
          </w:p>
        </w:tc>
        <w:tc>
          <w:tcPr>
            <w:tcW w:w="9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20" w:type="dxa"/>
            <w:vAlign w:val="bottom"/>
          </w:tcPr>
          <w:p>
            <w:pPr>
              <w:jc w:val="right"/>
              <w:ind w:right="620"/>
              <w:spacing w:after="0"/>
              <w:rPr>
                <w:sz w:val="20"/>
                <w:szCs w:val="20"/>
                <w:color w:val="auto"/>
              </w:rPr>
            </w:pPr>
            <w:r>
              <w:rPr>
                <w:rFonts w:ascii="Arial" w:cs="Arial" w:eastAsia="Arial" w:hAnsi="Arial"/>
                <w:sz w:val="16"/>
                <w:szCs w:val="16"/>
                <w:color w:val="auto"/>
                <w:w w:val="89"/>
              </w:rPr>
              <w:t>4.3</w:t>
            </w:r>
          </w:p>
        </w:tc>
        <w:tc>
          <w:tcPr>
            <w:tcW w:w="2660" w:type="dxa"/>
            <w:vAlign w:val="bottom"/>
            <w:tcBorders>
              <w:bottom w:val="single" w:sz="8" w:color="0000FF"/>
            </w:tcBorders>
            <w:gridSpan w:val="8"/>
          </w:tcPr>
          <w:p>
            <w:pPr>
              <w:spacing w:after="0"/>
              <w:rPr>
                <w:rFonts w:ascii="Arial" w:cs="Arial" w:eastAsia="Arial" w:hAnsi="Arial"/>
                <w:sz w:val="16"/>
                <w:szCs w:val="16"/>
                <w:color w:val="0000FF"/>
                <w:w w:val="98"/>
              </w:rPr>
            </w:pPr>
            <w:hyperlink r:id="rId162">
              <w:r>
                <w:rPr>
                  <w:rFonts w:ascii="Arial" w:cs="Arial" w:eastAsia="Arial" w:hAnsi="Arial"/>
                  <w:sz w:val="16"/>
                  <w:szCs w:val="16"/>
                  <w:color w:val="0000FF"/>
                  <w:w w:val="98"/>
                </w:rPr>
                <w:t>Form of American Depositary Receipt</w:t>
              </w:r>
            </w:hyperlink>
          </w:p>
        </w:tc>
        <w:tc>
          <w:tcPr>
            <w:tcW w:w="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840" w:type="dxa"/>
            <w:vAlign w:val="bottom"/>
            <w:tcBorders>
              <w:bottom w:val="single" w:sz="8" w:color="0000FF"/>
            </w:tcBorders>
            <w:gridSpan w:val="11"/>
          </w:tcPr>
          <w:p>
            <w:pPr>
              <w:spacing w:after="0"/>
              <w:rPr>
                <w:rFonts w:ascii="Arial" w:cs="Arial" w:eastAsia="Arial" w:hAnsi="Arial"/>
                <w:sz w:val="16"/>
                <w:szCs w:val="16"/>
                <w:color w:val="0000FF"/>
                <w:w w:val="99"/>
              </w:rPr>
            </w:pPr>
            <w:hyperlink r:id="rId162">
              <w:r>
                <w:rPr>
                  <w:rFonts w:ascii="Arial" w:cs="Arial" w:eastAsia="Arial" w:hAnsi="Arial"/>
                  <w:sz w:val="16"/>
                  <w:szCs w:val="16"/>
                  <w:color w:val="0000FF"/>
                  <w:w w:val="99"/>
                </w:rPr>
                <w:t>evidencing American Depositary Shares</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1700" w:type="dxa"/>
            <w:vAlign w:val="bottom"/>
            <w:tcBorders>
              <w:bottom w:val="single" w:sz="8" w:color="0000FF"/>
            </w:tcBorders>
            <w:gridSpan w:val="4"/>
          </w:tcPr>
          <w:p>
            <w:pPr>
              <w:spacing w:after="0"/>
              <w:rPr>
                <w:rFonts w:ascii="Arial" w:cs="Arial" w:eastAsia="Arial" w:hAnsi="Arial"/>
                <w:sz w:val="16"/>
                <w:szCs w:val="16"/>
                <w:color w:val="0000FF"/>
                <w:w w:val="98"/>
              </w:rPr>
            </w:pPr>
            <w:hyperlink r:id="rId162">
              <w:r>
                <w:rPr>
                  <w:rFonts w:ascii="Arial" w:cs="Arial" w:eastAsia="Arial" w:hAnsi="Arial"/>
                  <w:sz w:val="16"/>
                  <w:szCs w:val="16"/>
                  <w:color w:val="0000FF"/>
                  <w:w w:val="98"/>
                </w:rPr>
                <w:t>(included in Exhibit 4.2).</w:t>
              </w:r>
            </w:hyperlink>
          </w:p>
        </w:tc>
        <w:tc>
          <w:tcPr>
            <w:tcW w:w="12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920" w:type="dxa"/>
            <w:vAlign w:val="bottom"/>
          </w:tcPr>
          <w:p>
            <w:pPr>
              <w:jc w:val="right"/>
              <w:ind w:right="620"/>
              <w:spacing w:after="0"/>
              <w:rPr>
                <w:sz w:val="20"/>
                <w:szCs w:val="20"/>
                <w:color w:val="auto"/>
              </w:rPr>
            </w:pPr>
            <w:r>
              <w:rPr>
                <w:rFonts w:ascii="Arial" w:cs="Arial" w:eastAsia="Arial" w:hAnsi="Arial"/>
                <w:sz w:val="16"/>
                <w:szCs w:val="16"/>
                <w:color w:val="auto"/>
                <w:w w:val="89"/>
              </w:rPr>
              <w:t>4.4</w:t>
            </w:r>
          </w:p>
        </w:tc>
        <w:tc>
          <w:tcPr>
            <w:tcW w:w="2900" w:type="dxa"/>
            <w:vAlign w:val="bottom"/>
            <w:tcBorders>
              <w:bottom w:val="single" w:sz="8" w:color="0000FF"/>
            </w:tcBorders>
            <w:gridSpan w:val="12"/>
          </w:tcPr>
          <w:p>
            <w:pPr>
              <w:spacing w:after="0"/>
              <w:rPr>
                <w:rFonts w:ascii="Arial" w:cs="Arial" w:eastAsia="Arial" w:hAnsi="Arial"/>
                <w:sz w:val="16"/>
                <w:szCs w:val="16"/>
                <w:color w:val="0000FF"/>
                <w:w w:val="99"/>
              </w:rPr>
            </w:pPr>
            <w:hyperlink r:id="rId163">
              <w:r>
                <w:rPr>
                  <w:rFonts w:ascii="Arial" w:cs="Arial" w:eastAsia="Arial" w:hAnsi="Arial"/>
                  <w:sz w:val="16"/>
                  <w:szCs w:val="16"/>
                  <w:color w:val="0000FF"/>
                  <w:w w:val="99"/>
                </w:rPr>
                <w:t>Amended and Restated Investors’ Rights</w:t>
              </w:r>
            </w:hyperlink>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900" w:type="dxa"/>
            <w:vAlign w:val="bottom"/>
            <w:gridSpan w:val="12"/>
          </w:tcPr>
          <w:p>
            <w:pPr>
              <w:spacing w:after="0"/>
              <w:rPr>
                <w:rFonts w:ascii="Arial" w:cs="Arial" w:eastAsia="Arial" w:hAnsi="Arial"/>
                <w:sz w:val="16"/>
                <w:szCs w:val="16"/>
                <w:color w:val="0000FF"/>
              </w:rPr>
            </w:pPr>
            <w:hyperlink r:id="rId163">
              <w:r>
                <w:rPr>
                  <w:rFonts w:ascii="Arial" w:cs="Arial" w:eastAsia="Arial" w:hAnsi="Arial"/>
                  <w:sz w:val="16"/>
                  <w:szCs w:val="16"/>
                  <w:color w:val="0000FF"/>
                </w:rPr>
                <w:t>Agreement, dated July 30, 2021, by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76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 w:type="dxa"/>
            <w:vAlign w:val="bottom"/>
          </w:tcPr>
          <w:p>
            <w:pPr>
              <w:spacing w:after="0"/>
              <w:rPr>
                <w:sz w:val="16"/>
                <w:szCs w:val="16"/>
                <w:color w:val="auto"/>
              </w:rPr>
            </w:pPr>
          </w:p>
        </w:tc>
        <w:tc>
          <w:tcPr>
            <w:tcW w:w="2840" w:type="dxa"/>
            <w:vAlign w:val="bottom"/>
            <w:tcBorders>
              <w:bottom w:val="single" w:sz="8" w:color="0000FF"/>
            </w:tcBorders>
            <w:gridSpan w:val="11"/>
          </w:tcPr>
          <w:p>
            <w:pPr>
              <w:spacing w:after="0"/>
              <w:rPr>
                <w:rFonts w:ascii="Arial" w:cs="Arial" w:eastAsia="Arial" w:hAnsi="Arial"/>
                <w:sz w:val="16"/>
                <w:szCs w:val="16"/>
                <w:color w:val="0000FF"/>
                <w:w w:val="99"/>
              </w:rPr>
            </w:pPr>
            <w:hyperlink r:id="rId163">
              <w:r>
                <w:rPr>
                  <w:rFonts w:ascii="Arial" w:cs="Arial" w:eastAsia="Arial" w:hAnsi="Arial"/>
                  <w:sz w:val="16"/>
                  <w:szCs w:val="16"/>
                  <w:color w:val="0000FF"/>
                  <w:w w:val="99"/>
                </w:rPr>
                <w:t>between the registrant and the investors</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900" w:type="dxa"/>
            <w:vAlign w:val="bottom"/>
            <w:gridSpan w:val="12"/>
          </w:tcPr>
          <w:p>
            <w:pPr>
              <w:spacing w:after="0"/>
              <w:rPr>
                <w:rFonts w:ascii="Arial" w:cs="Arial" w:eastAsia="Arial" w:hAnsi="Arial"/>
                <w:sz w:val="16"/>
                <w:szCs w:val="16"/>
                <w:color w:val="0000FF"/>
              </w:rPr>
            </w:pPr>
            <w:hyperlink r:id="rId163">
              <w:r>
                <w:rPr>
                  <w:rFonts w:ascii="Arial" w:cs="Arial" w:eastAsia="Arial" w:hAnsi="Arial"/>
                  <w:sz w:val="16"/>
                  <w:szCs w:val="16"/>
                  <w:color w:val="0000FF"/>
                </w:rPr>
                <w:t>named therein.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600" w:type="dxa"/>
            <w:vAlign w:val="bottom"/>
          </w:tcPr>
          <w:p>
            <w:pPr>
              <w:jc w:val="center"/>
              <w:ind w:right="120"/>
              <w:spacing w:after="0"/>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001-41608</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3.1</w:t>
            </w:r>
          </w:p>
        </w:tc>
        <w:tc>
          <w:tcPr>
            <w:tcW w:w="1100" w:type="dxa"/>
            <w:vAlign w:val="bottom"/>
          </w:tcPr>
          <w:p>
            <w:pPr>
              <w:jc w:val="center"/>
              <w:ind w:left="180"/>
              <w:spacing w:after="0"/>
              <w:rPr>
                <w:sz w:val="20"/>
                <w:szCs w:val="20"/>
                <w:color w:val="auto"/>
              </w:rPr>
            </w:pPr>
            <w:r>
              <w:rPr>
                <w:rFonts w:ascii="Arial" w:cs="Arial" w:eastAsia="Arial" w:hAnsi="Arial"/>
                <w:sz w:val="16"/>
                <w:szCs w:val="16"/>
                <w:color w:val="auto"/>
                <w:w w:val="97"/>
              </w:rPr>
              <w:t>February 7,</w:t>
            </w:r>
          </w:p>
        </w:tc>
      </w:tr>
      <w:tr>
        <w:trPr>
          <w:trHeight w:val="226"/>
        </w:trPr>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2023</w:t>
            </w:r>
          </w:p>
        </w:tc>
      </w:tr>
      <w:tr>
        <w:trPr>
          <w:trHeight w:val="558"/>
        </w:trPr>
        <w:tc>
          <w:tcPr>
            <w:tcW w:w="600" w:type="dxa"/>
            <w:vAlign w:val="bottom"/>
          </w:tcPr>
          <w:p>
            <w:pPr>
              <w:jc w:val="center"/>
              <w:ind w:right="120"/>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333-</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4.1</w:t>
            </w: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January 30,</w:t>
            </w:r>
          </w:p>
        </w:tc>
      </w:tr>
      <w:tr>
        <w:trPr>
          <w:trHeight w:val="226"/>
        </w:trPr>
        <w:tc>
          <w:tcPr>
            <w:tcW w:w="6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269200</w:t>
            </w:r>
          </w:p>
        </w:tc>
        <w:tc>
          <w:tcPr>
            <w:tcW w:w="700" w:type="dxa"/>
            <w:vAlign w:val="bottom"/>
          </w:tcPr>
          <w:p>
            <w:pPr>
              <w:spacing w:after="0"/>
              <w:rPr>
                <w:sz w:val="19"/>
                <w:szCs w:val="19"/>
                <w:color w:val="auto"/>
              </w:rPr>
            </w:pP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2023</w:t>
            </w:r>
          </w:p>
        </w:tc>
      </w:tr>
      <w:tr>
        <w:trPr>
          <w:trHeight w:val="359"/>
        </w:trPr>
        <w:tc>
          <w:tcPr>
            <w:tcW w:w="600" w:type="dxa"/>
            <w:vAlign w:val="bottom"/>
          </w:tcPr>
          <w:p>
            <w:pPr>
              <w:jc w:val="center"/>
              <w:ind w:right="120"/>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333-</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4.2</w:t>
            </w: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January 30,</w:t>
            </w:r>
          </w:p>
        </w:tc>
      </w:tr>
      <w:tr>
        <w:trPr>
          <w:trHeight w:val="289"/>
        </w:trPr>
        <w:tc>
          <w:tcPr>
            <w:tcW w:w="600" w:type="dxa"/>
            <w:vAlign w:val="bottom"/>
          </w:tcPr>
          <w:p>
            <w:pPr>
              <w:jc w:val="center"/>
              <w:ind w:right="120"/>
              <w:spacing w:after="0"/>
              <w:rPr>
                <w:sz w:val="20"/>
                <w:szCs w:val="20"/>
                <w:color w:val="auto"/>
              </w:rPr>
            </w:pPr>
            <w:r>
              <w:rPr>
                <w:rFonts w:ascii="Arial" w:cs="Arial" w:eastAsia="Arial" w:hAnsi="Arial"/>
                <w:sz w:val="16"/>
                <w:szCs w:val="16"/>
                <w:color w:val="auto"/>
                <w:w w:val="99"/>
              </w:rPr>
              <w:t>S-1/A</w:t>
            </w:r>
          </w:p>
        </w:tc>
        <w:tc>
          <w:tcPr>
            <w:tcW w:w="1280" w:type="dxa"/>
            <w:vAlign w:val="bottom"/>
          </w:tcPr>
          <w:p>
            <w:pPr>
              <w:jc w:val="center"/>
              <w:spacing w:after="0"/>
              <w:rPr>
                <w:sz w:val="20"/>
                <w:szCs w:val="20"/>
                <w:color w:val="auto"/>
              </w:rPr>
            </w:pPr>
            <w:r>
              <w:rPr>
                <w:rFonts w:ascii="Arial" w:cs="Arial" w:eastAsia="Arial" w:hAnsi="Arial"/>
                <w:sz w:val="16"/>
                <w:szCs w:val="16"/>
                <w:color w:val="auto"/>
              </w:rPr>
              <w:t>333-269200</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4.3</w:t>
            </w: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January 30,</w:t>
            </w:r>
          </w:p>
        </w:tc>
      </w:tr>
      <w:tr>
        <w:trPr>
          <w:trHeight w:val="202"/>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2023</w:t>
            </w:r>
          </w:p>
        </w:tc>
      </w:tr>
      <w:tr>
        <w:trPr>
          <w:trHeight w:val="541"/>
        </w:trPr>
        <w:tc>
          <w:tcPr>
            <w:tcW w:w="600" w:type="dxa"/>
            <w:vAlign w:val="bottom"/>
          </w:tcPr>
          <w:p>
            <w:pPr>
              <w:jc w:val="center"/>
              <w:ind w:right="120"/>
              <w:spacing w:after="0"/>
              <w:rPr>
                <w:sz w:val="20"/>
                <w:szCs w:val="20"/>
                <w:color w:val="auto"/>
              </w:rPr>
            </w:pPr>
            <w:r>
              <w:rPr>
                <w:rFonts w:ascii="Arial" w:cs="Arial" w:eastAsia="Arial" w:hAnsi="Arial"/>
                <w:sz w:val="16"/>
                <w:szCs w:val="16"/>
                <w:color w:val="auto"/>
                <w:w w:val="96"/>
              </w:rPr>
              <w:t>S-1</w:t>
            </w:r>
          </w:p>
        </w:tc>
        <w:tc>
          <w:tcPr>
            <w:tcW w:w="1280" w:type="dxa"/>
            <w:vAlign w:val="bottom"/>
          </w:tcPr>
          <w:p>
            <w:pPr>
              <w:jc w:val="center"/>
              <w:spacing w:after="0"/>
              <w:rPr>
                <w:sz w:val="20"/>
                <w:szCs w:val="20"/>
                <w:color w:val="auto"/>
              </w:rPr>
            </w:pPr>
            <w:r>
              <w:rPr>
                <w:rFonts w:ascii="Arial" w:cs="Arial" w:eastAsia="Arial" w:hAnsi="Arial"/>
                <w:sz w:val="16"/>
                <w:szCs w:val="16"/>
                <w:color w:val="auto"/>
              </w:rPr>
              <w:t>333-269200</w:t>
            </w:r>
          </w:p>
        </w:tc>
        <w:tc>
          <w:tcPr>
            <w:tcW w:w="700" w:type="dxa"/>
            <w:vAlign w:val="bottom"/>
          </w:tcPr>
          <w:p>
            <w:pPr>
              <w:jc w:val="right"/>
              <w:ind w:right="180"/>
              <w:spacing w:after="0"/>
              <w:rPr>
                <w:sz w:val="20"/>
                <w:szCs w:val="20"/>
                <w:color w:val="auto"/>
              </w:rPr>
            </w:pPr>
            <w:r>
              <w:rPr>
                <w:rFonts w:ascii="Arial" w:cs="Arial" w:eastAsia="Arial" w:hAnsi="Arial"/>
                <w:sz w:val="16"/>
                <w:szCs w:val="16"/>
                <w:color w:val="auto"/>
              </w:rPr>
              <w:t>4.4</w:t>
            </w: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January 12,</w:t>
            </w:r>
          </w:p>
        </w:tc>
      </w:tr>
      <w:tr>
        <w:trPr>
          <w:trHeight w:val="202"/>
        </w:trPr>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00" w:type="dxa"/>
            <w:vAlign w:val="bottom"/>
          </w:tcPr>
          <w:p>
            <w:pPr>
              <w:jc w:val="center"/>
              <w:ind w:left="180"/>
              <w:spacing w:after="0"/>
              <w:rPr>
                <w:sz w:val="20"/>
                <w:szCs w:val="20"/>
                <w:color w:val="auto"/>
              </w:rPr>
            </w:pPr>
            <w:r>
              <w:rPr>
                <w:rFonts w:ascii="Arial" w:cs="Arial" w:eastAsia="Arial" w:hAnsi="Arial"/>
                <w:sz w:val="16"/>
                <w:szCs w:val="16"/>
                <w:color w:val="auto"/>
              </w:rPr>
              <w:t>2023</w:t>
            </w:r>
          </w:p>
        </w:tc>
      </w:tr>
    </w:tbl>
    <w:p>
      <w:pPr>
        <w:spacing w:after="0" w:line="634" w:lineRule="exact"/>
        <w:rPr>
          <w:sz w:val="20"/>
          <w:szCs w:val="20"/>
          <w:color w:val="auto"/>
        </w:rPr>
      </w:pPr>
    </w:p>
    <w:p>
      <w:pPr>
        <w:sectPr>
          <w:pgSz w:w="11900" w:h="16838" w:orient="portrait"/>
          <w:cols w:equalWidth="0" w:num="2">
            <w:col w:w="3920" w:space="320"/>
            <w:col w:w="4779"/>
          </w:cols>
          <w:pgMar w:left="1440" w:top="512" w:right="1440" w:bottom="1440" w:gutter="0" w:footer="0" w:header="0"/>
          <w:type w:val="continuous"/>
        </w:sectPr>
      </w:pPr>
    </w:p>
    <w:p>
      <w:pPr>
        <w:spacing w:after="0" w:line="3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4.5</w:t>
            </w:r>
          </w:p>
        </w:tc>
        <w:tc>
          <w:tcPr>
            <w:tcW w:w="2840" w:type="dxa"/>
            <w:vAlign w:val="bottom"/>
            <w:gridSpan w:val="10"/>
          </w:tcPr>
          <w:p>
            <w:pPr>
              <w:spacing w:after="0"/>
              <w:rPr>
                <w:rFonts w:ascii="Arial" w:cs="Arial" w:eastAsia="Arial" w:hAnsi="Arial"/>
                <w:sz w:val="16"/>
                <w:szCs w:val="16"/>
                <w:color w:val="0000FF"/>
              </w:rPr>
            </w:pPr>
            <w:hyperlink r:id="rId164">
              <w:r>
                <w:rPr>
                  <w:rFonts w:ascii="Arial" w:cs="Arial" w:eastAsia="Arial" w:hAnsi="Arial"/>
                  <w:sz w:val="16"/>
                  <w:szCs w:val="16"/>
                  <w:color w:val="0000FF"/>
                </w:rPr>
                <w:t>Summary of Rights of Non</w:t>
              </w:r>
              <w:r>
                <w:rPr>
                  <w:rFonts w:ascii="Arial" w:cs="Arial" w:eastAsia="Arial" w:hAnsi="Arial"/>
                  <w:sz w:val="16"/>
                  <w:szCs w:val="16"/>
                  <w:color w:val="0000EE"/>
                </w:rPr>
                <w:t>-</w:t>
              </w:r>
              <w:r>
                <w:rPr>
                  <w:rFonts w:ascii="Arial" w:cs="Arial" w:eastAsia="Arial" w:hAnsi="Arial"/>
                  <w:sz w:val="16"/>
                  <w:szCs w:val="16"/>
                  <w:color w:val="0000FF"/>
                </w:rPr>
                <w:t>Voting</w:t>
              </w:r>
            </w:hyperlink>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360" w:type="dxa"/>
            <w:vAlign w:val="bottom"/>
            <w:tcBorders>
              <w:top w:val="single" w:sz="8" w:color="0000EE"/>
            </w:tcBorders>
            <w:gridSpan w:val="6"/>
          </w:tcPr>
          <w:p>
            <w:pPr>
              <w:spacing w:after="0"/>
              <w:rPr>
                <w:rFonts w:ascii="Arial" w:cs="Arial" w:eastAsia="Arial" w:hAnsi="Arial"/>
                <w:sz w:val="16"/>
                <w:szCs w:val="16"/>
                <w:color w:val="0000FF"/>
              </w:rPr>
            </w:pPr>
            <w:hyperlink r:id="rId164">
              <w:r>
                <w:rPr>
                  <w:rFonts w:ascii="Arial" w:cs="Arial" w:eastAsia="Arial" w:hAnsi="Arial"/>
                  <w:sz w:val="16"/>
                  <w:szCs w:val="16"/>
                  <w:color w:val="0000FF"/>
                </w:rPr>
                <w:t>Ordinary Shares</w:t>
              </w:r>
              <w:r>
                <w:rPr>
                  <w:rFonts w:ascii="Arial" w:cs="Arial" w:eastAsia="Arial" w:hAnsi="Arial"/>
                  <w:sz w:val="16"/>
                  <w:szCs w:val="16"/>
                  <w:color w:val="0000EE"/>
                </w:rPr>
                <w:t>.</w:t>
              </w:r>
            </w:hyperlink>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color w:val="auto"/>
              </w:rPr>
              <w:t>10.1</w:t>
            </w:r>
          </w:p>
        </w:tc>
        <w:tc>
          <w:tcPr>
            <w:tcW w:w="66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920" w:type="dxa"/>
            <w:vAlign w:val="bottom"/>
            <w:vMerge w:val="continue"/>
          </w:tcPr>
          <w:p>
            <w:pPr>
              <w:spacing w:after="0"/>
              <w:rPr>
                <w:sz w:val="24"/>
                <w:szCs w:val="24"/>
                <w:color w:val="auto"/>
              </w:rPr>
            </w:pPr>
          </w:p>
        </w:tc>
        <w:tc>
          <w:tcPr>
            <w:tcW w:w="2840" w:type="dxa"/>
            <w:vAlign w:val="bottom"/>
            <w:gridSpan w:val="10"/>
          </w:tcPr>
          <w:p>
            <w:pPr>
              <w:spacing w:after="0"/>
              <w:rPr>
                <w:rFonts w:ascii="Arial" w:cs="Arial" w:eastAsia="Arial" w:hAnsi="Arial"/>
                <w:sz w:val="16"/>
                <w:szCs w:val="16"/>
                <w:color w:val="0000FF"/>
              </w:rPr>
            </w:pPr>
            <w:hyperlink r:id="rId165">
              <w:r>
                <w:rPr>
                  <w:rFonts w:ascii="Arial" w:cs="Arial" w:eastAsia="Arial" w:hAnsi="Arial"/>
                  <w:sz w:val="16"/>
                  <w:szCs w:val="16"/>
                  <w:color w:val="0000FF"/>
                </w:rPr>
                <w:t>Exchange Agreement dated May 10,</w:t>
              </w:r>
            </w:hyperlink>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580" w:type="dxa"/>
            <w:vAlign w:val="bottom"/>
            <w:tcBorders>
              <w:top w:val="single" w:sz="8" w:color="0000FF"/>
            </w:tcBorders>
            <w:gridSpan w:val="9"/>
          </w:tcPr>
          <w:p>
            <w:pPr>
              <w:spacing w:after="0"/>
              <w:rPr>
                <w:rFonts w:ascii="Arial" w:cs="Arial" w:eastAsia="Arial" w:hAnsi="Arial"/>
                <w:sz w:val="16"/>
                <w:szCs w:val="16"/>
                <w:color w:val="0000FF"/>
                <w:w w:val="99"/>
              </w:rPr>
            </w:pPr>
            <w:hyperlink r:id="rId165">
              <w:r>
                <w:rPr>
                  <w:rFonts w:ascii="Arial" w:cs="Arial" w:eastAsia="Arial" w:hAnsi="Arial"/>
                  <w:sz w:val="16"/>
                  <w:szCs w:val="16"/>
                  <w:color w:val="0000FF"/>
                  <w:w w:val="99"/>
                </w:rPr>
                <w:t>2023 between the registrant and the</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540" w:type="dxa"/>
            <w:vAlign w:val="bottom"/>
            <w:tcBorders>
              <w:top w:val="single" w:sz="8" w:color="0000FF"/>
            </w:tcBorders>
            <w:gridSpan w:val="8"/>
          </w:tcPr>
          <w:p>
            <w:pPr>
              <w:spacing w:after="0"/>
              <w:rPr>
                <w:rFonts w:ascii="Arial" w:cs="Arial" w:eastAsia="Arial" w:hAnsi="Arial"/>
                <w:sz w:val="16"/>
                <w:szCs w:val="16"/>
                <w:color w:val="0000FF"/>
              </w:rPr>
            </w:pPr>
            <w:hyperlink r:id="rId165">
              <w:r>
                <w:rPr>
                  <w:rFonts w:ascii="Arial" w:cs="Arial" w:eastAsia="Arial" w:hAnsi="Arial"/>
                  <w:sz w:val="16"/>
                  <w:szCs w:val="16"/>
                  <w:color w:val="0000FF"/>
                </w:rPr>
                <w:t>investors named therein.</w:t>
              </w:r>
            </w:hyperlink>
          </w:p>
        </w:tc>
        <w:tc>
          <w:tcPr>
            <w:tcW w:w="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color w:val="auto"/>
              </w:rPr>
              <w:t>10.2</w:t>
            </w:r>
          </w:p>
        </w:tc>
        <w:tc>
          <w:tcPr>
            <w:tcW w:w="15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920" w:type="dxa"/>
            <w:vAlign w:val="bottom"/>
            <w:vMerge w:val="continue"/>
          </w:tcPr>
          <w:p>
            <w:pPr>
              <w:spacing w:after="0"/>
              <w:rPr>
                <w:sz w:val="24"/>
                <w:szCs w:val="24"/>
                <w:color w:val="auto"/>
              </w:rPr>
            </w:pPr>
          </w:p>
        </w:tc>
        <w:tc>
          <w:tcPr>
            <w:tcW w:w="2840" w:type="dxa"/>
            <w:vAlign w:val="bottom"/>
            <w:tcBorders>
              <w:bottom w:val="single" w:sz="8" w:color="0000FF"/>
            </w:tcBorders>
            <w:gridSpan w:val="10"/>
          </w:tcPr>
          <w:p>
            <w:pPr>
              <w:spacing w:after="0"/>
              <w:rPr>
                <w:rFonts w:ascii="Arial" w:cs="Arial" w:eastAsia="Arial" w:hAnsi="Arial"/>
                <w:sz w:val="16"/>
                <w:szCs w:val="16"/>
                <w:color w:val="0000FF"/>
                <w:w w:val="98"/>
              </w:rPr>
            </w:pPr>
            <w:hyperlink r:id="rId166">
              <w:r>
                <w:rPr>
                  <w:rFonts w:ascii="Arial" w:cs="Arial" w:eastAsia="Arial" w:hAnsi="Arial"/>
                  <w:sz w:val="16"/>
                  <w:szCs w:val="16"/>
                  <w:color w:val="0000FF"/>
                  <w:w w:val="98"/>
                </w:rPr>
                <w:t>Lease Agreement, dated June 29, 2023,</w:t>
              </w:r>
            </w:hyperlink>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840" w:type="dxa"/>
            <w:vAlign w:val="bottom"/>
            <w:gridSpan w:val="10"/>
          </w:tcPr>
          <w:p>
            <w:pPr>
              <w:spacing w:after="0"/>
              <w:rPr>
                <w:rFonts w:ascii="Arial" w:cs="Arial" w:eastAsia="Arial" w:hAnsi="Arial"/>
                <w:sz w:val="16"/>
                <w:szCs w:val="16"/>
                <w:color w:val="0000FF"/>
              </w:rPr>
            </w:pPr>
            <w:hyperlink r:id="rId166">
              <w:r>
                <w:rPr>
                  <w:rFonts w:ascii="Arial" w:cs="Arial" w:eastAsia="Arial" w:hAnsi="Arial"/>
                  <w:sz w:val="16"/>
                  <w:szCs w:val="16"/>
                  <w:color w:val="0000FF"/>
                </w:rPr>
                <w:t>by and between the registrant and</w:t>
              </w:r>
            </w:hyperlink>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400" w:type="dxa"/>
            <w:vAlign w:val="bottom"/>
            <w:tcBorders>
              <w:top w:val="single" w:sz="8" w:color="0000FF"/>
            </w:tcBorders>
            <w:gridSpan w:val="7"/>
          </w:tcPr>
          <w:p>
            <w:pPr>
              <w:spacing w:after="0"/>
              <w:rPr>
                <w:rFonts w:ascii="Arial" w:cs="Arial" w:eastAsia="Arial" w:hAnsi="Arial"/>
                <w:sz w:val="16"/>
                <w:szCs w:val="16"/>
                <w:color w:val="0000FF"/>
              </w:rPr>
            </w:pPr>
            <w:hyperlink r:id="rId166">
              <w:r>
                <w:rPr>
                  <w:rFonts w:ascii="Arial" w:cs="Arial" w:eastAsia="Arial" w:hAnsi="Arial"/>
                  <w:sz w:val="16"/>
                  <w:szCs w:val="16"/>
                  <w:color w:val="0000FF"/>
                </w:rPr>
                <w:t>Shanghai Changtai Business</w:t>
              </w:r>
            </w:hyperlink>
          </w:p>
        </w:tc>
        <w:tc>
          <w:tcPr>
            <w:tcW w:w="4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158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8"/>
              </w:rPr>
            </w:pPr>
            <w:hyperlink r:id="rId166">
              <w:r>
                <w:rPr>
                  <w:rFonts w:ascii="Arial" w:cs="Arial" w:eastAsia="Arial" w:hAnsi="Arial"/>
                  <w:sz w:val="16"/>
                  <w:szCs w:val="16"/>
                  <w:color w:val="0000FF"/>
                  <w:w w:val="98"/>
                </w:rPr>
                <w:t>Management Co., Ltd.</w:t>
              </w:r>
            </w:hyperlink>
          </w:p>
        </w:tc>
        <w:tc>
          <w:tcPr>
            <w:tcW w:w="460" w:type="dxa"/>
            <w:vAlign w:val="bottom"/>
            <w:tcBorders>
              <w:top w:val="single" w:sz="8" w:color="0000FF"/>
            </w:tcBorders>
            <w:gridSpan w:val="2"/>
          </w:tcPr>
          <w:p>
            <w:pPr>
              <w:spacing w:after="0"/>
              <w:rPr>
                <w:sz w:val="17"/>
                <w:szCs w:val="17"/>
                <w:color w:val="auto"/>
              </w:rPr>
            </w:pPr>
          </w:p>
        </w:tc>
        <w:tc>
          <w:tcPr>
            <w:tcW w:w="8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600" w:type="dxa"/>
            <w:vAlign w:val="bottom"/>
          </w:tcPr>
          <w:p>
            <w:pPr>
              <w:jc w:val="center"/>
              <w:ind w:right="160"/>
              <w:spacing w:after="0"/>
              <w:rPr>
                <w:sz w:val="20"/>
                <w:szCs w:val="20"/>
                <w:color w:val="auto"/>
              </w:rPr>
            </w:pPr>
            <w:r>
              <w:rPr>
                <w:rFonts w:ascii="Arial" w:cs="Arial" w:eastAsia="Arial" w:hAnsi="Arial"/>
                <w:sz w:val="16"/>
                <w:szCs w:val="16"/>
                <w:color w:val="auto"/>
              </w:rPr>
              <w:t>10-Q</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001-41608</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160" w:type="dxa"/>
            <w:vAlign w:val="bottom"/>
          </w:tcPr>
          <w:p>
            <w:pPr>
              <w:jc w:val="center"/>
              <w:ind w:left="120"/>
              <w:spacing w:after="0"/>
              <w:rPr>
                <w:sz w:val="20"/>
                <w:szCs w:val="20"/>
                <w:color w:val="auto"/>
              </w:rPr>
            </w:pPr>
            <w:r>
              <w:rPr>
                <w:rFonts w:ascii="Arial" w:cs="Arial" w:eastAsia="Arial" w:hAnsi="Arial"/>
                <w:sz w:val="16"/>
                <w:szCs w:val="16"/>
                <w:color w:val="auto"/>
                <w:w w:val="98"/>
              </w:rPr>
              <w:t>May 11, 2023</w:t>
            </w:r>
          </w:p>
        </w:tc>
      </w:tr>
      <w:tr>
        <w:trPr>
          <w:trHeight w:val="624"/>
        </w:trPr>
        <w:tc>
          <w:tcPr>
            <w:tcW w:w="600" w:type="dxa"/>
            <w:vAlign w:val="bottom"/>
          </w:tcPr>
          <w:p>
            <w:pPr>
              <w:jc w:val="center"/>
              <w:ind w:right="160"/>
              <w:spacing w:after="0"/>
              <w:rPr>
                <w:sz w:val="20"/>
                <w:szCs w:val="20"/>
                <w:color w:val="auto"/>
              </w:rPr>
            </w:pPr>
            <w:r>
              <w:rPr>
                <w:rFonts w:ascii="Arial" w:cs="Arial" w:eastAsia="Arial" w:hAnsi="Arial"/>
                <w:sz w:val="16"/>
                <w:szCs w:val="16"/>
                <w:color w:val="auto"/>
              </w:rPr>
              <w:t>10-Q</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001-41608</w:t>
            </w:r>
          </w:p>
        </w:tc>
        <w:tc>
          <w:tcPr>
            <w:tcW w:w="7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160" w:type="dxa"/>
            <w:vAlign w:val="bottom"/>
          </w:tcPr>
          <w:p>
            <w:pPr>
              <w:jc w:val="center"/>
              <w:ind w:left="140"/>
              <w:spacing w:after="0"/>
              <w:rPr>
                <w:sz w:val="20"/>
                <w:szCs w:val="20"/>
                <w:color w:val="auto"/>
              </w:rPr>
            </w:pPr>
            <w:r>
              <w:rPr>
                <w:rFonts w:ascii="Arial" w:cs="Arial" w:eastAsia="Arial" w:hAnsi="Arial"/>
                <w:sz w:val="16"/>
                <w:szCs w:val="16"/>
                <w:color w:val="auto"/>
                <w:w w:val="96"/>
              </w:rPr>
              <w:t>May 11, 2023</w:t>
            </w:r>
          </w:p>
        </w:tc>
      </w:tr>
      <w:tr>
        <w:trPr>
          <w:trHeight w:val="797"/>
        </w:trPr>
        <w:tc>
          <w:tcPr>
            <w:tcW w:w="600" w:type="dxa"/>
            <w:vAlign w:val="bottom"/>
          </w:tcPr>
          <w:p>
            <w:pPr>
              <w:jc w:val="center"/>
              <w:ind w:right="160"/>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right"/>
              <w:ind w:right="160"/>
              <w:spacing w:after="0"/>
              <w:rPr>
                <w:sz w:val="20"/>
                <w:szCs w:val="20"/>
                <w:color w:val="auto"/>
              </w:rPr>
            </w:pPr>
            <w:r>
              <w:rPr>
                <w:rFonts w:ascii="Arial" w:cs="Arial" w:eastAsia="Arial" w:hAnsi="Arial"/>
                <w:sz w:val="16"/>
                <w:szCs w:val="16"/>
                <w:color w:val="auto"/>
              </w:rPr>
              <w:t>001-41608</w:t>
            </w:r>
          </w:p>
        </w:tc>
        <w:tc>
          <w:tcPr>
            <w:tcW w:w="74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160" w:type="dxa"/>
            <w:vAlign w:val="bottom"/>
          </w:tcPr>
          <w:p>
            <w:pPr>
              <w:jc w:val="center"/>
              <w:ind w:left="100"/>
              <w:spacing w:after="0"/>
              <w:rPr>
                <w:sz w:val="20"/>
                <w:szCs w:val="20"/>
                <w:color w:val="auto"/>
              </w:rPr>
            </w:pPr>
            <w:r>
              <w:rPr>
                <w:rFonts w:ascii="Arial" w:cs="Arial" w:eastAsia="Arial" w:hAnsi="Arial"/>
                <w:sz w:val="16"/>
                <w:szCs w:val="16"/>
                <w:color w:val="auto"/>
                <w:w w:val="99"/>
              </w:rPr>
              <w:t>July 6, 2023</w:t>
            </w:r>
          </w:p>
        </w:tc>
      </w:tr>
    </w:tbl>
    <w:p>
      <w:pPr>
        <w:spacing w:after="0" w:line="763" w:lineRule="exact"/>
        <w:rPr>
          <w:sz w:val="20"/>
          <w:szCs w:val="20"/>
          <w:color w:val="auto"/>
        </w:rPr>
      </w:pPr>
    </w:p>
    <w:p>
      <w:pPr>
        <w:sectPr>
          <w:pgSz w:w="11900" w:h="16838" w:orient="portrait"/>
          <w:cols w:equalWidth="0" w:num="2">
            <w:col w:w="3860" w:space="400"/>
            <w:col w:w="4759"/>
          </w:cols>
          <w:pgMar w:left="1440" w:top="512" w:right="1440" w:bottom="1440" w:gutter="0" w:footer="0" w:header="0"/>
          <w:type w:val="continuous"/>
        </w:sectPr>
      </w:pPr>
    </w:p>
    <w:tbl>
      <w:tblPr>
        <w:tblLayout w:type="fixed"/>
        <w:tblInd w:w="100" w:type="dxa"/>
        <w:tblCellMar>
          <w:top w:w="0" w:type="dxa"/>
          <w:left w:w="0" w:type="dxa"/>
          <w:bottom w:w="0" w:type="dxa"/>
          <w:right w:w="0" w:type="dxa"/>
        </w:tblCellMar>
      </w:tblPr>
      <w:tr>
        <w:trPr>
          <w:trHeight w:val="184"/>
        </w:trPr>
        <w:tc>
          <w:tcPr>
            <w:tcW w:w="920" w:type="dxa"/>
            <w:vAlign w:val="bottom"/>
          </w:tcPr>
          <w:p>
            <w:pPr>
              <w:jc w:val="right"/>
              <w:ind w:right="520"/>
              <w:spacing w:after="0"/>
              <w:rPr>
                <w:sz w:val="20"/>
                <w:szCs w:val="20"/>
                <w:color w:val="auto"/>
              </w:rPr>
            </w:pPr>
            <w:r>
              <w:rPr>
                <w:rFonts w:ascii="Arial" w:cs="Arial" w:eastAsia="Arial" w:hAnsi="Arial"/>
                <w:sz w:val="16"/>
                <w:szCs w:val="16"/>
                <w:color w:val="auto"/>
                <w:w w:val="96"/>
              </w:rPr>
              <w:t>10.3</w:t>
            </w:r>
          </w:p>
        </w:tc>
        <w:tc>
          <w:tcPr>
            <w:tcW w:w="2860" w:type="dxa"/>
            <w:vAlign w:val="bottom"/>
            <w:tcBorders>
              <w:bottom w:val="single" w:sz="8" w:color="0000FF"/>
            </w:tcBorders>
            <w:gridSpan w:val="8"/>
          </w:tcPr>
          <w:p>
            <w:pPr>
              <w:spacing w:after="0"/>
              <w:rPr>
                <w:rFonts w:ascii="Arial" w:cs="Arial" w:eastAsia="Arial" w:hAnsi="Arial"/>
                <w:sz w:val="16"/>
                <w:szCs w:val="16"/>
                <w:color w:val="0000FF"/>
                <w:w w:val="99"/>
              </w:rPr>
            </w:pPr>
            <w:hyperlink r:id="rId167">
              <w:r>
                <w:rPr>
                  <w:rFonts w:ascii="Arial" w:cs="Arial" w:eastAsia="Arial" w:hAnsi="Arial"/>
                  <w:sz w:val="16"/>
                  <w:szCs w:val="16"/>
                  <w:color w:val="0000FF"/>
                  <w:w w:val="99"/>
                </w:rPr>
                <w:t>House Leasing Contract, dated June 29,</w:t>
              </w:r>
            </w:hyperlink>
          </w:p>
        </w:tc>
        <w:tc>
          <w:tcPr>
            <w:tcW w:w="60" w:type="dxa"/>
            <w:vAlign w:val="bottom"/>
            <w:gridSpan w:val="2"/>
          </w:tcPr>
          <w:p>
            <w:pPr>
              <w:spacing w:after="0"/>
              <w:rPr>
                <w:sz w:val="16"/>
                <w:szCs w:val="16"/>
                <w:color w:val="auto"/>
              </w:rPr>
            </w:pPr>
          </w:p>
        </w:tc>
        <w:tc>
          <w:tcPr>
            <w:tcW w:w="880" w:type="dxa"/>
            <w:vAlign w:val="bottom"/>
          </w:tcPr>
          <w:p>
            <w:pPr>
              <w:ind w:left="380"/>
              <w:spacing w:after="0"/>
              <w:rPr>
                <w:sz w:val="20"/>
                <w:szCs w:val="20"/>
                <w:color w:val="auto"/>
              </w:rPr>
            </w:pPr>
            <w:r>
              <w:rPr>
                <w:rFonts w:ascii="Arial" w:cs="Arial" w:eastAsia="Arial" w:hAnsi="Arial"/>
                <w:sz w:val="16"/>
                <w:szCs w:val="16"/>
                <w:color w:val="auto"/>
              </w:rPr>
              <w:t>8-K</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001-41608</w:t>
            </w:r>
          </w:p>
        </w:tc>
        <w:tc>
          <w:tcPr>
            <w:tcW w:w="760" w:type="dxa"/>
            <w:vAlign w:val="bottom"/>
          </w:tcPr>
          <w:p>
            <w:pPr>
              <w:jc w:val="right"/>
              <w:ind w:right="160"/>
              <w:spacing w:after="0"/>
              <w:rPr>
                <w:sz w:val="20"/>
                <w:szCs w:val="20"/>
                <w:color w:val="auto"/>
              </w:rPr>
            </w:pPr>
            <w:r>
              <w:rPr>
                <w:rFonts w:ascii="Arial" w:cs="Arial" w:eastAsia="Arial" w:hAnsi="Arial"/>
                <w:sz w:val="16"/>
                <w:szCs w:val="16"/>
                <w:color w:val="auto"/>
              </w:rPr>
              <w:t>10.2</w:t>
            </w:r>
          </w:p>
        </w:tc>
        <w:tc>
          <w:tcPr>
            <w:tcW w:w="1080" w:type="dxa"/>
            <w:vAlign w:val="bottom"/>
          </w:tcPr>
          <w:p>
            <w:pPr>
              <w:jc w:val="center"/>
              <w:ind w:left="140"/>
              <w:spacing w:after="0"/>
              <w:rPr>
                <w:sz w:val="20"/>
                <w:szCs w:val="20"/>
                <w:color w:val="auto"/>
              </w:rPr>
            </w:pPr>
            <w:r>
              <w:rPr>
                <w:rFonts w:ascii="Arial" w:cs="Arial" w:eastAsia="Arial" w:hAnsi="Arial"/>
                <w:sz w:val="16"/>
                <w:szCs w:val="16"/>
                <w:color w:val="auto"/>
                <w:w w:val="99"/>
              </w:rPr>
              <w:t>July 6, 2023</w:t>
            </w:r>
          </w:p>
        </w:tc>
      </w:tr>
      <w:tr>
        <w:trPr>
          <w:trHeight w:val="206"/>
        </w:trPr>
        <w:tc>
          <w:tcPr>
            <w:tcW w:w="920" w:type="dxa"/>
            <w:vAlign w:val="bottom"/>
          </w:tcPr>
          <w:p>
            <w:pPr>
              <w:spacing w:after="0"/>
              <w:rPr>
                <w:sz w:val="17"/>
                <w:szCs w:val="17"/>
                <w:color w:val="auto"/>
              </w:rPr>
            </w:pPr>
          </w:p>
        </w:tc>
        <w:tc>
          <w:tcPr>
            <w:tcW w:w="2560" w:type="dxa"/>
            <w:vAlign w:val="bottom"/>
            <w:tcBorders>
              <w:bottom w:val="single" w:sz="8" w:color="0000FF"/>
            </w:tcBorders>
            <w:gridSpan w:val="5"/>
          </w:tcPr>
          <w:p>
            <w:pPr>
              <w:spacing w:after="0"/>
              <w:rPr>
                <w:rFonts w:ascii="Arial" w:cs="Arial" w:eastAsia="Arial" w:hAnsi="Arial"/>
                <w:sz w:val="16"/>
                <w:szCs w:val="16"/>
                <w:color w:val="0000FF"/>
                <w:w w:val="99"/>
              </w:rPr>
            </w:pPr>
            <w:hyperlink r:id="rId167">
              <w:r>
                <w:rPr>
                  <w:rFonts w:ascii="Arial" w:cs="Arial" w:eastAsia="Arial" w:hAnsi="Arial"/>
                  <w:sz w:val="16"/>
                  <w:szCs w:val="16"/>
                  <w:color w:val="0000FF"/>
                  <w:w w:val="99"/>
                </w:rPr>
                <w:t>2023, by and between the Shanghai</w:t>
              </w:r>
            </w:hyperlink>
          </w:p>
        </w:tc>
        <w:tc>
          <w:tcPr>
            <w:tcW w:w="36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2"/>
        </w:trPr>
        <w:tc>
          <w:tcPr>
            <w:tcW w:w="920" w:type="dxa"/>
            <w:vAlign w:val="bottom"/>
          </w:tcPr>
          <w:p>
            <w:pPr>
              <w:spacing w:after="0"/>
              <w:rPr>
                <w:sz w:val="16"/>
                <w:szCs w:val="16"/>
                <w:color w:val="auto"/>
              </w:rPr>
            </w:pPr>
          </w:p>
        </w:tc>
        <w:tc>
          <w:tcPr>
            <w:tcW w:w="2920" w:type="dxa"/>
            <w:vAlign w:val="bottom"/>
            <w:gridSpan w:val="10"/>
          </w:tcPr>
          <w:p>
            <w:pPr>
              <w:spacing w:after="0"/>
              <w:rPr>
                <w:rFonts w:ascii="Arial" w:cs="Arial" w:eastAsia="Arial" w:hAnsi="Arial"/>
                <w:sz w:val="16"/>
                <w:szCs w:val="16"/>
                <w:color w:val="0000FF"/>
              </w:rPr>
            </w:pPr>
            <w:hyperlink r:id="rId167">
              <w:r>
                <w:rPr>
                  <w:rFonts w:ascii="Arial" w:cs="Arial" w:eastAsia="Arial" w:hAnsi="Arial"/>
                  <w:sz w:val="16"/>
                  <w:szCs w:val="16"/>
                  <w:color w:val="0000FF"/>
                </w:rPr>
                <w:t>ShouTi Biotechnology Co., ltd. and</w:t>
              </w:r>
            </w:hyperlink>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6"/>
        </w:trPr>
        <w:tc>
          <w:tcPr>
            <w:tcW w:w="9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8"/>
              </w:rPr>
            </w:pPr>
            <w:hyperlink r:id="rId167">
              <w:r>
                <w:rPr>
                  <w:rFonts w:ascii="Arial" w:cs="Arial" w:eastAsia="Arial" w:hAnsi="Arial"/>
                  <w:sz w:val="16"/>
                  <w:szCs w:val="16"/>
                  <w:color w:val="0000FF"/>
                  <w:w w:val="98"/>
                </w:rPr>
                <w:t>Shanghai Chuangzhi Space</w:t>
              </w:r>
            </w:hyperlink>
          </w:p>
        </w:tc>
        <w:tc>
          <w:tcPr>
            <w:tcW w:w="460" w:type="dxa"/>
            <w:vAlign w:val="bottom"/>
            <w:tcBorders>
              <w:top w:val="single" w:sz="8" w:color="0000FF"/>
            </w:tcBorders>
            <w:gridSpan w:val="2"/>
          </w:tcPr>
          <w:p>
            <w:pPr>
              <w:spacing w:after="0"/>
              <w:rPr>
                <w:sz w:val="17"/>
                <w:szCs w:val="17"/>
                <w:color w:val="auto"/>
              </w:rPr>
            </w:pPr>
          </w:p>
        </w:tc>
        <w:tc>
          <w:tcPr>
            <w:tcW w:w="48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2"/>
        </w:trPr>
        <w:tc>
          <w:tcPr>
            <w:tcW w:w="920" w:type="dxa"/>
            <w:vAlign w:val="bottom"/>
          </w:tcPr>
          <w:p>
            <w:pPr>
              <w:spacing w:after="0"/>
              <w:rPr>
                <w:sz w:val="16"/>
                <w:szCs w:val="16"/>
                <w:color w:val="auto"/>
              </w:rPr>
            </w:pPr>
          </w:p>
        </w:tc>
        <w:tc>
          <w:tcPr>
            <w:tcW w:w="2920" w:type="dxa"/>
            <w:vAlign w:val="bottom"/>
            <w:gridSpan w:val="10"/>
          </w:tcPr>
          <w:p>
            <w:pPr>
              <w:spacing w:after="0"/>
              <w:rPr>
                <w:rFonts w:ascii="Arial" w:cs="Arial" w:eastAsia="Arial" w:hAnsi="Arial"/>
                <w:sz w:val="16"/>
                <w:szCs w:val="16"/>
                <w:color w:val="0000FF"/>
                <w:w w:val="99"/>
              </w:rPr>
            </w:pPr>
            <w:hyperlink r:id="rId167">
              <w:r>
                <w:rPr>
                  <w:rFonts w:ascii="Arial" w:cs="Arial" w:eastAsia="Arial" w:hAnsi="Arial"/>
                  <w:sz w:val="16"/>
                  <w:szCs w:val="16"/>
                  <w:color w:val="0000FF"/>
                  <w:w w:val="99"/>
                </w:rPr>
                <w:t>Entrepreneurship Incubator Management</w:t>
              </w:r>
            </w:hyperlink>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9"/>
        </w:trPr>
        <w:tc>
          <w:tcPr>
            <w:tcW w:w="920" w:type="dxa"/>
            <w:vAlign w:val="bottom"/>
          </w:tcPr>
          <w:p>
            <w:pPr>
              <w:spacing w:after="0"/>
              <w:rPr>
                <w:sz w:val="20"/>
                <w:szCs w:val="20"/>
                <w:color w:val="auto"/>
              </w:rPr>
            </w:pPr>
          </w:p>
        </w:tc>
        <w:tc>
          <w:tcPr>
            <w:tcW w:w="2900" w:type="dxa"/>
            <w:vAlign w:val="bottom"/>
            <w:tcBorders>
              <w:top w:val="single" w:sz="8" w:color="0000FF"/>
            </w:tcBorders>
            <w:gridSpan w:val="9"/>
          </w:tcPr>
          <w:p>
            <w:pPr>
              <w:spacing w:after="0"/>
              <w:rPr>
                <w:rFonts w:ascii="Arial" w:cs="Arial" w:eastAsia="Arial" w:hAnsi="Arial"/>
                <w:sz w:val="16"/>
                <w:szCs w:val="16"/>
                <w:color w:val="0000FF"/>
              </w:rPr>
            </w:pPr>
            <w:hyperlink r:id="rId167">
              <w:r>
                <w:rPr>
                  <w:rFonts w:ascii="Arial" w:cs="Arial" w:eastAsia="Arial" w:hAnsi="Arial"/>
                  <w:sz w:val="16"/>
                  <w:szCs w:val="16"/>
                  <w:color w:val="0000FF"/>
                </w:rPr>
                <w:t>Co., Ltd.</w:t>
              </w:r>
            </w:hyperlink>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9"/>
        </w:trPr>
        <w:tc>
          <w:tcPr>
            <w:tcW w:w="920" w:type="dxa"/>
            <w:vAlign w:val="bottom"/>
          </w:tcPr>
          <w:p>
            <w:pPr>
              <w:jc w:val="right"/>
              <w:ind w:right="520"/>
              <w:spacing w:after="0"/>
              <w:rPr>
                <w:sz w:val="20"/>
                <w:szCs w:val="20"/>
                <w:color w:val="auto"/>
              </w:rPr>
            </w:pPr>
            <w:r>
              <w:rPr>
                <w:rFonts w:ascii="Arial" w:cs="Arial" w:eastAsia="Arial" w:hAnsi="Arial"/>
                <w:sz w:val="16"/>
                <w:szCs w:val="16"/>
                <w:color w:val="auto"/>
                <w:w w:val="96"/>
              </w:rPr>
              <w:t>10.4</w:t>
            </w:r>
          </w:p>
        </w:tc>
        <w:tc>
          <w:tcPr>
            <w:tcW w:w="2780" w:type="dxa"/>
            <w:vAlign w:val="bottom"/>
            <w:tcBorders>
              <w:bottom w:val="single" w:sz="8" w:color="0000FF"/>
            </w:tcBorders>
            <w:gridSpan w:val="7"/>
          </w:tcPr>
          <w:p>
            <w:pPr>
              <w:spacing w:after="0"/>
              <w:rPr>
                <w:rFonts w:ascii="Arial" w:cs="Arial" w:eastAsia="Arial" w:hAnsi="Arial"/>
                <w:sz w:val="16"/>
                <w:szCs w:val="16"/>
                <w:color w:val="0000FF"/>
                <w:w w:val="99"/>
              </w:rPr>
            </w:pPr>
            <w:hyperlink r:id="rId168">
              <w:r>
                <w:rPr>
                  <w:rFonts w:ascii="Arial" w:cs="Arial" w:eastAsia="Arial" w:hAnsi="Arial"/>
                  <w:sz w:val="16"/>
                  <w:szCs w:val="16"/>
                  <w:color w:val="0000FF"/>
                  <w:w w:val="99"/>
                </w:rPr>
                <w:t>Sublease, dated June 29, 2023, by and</w:t>
              </w:r>
            </w:hyperlink>
          </w:p>
        </w:tc>
        <w:tc>
          <w:tcPr>
            <w:tcW w:w="140" w:type="dxa"/>
            <w:vAlign w:val="bottom"/>
            <w:gridSpan w:val="3"/>
          </w:tcPr>
          <w:p>
            <w:pPr>
              <w:spacing w:after="0"/>
              <w:rPr>
                <w:sz w:val="19"/>
                <w:szCs w:val="19"/>
                <w:color w:val="auto"/>
              </w:rPr>
            </w:pPr>
          </w:p>
        </w:tc>
        <w:tc>
          <w:tcPr>
            <w:tcW w:w="880" w:type="dxa"/>
            <w:vAlign w:val="bottom"/>
          </w:tcPr>
          <w:p>
            <w:pPr>
              <w:ind w:left="380"/>
              <w:spacing w:after="0"/>
              <w:rPr>
                <w:sz w:val="20"/>
                <w:szCs w:val="20"/>
                <w:color w:val="auto"/>
              </w:rPr>
            </w:pPr>
            <w:r>
              <w:rPr>
                <w:rFonts w:ascii="Arial" w:cs="Arial" w:eastAsia="Arial" w:hAnsi="Arial"/>
                <w:sz w:val="16"/>
                <w:szCs w:val="16"/>
                <w:color w:val="auto"/>
              </w:rPr>
              <w:t>8-K</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001-41608</w:t>
            </w:r>
          </w:p>
        </w:tc>
        <w:tc>
          <w:tcPr>
            <w:tcW w:w="760" w:type="dxa"/>
            <w:vAlign w:val="bottom"/>
          </w:tcPr>
          <w:p>
            <w:pPr>
              <w:jc w:val="right"/>
              <w:ind w:right="160"/>
              <w:spacing w:after="0"/>
              <w:rPr>
                <w:sz w:val="20"/>
                <w:szCs w:val="20"/>
                <w:color w:val="auto"/>
              </w:rPr>
            </w:pPr>
            <w:r>
              <w:rPr>
                <w:rFonts w:ascii="Arial" w:cs="Arial" w:eastAsia="Arial" w:hAnsi="Arial"/>
                <w:sz w:val="16"/>
                <w:szCs w:val="16"/>
                <w:color w:val="auto"/>
              </w:rPr>
              <w:t>10.3</w:t>
            </w:r>
          </w:p>
        </w:tc>
        <w:tc>
          <w:tcPr>
            <w:tcW w:w="1080" w:type="dxa"/>
            <w:vAlign w:val="bottom"/>
          </w:tcPr>
          <w:p>
            <w:pPr>
              <w:jc w:val="center"/>
              <w:ind w:left="140"/>
              <w:spacing w:after="0"/>
              <w:rPr>
                <w:sz w:val="20"/>
                <w:szCs w:val="20"/>
                <w:color w:val="auto"/>
              </w:rPr>
            </w:pPr>
            <w:r>
              <w:rPr>
                <w:rFonts w:ascii="Arial" w:cs="Arial" w:eastAsia="Arial" w:hAnsi="Arial"/>
                <w:sz w:val="16"/>
                <w:szCs w:val="16"/>
                <w:color w:val="auto"/>
                <w:w w:val="99"/>
              </w:rPr>
              <w:t>July 6, 2023</w:t>
            </w:r>
          </w:p>
        </w:tc>
      </w:tr>
      <w:tr>
        <w:trPr>
          <w:trHeight w:val="206"/>
        </w:trPr>
        <w:tc>
          <w:tcPr>
            <w:tcW w:w="920" w:type="dxa"/>
            <w:vAlign w:val="bottom"/>
          </w:tcPr>
          <w:p>
            <w:pPr>
              <w:spacing w:after="0"/>
              <w:rPr>
                <w:sz w:val="17"/>
                <w:szCs w:val="17"/>
                <w:color w:val="auto"/>
              </w:rPr>
            </w:pPr>
          </w:p>
        </w:tc>
        <w:tc>
          <w:tcPr>
            <w:tcW w:w="2920" w:type="dxa"/>
            <w:vAlign w:val="bottom"/>
            <w:tcBorders>
              <w:bottom w:val="single" w:sz="8" w:color="0000FF"/>
            </w:tcBorders>
            <w:gridSpan w:val="10"/>
          </w:tcPr>
          <w:p>
            <w:pPr>
              <w:spacing w:after="0"/>
              <w:rPr>
                <w:rFonts w:ascii="Arial" w:cs="Arial" w:eastAsia="Arial" w:hAnsi="Arial"/>
                <w:sz w:val="16"/>
                <w:szCs w:val="16"/>
                <w:color w:val="0000FF"/>
                <w:w w:val="98"/>
              </w:rPr>
            </w:pPr>
            <w:hyperlink r:id="rId168">
              <w:r>
                <w:rPr>
                  <w:rFonts w:ascii="Arial" w:cs="Arial" w:eastAsia="Arial" w:hAnsi="Arial"/>
                  <w:sz w:val="16"/>
                  <w:szCs w:val="16"/>
                  <w:color w:val="0000FF"/>
                  <w:w w:val="98"/>
                </w:rPr>
                <w:t>between Structure Therapeutics USA Inc.</w:t>
              </w:r>
            </w:hyperlink>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2"/>
        </w:trPr>
        <w:tc>
          <w:tcPr>
            <w:tcW w:w="920" w:type="dxa"/>
            <w:vAlign w:val="bottom"/>
          </w:tcPr>
          <w:p>
            <w:pPr>
              <w:spacing w:after="0"/>
              <w:rPr>
                <w:sz w:val="16"/>
                <w:szCs w:val="16"/>
                <w:color w:val="auto"/>
              </w:rPr>
            </w:pPr>
          </w:p>
        </w:tc>
        <w:tc>
          <w:tcPr>
            <w:tcW w:w="2060" w:type="dxa"/>
            <w:vAlign w:val="bottom"/>
            <w:tcBorders>
              <w:bottom w:val="single" w:sz="8" w:color="0000FF"/>
            </w:tcBorders>
            <w:gridSpan w:val="3"/>
          </w:tcPr>
          <w:p>
            <w:pPr>
              <w:spacing w:after="0"/>
              <w:rPr>
                <w:rFonts w:ascii="Arial" w:cs="Arial" w:eastAsia="Arial" w:hAnsi="Arial"/>
                <w:sz w:val="16"/>
                <w:szCs w:val="16"/>
                <w:color w:val="0000FF"/>
                <w:w w:val="98"/>
              </w:rPr>
            </w:pPr>
            <w:hyperlink r:id="rId168">
              <w:r>
                <w:rPr>
                  <w:rFonts w:ascii="Arial" w:cs="Arial" w:eastAsia="Arial" w:hAnsi="Arial"/>
                  <w:sz w:val="16"/>
                  <w:szCs w:val="16"/>
                  <w:color w:val="0000FF"/>
                  <w:w w:val="98"/>
                </w:rPr>
                <w:t>and Aligos Therapeutics, Inc.</w:t>
              </w:r>
            </w:hyperlink>
          </w:p>
        </w:tc>
        <w:tc>
          <w:tcPr>
            <w:tcW w:w="860" w:type="dxa"/>
            <w:vAlign w:val="bottom"/>
            <w:gridSpan w:val="7"/>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52"/>
        </w:trPr>
        <w:tc>
          <w:tcPr>
            <w:tcW w:w="920" w:type="dxa"/>
            <w:vAlign w:val="bottom"/>
          </w:tcPr>
          <w:p>
            <w:pPr>
              <w:jc w:val="right"/>
              <w:ind w:right="520"/>
              <w:spacing w:after="0"/>
              <w:rPr>
                <w:sz w:val="20"/>
                <w:szCs w:val="20"/>
                <w:color w:val="auto"/>
              </w:rPr>
            </w:pPr>
            <w:r>
              <w:rPr>
                <w:rFonts w:ascii="Arial" w:cs="Arial" w:eastAsia="Arial" w:hAnsi="Arial"/>
                <w:sz w:val="16"/>
                <w:szCs w:val="16"/>
                <w:color w:val="auto"/>
                <w:w w:val="96"/>
              </w:rPr>
              <w:t>10.5</w:t>
            </w:r>
          </w:p>
        </w:tc>
        <w:tc>
          <w:tcPr>
            <w:tcW w:w="2920" w:type="dxa"/>
            <w:vAlign w:val="bottom"/>
            <w:gridSpan w:val="10"/>
          </w:tcPr>
          <w:p>
            <w:pPr>
              <w:spacing w:after="0"/>
              <w:rPr>
                <w:rFonts w:ascii="Arial" w:cs="Arial" w:eastAsia="Arial" w:hAnsi="Arial"/>
                <w:sz w:val="16"/>
                <w:szCs w:val="16"/>
                <w:color w:val="0000FF"/>
              </w:rPr>
            </w:pPr>
            <w:hyperlink r:id="rId169">
              <w:r>
                <w:rPr>
                  <w:rFonts w:ascii="Arial" w:cs="Arial" w:eastAsia="Arial" w:hAnsi="Arial"/>
                  <w:sz w:val="16"/>
                  <w:szCs w:val="16"/>
                  <w:color w:val="0000FF"/>
                </w:rPr>
                <w:t>Non-employee Director Compensation</w:t>
              </w:r>
            </w:hyperlink>
          </w:p>
        </w:tc>
        <w:tc>
          <w:tcPr>
            <w:tcW w:w="880" w:type="dxa"/>
            <w:vAlign w:val="bottom"/>
          </w:tcPr>
          <w:p>
            <w:pPr>
              <w:ind w:left="380"/>
              <w:spacing w:after="0"/>
              <w:rPr>
                <w:sz w:val="20"/>
                <w:szCs w:val="20"/>
                <w:color w:val="auto"/>
              </w:rPr>
            </w:pPr>
            <w:r>
              <w:rPr>
                <w:rFonts w:ascii="Arial" w:cs="Arial" w:eastAsia="Arial" w:hAnsi="Arial"/>
                <w:sz w:val="16"/>
                <w:szCs w:val="16"/>
                <w:color w:val="auto"/>
              </w:rPr>
              <w:t>8-K</w:t>
            </w:r>
          </w:p>
        </w:tc>
        <w:tc>
          <w:tcPr>
            <w:tcW w:w="1260" w:type="dxa"/>
            <w:vAlign w:val="bottom"/>
          </w:tcPr>
          <w:p>
            <w:pPr>
              <w:jc w:val="right"/>
              <w:ind w:right="160"/>
              <w:spacing w:after="0"/>
              <w:rPr>
                <w:sz w:val="20"/>
                <w:szCs w:val="20"/>
                <w:color w:val="auto"/>
              </w:rPr>
            </w:pPr>
            <w:r>
              <w:rPr>
                <w:rFonts w:ascii="Arial" w:cs="Arial" w:eastAsia="Arial" w:hAnsi="Arial"/>
                <w:sz w:val="16"/>
                <w:szCs w:val="16"/>
                <w:color w:val="auto"/>
              </w:rPr>
              <w:t>001-41608</w:t>
            </w:r>
          </w:p>
        </w:tc>
        <w:tc>
          <w:tcPr>
            <w:tcW w:w="760" w:type="dxa"/>
            <w:vAlign w:val="bottom"/>
          </w:tcPr>
          <w:p>
            <w:pPr>
              <w:jc w:val="right"/>
              <w:ind w:right="160"/>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160"/>
              <w:spacing w:after="0"/>
              <w:rPr>
                <w:sz w:val="20"/>
                <w:szCs w:val="20"/>
                <w:color w:val="auto"/>
              </w:rPr>
            </w:pPr>
            <w:r>
              <w:rPr>
                <w:rFonts w:ascii="Arial" w:cs="Arial" w:eastAsia="Arial" w:hAnsi="Arial"/>
                <w:sz w:val="16"/>
                <w:szCs w:val="16"/>
                <w:color w:val="auto"/>
              </w:rPr>
              <w:t>August 4,</w:t>
            </w:r>
          </w:p>
        </w:tc>
      </w:tr>
      <w:tr>
        <w:trPr>
          <w:trHeight w:val="206"/>
        </w:trPr>
        <w:tc>
          <w:tcPr>
            <w:tcW w:w="920" w:type="dxa"/>
            <w:vAlign w:val="bottom"/>
          </w:tcPr>
          <w:p>
            <w:pPr>
              <w:spacing w:after="0"/>
              <w:rPr>
                <w:sz w:val="17"/>
                <w:szCs w:val="17"/>
                <w:color w:val="auto"/>
              </w:rPr>
            </w:pPr>
          </w:p>
        </w:tc>
        <w:tc>
          <w:tcPr>
            <w:tcW w:w="2700" w:type="dxa"/>
            <w:vAlign w:val="bottom"/>
            <w:tcBorders>
              <w:top w:val="single" w:sz="8" w:color="0000FF"/>
            </w:tcBorders>
            <w:gridSpan w:val="6"/>
          </w:tcPr>
          <w:p>
            <w:pPr>
              <w:spacing w:after="0"/>
              <w:rPr>
                <w:rFonts w:ascii="Arial" w:cs="Arial" w:eastAsia="Arial" w:hAnsi="Arial"/>
                <w:sz w:val="16"/>
                <w:szCs w:val="16"/>
                <w:color w:val="0000FF"/>
              </w:rPr>
            </w:pPr>
            <w:hyperlink r:id="rId169">
              <w:r>
                <w:rPr>
                  <w:rFonts w:ascii="Arial" w:cs="Arial" w:eastAsia="Arial" w:hAnsi="Arial"/>
                  <w:sz w:val="16"/>
                  <w:szCs w:val="16"/>
                  <w:color w:val="0000FF"/>
                </w:rPr>
                <w:t>Policy.</w:t>
              </w:r>
            </w:hyperlink>
          </w:p>
        </w:tc>
        <w:tc>
          <w:tcPr>
            <w:tcW w:w="22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jc w:val="center"/>
              <w:ind w:left="160"/>
              <w:spacing w:after="0"/>
              <w:rPr>
                <w:sz w:val="20"/>
                <w:szCs w:val="20"/>
                <w:color w:val="auto"/>
              </w:rPr>
            </w:pPr>
            <w:r>
              <w:rPr>
                <w:rFonts w:ascii="Arial" w:cs="Arial" w:eastAsia="Arial" w:hAnsi="Arial"/>
                <w:sz w:val="16"/>
                <w:szCs w:val="16"/>
                <w:color w:val="auto"/>
              </w:rPr>
              <w:t>2023</w:t>
            </w:r>
          </w:p>
        </w:tc>
      </w:tr>
      <w:tr>
        <w:trPr>
          <w:trHeight w:val="20"/>
        </w:trPr>
        <w:tc>
          <w:tcPr>
            <w:tcW w:w="9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5" w:name="page126"/>
    <w:bookmarkEnd w:id="125"/>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29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8"/>
              </w:rPr>
              <w:t>Certification of Principal Executive Officer</w:t>
            </w:r>
          </w:p>
        </w:tc>
        <w:tc>
          <w:tcPr>
            <w:tcW w:w="2280" w:type="dxa"/>
            <w:vAlign w:val="bottom"/>
          </w:tcPr>
          <w:p>
            <w:pPr>
              <w:spacing w:after="0"/>
              <w:rPr>
                <w:sz w:val="16"/>
                <w:szCs w:val="16"/>
                <w:color w:val="auto"/>
              </w:rPr>
            </w:pP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6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pursuant to Rules 13a-14(a) and 15d-</w:t>
            </w:r>
          </w:p>
        </w:tc>
        <w:tc>
          <w:tcPr>
            <w:tcW w:w="2540" w:type="dxa"/>
            <w:vAlign w:val="bottom"/>
            <w:gridSpan w:val="7"/>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8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8"/>
              </w:rPr>
              <w:t>14(a) under the Securities Exchange Act</w:t>
            </w:r>
          </w:p>
        </w:tc>
        <w:tc>
          <w:tcPr>
            <w:tcW w:w="2340" w:type="dxa"/>
            <w:vAlign w:val="bottom"/>
            <w:gridSpan w:val="3"/>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0000FF"/>
              </w:rPr>
              <w:t>of 1934, as adopted pursuant to Section</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82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w w:val="99"/>
              </w:rPr>
              <w:t>302 of the Sarbanes-Oxley Act of 2002.</w:t>
            </w:r>
          </w:p>
        </w:tc>
        <w:tc>
          <w:tcPr>
            <w:tcW w:w="2380" w:type="dxa"/>
            <w:vAlign w:val="bottom"/>
            <w:gridSpan w:val="4"/>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color w:val="auto"/>
              </w:rPr>
              <w:t>31.2</w:t>
            </w:r>
          </w:p>
        </w:tc>
        <w:tc>
          <w:tcPr>
            <w:tcW w:w="2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380" w:type="dxa"/>
            <w:vAlign w:val="bottom"/>
            <w:vMerge w:val="restart"/>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525"/>
        </w:trPr>
        <w:tc>
          <w:tcPr>
            <w:tcW w:w="920" w:type="dxa"/>
            <w:vAlign w:val="bottom"/>
            <w:vMerge w:val="continue"/>
          </w:tcPr>
          <w:p>
            <w:pPr>
              <w:spacing w:after="0"/>
              <w:rPr>
                <w:sz w:val="24"/>
                <w:szCs w:val="24"/>
                <w:color w:val="auto"/>
              </w:rPr>
            </w:pPr>
          </w:p>
        </w:tc>
        <w:tc>
          <w:tcPr>
            <w:tcW w:w="28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Certification of Principal Financial Officer</w:t>
            </w:r>
          </w:p>
        </w:tc>
        <w:tc>
          <w:tcPr>
            <w:tcW w:w="2320" w:type="dxa"/>
            <w:vAlign w:val="bottom"/>
            <w:gridSpan w:val="2"/>
          </w:tcPr>
          <w:p>
            <w:pPr>
              <w:spacing w:after="0"/>
              <w:rPr>
                <w:sz w:val="24"/>
                <w:szCs w:val="24"/>
                <w:color w:val="auto"/>
              </w:rPr>
            </w:pP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6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pursuant to Rules 13a-14(a) and 15d-</w:t>
            </w:r>
          </w:p>
        </w:tc>
        <w:tc>
          <w:tcPr>
            <w:tcW w:w="2540" w:type="dxa"/>
            <w:vAlign w:val="bottom"/>
            <w:gridSpan w:val="7"/>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8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8"/>
              </w:rPr>
              <w:t>14(a) under the Securities Exchange Act</w:t>
            </w:r>
          </w:p>
        </w:tc>
        <w:tc>
          <w:tcPr>
            <w:tcW w:w="2340" w:type="dxa"/>
            <w:vAlign w:val="bottom"/>
            <w:gridSpan w:val="3"/>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0000FF"/>
              </w:rPr>
              <w:t>of 1934, as adopted pursuant to Section</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820" w:type="dxa"/>
            <w:vAlign w:val="bottom"/>
            <w:tcBorders>
              <w:top w:val="single" w:sz="8" w:color="0000FF"/>
            </w:tcBorders>
            <w:gridSpan w:val="5"/>
          </w:tcPr>
          <w:p>
            <w:pPr>
              <w:spacing w:after="0"/>
              <w:rPr>
                <w:sz w:val="20"/>
                <w:szCs w:val="20"/>
                <w:color w:val="auto"/>
              </w:rPr>
            </w:pPr>
            <w:r>
              <w:rPr>
                <w:rFonts w:ascii="Arial" w:cs="Arial" w:eastAsia="Arial" w:hAnsi="Arial"/>
                <w:sz w:val="16"/>
                <w:szCs w:val="16"/>
                <w:color w:val="0000FF"/>
                <w:w w:val="99"/>
              </w:rPr>
              <w:t>302 of the Sarbanes-Oxley Act of 2002.</w:t>
            </w:r>
          </w:p>
        </w:tc>
        <w:tc>
          <w:tcPr>
            <w:tcW w:w="2380" w:type="dxa"/>
            <w:vAlign w:val="bottom"/>
            <w:gridSpan w:val="4"/>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color w:val="auto"/>
              </w:rPr>
              <w:t>32.1</w:t>
            </w:r>
            <w:r>
              <w:rPr>
                <w:rFonts w:ascii="Arial" w:cs="Arial" w:eastAsia="Arial" w:hAnsi="Arial"/>
                <w:sz w:val="31"/>
                <w:szCs w:val="31"/>
                <w:color w:val="auto"/>
                <w:vertAlign w:val="superscript"/>
              </w:rPr>
              <w:t>˄</w:t>
            </w:r>
          </w:p>
        </w:tc>
        <w:tc>
          <w:tcPr>
            <w:tcW w:w="20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380" w:type="dxa"/>
            <w:vAlign w:val="bottom"/>
            <w:vMerge w:val="restart"/>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line="20" w:lineRule="exact"/>
              <w:rPr>
                <w:sz w:val="1"/>
                <w:szCs w:val="1"/>
                <w:color w:val="auto"/>
              </w:rPr>
            </w:pPr>
          </w:p>
        </w:tc>
      </w:tr>
      <w:tr>
        <w:trPr>
          <w:trHeight w:val="498"/>
        </w:trPr>
        <w:tc>
          <w:tcPr>
            <w:tcW w:w="920" w:type="dxa"/>
            <w:vAlign w:val="bottom"/>
            <w:vMerge w:val="continue"/>
          </w:tcPr>
          <w:p>
            <w:pPr>
              <w:spacing w:after="0"/>
              <w:rPr>
                <w:sz w:val="24"/>
                <w:szCs w:val="24"/>
                <w:color w:val="auto"/>
              </w:rPr>
            </w:pPr>
          </w:p>
        </w:tc>
        <w:tc>
          <w:tcPr>
            <w:tcW w:w="292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8"/>
              </w:rPr>
              <w:t>Certification of Principal Executive Officer</w:t>
            </w:r>
          </w:p>
        </w:tc>
        <w:tc>
          <w:tcPr>
            <w:tcW w:w="22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20" w:type="dxa"/>
            <w:vAlign w:val="bottom"/>
            <w:vMerge w:val="continue"/>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0000FF"/>
              </w:rPr>
              <w:t>pursuant to 18 U.S.C. Section 1350, as</w:t>
            </w: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78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w w:val="99"/>
              </w:rPr>
              <w:t>adopted pursuant to Section 906 of the</w:t>
            </w:r>
          </w:p>
        </w:tc>
        <w:tc>
          <w:tcPr>
            <w:tcW w:w="2420" w:type="dxa"/>
            <w:vAlign w:val="bottom"/>
            <w:gridSpan w:val="5"/>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0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8"/>
              </w:rPr>
              <w:t>Sarbanes-Oxley Act of 2002.</w:t>
            </w:r>
          </w:p>
        </w:tc>
        <w:tc>
          <w:tcPr>
            <w:tcW w:w="700" w:type="dxa"/>
            <w:vAlign w:val="bottom"/>
            <w:tcBorders>
              <w:top w:val="single" w:sz="8" w:color="0000FF"/>
            </w:tcBorders>
            <w:gridSpan w:val="2"/>
          </w:tcPr>
          <w:p>
            <w:pPr>
              <w:spacing w:after="0"/>
              <w:rPr>
                <w:sz w:val="17"/>
                <w:szCs w:val="17"/>
                <w:color w:val="auto"/>
              </w:rPr>
            </w:pPr>
          </w:p>
        </w:tc>
        <w:tc>
          <w:tcPr>
            <w:tcW w:w="2460" w:type="dxa"/>
            <w:vAlign w:val="bottom"/>
            <w:gridSpan w:val="6"/>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920" w:type="dxa"/>
            <w:vAlign w:val="bottom"/>
            <w:vMerge w:val="restart"/>
          </w:tcPr>
          <w:p>
            <w:pPr>
              <w:spacing w:after="0"/>
              <w:rPr>
                <w:sz w:val="20"/>
                <w:szCs w:val="20"/>
                <w:color w:val="auto"/>
              </w:rPr>
            </w:pPr>
            <w:r>
              <w:rPr>
                <w:rFonts w:ascii="Arial" w:cs="Arial" w:eastAsia="Arial" w:hAnsi="Arial"/>
                <w:sz w:val="16"/>
                <w:szCs w:val="16"/>
                <w:color w:val="auto"/>
              </w:rPr>
              <w:t>32.2</w:t>
            </w:r>
            <w:r>
              <w:rPr>
                <w:rFonts w:ascii="Arial" w:cs="Arial" w:eastAsia="Arial" w:hAnsi="Arial"/>
                <w:sz w:val="31"/>
                <w:szCs w:val="31"/>
                <w:color w:val="auto"/>
                <w:vertAlign w:val="superscript"/>
              </w:rPr>
              <w:t>˄</w:t>
            </w:r>
          </w:p>
        </w:tc>
        <w:tc>
          <w:tcPr>
            <w:tcW w:w="288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9"/>
              </w:rPr>
              <w:t>Certification of Principal Financial Officer</w:t>
            </w:r>
          </w:p>
        </w:tc>
        <w:tc>
          <w:tcPr>
            <w:tcW w:w="2320" w:type="dxa"/>
            <w:vAlign w:val="bottom"/>
            <w:gridSpan w:val="2"/>
          </w:tcPr>
          <w:p>
            <w:pPr>
              <w:spacing w:after="0"/>
              <w:rPr>
                <w:sz w:val="24"/>
                <w:szCs w:val="24"/>
                <w:color w:val="auto"/>
              </w:rPr>
            </w:pPr>
          </w:p>
        </w:tc>
        <w:tc>
          <w:tcPr>
            <w:tcW w:w="2380" w:type="dxa"/>
            <w:vAlign w:val="bottom"/>
            <w:vMerge w:val="restart"/>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6"/>
        </w:trPr>
        <w:tc>
          <w:tcPr>
            <w:tcW w:w="920" w:type="dxa"/>
            <w:vAlign w:val="bottom"/>
            <w:vMerge w:val="continue"/>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0000FF"/>
              </w:rPr>
              <w:t>pursuant to 18 U.S.C. Section 1350, as</w:t>
            </w:r>
          </w:p>
        </w:tc>
        <w:tc>
          <w:tcPr>
            <w:tcW w:w="2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920" w:type="dxa"/>
            <w:vAlign w:val="bottom"/>
          </w:tcPr>
          <w:p>
            <w:pPr>
              <w:spacing w:after="0"/>
              <w:rPr>
                <w:sz w:val="16"/>
                <w:szCs w:val="16"/>
                <w:color w:val="auto"/>
              </w:rPr>
            </w:pPr>
          </w:p>
        </w:tc>
        <w:tc>
          <w:tcPr>
            <w:tcW w:w="278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w w:val="99"/>
              </w:rPr>
              <w:t>adopted pursuant to Section 906 of the</w:t>
            </w:r>
          </w:p>
        </w:tc>
        <w:tc>
          <w:tcPr>
            <w:tcW w:w="2420" w:type="dxa"/>
            <w:vAlign w:val="bottom"/>
            <w:gridSpan w:val="5"/>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20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8"/>
              </w:rPr>
              <w:t>Sarbanes-Oxley Act of 2002.</w:t>
            </w:r>
          </w:p>
        </w:tc>
        <w:tc>
          <w:tcPr>
            <w:tcW w:w="700" w:type="dxa"/>
            <w:vAlign w:val="bottom"/>
            <w:tcBorders>
              <w:top w:val="single" w:sz="8" w:color="0000FF"/>
            </w:tcBorders>
            <w:gridSpan w:val="2"/>
          </w:tcPr>
          <w:p>
            <w:pPr>
              <w:spacing w:after="0"/>
              <w:rPr>
                <w:sz w:val="17"/>
                <w:szCs w:val="17"/>
                <w:color w:val="auto"/>
              </w:rPr>
            </w:pPr>
          </w:p>
        </w:tc>
        <w:tc>
          <w:tcPr>
            <w:tcW w:w="2460" w:type="dxa"/>
            <w:vAlign w:val="bottom"/>
            <w:gridSpan w:val="6"/>
          </w:tcPr>
          <w:p>
            <w:pPr>
              <w:spacing w:after="0"/>
              <w:rPr>
                <w:sz w:val="17"/>
                <w:szCs w:val="17"/>
                <w:color w:val="auto"/>
              </w:rPr>
            </w:pP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920" w:type="dxa"/>
            <w:vAlign w:val="bottom"/>
          </w:tcPr>
          <w:p>
            <w:pPr>
              <w:spacing w:after="0"/>
              <w:rPr>
                <w:sz w:val="20"/>
                <w:szCs w:val="20"/>
                <w:color w:val="auto"/>
              </w:rPr>
            </w:pPr>
            <w:r>
              <w:rPr>
                <w:rFonts w:ascii="Arial" w:cs="Arial" w:eastAsia="Arial" w:hAnsi="Arial"/>
                <w:sz w:val="16"/>
                <w:szCs w:val="16"/>
                <w:color w:val="auto"/>
              </w:rPr>
              <w:t>101.INS</w:t>
            </w:r>
          </w:p>
        </w:tc>
        <w:tc>
          <w:tcPr>
            <w:tcW w:w="5200" w:type="dxa"/>
            <w:vAlign w:val="bottom"/>
            <w:gridSpan w:val="9"/>
          </w:tcPr>
          <w:p>
            <w:pPr>
              <w:spacing w:after="0"/>
              <w:rPr>
                <w:sz w:val="20"/>
                <w:szCs w:val="20"/>
                <w:color w:val="auto"/>
              </w:rPr>
            </w:pPr>
            <w:r>
              <w:rPr>
                <w:rFonts w:ascii="Arial" w:cs="Arial" w:eastAsia="Arial" w:hAnsi="Arial"/>
                <w:sz w:val="16"/>
                <w:szCs w:val="16"/>
                <w:color w:val="auto"/>
              </w:rPr>
              <w:t>Inline XBRL Instance Document</w:t>
            </w: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369"/>
        </w:trPr>
        <w:tc>
          <w:tcPr>
            <w:tcW w:w="920" w:type="dxa"/>
            <w:vAlign w:val="bottom"/>
          </w:tcPr>
          <w:p>
            <w:pPr>
              <w:spacing w:after="0"/>
              <w:rPr>
                <w:sz w:val="20"/>
                <w:szCs w:val="20"/>
                <w:color w:val="auto"/>
              </w:rPr>
            </w:pPr>
            <w:r>
              <w:rPr>
                <w:rFonts w:ascii="Arial" w:cs="Arial" w:eastAsia="Arial" w:hAnsi="Arial"/>
                <w:sz w:val="16"/>
                <w:szCs w:val="16"/>
                <w:color w:val="auto"/>
              </w:rPr>
              <w:t>101.SCH</w:t>
            </w:r>
          </w:p>
        </w:tc>
        <w:tc>
          <w:tcPr>
            <w:tcW w:w="5200" w:type="dxa"/>
            <w:vAlign w:val="bottom"/>
            <w:gridSpan w:val="9"/>
          </w:tcPr>
          <w:p>
            <w:pPr>
              <w:spacing w:after="0"/>
              <w:rPr>
                <w:sz w:val="20"/>
                <w:szCs w:val="20"/>
                <w:color w:val="auto"/>
              </w:rPr>
            </w:pPr>
            <w:r>
              <w:rPr>
                <w:rFonts w:ascii="Arial" w:cs="Arial" w:eastAsia="Arial" w:hAnsi="Arial"/>
                <w:sz w:val="16"/>
                <w:szCs w:val="16"/>
                <w:color w:val="auto"/>
              </w:rPr>
              <w:t>Inline XBRL Taxonomy Extension</w:t>
            </w: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auto"/>
              </w:rPr>
              <w:t>Schema Document</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0"/>
                <w:szCs w:val="20"/>
                <w:color w:val="auto"/>
              </w:rPr>
            </w:pPr>
            <w:r>
              <w:rPr>
                <w:rFonts w:ascii="Arial" w:cs="Arial" w:eastAsia="Arial" w:hAnsi="Arial"/>
                <w:sz w:val="16"/>
                <w:szCs w:val="16"/>
                <w:color w:val="auto"/>
              </w:rPr>
              <w:t>101.CAL</w:t>
            </w:r>
          </w:p>
        </w:tc>
        <w:tc>
          <w:tcPr>
            <w:tcW w:w="5200" w:type="dxa"/>
            <w:vAlign w:val="bottom"/>
            <w:gridSpan w:val="9"/>
          </w:tcPr>
          <w:p>
            <w:pPr>
              <w:spacing w:after="0"/>
              <w:rPr>
                <w:sz w:val="20"/>
                <w:szCs w:val="20"/>
                <w:color w:val="auto"/>
              </w:rPr>
            </w:pPr>
            <w:r>
              <w:rPr>
                <w:rFonts w:ascii="Arial" w:cs="Arial" w:eastAsia="Arial" w:hAnsi="Arial"/>
                <w:sz w:val="16"/>
                <w:szCs w:val="16"/>
                <w:color w:val="auto"/>
              </w:rPr>
              <w:t>Inline XBRL Taxonomy Extension</w:t>
            </w: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auto"/>
              </w:rPr>
              <w:t>Calculation Linkbase Document</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0"/>
                <w:szCs w:val="20"/>
                <w:color w:val="auto"/>
              </w:rPr>
            </w:pPr>
            <w:r>
              <w:rPr>
                <w:rFonts w:ascii="Arial" w:cs="Arial" w:eastAsia="Arial" w:hAnsi="Arial"/>
                <w:sz w:val="16"/>
                <w:szCs w:val="16"/>
                <w:color w:val="auto"/>
              </w:rPr>
              <w:t>101.DEF</w:t>
            </w:r>
          </w:p>
        </w:tc>
        <w:tc>
          <w:tcPr>
            <w:tcW w:w="5200" w:type="dxa"/>
            <w:vAlign w:val="bottom"/>
            <w:gridSpan w:val="9"/>
          </w:tcPr>
          <w:p>
            <w:pPr>
              <w:spacing w:after="0"/>
              <w:rPr>
                <w:sz w:val="20"/>
                <w:szCs w:val="20"/>
                <w:color w:val="auto"/>
              </w:rPr>
            </w:pPr>
            <w:r>
              <w:rPr>
                <w:rFonts w:ascii="Arial" w:cs="Arial" w:eastAsia="Arial" w:hAnsi="Arial"/>
                <w:sz w:val="16"/>
                <w:szCs w:val="16"/>
                <w:color w:val="auto"/>
              </w:rPr>
              <w:t>Inline XBRL Taxonomy Extension</w:t>
            </w: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auto"/>
              </w:rPr>
              <w:t>Definition Linkbase Document</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0"/>
                <w:szCs w:val="20"/>
                <w:color w:val="auto"/>
              </w:rPr>
            </w:pPr>
            <w:r>
              <w:rPr>
                <w:rFonts w:ascii="Arial" w:cs="Arial" w:eastAsia="Arial" w:hAnsi="Arial"/>
                <w:sz w:val="16"/>
                <w:szCs w:val="16"/>
                <w:color w:val="auto"/>
              </w:rPr>
              <w:t>101.LAB</w:t>
            </w:r>
          </w:p>
        </w:tc>
        <w:tc>
          <w:tcPr>
            <w:tcW w:w="5200" w:type="dxa"/>
            <w:vAlign w:val="bottom"/>
            <w:gridSpan w:val="9"/>
          </w:tcPr>
          <w:p>
            <w:pPr>
              <w:spacing w:after="0"/>
              <w:rPr>
                <w:sz w:val="20"/>
                <w:szCs w:val="20"/>
                <w:color w:val="auto"/>
              </w:rPr>
            </w:pPr>
            <w:r>
              <w:rPr>
                <w:rFonts w:ascii="Arial" w:cs="Arial" w:eastAsia="Arial" w:hAnsi="Arial"/>
                <w:sz w:val="16"/>
                <w:szCs w:val="16"/>
                <w:color w:val="auto"/>
              </w:rPr>
              <w:t>Inline XBRL Taxonomy Extension Labels</w:t>
            </w: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auto"/>
              </w:rPr>
              <w:t>Linkbase Document</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0"/>
                <w:szCs w:val="20"/>
                <w:color w:val="auto"/>
              </w:rPr>
            </w:pPr>
            <w:r>
              <w:rPr>
                <w:rFonts w:ascii="Arial" w:cs="Arial" w:eastAsia="Arial" w:hAnsi="Arial"/>
                <w:sz w:val="16"/>
                <w:szCs w:val="16"/>
                <w:color w:val="auto"/>
              </w:rPr>
              <w:t>101.PRE</w:t>
            </w:r>
          </w:p>
        </w:tc>
        <w:tc>
          <w:tcPr>
            <w:tcW w:w="5200" w:type="dxa"/>
            <w:vAlign w:val="bottom"/>
            <w:gridSpan w:val="9"/>
          </w:tcPr>
          <w:p>
            <w:pPr>
              <w:spacing w:after="0"/>
              <w:rPr>
                <w:sz w:val="20"/>
                <w:szCs w:val="20"/>
                <w:color w:val="auto"/>
              </w:rPr>
            </w:pPr>
            <w:r>
              <w:rPr>
                <w:rFonts w:ascii="Arial" w:cs="Arial" w:eastAsia="Arial" w:hAnsi="Arial"/>
                <w:sz w:val="16"/>
                <w:szCs w:val="16"/>
                <w:color w:val="auto"/>
              </w:rPr>
              <w:t>Inline XBRL Taxonomy Extension</w:t>
            </w: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auto"/>
              </w:rPr>
              <w:t>Presentation Linkbase Document</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920" w:type="dxa"/>
            <w:vAlign w:val="bottom"/>
          </w:tcPr>
          <w:p>
            <w:pPr>
              <w:spacing w:after="0"/>
              <w:rPr>
                <w:sz w:val="20"/>
                <w:szCs w:val="20"/>
                <w:color w:val="auto"/>
              </w:rPr>
            </w:pPr>
            <w:r>
              <w:rPr>
                <w:rFonts w:ascii="Arial" w:cs="Arial" w:eastAsia="Arial" w:hAnsi="Arial"/>
                <w:sz w:val="16"/>
                <w:szCs w:val="16"/>
                <w:color w:val="auto"/>
              </w:rPr>
              <w:t>104</w:t>
            </w:r>
          </w:p>
        </w:tc>
        <w:tc>
          <w:tcPr>
            <w:tcW w:w="5200" w:type="dxa"/>
            <w:vAlign w:val="bottom"/>
            <w:gridSpan w:val="9"/>
          </w:tcPr>
          <w:p>
            <w:pPr>
              <w:spacing w:after="0"/>
              <w:rPr>
                <w:sz w:val="20"/>
                <w:szCs w:val="20"/>
                <w:color w:val="auto"/>
              </w:rPr>
            </w:pPr>
            <w:r>
              <w:rPr>
                <w:rFonts w:ascii="Arial" w:cs="Arial" w:eastAsia="Arial" w:hAnsi="Arial"/>
                <w:sz w:val="16"/>
                <w:szCs w:val="16"/>
                <w:color w:val="auto"/>
              </w:rPr>
              <w:t>Cover Page Interactive Data File</w:t>
            </w:r>
          </w:p>
        </w:tc>
        <w:tc>
          <w:tcPr>
            <w:tcW w:w="2380" w:type="dxa"/>
            <w:vAlign w:val="bottom"/>
          </w:tcPr>
          <w:p>
            <w:pPr>
              <w:ind w:left="22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auto"/>
              </w:rPr>
              <w:t>(embedded within the Inline XBRL</w:t>
            </w: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rPr>
                <w:sz w:val="17"/>
                <w:szCs w:val="17"/>
                <w:color w:val="auto"/>
              </w:rPr>
            </w:pPr>
          </w:p>
        </w:tc>
        <w:tc>
          <w:tcPr>
            <w:tcW w:w="520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45720</wp:posOffset>
            </wp:positionV>
            <wp:extent cx="1408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1408430" cy="8255"/>
                    </a:xfrm>
                    <a:prstGeom prst="rect">
                      <a:avLst/>
                    </a:prstGeom>
                    <a:noFill/>
                  </pic:spPr>
                </pic:pic>
              </a:graphicData>
            </a:graphic>
          </wp:anchor>
        </w:drawing>
      </w:r>
    </w:p>
    <w:p>
      <w:pPr>
        <w:spacing w:after="0" w:line="206" w:lineRule="exact"/>
        <w:rPr>
          <w:sz w:val="20"/>
          <w:szCs w:val="20"/>
          <w:color w:val="auto"/>
        </w:rPr>
      </w:pPr>
    </w:p>
    <w:p>
      <w:pPr>
        <w:ind w:left="40" w:right="219" w:firstLine="9"/>
        <w:spacing w:after="0" w:line="185" w:lineRule="auto"/>
        <w:tabs>
          <w:tab w:leader="none" w:pos="280" w:val="left"/>
        </w:tabs>
        <w:numPr>
          <w:ilvl w:val="0"/>
          <w:numId w:val="47"/>
        </w:numPr>
        <w:rPr>
          <w:rFonts w:ascii="Arial" w:cs="Arial" w:eastAsia="Arial" w:hAnsi="Arial"/>
          <w:sz w:val="28"/>
          <w:szCs w:val="28"/>
          <w:color w:val="auto"/>
          <w:vertAlign w:val="superscript"/>
        </w:rPr>
      </w:pPr>
      <w:r>
        <w:rPr>
          <w:rFonts w:ascii="Arial" w:cs="Arial" w:eastAsia="Arial" w:hAnsi="Arial"/>
          <w:sz w:val="14"/>
          <w:szCs w:val="14"/>
          <w:color w:val="auto"/>
        </w:rPr>
        <w:t>The certifications attached as Exhibits 32.1 and 32.2 accompanying this Quarterly Report on Form 10-Q are not deemed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6" w:name="page127"/>
    <w:bookmarkEnd w:id="126"/>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5" w:lineRule="exact"/>
        <w:rPr>
          <w:sz w:val="20"/>
          <w:szCs w:val="20"/>
          <w:color w:val="auto"/>
        </w:rPr>
      </w:pPr>
    </w:p>
    <w:p>
      <w:pPr>
        <w:ind w:left="40" w:right="99"/>
        <w:spacing w:after="0" w:line="25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16, 2023</w:t>
      </w:r>
    </w:p>
    <w:p>
      <w:pPr>
        <w:spacing w:after="0" w:line="20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STRUCTURE</w:t>
      </w:r>
    </w:p>
    <w:p>
      <w:pPr>
        <w:spacing w:after="0" w:line="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THERAPEUTICS INC.</w:t>
      </w:r>
    </w:p>
    <w:p>
      <w:pPr>
        <w:spacing w:after="0" w:line="86" w:lineRule="exact"/>
        <w:rPr>
          <w:sz w:val="20"/>
          <w:szCs w:val="20"/>
          <w:color w:val="auto"/>
        </w:rPr>
      </w:pPr>
    </w:p>
    <w:p>
      <w:pPr>
        <w:ind w:left="4440"/>
        <w:spacing w:after="0"/>
        <w:tabs>
          <w:tab w:leader="none" w:pos="4880" w:val="left"/>
        </w:tabs>
        <w:rPr>
          <w:sz w:val="20"/>
          <w:szCs w:val="20"/>
          <w:color w:val="auto"/>
        </w:rPr>
      </w:pPr>
      <w:r>
        <w:rPr>
          <w:rFonts w:ascii="Arial" w:cs="Arial" w:eastAsia="Arial" w:hAnsi="Arial"/>
          <w:sz w:val="18"/>
          <w:szCs w:val="18"/>
          <w:color w:val="auto"/>
        </w:rPr>
        <w:t>By:</w:t>
        <w:tab/>
        <w:t>/s/ Raymond</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Stevens,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62865</wp:posOffset>
            </wp:positionV>
            <wp:extent cx="11639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8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Raymond Stevens,</w:t>
      </w:r>
    </w:p>
    <w:p>
      <w:pPr>
        <w:ind w:left="4900"/>
        <w:spacing w:after="0" w:line="235" w:lineRule="auto"/>
        <w:rPr>
          <w:sz w:val="20"/>
          <w:szCs w:val="20"/>
          <w:color w:val="auto"/>
        </w:rPr>
      </w:pPr>
      <w:r>
        <w:rPr>
          <w:rFonts w:ascii="Arial" w:cs="Arial" w:eastAsia="Arial" w:hAnsi="Arial"/>
          <w:sz w:val="18"/>
          <w:szCs w:val="18"/>
          <w:color w:val="auto"/>
        </w:rPr>
        <w:t>Ph.D.</w:t>
      </w:r>
    </w:p>
    <w:p>
      <w:pPr>
        <w:ind w:left="4900"/>
        <w:spacing w:after="0" w:line="231" w:lineRule="auto"/>
        <w:rPr>
          <w:sz w:val="20"/>
          <w:szCs w:val="20"/>
          <w:color w:val="auto"/>
        </w:rPr>
      </w:pPr>
      <w:r>
        <w:rPr>
          <w:rFonts w:ascii="Arial" w:cs="Arial" w:eastAsia="Arial" w:hAnsi="Arial"/>
          <w:sz w:val="18"/>
          <w:szCs w:val="18"/>
          <w:i w:val="1"/>
          <w:iCs w:val="1"/>
          <w:color w:val="auto"/>
        </w:rPr>
        <w:t>Chief Executive</w:t>
      </w:r>
    </w:p>
    <w:p>
      <w:pPr>
        <w:ind w:left="4900"/>
        <w:spacing w:after="0" w:line="231" w:lineRule="auto"/>
        <w:rPr>
          <w:sz w:val="20"/>
          <w:szCs w:val="20"/>
          <w:color w:val="auto"/>
        </w:rPr>
      </w:pPr>
      <w:r>
        <w:rPr>
          <w:rFonts w:ascii="Arial" w:cs="Arial" w:eastAsia="Arial" w:hAnsi="Arial"/>
          <w:sz w:val="18"/>
          <w:szCs w:val="18"/>
          <w:i w:val="1"/>
          <w:iCs w:val="1"/>
          <w:color w:val="auto"/>
        </w:rPr>
        <w:t>Officer</w:t>
      </w:r>
    </w:p>
    <w:p>
      <w:pPr>
        <w:ind w:left="4900"/>
        <w:spacing w:after="0" w:line="231" w:lineRule="auto"/>
        <w:rPr>
          <w:sz w:val="20"/>
          <w:szCs w:val="20"/>
          <w:color w:val="auto"/>
        </w:rPr>
      </w:pPr>
      <w:r>
        <w:rPr>
          <w:rFonts w:ascii="Arial" w:cs="Arial" w:eastAsia="Arial" w:hAnsi="Arial"/>
          <w:sz w:val="18"/>
          <w:szCs w:val="18"/>
          <w:i w:val="1"/>
          <w:iCs w:val="1"/>
          <w:color w:val="auto"/>
        </w:rPr>
        <w:t>(Principal Executive</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Officer)</w:t>
      </w:r>
    </w:p>
    <w:p>
      <w:pPr>
        <w:spacing w:after="0" w:line="179" w:lineRule="exact"/>
        <w:rPr>
          <w:sz w:val="20"/>
          <w:szCs w:val="20"/>
          <w:color w:val="auto"/>
        </w:rPr>
      </w:pPr>
    </w:p>
    <w:p>
      <w:pPr>
        <w:ind w:left="4440"/>
        <w:spacing w:after="0"/>
        <w:tabs>
          <w:tab w:leader="none" w:pos="4880" w:val="left"/>
        </w:tabs>
        <w:rPr>
          <w:sz w:val="20"/>
          <w:szCs w:val="20"/>
          <w:color w:val="auto"/>
        </w:rPr>
      </w:pPr>
      <w:r>
        <w:rPr>
          <w:rFonts w:ascii="Arial" w:cs="Arial" w:eastAsia="Arial" w:hAnsi="Arial"/>
          <w:sz w:val="18"/>
          <w:szCs w:val="18"/>
          <w:color w:val="auto"/>
        </w:rPr>
        <w:t>By:</w:t>
        <w:tab/>
        <w:t>/s/ Jun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70485</wp:posOffset>
            </wp:positionV>
            <wp:extent cx="11639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9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Jun Yoon</w:t>
      </w:r>
    </w:p>
    <w:p>
      <w:pPr>
        <w:ind w:left="4900"/>
        <w:spacing w:after="0" w:line="235" w:lineRule="auto"/>
        <w:rPr>
          <w:sz w:val="20"/>
          <w:szCs w:val="20"/>
          <w:color w:val="auto"/>
        </w:rPr>
      </w:pPr>
      <w:r>
        <w:rPr>
          <w:rFonts w:ascii="Arial" w:cs="Arial" w:eastAsia="Arial" w:hAnsi="Arial"/>
          <w:sz w:val="18"/>
          <w:szCs w:val="18"/>
          <w:i w:val="1"/>
          <w:iCs w:val="1"/>
          <w:color w:val="auto"/>
        </w:rPr>
        <w:t>Chief Financial</w:t>
      </w:r>
    </w:p>
    <w:p>
      <w:pPr>
        <w:ind w:left="4900"/>
        <w:spacing w:after="0" w:line="231" w:lineRule="auto"/>
        <w:rPr>
          <w:sz w:val="20"/>
          <w:szCs w:val="20"/>
          <w:color w:val="auto"/>
        </w:rPr>
      </w:pPr>
      <w:r>
        <w:rPr>
          <w:rFonts w:ascii="Arial" w:cs="Arial" w:eastAsia="Arial" w:hAnsi="Arial"/>
          <w:sz w:val="18"/>
          <w:szCs w:val="18"/>
          <w:i w:val="1"/>
          <w:iCs w:val="1"/>
          <w:color w:val="auto"/>
        </w:rPr>
        <w:t>Officer</w:t>
      </w:r>
    </w:p>
    <w:p>
      <w:pPr>
        <w:ind w:left="4900"/>
        <w:spacing w:after="0" w:line="231" w:lineRule="auto"/>
        <w:rPr>
          <w:sz w:val="20"/>
          <w:szCs w:val="20"/>
          <w:color w:val="auto"/>
        </w:rPr>
      </w:pPr>
      <w:r>
        <w:rPr>
          <w:rFonts w:ascii="Arial" w:cs="Arial" w:eastAsia="Arial" w:hAnsi="Arial"/>
          <w:sz w:val="18"/>
          <w:szCs w:val="18"/>
          <w:i w:val="1"/>
          <w:iCs w:val="1"/>
          <w:color w:val="auto"/>
        </w:rPr>
        <w:t>(Principal Financial</w:t>
      </w:r>
    </w:p>
    <w:p>
      <w:pPr>
        <w:ind w:left="4900"/>
        <w:spacing w:after="0" w:line="231" w:lineRule="auto"/>
        <w:rPr>
          <w:sz w:val="20"/>
          <w:szCs w:val="20"/>
          <w:color w:val="auto"/>
        </w:rPr>
      </w:pPr>
      <w:r>
        <w:rPr>
          <w:rFonts w:ascii="Arial" w:cs="Arial" w:eastAsia="Arial" w:hAnsi="Arial"/>
          <w:sz w:val="18"/>
          <w:szCs w:val="18"/>
          <w:i w:val="1"/>
          <w:iCs w:val="1"/>
          <w:color w:val="auto"/>
        </w:rPr>
        <w:t>and Accounting</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340360</wp:posOffset>
            </wp:positionV>
            <wp:extent cx="565023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565023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7" w:name="page128"/>
    <w:bookmarkEnd w:id="127"/>
    <w:p>
      <w:pPr>
        <w:jc w:val="right"/>
        <w:ind w:right="259"/>
        <w:spacing w:after="0"/>
        <w:rPr>
          <w:sz w:val="20"/>
          <w:szCs w:val="20"/>
          <w:color w:val="auto"/>
        </w:rPr>
      </w:pPr>
      <w:r>
        <w:rPr>
          <w:rFonts w:ascii="Arial" w:cs="Arial" w:eastAsia="Arial" w:hAnsi="Arial"/>
          <w:sz w:val="18"/>
          <w:szCs w:val="18"/>
          <w:b w:val="1"/>
          <w:bCs w:val="1"/>
          <w:color w:val="auto"/>
        </w:rPr>
        <w:t>Exhibit 31.1</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960" w:right="979" w:firstLine="62"/>
        <w:spacing w:after="0" w:line="281"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Raymond Stevens, Ph.D., certify that:</w:t>
      </w:r>
    </w:p>
    <w:p>
      <w:pPr>
        <w:spacing w:after="0" w:line="218" w:lineRule="exact"/>
        <w:rPr>
          <w:sz w:val="20"/>
          <w:szCs w:val="20"/>
          <w:color w:val="auto"/>
        </w:rPr>
      </w:pPr>
    </w:p>
    <w:p>
      <w:pPr>
        <w:ind w:left="660" w:hanging="415"/>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Structure Therapeutics Inc.;</w:t>
      </w:r>
    </w:p>
    <w:p>
      <w:pPr>
        <w:spacing w:after="0" w:line="218" w:lineRule="exact"/>
        <w:rPr>
          <w:rFonts w:ascii="Arial" w:cs="Arial" w:eastAsia="Arial" w:hAnsi="Arial"/>
          <w:sz w:val="18"/>
          <w:szCs w:val="18"/>
          <w:color w:val="auto"/>
        </w:rPr>
      </w:pPr>
    </w:p>
    <w:p>
      <w:pPr>
        <w:ind w:left="660" w:right="459" w:hanging="415"/>
        <w:spacing w:after="0" w:line="27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7"/>
          <w:szCs w:val="17"/>
          <w:color w:val="auto"/>
        </w:rPr>
      </w:pPr>
    </w:p>
    <w:p>
      <w:pPr>
        <w:ind w:left="660" w:right="339" w:hanging="415"/>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8"/>
          <w:szCs w:val="18"/>
          <w:color w:val="auto"/>
        </w:rPr>
      </w:pPr>
    </w:p>
    <w:p>
      <w:pPr>
        <w:ind w:left="660" w:right="379" w:hanging="415"/>
        <w:spacing w:after="0" w:line="366" w:lineRule="auto"/>
        <w:tabs>
          <w:tab w:leader="none" w:pos="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11" w:lineRule="exact"/>
        <w:rPr>
          <w:rFonts w:ascii="Arial" w:cs="Arial" w:eastAsia="Arial" w:hAnsi="Arial"/>
          <w:sz w:val="15"/>
          <w:szCs w:val="15"/>
          <w:color w:val="auto"/>
        </w:rPr>
      </w:pPr>
    </w:p>
    <w:p>
      <w:pPr>
        <w:ind w:left="1100" w:right="279" w:hanging="430"/>
        <w:spacing w:after="0" w:line="252" w:lineRule="auto"/>
        <w:tabs>
          <w:tab w:leader="none" w:pos="11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8"/>
          <w:szCs w:val="18"/>
          <w:color w:val="auto"/>
        </w:rPr>
      </w:pPr>
    </w:p>
    <w:p>
      <w:pPr>
        <w:ind w:left="1100" w:hanging="430"/>
        <w:spacing w:after="0"/>
        <w:tabs>
          <w:tab w:leader="none" w:pos="11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[omitted];</w:t>
      </w:r>
    </w:p>
    <w:p>
      <w:pPr>
        <w:spacing w:after="0" w:line="218" w:lineRule="exact"/>
        <w:rPr>
          <w:rFonts w:ascii="Arial" w:cs="Arial" w:eastAsia="Arial" w:hAnsi="Arial"/>
          <w:sz w:val="18"/>
          <w:szCs w:val="18"/>
          <w:color w:val="auto"/>
        </w:rPr>
      </w:pPr>
    </w:p>
    <w:p>
      <w:pPr>
        <w:ind w:left="1100" w:right="299" w:hanging="430"/>
        <w:spacing w:after="0" w:line="256" w:lineRule="auto"/>
        <w:tabs>
          <w:tab w:leader="none" w:pos="11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8"/>
          <w:szCs w:val="18"/>
          <w:color w:val="auto"/>
        </w:rPr>
      </w:pPr>
    </w:p>
    <w:p>
      <w:pPr>
        <w:ind w:left="1100" w:right="359" w:hanging="430"/>
        <w:spacing w:after="0" w:line="252" w:lineRule="auto"/>
        <w:tabs>
          <w:tab w:leader="none" w:pos="11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8"/>
          <w:szCs w:val="18"/>
          <w:color w:val="auto"/>
        </w:rPr>
      </w:pPr>
    </w:p>
    <w:p>
      <w:pPr>
        <w:jc w:val="both"/>
        <w:ind w:left="660" w:right="519" w:hanging="415"/>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8"/>
          <w:szCs w:val="18"/>
          <w:color w:val="auto"/>
        </w:rPr>
      </w:pPr>
    </w:p>
    <w:p>
      <w:pPr>
        <w:ind w:left="1100" w:right="359" w:hanging="430"/>
        <w:spacing w:after="0" w:line="256" w:lineRule="auto"/>
        <w:tabs>
          <w:tab w:leader="none" w:pos="11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8"/>
          <w:szCs w:val="18"/>
          <w:color w:val="auto"/>
        </w:rPr>
      </w:pPr>
    </w:p>
    <w:p>
      <w:pPr>
        <w:ind w:left="1100" w:right="459" w:hanging="430"/>
        <w:spacing w:after="0" w:line="265" w:lineRule="auto"/>
        <w:tabs>
          <w:tab w:leader="none" w:pos="11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40"/>
        <w:spacing w:after="0"/>
        <w:tabs>
          <w:tab w:leader="none" w:pos="4520" w:val="left"/>
          <w:tab w:leader="none" w:pos="6020" w:val="left"/>
        </w:tabs>
        <w:rPr>
          <w:sz w:val="20"/>
          <w:szCs w:val="20"/>
          <w:color w:val="auto"/>
        </w:rPr>
      </w:pPr>
      <w:r>
        <w:rPr>
          <w:rFonts w:ascii="Arial" w:cs="Arial" w:eastAsia="Arial" w:hAnsi="Arial"/>
          <w:sz w:val="18"/>
          <w:szCs w:val="18"/>
          <w:color w:val="auto"/>
        </w:rPr>
        <w:t>Date: November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Raymond Stevens</w:t>
      </w:r>
    </w:p>
    <w:p>
      <w:pPr>
        <w:spacing w:after="0" w:line="17"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Raymond Stevens,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-130175</wp:posOffset>
            </wp:positionV>
            <wp:extent cx="25133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jc w:val="center"/>
        <w:ind w:left="454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476250</wp:posOffset>
            </wp:positionV>
            <wp:extent cx="541401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54140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8" w:name="page129"/>
    <w:bookmarkEnd w:id="128"/>
    <w:p>
      <w:pPr>
        <w:jc w:val="right"/>
        <w:ind w:right="259"/>
        <w:spacing w:after="0"/>
        <w:rPr>
          <w:sz w:val="20"/>
          <w:szCs w:val="20"/>
          <w:color w:val="auto"/>
        </w:rPr>
      </w:pPr>
      <w:r>
        <w:rPr>
          <w:rFonts w:ascii="Arial" w:cs="Arial" w:eastAsia="Arial" w:hAnsi="Arial"/>
          <w:sz w:val="18"/>
          <w:szCs w:val="18"/>
          <w:b w:val="1"/>
          <w:bCs w:val="1"/>
          <w:color w:val="auto"/>
        </w:rPr>
        <w:t>Exhibit 31.2</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960" w:right="979" w:firstLine="62"/>
        <w:spacing w:after="0" w:line="281"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Jun Yoon, certify that:</w:t>
      </w:r>
    </w:p>
    <w:p>
      <w:pPr>
        <w:spacing w:after="0" w:line="218" w:lineRule="exact"/>
        <w:rPr>
          <w:sz w:val="20"/>
          <w:szCs w:val="20"/>
          <w:color w:val="auto"/>
        </w:rPr>
      </w:pPr>
    </w:p>
    <w:p>
      <w:pPr>
        <w:ind w:left="660" w:hanging="415"/>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Structure Therapeutics Inc.;</w:t>
      </w:r>
    </w:p>
    <w:p>
      <w:pPr>
        <w:spacing w:after="0" w:line="217" w:lineRule="exact"/>
        <w:rPr>
          <w:rFonts w:ascii="Arial" w:cs="Arial" w:eastAsia="Arial" w:hAnsi="Arial"/>
          <w:sz w:val="18"/>
          <w:szCs w:val="18"/>
          <w:color w:val="auto"/>
        </w:rPr>
      </w:pPr>
    </w:p>
    <w:p>
      <w:pPr>
        <w:ind w:left="660" w:right="459" w:hanging="415"/>
        <w:spacing w:after="0" w:line="27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7"/>
          <w:szCs w:val="17"/>
          <w:color w:val="auto"/>
        </w:rPr>
      </w:pPr>
    </w:p>
    <w:p>
      <w:pPr>
        <w:ind w:left="660" w:right="339" w:hanging="415"/>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8"/>
          <w:szCs w:val="18"/>
          <w:color w:val="auto"/>
        </w:rPr>
      </w:pPr>
    </w:p>
    <w:p>
      <w:pPr>
        <w:ind w:left="660" w:right="379" w:hanging="415"/>
        <w:spacing w:after="0" w:line="366"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11" w:lineRule="exact"/>
        <w:rPr>
          <w:rFonts w:ascii="Arial" w:cs="Arial" w:eastAsia="Arial" w:hAnsi="Arial"/>
          <w:sz w:val="15"/>
          <w:szCs w:val="15"/>
          <w:color w:val="auto"/>
        </w:rPr>
      </w:pPr>
    </w:p>
    <w:p>
      <w:pPr>
        <w:ind w:left="1100" w:right="279" w:hanging="430"/>
        <w:spacing w:after="0" w:line="252" w:lineRule="auto"/>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8"/>
          <w:szCs w:val="18"/>
          <w:color w:val="auto"/>
        </w:rPr>
      </w:pPr>
    </w:p>
    <w:p>
      <w:pPr>
        <w:ind w:left="1100" w:hanging="430"/>
        <w:spacing w:after="0"/>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[omitted];</w:t>
      </w:r>
    </w:p>
    <w:p>
      <w:pPr>
        <w:spacing w:after="0" w:line="218" w:lineRule="exact"/>
        <w:rPr>
          <w:rFonts w:ascii="Arial" w:cs="Arial" w:eastAsia="Arial" w:hAnsi="Arial"/>
          <w:sz w:val="18"/>
          <w:szCs w:val="18"/>
          <w:color w:val="auto"/>
        </w:rPr>
      </w:pPr>
    </w:p>
    <w:p>
      <w:pPr>
        <w:ind w:left="1100" w:right="299" w:hanging="430"/>
        <w:spacing w:after="0" w:line="256" w:lineRule="auto"/>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Arial" w:cs="Arial" w:eastAsia="Arial" w:hAnsi="Arial"/>
          <w:sz w:val="18"/>
          <w:szCs w:val="18"/>
          <w:color w:val="auto"/>
        </w:rPr>
      </w:pPr>
    </w:p>
    <w:p>
      <w:pPr>
        <w:ind w:left="1100" w:right="359" w:hanging="430"/>
        <w:spacing w:after="0" w:line="252" w:lineRule="auto"/>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8"/>
          <w:szCs w:val="18"/>
          <w:color w:val="auto"/>
        </w:rPr>
      </w:pPr>
    </w:p>
    <w:p>
      <w:pPr>
        <w:jc w:val="both"/>
        <w:ind w:left="660" w:right="519" w:hanging="415"/>
        <w:spacing w:after="0" w:line="256"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8"/>
          <w:szCs w:val="18"/>
          <w:color w:val="auto"/>
        </w:rPr>
      </w:pPr>
    </w:p>
    <w:p>
      <w:pPr>
        <w:ind w:left="1100" w:right="359" w:hanging="430"/>
        <w:spacing w:after="0" w:line="256" w:lineRule="auto"/>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8"/>
          <w:szCs w:val="18"/>
          <w:color w:val="auto"/>
        </w:rPr>
      </w:pPr>
    </w:p>
    <w:p>
      <w:pPr>
        <w:ind w:left="1100" w:right="459" w:hanging="430"/>
        <w:spacing w:after="0" w:line="265" w:lineRule="auto"/>
        <w:tabs>
          <w:tab w:leader="none" w:pos="11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40"/>
        <w:spacing w:after="0"/>
        <w:tabs>
          <w:tab w:leader="none" w:pos="4520" w:val="left"/>
          <w:tab w:leader="none" w:pos="6320" w:val="left"/>
        </w:tabs>
        <w:rPr>
          <w:sz w:val="20"/>
          <w:szCs w:val="20"/>
          <w:color w:val="auto"/>
        </w:rPr>
      </w:pPr>
      <w:r>
        <w:rPr>
          <w:rFonts w:ascii="Arial" w:cs="Arial" w:eastAsia="Arial" w:hAnsi="Arial"/>
          <w:sz w:val="18"/>
          <w:szCs w:val="18"/>
          <w:color w:val="auto"/>
        </w:rPr>
        <w:t>Date: November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Jun Yoon</w:t>
      </w:r>
    </w:p>
    <w:p>
      <w:pPr>
        <w:spacing w:after="0" w:line="17"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Jun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-130175</wp:posOffset>
            </wp:positionV>
            <wp:extent cx="25133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2513330" cy="8255"/>
                    </a:xfrm>
                    <a:prstGeom prst="rect">
                      <a:avLst/>
                    </a:prstGeom>
                    <a:noFill/>
                  </pic:spPr>
                </pic:pic>
              </a:graphicData>
            </a:graphic>
          </wp:anchor>
        </w:drawing>
      </w:r>
    </w:p>
    <w:p>
      <w:pPr>
        <w:jc w:val="center"/>
        <w:ind w:left="454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(Principal Financial and</w:t>
      </w:r>
    </w:p>
    <w:p>
      <w:pPr>
        <w:spacing w:after="0" w:line="6"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603250</wp:posOffset>
            </wp:positionV>
            <wp:extent cx="541401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54140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18 U.S.C. SECTION 1350, AS ADOPTED PURSUANT TO</w:t>
      </w:r>
    </w:p>
    <w:p>
      <w:pPr>
        <w:ind w:left="26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4" w:lineRule="exact"/>
        <w:rPr>
          <w:sz w:val="20"/>
          <w:szCs w:val="20"/>
          <w:color w:val="auto"/>
        </w:rPr>
      </w:pPr>
    </w:p>
    <w:p>
      <w:pPr>
        <w:jc w:val="both"/>
        <w:ind w:right="140" w:firstLine="434"/>
        <w:spacing w:after="0" w:line="256" w:lineRule="auto"/>
        <w:rPr>
          <w:sz w:val="20"/>
          <w:szCs w:val="20"/>
          <w:color w:val="auto"/>
        </w:rPr>
      </w:pPr>
      <w:r>
        <w:rPr>
          <w:rFonts w:ascii="Arial" w:cs="Arial" w:eastAsia="Arial" w:hAnsi="Arial"/>
          <w:sz w:val="18"/>
          <w:szCs w:val="18"/>
          <w:color w:val="auto"/>
        </w:rPr>
        <w:t>In connection with the Quarterly Report of Structure Therapeutics Inc. (the “Company”) on Form 10-Q/A for the period ended June 30, 2023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860" w:right="40" w:hanging="428"/>
        <w:spacing w:after="0" w:line="265"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0" w:lineRule="exact"/>
        <w:rPr>
          <w:rFonts w:ascii="Arial" w:cs="Arial" w:eastAsia="Arial" w:hAnsi="Arial"/>
          <w:sz w:val="18"/>
          <w:szCs w:val="18"/>
          <w:color w:val="auto"/>
        </w:rPr>
      </w:pPr>
    </w:p>
    <w:p>
      <w:pPr>
        <w:ind w:left="860" w:hanging="428"/>
        <w:spacing w:after="0" w:line="265"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Date: November 16, 2023</w:t>
            </w:r>
          </w:p>
        </w:tc>
        <w:tc>
          <w:tcPr>
            <w:tcW w:w="1880" w:type="dxa"/>
            <w:vAlign w:val="bottom"/>
          </w:tcPr>
          <w:p>
            <w:pPr>
              <w:ind w:left="1580"/>
              <w:spacing w:after="0"/>
              <w:rPr>
                <w:sz w:val="20"/>
                <w:szCs w:val="20"/>
                <w:color w:val="auto"/>
              </w:rPr>
            </w:pPr>
            <w:r>
              <w:rPr>
                <w:rFonts w:ascii="Arial" w:cs="Arial" w:eastAsia="Arial" w:hAnsi="Arial"/>
                <w:sz w:val="18"/>
                <w:szCs w:val="18"/>
                <w:color w:val="auto"/>
              </w:rPr>
              <w:t>By:</w:t>
            </w:r>
          </w:p>
        </w:tc>
        <w:tc>
          <w:tcPr>
            <w:tcW w:w="4620" w:type="dxa"/>
            <w:vAlign w:val="bottom"/>
            <w:vMerge w:val="restart"/>
          </w:tcPr>
          <w:p>
            <w:pPr>
              <w:jc w:val="center"/>
              <w:spacing w:after="0"/>
              <w:rPr>
                <w:sz w:val="20"/>
                <w:szCs w:val="20"/>
                <w:color w:val="auto"/>
              </w:rPr>
            </w:pPr>
            <w:r>
              <w:rPr>
                <w:rFonts w:ascii="Arial" w:cs="Arial" w:eastAsia="Arial" w:hAnsi="Arial"/>
                <w:sz w:val="18"/>
                <w:szCs w:val="18"/>
                <w:color w:val="auto"/>
                <w:w w:val="86"/>
              </w:rPr>
              <w:t>/s/ Raymond Stevens</w:t>
            </w: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1880" w:type="dxa"/>
            <w:vAlign w:val="bottom"/>
          </w:tcPr>
          <w:p>
            <w:pPr>
              <w:spacing w:after="0"/>
              <w:rPr>
                <w:sz w:val="9"/>
                <w:szCs w:val="9"/>
                <w:color w:val="auto"/>
              </w:rPr>
            </w:pPr>
          </w:p>
        </w:tc>
        <w:tc>
          <w:tcPr>
            <w:tcW w:w="4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88"/>
              </w:rPr>
              <w:t>Raymond Stevens, Ph.D.</w:t>
            </w: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434"/>
        <w:spacing w:after="0" w:line="322"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300990</wp:posOffset>
            </wp:positionV>
            <wp:extent cx="629094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629094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8"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18 U.S.C. SECTION 1350, AS ADOPTED PURSUANT TO</w:t>
      </w:r>
    </w:p>
    <w:p>
      <w:pPr>
        <w:ind w:left="26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4" w:lineRule="exact"/>
        <w:rPr>
          <w:sz w:val="20"/>
          <w:szCs w:val="20"/>
          <w:color w:val="auto"/>
        </w:rPr>
      </w:pPr>
    </w:p>
    <w:p>
      <w:pPr>
        <w:jc w:val="both"/>
        <w:ind w:right="140" w:firstLine="434"/>
        <w:spacing w:after="0" w:line="256" w:lineRule="auto"/>
        <w:rPr>
          <w:sz w:val="20"/>
          <w:szCs w:val="20"/>
          <w:color w:val="auto"/>
        </w:rPr>
      </w:pPr>
      <w:r>
        <w:rPr>
          <w:rFonts w:ascii="Arial" w:cs="Arial" w:eastAsia="Arial" w:hAnsi="Arial"/>
          <w:sz w:val="18"/>
          <w:szCs w:val="18"/>
          <w:color w:val="auto"/>
        </w:rPr>
        <w:t>In connection with the Quarterly Report of Structure Therapeutics Inc. (the “Company”) on Form 10-Q/A for the period ended June 30, 2023 as filed with the Securities and Exchange Commission on the date hereof (the “Report”), I certify, pursuant to 18 U.S.C. § 1350, as adopted pursuant to § 906 of the Sarbanes-Oxley Act of 2002, that:</w:t>
      </w:r>
    </w:p>
    <w:p>
      <w:pPr>
        <w:spacing w:after="0" w:line="188" w:lineRule="exact"/>
        <w:rPr>
          <w:sz w:val="20"/>
          <w:szCs w:val="20"/>
          <w:color w:val="auto"/>
        </w:rPr>
      </w:pPr>
    </w:p>
    <w:p>
      <w:pPr>
        <w:ind w:left="860" w:right="40" w:hanging="428"/>
        <w:spacing w:after="0" w:line="265"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0" w:lineRule="exact"/>
        <w:rPr>
          <w:rFonts w:ascii="Arial" w:cs="Arial" w:eastAsia="Arial" w:hAnsi="Arial"/>
          <w:sz w:val="18"/>
          <w:szCs w:val="18"/>
          <w:color w:val="auto"/>
        </w:rPr>
      </w:pPr>
    </w:p>
    <w:p>
      <w:pPr>
        <w:ind w:left="860" w:hanging="428"/>
        <w:spacing w:after="0" w:line="265" w:lineRule="auto"/>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0" w:lineRule="exact"/>
        <w:rPr>
          <w:sz w:val="20"/>
          <w:szCs w:val="20"/>
          <w:color w:val="auto"/>
        </w:rPr>
      </w:pPr>
    </w:p>
    <w:p>
      <w:pPr>
        <w:ind w:left="20"/>
        <w:spacing w:after="0"/>
        <w:tabs>
          <w:tab w:leader="none" w:pos="4980" w:val="left"/>
          <w:tab w:leader="none" w:pos="7140" w:val="left"/>
        </w:tabs>
        <w:rPr>
          <w:sz w:val="20"/>
          <w:szCs w:val="20"/>
          <w:color w:val="auto"/>
        </w:rPr>
      </w:pPr>
      <w:r>
        <w:rPr>
          <w:rFonts w:ascii="Arial" w:cs="Arial" w:eastAsia="Arial" w:hAnsi="Arial"/>
          <w:sz w:val="18"/>
          <w:szCs w:val="18"/>
          <w:color w:val="auto"/>
        </w:rPr>
        <w:t>Date: November 16,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Jun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11430</wp:posOffset>
            </wp:positionV>
            <wp:extent cx="29349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2934970" cy="8255"/>
                    </a:xfrm>
                    <a:prstGeom prst="rect">
                      <a:avLst/>
                    </a:prstGeom>
                    <a:noFill/>
                  </pic:spPr>
                </pic:pic>
              </a:graphicData>
            </a:graphic>
          </wp:anchor>
        </w:drawing>
      </w:r>
    </w:p>
    <w:p>
      <w:pPr>
        <w:spacing w:after="0" w:line="6"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Jun Yoon</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Chief Financial Officer</w:t>
      </w:r>
    </w:p>
    <w:p>
      <w:pPr>
        <w:spacing w:after="0" w:line="19"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(Principal Financial and</w:t>
      </w:r>
    </w:p>
    <w:p>
      <w:pPr>
        <w:spacing w:after="0" w:line="6"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0" w:firstLine="434"/>
        <w:spacing w:after="0" w:line="322"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300990</wp:posOffset>
            </wp:positionV>
            <wp:extent cx="629094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6290945" cy="25400"/>
                    </a:xfrm>
                    <a:prstGeom prst="rect">
                      <a:avLst/>
                    </a:prstGeom>
                    <a:noFill/>
                  </pic:spPr>
                </pic:pic>
              </a:graphicData>
            </a:graphic>
          </wp:anchor>
        </w:drawing>
      </w:r>
    </w:p>
    <w:sectPr>
      <w:pgSz w:w="11900" w:h="16838" w:orient="portrait"/>
      <w:cols w:equalWidth="0" w:num="1">
        <w:col w:w="9920"/>
      </w:cols>
      <w:pgMar w:left="980" w:top="33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
      <w:numFmt w:val="bullet"/>
      <w:start w:val="1"/>
    </w:lvl>
  </w:abstractNum>
  <w:abstractNum w:abstractNumId="4">
    <w:nsid w:val="2CA88611"/>
    <w:multiLevelType w:val="hybridMultilevel"/>
    <w:lvl w:ilvl="0">
      <w:lvlJc w:val="left"/>
      <w:lvlText w:val=" "/>
      <w:numFmt w:val="bullet"/>
      <w:start w:val="1"/>
    </w:lvl>
  </w:abstractNum>
  <w:abstractNum w:abstractNumId="5">
    <w:nsid w:val="836C40E"/>
    <w:multiLevelType w:val="hybridMultilevel"/>
    <w:lvl w:ilvl="0">
      <w:lvlJc w:val="left"/>
      <w:lvlText w:val=" "/>
      <w:numFmt w:val="bullet"/>
      <w:start w:val="1"/>
    </w:lvl>
  </w:abstractNum>
  <w:abstractNum w:abstractNumId="6">
    <w:nsid w:val="2901D82"/>
    <w:multiLevelType w:val="hybridMultilevel"/>
    <w:lvl w:ilvl="0">
      <w:lvlJc w:val="left"/>
      <w:lvlText w:val="1"/>
      <w:numFmt w:val="bullet"/>
      <w:start w:val="1"/>
    </w:lvl>
  </w:abstractNum>
  <w:abstractNum w:abstractNumId="7">
    <w:nsid w:val="3A95F874"/>
    <w:multiLevelType w:val="hybridMultilevel"/>
    <w:lvl w:ilvl="0">
      <w:lvlJc w:val="left"/>
      <w:lvlText w:val="1"/>
      <w:numFmt w:val="bullet"/>
      <w:start w:val="1"/>
    </w:lvl>
  </w:abstractNum>
  <w:abstractNum w:abstractNumId="8">
    <w:nsid w:val="8138641"/>
    <w:multiLevelType w:val="hybridMultilevel"/>
    <w:lvl w:ilvl="0">
      <w:lvlJc w:val="left"/>
      <w:lvlText w:val="1"/>
      <w:numFmt w:val="bullet"/>
      <w:start w:val="1"/>
    </w:lvl>
  </w:abstractNum>
  <w:abstractNum w:abstractNumId="9">
    <w:nsid w:val="1E7FF521"/>
    <w:multiLevelType w:val="hybridMultilevel"/>
    <w:lvl w:ilvl="0">
      <w:lvlJc w:val="left"/>
      <w:lvlText w:val="1"/>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lowerRoman"/>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1)"/>
      <w:numFmt w:val="lowerRoman"/>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60" Type="http://schemas.openxmlformats.org/officeDocument/2006/relationships/hyperlink" Target="https://www.sec.gov/Archives/edgar/data/1888886/000110465923011717/tm235639d1_ex3-1.htm" TargetMode="External"/><Relationship Id="rId161" Type="http://schemas.openxmlformats.org/officeDocument/2006/relationships/hyperlink" Target="https://www.sec.gov/Archives/edgar/data/1888886/000110465923007657/tm225197d15_ex4-1.htm" TargetMode="External"/><Relationship Id="rId162" Type="http://schemas.openxmlformats.org/officeDocument/2006/relationships/hyperlink" Target="https://www.sec.gov/Archives/edgar/data/1888886/000110465923007657/tm225197d15_ex4-2.htm" TargetMode="External"/><Relationship Id="rId163" Type="http://schemas.openxmlformats.org/officeDocument/2006/relationships/hyperlink" Target="https://www.sec.gov/Archives/edgar/data/1888886/000110465923003415/tm225197d11_ex4-4.htm" TargetMode="External"/><Relationship Id="rId164" Type="http://schemas.openxmlformats.org/officeDocument/2006/relationships/hyperlink" Target="https://www.sec.gov/Archives/edgar/data/1888886/000155837023009425/gpcr-20230331xex4d5.htm" TargetMode="External"/><Relationship Id="rId165" Type="http://schemas.openxmlformats.org/officeDocument/2006/relationships/hyperlink" Target="https://www.sec.gov/Archives/edgar/data/1888886/000155837023009425/gpcr-20230331xex10d1.htm" TargetMode="External"/><Relationship Id="rId166" Type="http://schemas.openxmlformats.org/officeDocument/2006/relationships/hyperlink" Target="https://www.sec.gov/Archives/edgar/data/1888886/000110465923078719/tm2319105d1_ex10-1.htm" TargetMode="External"/><Relationship Id="rId167" Type="http://schemas.openxmlformats.org/officeDocument/2006/relationships/hyperlink" Target="https://www.sec.gov/Archives/edgar/data/1888886/000110465923078719/tm2319105d1_ex10-2.htm" TargetMode="External"/><Relationship Id="rId168" Type="http://schemas.openxmlformats.org/officeDocument/2006/relationships/hyperlink" Target="https://www.sec.gov/Archives/edgar/data/1888886/000110465923078719/tm2319105d1_ex10-3.htm" TargetMode="External"/><Relationship Id="rId169" Type="http://schemas.openxmlformats.org/officeDocument/2006/relationships/hyperlink" Target="https://www.sec.gov/Archives/edgar/data/1888886/000110465923087873/tm232285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2023-11-16T16:28:34Z</dcterms:created>
  <dcterms:modified xsi:type="dcterms:W3CDTF">2023-11-16T16:28:34Z</dcterms:modified>
</cp:coreProperties>
</file>