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(Rule 13d-102)</w:t>
      </w:r>
    </w:p>
    <w:p>
      <w:pPr>
        <w:spacing w:after="0" w:line="207" w:lineRule="exact"/>
        <w:rPr>
          <w:sz w:val="24"/>
          <w:szCs w:val="24"/>
          <w:color w:val="auto"/>
        </w:rPr>
      </w:pPr>
    </w:p>
    <w:p>
      <w:pPr>
        <w:jc w:val="center"/>
        <w:ind w:left="340" w:right="2740"/>
        <w:spacing w:after="0" w:line="266" w:lineRule="auto"/>
        <w:rPr>
          <w:sz w:val="20"/>
          <w:szCs w:val="20"/>
          <w:color w:val="auto"/>
        </w:rPr>
      </w:pPr>
      <w:r>
        <w:rPr>
          <w:rFonts w:ascii="Times New Roman" w:cs="Times New Roman" w:eastAsia="Times New Roman" w:hAnsi="Times New Roman"/>
          <w:sz w:val="18"/>
          <w:szCs w:val="18"/>
          <w:color w:val="auto"/>
        </w:rPr>
        <w:t>INFORMATION TO BE INCLUDED IN STATEMENTS FILED PURSUANT TO RULES 13d-1(b), (c), AND (d) AND AMENDMENTS THERETO FILED PURSUANT TO RULE 13d-2(b)</w:t>
      </w:r>
    </w:p>
    <w:p>
      <w:pPr>
        <w:spacing w:after="0" w:line="1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1)</w:t>
      </w:r>
      <w:r>
        <w:rPr>
          <w:rFonts w:ascii="Times New Roman" w:cs="Times New Roman" w:eastAsia="Times New Roman" w:hAnsi="Times New Roman"/>
          <w:sz w:val="29"/>
          <w:szCs w:val="29"/>
          <w:color w:val="auto"/>
          <w:vertAlign w:val="superscript"/>
        </w:rPr>
        <w:t>1</w:t>
      </w:r>
    </w:p>
    <w:p>
      <w:pPr>
        <w:spacing w:after="0" w:line="200" w:lineRule="exact"/>
        <w:rPr>
          <w:sz w:val="24"/>
          <w:szCs w:val="24"/>
          <w:color w:val="auto"/>
        </w:rPr>
      </w:pPr>
    </w:p>
    <w:p>
      <w:pPr>
        <w:spacing w:after="0" w:line="394"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color w:val="auto"/>
        </w:rPr>
        <w:t>Structure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color w:val="auto"/>
        </w:rPr>
        <w:t>(Name of Issuer)</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Ordinary Shares,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0"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8"/>
          <w:szCs w:val="18"/>
          <w:color w:val="auto"/>
        </w:rPr>
        <w:t>86366E106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color w:val="auto"/>
        </w:rPr>
        <w:t>(CUSIP Number)</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December 18,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85" w:lineRule="exact"/>
        <w:rPr>
          <w:sz w:val="24"/>
          <w:szCs w:val="24"/>
          <w:color w:val="auto"/>
        </w:rPr>
      </w:pPr>
    </w:p>
    <w:p>
      <w:pPr>
        <w:ind w:left="960" w:hanging="340"/>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960" w:hanging="340"/>
        <w:spacing w:after="0"/>
        <w:tabs>
          <w:tab w:leader="none" w:pos="9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960" w:hanging="340"/>
        <w:spacing w:after="0"/>
        <w:tabs>
          <w:tab w:leader="none" w:pos="9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737235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firstLine="8"/>
        <w:spacing w:after="0" w:line="244" w:lineRule="auto"/>
        <w:tabs>
          <w:tab w:leader="none" w:pos="815"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2" w:lineRule="exact"/>
        <w:rPr>
          <w:sz w:val="24"/>
          <w:szCs w:val="24"/>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16"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CUSIP No. 86366E106</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602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7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color w:val="auto"/>
              </w:rPr>
              <w:t>Biotechnology Value Fund, L.P.</w:t>
            </w:r>
          </w:p>
        </w:tc>
        <w:tc>
          <w:tcPr>
            <w:tcW w:w="1720" w:type="dxa"/>
            <w:vAlign w:val="bottom"/>
            <w:tcBorders>
              <w:bottom w:val="single" w:sz="8" w:color="auto"/>
              <w:right w:val="single" w:sz="8" w:color="auto"/>
            </w:tcBorders>
          </w:tcPr>
          <w:p>
            <w:pPr>
              <w:spacing w:after="0"/>
              <w:rPr>
                <w:sz w:val="24"/>
                <w:szCs w:val="24"/>
                <w:color w:val="auto"/>
              </w:rPr>
            </w:pPr>
          </w:p>
        </w:tc>
      </w:tr>
      <w:tr>
        <w:trPr>
          <w:trHeight w:val="156"/>
        </w:trPr>
        <w:tc>
          <w:tcPr>
            <w:tcW w:w="40" w:type="dxa"/>
            <w:vAlign w:val="bottom"/>
            <w:tcBorders>
              <w:right w:val="single" w:sz="8" w:color="auto"/>
            </w:tcBorders>
            <w:shd w:val="clear" w:color="auto" w:fill="000000"/>
          </w:tcPr>
          <w:p>
            <w:pPr>
              <w:spacing w:after="0"/>
              <w:rPr>
                <w:sz w:val="13"/>
                <w:szCs w:val="13"/>
                <w:color w:val="auto"/>
              </w:rPr>
            </w:pPr>
          </w:p>
        </w:tc>
        <w:tc>
          <w:tcPr>
            <w:tcW w:w="168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88"/>
              </w:rPr>
              <w:t>2</w:t>
            </w:r>
          </w:p>
        </w:tc>
        <w:tc>
          <w:tcPr>
            <w:tcW w:w="7800" w:type="dxa"/>
            <w:vAlign w:val="bottom"/>
            <w:gridSpan w:val="3"/>
          </w:tcPr>
          <w:p>
            <w:pPr>
              <w:ind w:left="12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720" w:type="dxa"/>
            <w:vAlign w:val="bottom"/>
            <w:tcBorders>
              <w:right w:val="single" w:sz="8" w:color="auto"/>
            </w:tcBorders>
          </w:tcPr>
          <w:p>
            <w:pPr>
              <w:ind w:left="62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83"/>
        </w:trPr>
        <w:tc>
          <w:tcPr>
            <w:tcW w:w="40" w:type="dxa"/>
            <w:vAlign w:val="bottom"/>
            <w:tcBorders>
              <w:bottom w:val="single" w:sz="8" w:color="auto"/>
              <w:right w:val="single" w:sz="8" w:color="auto"/>
            </w:tcBorders>
            <w:shd w:val="clear" w:color="auto" w:fill="000000"/>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20" w:type="dxa"/>
            <w:vAlign w:val="bottom"/>
            <w:tcBorders>
              <w:bottom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602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7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c>
          <w:tcPr>
            <w:tcW w:w="602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6"/>
                <w:szCs w:val="16"/>
                <w:color w:val="auto"/>
              </w:rPr>
            </w:pPr>
          </w:p>
        </w:tc>
        <w:tc>
          <w:tcPr>
            <w:tcW w:w="60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6"/>
                <w:szCs w:val="16"/>
                <w:color w:val="auto"/>
              </w:rPr>
            </w:pPr>
          </w:p>
        </w:tc>
        <w:tc>
          <w:tcPr>
            <w:tcW w:w="60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1,282,254 (1)</w:t>
            </w:r>
          </w:p>
        </w:tc>
        <w:tc>
          <w:tcPr>
            <w:tcW w:w="172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1,282,254 (1)</w:t>
            </w: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7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1,282,254 (1)</w:t>
            </w:r>
          </w:p>
        </w:tc>
        <w:tc>
          <w:tcPr>
            <w:tcW w:w="8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3"/>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7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w w:val="97"/>
              </w:rPr>
              <w:t>Less than 1% (1)</w:t>
            </w:r>
          </w:p>
        </w:tc>
        <w:tc>
          <w:tcPr>
            <w:tcW w:w="602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7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PN</w:t>
            </w:r>
          </w:p>
        </w:tc>
        <w:tc>
          <w:tcPr>
            <w:tcW w:w="602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firstLine="8"/>
        <w:spacing w:after="0" w:line="282" w:lineRule="auto"/>
        <w:tabs>
          <w:tab w:leader="none" w:pos="25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1,282,254 Shares (as defined below) issuable upon the conversion of non-voting ordinary shares (represented by 427,418 ADSs (as defined below)).</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CUSIP No. 86366E106</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602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7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BVF I GP LLC</w:t>
            </w:r>
          </w:p>
        </w:tc>
        <w:tc>
          <w:tcPr>
            <w:tcW w:w="602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55"/>
        </w:trPr>
        <w:tc>
          <w:tcPr>
            <w:tcW w:w="40" w:type="dxa"/>
            <w:vAlign w:val="bottom"/>
            <w:tcBorders>
              <w:right w:val="single" w:sz="8" w:color="auto"/>
            </w:tcBorders>
            <w:shd w:val="clear" w:color="auto" w:fill="000000"/>
          </w:tcPr>
          <w:p>
            <w:pPr>
              <w:spacing w:after="0"/>
              <w:rPr>
                <w:sz w:val="13"/>
                <w:szCs w:val="13"/>
                <w:color w:val="auto"/>
              </w:rPr>
            </w:pPr>
          </w:p>
        </w:tc>
        <w:tc>
          <w:tcPr>
            <w:tcW w:w="168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88"/>
              </w:rPr>
              <w:t>2</w:t>
            </w:r>
          </w:p>
        </w:tc>
        <w:tc>
          <w:tcPr>
            <w:tcW w:w="7800" w:type="dxa"/>
            <w:vAlign w:val="bottom"/>
            <w:gridSpan w:val="3"/>
          </w:tcPr>
          <w:p>
            <w:pPr>
              <w:ind w:left="12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720" w:type="dxa"/>
            <w:vAlign w:val="bottom"/>
            <w:tcBorders>
              <w:right w:val="single" w:sz="8" w:color="auto"/>
            </w:tcBorders>
          </w:tcPr>
          <w:p>
            <w:pPr>
              <w:ind w:left="62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83"/>
        </w:trPr>
        <w:tc>
          <w:tcPr>
            <w:tcW w:w="40" w:type="dxa"/>
            <w:vAlign w:val="bottom"/>
            <w:tcBorders>
              <w:bottom w:val="single" w:sz="8" w:color="auto"/>
              <w:right w:val="single" w:sz="8" w:color="auto"/>
            </w:tcBorders>
            <w:shd w:val="clear" w:color="auto" w:fill="000000"/>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20" w:type="dxa"/>
            <w:vAlign w:val="bottom"/>
            <w:tcBorders>
              <w:bottom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602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7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c>
          <w:tcPr>
            <w:tcW w:w="602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6"/>
                <w:szCs w:val="16"/>
                <w:color w:val="auto"/>
              </w:rPr>
            </w:pPr>
          </w:p>
        </w:tc>
        <w:tc>
          <w:tcPr>
            <w:tcW w:w="60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6"/>
                <w:szCs w:val="16"/>
                <w:color w:val="auto"/>
              </w:rPr>
            </w:pPr>
          </w:p>
        </w:tc>
        <w:tc>
          <w:tcPr>
            <w:tcW w:w="60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1,282,254 (1)</w:t>
            </w:r>
          </w:p>
        </w:tc>
        <w:tc>
          <w:tcPr>
            <w:tcW w:w="172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1,282,254 (1)</w:t>
            </w: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7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1,282,254 (1)</w:t>
            </w:r>
          </w:p>
        </w:tc>
        <w:tc>
          <w:tcPr>
            <w:tcW w:w="8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3"/>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7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w w:val="97"/>
              </w:rPr>
              <w:t>Less than 1% (1)</w:t>
            </w:r>
          </w:p>
        </w:tc>
        <w:tc>
          <w:tcPr>
            <w:tcW w:w="602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7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OO</w:t>
            </w:r>
          </w:p>
        </w:tc>
        <w:tc>
          <w:tcPr>
            <w:tcW w:w="602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5580" w:right="2200" w:hanging="5572"/>
        <w:spacing w:after="0" w:line="407" w:lineRule="auto"/>
        <w:tabs>
          <w:tab w:leader="none" w:pos="2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1,282,254 Shares issuable upon the conversion of non-voting ordinary shares (represented by 427,418 ADSs).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CUSIP No. 86366E106</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602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7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color w:val="auto"/>
              </w:rPr>
              <w:t>Biotechnology Value Fund II, L.P.</w:t>
            </w:r>
          </w:p>
        </w:tc>
        <w:tc>
          <w:tcPr>
            <w:tcW w:w="1720" w:type="dxa"/>
            <w:vAlign w:val="bottom"/>
            <w:tcBorders>
              <w:bottom w:val="single" w:sz="8" w:color="auto"/>
              <w:right w:val="single" w:sz="8" w:color="auto"/>
            </w:tcBorders>
          </w:tcPr>
          <w:p>
            <w:pPr>
              <w:spacing w:after="0"/>
              <w:rPr>
                <w:sz w:val="24"/>
                <w:szCs w:val="24"/>
                <w:color w:val="auto"/>
              </w:rPr>
            </w:pPr>
          </w:p>
        </w:tc>
      </w:tr>
      <w:tr>
        <w:trPr>
          <w:trHeight w:val="156"/>
        </w:trPr>
        <w:tc>
          <w:tcPr>
            <w:tcW w:w="40" w:type="dxa"/>
            <w:vAlign w:val="bottom"/>
            <w:tcBorders>
              <w:right w:val="single" w:sz="8" w:color="auto"/>
            </w:tcBorders>
            <w:shd w:val="clear" w:color="auto" w:fill="000000"/>
          </w:tcPr>
          <w:p>
            <w:pPr>
              <w:spacing w:after="0"/>
              <w:rPr>
                <w:sz w:val="13"/>
                <w:szCs w:val="13"/>
                <w:color w:val="auto"/>
              </w:rPr>
            </w:pPr>
          </w:p>
        </w:tc>
        <w:tc>
          <w:tcPr>
            <w:tcW w:w="168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88"/>
              </w:rPr>
              <w:t>2</w:t>
            </w:r>
          </w:p>
        </w:tc>
        <w:tc>
          <w:tcPr>
            <w:tcW w:w="7800" w:type="dxa"/>
            <w:vAlign w:val="bottom"/>
            <w:gridSpan w:val="3"/>
          </w:tcPr>
          <w:p>
            <w:pPr>
              <w:ind w:left="12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720" w:type="dxa"/>
            <w:vAlign w:val="bottom"/>
            <w:tcBorders>
              <w:right w:val="single" w:sz="8" w:color="auto"/>
            </w:tcBorders>
          </w:tcPr>
          <w:p>
            <w:pPr>
              <w:ind w:left="62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83"/>
        </w:trPr>
        <w:tc>
          <w:tcPr>
            <w:tcW w:w="40" w:type="dxa"/>
            <w:vAlign w:val="bottom"/>
            <w:tcBorders>
              <w:bottom w:val="single" w:sz="8" w:color="auto"/>
              <w:right w:val="single" w:sz="8" w:color="auto"/>
            </w:tcBorders>
            <w:shd w:val="clear" w:color="auto" w:fill="000000"/>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20" w:type="dxa"/>
            <w:vAlign w:val="bottom"/>
            <w:tcBorders>
              <w:bottom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602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7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c>
          <w:tcPr>
            <w:tcW w:w="602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6"/>
                <w:szCs w:val="16"/>
                <w:color w:val="auto"/>
              </w:rPr>
            </w:pPr>
          </w:p>
        </w:tc>
        <w:tc>
          <w:tcPr>
            <w:tcW w:w="60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6"/>
                <w:szCs w:val="16"/>
                <w:color w:val="auto"/>
              </w:rPr>
            </w:pPr>
          </w:p>
        </w:tc>
        <w:tc>
          <w:tcPr>
            <w:tcW w:w="60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994,452 (1)</w:t>
            </w:r>
          </w:p>
        </w:tc>
        <w:tc>
          <w:tcPr>
            <w:tcW w:w="172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994,452 (1)</w:t>
            </w: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7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994,452 (1)</w:t>
            </w:r>
          </w:p>
        </w:tc>
        <w:tc>
          <w:tcPr>
            <w:tcW w:w="8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3"/>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7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w w:val="97"/>
              </w:rPr>
              <w:t>Less than 1% (1)</w:t>
            </w:r>
          </w:p>
        </w:tc>
        <w:tc>
          <w:tcPr>
            <w:tcW w:w="602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7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PN</w:t>
            </w:r>
          </w:p>
        </w:tc>
        <w:tc>
          <w:tcPr>
            <w:tcW w:w="602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firstLine="8"/>
        <w:spacing w:after="0" w:line="282" w:lineRule="auto"/>
        <w:tabs>
          <w:tab w:leader="none" w:pos="27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19,224 Shares represented by 6,408 ADSs and 975,228 Shares issuable upon the conversion of non-voting ordinary shares (represented by 325,076 ADSs).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CUSIP No. 86366E106</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602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7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BVF II GP LLC</w:t>
            </w:r>
          </w:p>
        </w:tc>
        <w:tc>
          <w:tcPr>
            <w:tcW w:w="602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55"/>
        </w:trPr>
        <w:tc>
          <w:tcPr>
            <w:tcW w:w="40" w:type="dxa"/>
            <w:vAlign w:val="bottom"/>
            <w:tcBorders>
              <w:right w:val="single" w:sz="8" w:color="auto"/>
            </w:tcBorders>
            <w:shd w:val="clear" w:color="auto" w:fill="000000"/>
          </w:tcPr>
          <w:p>
            <w:pPr>
              <w:spacing w:after="0"/>
              <w:rPr>
                <w:sz w:val="13"/>
                <w:szCs w:val="13"/>
                <w:color w:val="auto"/>
              </w:rPr>
            </w:pPr>
          </w:p>
        </w:tc>
        <w:tc>
          <w:tcPr>
            <w:tcW w:w="168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88"/>
              </w:rPr>
              <w:t>2</w:t>
            </w:r>
          </w:p>
        </w:tc>
        <w:tc>
          <w:tcPr>
            <w:tcW w:w="7800" w:type="dxa"/>
            <w:vAlign w:val="bottom"/>
            <w:gridSpan w:val="3"/>
          </w:tcPr>
          <w:p>
            <w:pPr>
              <w:ind w:left="12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720" w:type="dxa"/>
            <w:vAlign w:val="bottom"/>
            <w:tcBorders>
              <w:right w:val="single" w:sz="8" w:color="auto"/>
            </w:tcBorders>
          </w:tcPr>
          <w:p>
            <w:pPr>
              <w:ind w:left="62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83"/>
        </w:trPr>
        <w:tc>
          <w:tcPr>
            <w:tcW w:w="40" w:type="dxa"/>
            <w:vAlign w:val="bottom"/>
            <w:tcBorders>
              <w:bottom w:val="single" w:sz="8" w:color="auto"/>
              <w:right w:val="single" w:sz="8" w:color="auto"/>
            </w:tcBorders>
            <w:shd w:val="clear" w:color="auto" w:fill="000000"/>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20" w:type="dxa"/>
            <w:vAlign w:val="bottom"/>
            <w:tcBorders>
              <w:bottom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602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7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c>
          <w:tcPr>
            <w:tcW w:w="602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6"/>
                <w:szCs w:val="16"/>
                <w:color w:val="auto"/>
              </w:rPr>
            </w:pPr>
          </w:p>
        </w:tc>
        <w:tc>
          <w:tcPr>
            <w:tcW w:w="60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6"/>
                <w:szCs w:val="16"/>
                <w:color w:val="auto"/>
              </w:rPr>
            </w:pPr>
          </w:p>
        </w:tc>
        <w:tc>
          <w:tcPr>
            <w:tcW w:w="60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994,452 (1)</w:t>
            </w:r>
          </w:p>
        </w:tc>
        <w:tc>
          <w:tcPr>
            <w:tcW w:w="172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994,452 (1)</w:t>
            </w: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7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994,452 (1)</w:t>
            </w:r>
          </w:p>
        </w:tc>
        <w:tc>
          <w:tcPr>
            <w:tcW w:w="8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3"/>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7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w w:val="97"/>
              </w:rPr>
              <w:t>Less than 1% (1)</w:t>
            </w:r>
          </w:p>
        </w:tc>
        <w:tc>
          <w:tcPr>
            <w:tcW w:w="602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7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OO</w:t>
            </w:r>
          </w:p>
        </w:tc>
        <w:tc>
          <w:tcPr>
            <w:tcW w:w="602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firstLine="8"/>
        <w:spacing w:after="0" w:line="282" w:lineRule="auto"/>
        <w:tabs>
          <w:tab w:leader="none" w:pos="27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19,224 Shares represented by 6,408 ADSs and 975,228 Shares issuable upon the conversion of non-voting ordinary shares (represented by 325,076 ADSs).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CUSIP No. 86366E106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233680</wp:posOffset>
            </wp:positionV>
            <wp:extent cx="3511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78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72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8"/>
                <w:szCs w:val="18"/>
                <w:color w:val="auto"/>
              </w:rPr>
              <w:t>Biotechnology Value Trading Fund OS LP</w:t>
            </w:r>
          </w:p>
        </w:tc>
        <w:tc>
          <w:tcPr>
            <w:tcW w:w="1720" w:type="dxa"/>
            <w:vAlign w:val="bottom"/>
            <w:tcBorders>
              <w:bottom w:val="single" w:sz="8" w:color="auto"/>
            </w:tcBorders>
          </w:tcPr>
          <w:p>
            <w:pPr>
              <w:spacing w:after="0"/>
              <w:rPr>
                <w:sz w:val="24"/>
                <w:szCs w:val="24"/>
                <w:color w:val="auto"/>
              </w:rPr>
            </w:pPr>
          </w:p>
        </w:tc>
      </w:tr>
      <w:tr>
        <w:trPr>
          <w:trHeight w:val="156"/>
        </w:trPr>
        <w:tc>
          <w:tcPr>
            <w:tcW w:w="170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88"/>
              </w:rPr>
              <w:t>2</w:t>
            </w:r>
          </w:p>
        </w:tc>
        <w:tc>
          <w:tcPr>
            <w:tcW w:w="7820" w:type="dxa"/>
            <w:vAlign w:val="bottom"/>
            <w:gridSpan w:val="3"/>
          </w:tcPr>
          <w:p>
            <w:pPr>
              <w:ind w:left="14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720" w:type="dxa"/>
            <w:vAlign w:val="bottom"/>
          </w:tcPr>
          <w:p>
            <w:pPr>
              <w:ind w:left="62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720" w:type="dxa"/>
            <w:vAlign w:val="bottom"/>
          </w:tcPr>
          <w:p>
            <w:pPr>
              <w:ind w:left="6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83"/>
        </w:trPr>
        <w:tc>
          <w:tcPr>
            <w:tcW w:w="17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SEC USE ONLY</w:t>
            </w:r>
          </w:p>
        </w:tc>
        <w:tc>
          <w:tcPr>
            <w:tcW w:w="60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78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7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Cayman Islands</w:t>
            </w: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191"/>
        </w:trPr>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20" w:type="dxa"/>
            <w:vAlign w:val="bottom"/>
            <w:tcBorders>
              <w:right w:val="single" w:sz="8" w:color="auto"/>
            </w:tcBorders>
          </w:tcPr>
          <w:p>
            <w:pPr>
              <w:ind w:left="820"/>
              <w:spacing w:after="0" w:line="191" w:lineRule="exact"/>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6"/>
                <w:szCs w:val="16"/>
                <w:color w:val="auto"/>
              </w:rPr>
            </w:pPr>
          </w:p>
        </w:tc>
        <w:tc>
          <w:tcPr>
            <w:tcW w:w="604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7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bottom w:val="single" w:sz="8" w:color="auto"/>
            </w:tcBorders>
          </w:tcPr>
          <w:p>
            <w:pPr>
              <w:spacing w:after="0"/>
              <w:rPr>
                <w:sz w:val="20"/>
                <w:szCs w:val="20"/>
                <w:color w:val="auto"/>
              </w:rPr>
            </w:pPr>
          </w:p>
        </w:tc>
      </w:tr>
      <w:tr>
        <w:trPr>
          <w:trHeight w:val="191"/>
        </w:trPr>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20" w:type="dxa"/>
            <w:vAlign w:val="bottom"/>
            <w:tcBorders>
              <w:right w:val="single" w:sz="8" w:color="auto"/>
            </w:tcBorders>
          </w:tcPr>
          <w:p>
            <w:pPr>
              <w:ind w:left="82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6"/>
                <w:szCs w:val="16"/>
                <w:color w:val="auto"/>
              </w:rPr>
            </w:pPr>
          </w:p>
        </w:tc>
        <w:tc>
          <w:tcPr>
            <w:tcW w:w="604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7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124,677 (1)</w:t>
            </w:r>
          </w:p>
        </w:tc>
        <w:tc>
          <w:tcPr>
            <w:tcW w:w="1720" w:type="dxa"/>
            <w:vAlign w:val="bottom"/>
            <w:tcBorders>
              <w:bottom w:val="single" w:sz="8" w:color="auto"/>
            </w:tcBorders>
          </w:tcPr>
          <w:p>
            <w:pPr>
              <w:spacing w:after="0"/>
              <w:rPr>
                <w:sz w:val="20"/>
                <w:szCs w:val="20"/>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720" w:type="dxa"/>
            <w:vAlign w:val="bottom"/>
          </w:tcPr>
          <w:p>
            <w:pPr>
              <w:spacing w:after="0"/>
              <w:rPr>
                <w:sz w:val="19"/>
                <w:szCs w:val="19"/>
                <w:color w:val="auto"/>
              </w:rPr>
            </w:pPr>
          </w:p>
        </w:tc>
      </w:tr>
      <w:tr>
        <w:trPr>
          <w:trHeight w:val="414"/>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spacing w:after="0"/>
              <w:rPr>
                <w:sz w:val="19"/>
                <w:szCs w:val="19"/>
                <w:color w:val="auto"/>
              </w:rPr>
            </w:pPr>
          </w:p>
        </w:tc>
        <w:tc>
          <w:tcPr>
            <w:tcW w:w="17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7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124,677 (1)</w:t>
            </w:r>
          </w:p>
        </w:tc>
        <w:tc>
          <w:tcPr>
            <w:tcW w:w="172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78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7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124,677 (1)</w:t>
            </w: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97"/>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8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72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3"/>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78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7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-4357370</wp:posOffset>
            </wp:positionV>
            <wp:extent cx="3511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15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Less than 1%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17145</wp:posOffset>
            </wp:positionV>
            <wp:extent cx="3511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7" w:lineRule="exact"/>
        <w:rPr>
          <w:sz w:val="20"/>
          <w:szCs w:val="20"/>
          <w:color w:val="auto"/>
        </w:rPr>
      </w:pPr>
    </w:p>
    <w:p>
      <w:pPr>
        <w:ind w:left="2280" w:right="6900" w:hanging="1512"/>
        <w:spacing w:after="0" w:line="527" w:lineRule="auto"/>
        <w:tabs>
          <w:tab w:leader="none" w:pos="1839"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17" w:lineRule="exact"/>
        <w:rPr>
          <w:rFonts w:ascii="Times New Roman" w:cs="Times New Roman" w:eastAsia="Times New Roman" w:hAnsi="Times New Roman"/>
          <w:sz w:val="18"/>
          <w:szCs w:val="18"/>
          <w:color w:val="auto"/>
        </w:rPr>
      </w:pPr>
    </w:p>
    <w:p>
      <w:pPr>
        <w:ind w:firstLine="8"/>
        <w:spacing w:after="0" w:line="282" w:lineRule="auto"/>
        <w:tabs>
          <w:tab w:leader="none" w:pos="27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17,820 Shares represented by 5,940 ADSs and 106,857 Shares issuable upon the conversion of non-voting ordinary shares (represented by 35,619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-614045</wp:posOffset>
            </wp:positionV>
            <wp:extent cx="8890" cy="162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1625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-614045</wp:posOffset>
            </wp:positionV>
            <wp:extent cx="8890" cy="16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62560"/>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-614045</wp:posOffset>
            </wp:positionV>
            <wp:extent cx="8890"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162560"/>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-614045</wp:posOffset>
            </wp:positionV>
            <wp:extent cx="351155"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1155" cy="162560"/>
                    </a:xfrm>
                    <a:prstGeom prst="rect">
                      <a:avLst/>
                    </a:prstGeom>
                    <a:noFill/>
                  </pic:spPr>
                </pic:pic>
              </a:graphicData>
            </a:graphic>
          </wp:anchor>
        </w:drawing>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CUSIP No. 86366E106</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602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7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color w:val="auto"/>
              </w:rPr>
              <w:t>BVF Partners OS Ltd.</w:t>
            </w:r>
          </w:p>
        </w:tc>
        <w:tc>
          <w:tcPr>
            <w:tcW w:w="1720" w:type="dxa"/>
            <w:vAlign w:val="bottom"/>
            <w:tcBorders>
              <w:bottom w:val="single" w:sz="8" w:color="auto"/>
              <w:right w:val="single" w:sz="8" w:color="auto"/>
            </w:tcBorders>
          </w:tcPr>
          <w:p>
            <w:pPr>
              <w:spacing w:after="0"/>
              <w:rPr>
                <w:sz w:val="24"/>
                <w:szCs w:val="24"/>
                <w:color w:val="auto"/>
              </w:rPr>
            </w:pPr>
          </w:p>
        </w:tc>
      </w:tr>
      <w:tr>
        <w:trPr>
          <w:trHeight w:val="156"/>
        </w:trPr>
        <w:tc>
          <w:tcPr>
            <w:tcW w:w="40" w:type="dxa"/>
            <w:vAlign w:val="bottom"/>
            <w:tcBorders>
              <w:right w:val="single" w:sz="8" w:color="auto"/>
            </w:tcBorders>
            <w:shd w:val="clear" w:color="auto" w:fill="000000"/>
          </w:tcPr>
          <w:p>
            <w:pPr>
              <w:spacing w:after="0"/>
              <w:rPr>
                <w:sz w:val="13"/>
                <w:szCs w:val="13"/>
                <w:color w:val="auto"/>
              </w:rPr>
            </w:pPr>
          </w:p>
        </w:tc>
        <w:tc>
          <w:tcPr>
            <w:tcW w:w="168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88"/>
              </w:rPr>
              <w:t>2</w:t>
            </w:r>
          </w:p>
        </w:tc>
        <w:tc>
          <w:tcPr>
            <w:tcW w:w="7800" w:type="dxa"/>
            <w:vAlign w:val="bottom"/>
            <w:gridSpan w:val="3"/>
          </w:tcPr>
          <w:p>
            <w:pPr>
              <w:ind w:left="12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720" w:type="dxa"/>
            <w:vAlign w:val="bottom"/>
            <w:tcBorders>
              <w:right w:val="single" w:sz="8" w:color="auto"/>
            </w:tcBorders>
          </w:tcPr>
          <w:p>
            <w:pPr>
              <w:ind w:left="62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83"/>
        </w:trPr>
        <w:tc>
          <w:tcPr>
            <w:tcW w:w="40" w:type="dxa"/>
            <w:vAlign w:val="bottom"/>
            <w:tcBorders>
              <w:bottom w:val="single" w:sz="8" w:color="auto"/>
              <w:right w:val="single" w:sz="8" w:color="auto"/>
            </w:tcBorders>
            <w:shd w:val="clear" w:color="auto" w:fill="000000"/>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20" w:type="dxa"/>
            <w:vAlign w:val="bottom"/>
            <w:tcBorders>
              <w:bottom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602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7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Cayman Islands</w:t>
            </w:r>
          </w:p>
        </w:tc>
        <w:tc>
          <w:tcPr>
            <w:tcW w:w="602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6"/>
                <w:szCs w:val="16"/>
                <w:color w:val="auto"/>
              </w:rPr>
            </w:pPr>
          </w:p>
        </w:tc>
        <w:tc>
          <w:tcPr>
            <w:tcW w:w="60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6"/>
                <w:szCs w:val="16"/>
                <w:color w:val="auto"/>
              </w:rPr>
            </w:pPr>
          </w:p>
        </w:tc>
        <w:tc>
          <w:tcPr>
            <w:tcW w:w="60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124,677 (1)</w:t>
            </w:r>
          </w:p>
        </w:tc>
        <w:tc>
          <w:tcPr>
            <w:tcW w:w="172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124,677 (1)</w:t>
            </w: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7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124,677 (1)</w:t>
            </w:r>
          </w:p>
        </w:tc>
        <w:tc>
          <w:tcPr>
            <w:tcW w:w="8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3"/>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7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w w:val="97"/>
              </w:rPr>
              <w:t>Less than 1% (1)</w:t>
            </w:r>
          </w:p>
        </w:tc>
        <w:tc>
          <w:tcPr>
            <w:tcW w:w="602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7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CO</w:t>
            </w:r>
          </w:p>
        </w:tc>
        <w:tc>
          <w:tcPr>
            <w:tcW w:w="602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360" w:firstLine="8"/>
        <w:spacing w:after="0" w:line="282"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17,820 Shares represented by 5,940 ADSs and 106,857 Shares issuable upon the conversion of non-voting ordinary shares (represented by 35,619 ADSs).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CUSIP No. 86366E106</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BVF GP Holdings LLC</w:t>
            </w:r>
          </w:p>
        </w:tc>
        <w:tc>
          <w:tcPr>
            <w:tcW w:w="1720" w:type="dxa"/>
            <w:vAlign w:val="bottom"/>
            <w:tcBorders>
              <w:bottom w:val="single" w:sz="8" w:color="auto"/>
              <w:right w:val="single" w:sz="8" w:color="auto"/>
            </w:tcBorders>
          </w:tcPr>
          <w:p>
            <w:pPr>
              <w:spacing w:after="0"/>
              <w:rPr>
                <w:sz w:val="24"/>
                <w:szCs w:val="24"/>
                <w:color w:val="auto"/>
              </w:rPr>
            </w:pPr>
          </w:p>
        </w:tc>
      </w:tr>
      <w:tr>
        <w:trPr>
          <w:trHeight w:val="156"/>
        </w:trPr>
        <w:tc>
          <w:tcPr>
            <w:tcW w:w="40" w:type="dxa"/>
            <w:vAlign w:val="bottom"/>
            <w:tcBorders>
              <w:right w:val="single" w:sz="8" w:color="auto"/>
            </w:tcBorders>
            <w:shd w:val="clear" w:color="auto" w:fill="000000"/>
          </w:tcPr>
          <w:p>
            <w:pPr>
              <w:spacing w:after="0"/>
              <w:rPr>
                <w:sz w:val="13"/>
                <w:szCs w:val="13"/>
                <w:color w:val="auto"/>
              </w:rPr>
            </w:pPr>
          </w:p>
        </w:tc>
        <w:tc>
          <w:tcPr>
            <w:tcW w:w="168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88"/>
              </w:rPr>
              <w:t>2</w:t>
            </w:r>
          </w:p>
        </w:tc>
        <w:tc>
          <w:tcPr>
            <w:tcW w:w="780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720" w:type="dxa"/>
            <w:vAlign w:val="bottom"/>
            <w:tcBorders>
              <w:right w:val="single" w:sz="8" w:color="auto"/>
            </w:tcBorders>
          </w:tcPr>
          <w:p>
            <w:pPr>
              <w:ind w:left="62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83"/>
        </w:trPr>
        <w:tc>
          <w:tcPr>
            <w:tcW w:w="40" w:type="dxa"/>
            <w:vAlign w:val="bottom"/>
            <w:tcBorders>
              <w:bottom w:val="single" w:sz="8" w:color="auto"/>
              <w:right w:val="single" w:sz="8" w:color="auto"/>
            </w:tcBorders>
            <w:shd w:val="clear" w:color="auto" w:fill="000000"/>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6100" w:type="dxa"/>
            <w:vAlign w:val="bottom"/>
            <w:tcBorders>
              <w:bottom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61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5</w:t>
            </w:r>
          </w:p>
        </w:tc>
        <w:tc>
          <w:tcPr>
            <w:tcW w:w="61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61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2,276,706 (1)</w:t>
            </w:r>
          </w:p>
        </w:tc>
        <w:tc>
          <w:tcPr>
            <w:tcW w:w="172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7</w:t>
            </w:r>
          </w:p>
        </w:tc>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8</w:t>
            </w:r>
          </w:p>
        </w:tc>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2,276,706 (1)</w:t>
            </w: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2,276,706 (1)</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1.6% (1)</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OO</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firstLine="8"/>
        <w:spacing w:after="0" w:line="282" w:lineRule="auto"/>
        <w:tabs>
          <w:tab w:leader="none" w:pos="26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19,224 Shares represented by 6,408 ADSs and 2,257,482 Shares issuable upon the conversion of non-voting ordinary shares (represented by 752,494 ADSs).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CUSIP No. 86366E106</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BVF Partners L.P.</w:t>
            </w:r>
          </w:p>
        </w:tc>
        <w:tc>
          <w:tcPr>
            <w:tcW w:w="1720" w:type="dxa"/>
            <w:vAlign w:val="bottom"/>
            <w:tcBorders>
              <w:bottom w:val="single" w:sz="8" w:color="auto"/>
              <w:right w:val="single" w:sz="8" w:color="auto"/>
            </w:tcBorders>
          </w:tcPr>
          <w:p>
            <w:pPr>
              <w:spacing w:after="0"/>
              <w:rPr>
                <w:sz w:val="24"/>
                <w:szCs w:val="24"/>
                <w:color w:val="auto"/>
              </w:rPr>
            </w:pPr>
          </w:p>
        </w:tc>
      </w:tr>
      <w:tr>
        <w:trPr>
          <w:trHeight w:val="156"/>
        </w:trPr>
        <w:tc>
          <w:tcPr>
            <w:tcW w:w="40" w:type="dxa"/>
            <w:vAlign w:val="bottom"/>
            <w:tcBorders>
              <w:right w:val="single" w:sz="8" w:color="auto"/>
            </w:tcBorders>
            <w:shd w:val="clear" w:color="auto" w:fill="000000"/>
          </w:tcPr>
          <w:p>
            <w:pPr>
              <w:spacing w:after="0"/>
              <w:rPr>
                <w:sz w:val="13"/>
                <w:szCs w:val="13"/>
                <w:color w:val="auto"/>
              </w:rPr>
            </w:pPr>
          </w:p>
        </w:tc>
        <w:tc>
          <w:tcPr>
            <w:tcW w:w="168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88"/>
              </w:rPr>
              <w:t>2</w:t>
            </w:r>
          </w:p>
        </w:tc>
        <w:tc>
          <w:tcPr>
            <w:tcW w:w="780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720" w:type="dxa"/>
            <w:vAlign w:val="bottom"/>
            <w:tcBorders>
              <w:right w:val="single" w:sz="8" w:color="auto"/>
            </w:tcBorders>
          </w:tcPr>
          <w:p>
            <w:pPr>
              <w:ind w:left="62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83"/>
        </w:trPr>
        <w:tc>
          <w:tcPr>
            <w:tcW w:w="40" w:type="dxa"/>
            <w:vAlign w:val="bottom"/>
            <w:tcBorders>
              <w:bottom w:val="single" w:sz="8" w:color="auto"/>
              <w:right w:val="single" w:sz="8" w:color="auto"/>
            </w:tcBorders>
            <w:shd w:val="clear" w:color="auto" w:fill="000000"/>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6100" w:type="dxa"/>
            <w:vAlign w:val="bottom"/>
            <w:tcBorders>
              <w:bottom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61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5</w:t>
            </w:r>
          </w:p>
        </w:tc>
        <w:tc>
          <w:tcPr>
            <w:tcW w:w="61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61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2,438,964 (1)</w:t>
            </w:r>
          </w:p>
        </w:tc>
        <w:tc>
          <w:tcPr>
            <w:tcW w:w="172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7</w:t>
            </w:r>
          </w:p>
        </w:tc>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8</w:t>
            </w:r>
          </w:p>
        </w:tc>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2,438,964 (1)</w:t>
            </w: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2,438,964 (1)</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1.8% (1)</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PN, IA</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firstLine="8"/>
        <w:spacing w:after="0" w:line="282" w:lineRule="auto"/>
        <w:tabs>
          <w:tab w:leader="none" w:pos="26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37,044 Shares represented by 12,348 ADSs and 2,401,920 Shares issuable upon the conversion of non-voting ordinary shares (represented by 800,640 ADSs).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CUSIP No. 86366E106</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BVF Inc.</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56"/>
        </w:trPr>
        <w:tc>
          <w:tcPr>
            <w:tcW w:w="40" w:type="dxa"/>
            <w:vAlign w:val="bottom"/>
            <w:tcBorders>
              <w:right w:val="single" w:sz="8" w:color="auto"/>
            </w:tcBorders>
            <w:shd w:val="clear" w:color="auto" w:fill="000000"/>
          </w:tcPr>
          <w:p>
            <w:pPr>
              <w:spacing w:after="0"/>
              <w:rPr>
                <w:sz w:val="13"/>
                <w:szCs w:val="13"/>
                <w:color w:val="auto"/>
              </w:rPr>
            </w:pPr>
          </w:p>
        </w:tc>
        <w:tc>
          <w:tcPr>
            <w:tcW w:w="168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88"/>
              </w:rPr>
              <w:t>2</w:t>
            </w:r>
          </w:p>
        </w:tc>
        <w:tc>
          <w:tcPr>
            <w:tcW w:w="780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720" w:type="dxa"/>
            <w:vAlign w:val="bottom"/>
            <w:tcBorders>
              <w:right w:val="single" w:sz="8" w:color="auto"/>
            </w:tcBorders>
          </w:tcPr>
          <w:p>
            <w:pPr>
              <w:ind w:left="62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83"/>
        </w:trPr>
        <w:tc>
          <w:tcPr>
            <w:tcW w:w="40" w:type="dxa"/>
            <w:vAlign w:val="bottom"/>
            <w:tcBorders>
              <w:bottom w:val="single" w:sz="8" w:color="auto"/>
              <w:right w:val="single" w:sz="8" w:color="auto"/>
            </w:tcBorders>
            <w:shd w:val="clear" w:color="auto" w:fill="000000"/>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6100" w:type="dxa"/>
            <w:vAlign w:val="bottom"/>
            <w:tcBorders>
              <w:bottom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61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5</w:t>
            </w:r>
          </w:p>
        </w:tc>
        <w:tc>
          <w:tcPr>
            <w:tcW w:w="61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61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2,438,964 (1)</w:t>
            </w:r>
          </w:p>
        </w:tc>
        <w:tc>
          <w:tcPr>
            <w:tcW w:w="172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7</w:t>
            </w:r>
          </w:p>
        </w:tc>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8</w:t>
            </w:r>
          </w:p>
        </w:tc>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2,438,964 (1)</w:t>
            </w: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2,438,964 (1)</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1.8% (1)</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CO</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firstLine="8"/>
        <w:spacing w:after="0" w:line="282" w:lineRule="auto"/>
        <w:tabs>
          <w:tab w:leader="none" w:pos="26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37,044 Shares represented by 12,348 ADSs and 2,401,920 Shares issuable upon the conversion of non-voting ordinary shares (represented by 800,640 ADSs).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CUSIP No. 86366E106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233680</wp:posOffset>
            </wp:positionV>
            <wp:extent cx="3511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71" w:lineRule="exact"/>
        <w:rPr>
          <w:sz w:val="20"/>
          <w:szCs w:val="20"/>
          <w:color w:val="auto"/>
        </w:rPr>
      </w:pPr>
    </w:p>
    <w:p>
      <w:pPr>
        <w:ind w:left="1840" w:hanging="1026"/>
        <w:spacing w:after="0"/>
        <w:tabs>
          <w:tab w:leader="none" w:pos="1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-127635</wp:posOffset>
            </wp:positionV>
            <wp:extent cx="3511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Borders>
              <w:bottom w:val="single" w:sz="8" w:color="auto"/>
            </w:tcBorders>
          </w:tcPr>
          <w:p>
            <w:pPr>
              <w:spacing w:after="0"/>
              <w:rPr>
                <w:sz w:val="20"/>
                <w:szCs w:val="20"/>
                <w:color w:val="auto"/>
              </w:rPr>
            </w:pPr>
          </w:p>
        </w:tc>
        <w:tc>
          <w:tcPr>
            <w:tcW w:w="712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Mark N. Lampert</w:t>
            </w:r>
          </w:p>
        </w:tc>
        <w:tc>
          <w:tcPr>
            <w:tcW w:w="2760" w:type="dxa"/>
            <w:vAlign w:val="bottom"/>
            <w:tcBorders>
              <w:bottom w:val="single" w:sz="8" w:color="auto"/>
            </w:tcBorders>
          </w:tcPr>
          <w:p>
            <w:pPr>
              <w:spacing w:after="0"/>
              <w:rPr>
                <w:sz w:val="20"/>
                <w:szCs w:val="20"/>
                <w:color w:val="auto"/>
              </w:rPr>
            </w:pPr>
          </w:p>
        </w:tc>
      </w:tr>
      <w:tr>
        <w:trPr>
          <w:trHeight w:val="156"/>
        </w:trPr>
        <w:tc>
          <w:tcPr>
            <w:tcW w:w="1360" w:type="dxa"/>
            <w:vAlign w:val="bottom"/>
          </w:tcPr>
          <w:p>
            <w:pPr>
              <w:jc w:val="right"/>
              <w:ind w:right="370"/>
              <w:spacing w:after="0" w:line="156" w:lineRule="exact"/>
              <w:rPr>
                <w:sz w:val="20"/>
                <w:szCs w:val="20"/>
                <w:color w:val="auto"/>
              </w:rPr>
            </w:pPr>
            <w:r>
              <w:rPr>
                <w:rFonts w:ascii="Times New Roman" w:cs="Times New Roman" w:eastAsia="Times New Roman" w:hAnsi="Times New Roman"/>
                <w:sz w:val="18"/>
                <w:szCs w:val="18"/>
                <w:color w:val="auto"/>
              </w:rPr>
              <w:t>2</w:t>
            </w:r>
          </w:p>
        </w:tc>
        <w:tc>
          <w:tcPr>
            <w:tcW w:w="7120" w:type="dxa"/>
            <w:vAlign w:val="bottom"/>
          </w:tcPr>
          <w:p>
            <w:pPr>
              <w:ind w:left="48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760" w:type="dxa"/>
            <w:vAlign w:val="bottom"/>
          </w:tcPr>
          <w:p>
            <w:pPr>
              <w:ind w:left="166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136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760" w:type="dxa"/>
            <w:vAlign w:val="bottom"/>
          </w:tcPr>
          <w:p>
            <w:pPr>
              <w:ind w:left="16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bl>
    <w:p>
      <w:pPr>
        <w:spacing w:after="0" w:line="178" w:lineRule="exact"/>
        <w:rPr>
          <w:sz w:val="20"/>
          <w:szCs w:val="20"/>
          <w:color w:val="auto"/>
        </w:rPr>
      </w:pPr>
    </w:p>
    <w:p>
      <w:pPr>
        <w:ind w:left="1840" w:hanging="1026"/>
        <w:spacing w:after="0"/>
        <w:tabs>
          <w:tab w:leader="none" w:pos="1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-127635</wp:posOffset>
            </wp:positionV>
            <wp:extent cx="3511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840" w:hanging="1026"/>
        <w:spacing w:after="0"/>
        <w:tabs>
          <w:tab w:leader="none" w:pos="1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-127635</wp:posOffset>
            </wp:positionV>
            <wp:extent cx="3511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United States</w:t>
            </w:r>
          </w:p>
        </w:tc>
        <w:tc>
          <w:tcPr>
            <w:tcW w:w="6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r>
      <w:tr>
        <w:trPr>
          <w:trHeight w:val="191"/>
        </w:trPr>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20" w:type="dxa"/>
            <w:vAlign w:val="bottom"/>
            <w:tcBorders>
              <w:right w:val="single" w:sz="8" w:color="auto"/>
            </w:tcBorders>
          </w:tcPr>
          <w:p>
            <w:pPr>
              <w:jc w:val="right"/>
              <w:ind w:right="730"/>
              <w:spacing w:after="0" w:line="191" w:lineRule="exact"/>
              <w:rPr>
                <w:sz w:val="20"/>
                <w:szCs w:val="20"/>
                <w:color w:val="auto"/>
              </w:rPr>
            </w:pPr>
            <w:r>
              <w:rPr>
                <w:rFonts w:ascii="Times New Roman" w:cs="Times New Roman" w:eastAsia="Times New Roman" w:hAnsi="Times New Roman"/>
                <w:sz w:val="18"/>
                <w:szCs w:val="18"/>
                <w:color w:val="auto"/>
              </w:rPr>
              <w:t>5</w:t>
            </w:r>
          </w:p>
        </w:tc>
        <w:tc>
          <w:tcPr>
            <w:tcW w:w="61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64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20" w:type="dxa"/>
            <w:vAlign w:val="bottom"/>
            <w:tcBorders>
              <w:right w:val="single" w:sz="8" w:color="auto"/>
            </w:tcBorders>
          </w:tcPr>
          <w:p>
            <w:pPr>
              <w:spacing w:after="0"/>
              <w:rPr>
                <w:sz w:val="18"/>
                <w:szCs w:val="18"/>
                <w:color w:val="auto"/>
              </w:rPr>
            </w:pPr>
          </w:p>
        </w:tc>
        <w:tc>
          <w:tcPr>
            <w:tcW w:w="61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1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0</w:t>
            </w:r>
          </w:p>
        </w:tc>
        <w:tc>
          <w:tcPr>
            <w:tcW w:w="1640" w:type="dxa"/>
            <w:vAlign w:val="bottom"/>
            <w:tcBorders>
              <w:bottom w:val="single" w:sz="8" w:color="auto"/>
            </w:tcBorders>
          </w:tcPr>
          <w:p>
            <w:pPr>
              <w:spacing w:after="0"/>
              <w:rPr>
                <w:sz w:val="20"/>
                <w:szCs w:val="20"/>
                <w:color w:val="auto"/>
              </w:rPr>
            </w:pPr>
          </w:p>
        </w:tc>
      </w:tr>
      <w:tr>
        <w:trPr>
          <w:trHeight w:val="191"/>
        </w:trPr>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20" w:type="dxa"/>
            <w:vAlign w:val="bottom"/>
            <w:tcBorders>
              <w:right w:val="single" w:sz="8" w:color="auto"/>
            </w:tcBorders>
          </w:tcPr>
          <w:p>
            <w:pPr>
              <w:jc w:val="right"/>
              <w:ind w:right="73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61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64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20" w:type="dxa"/>
            <w:vAlign w:val="bottom"/>
            <w:tcBorders>
              <w:right w:val="single" w:sz="8" w:color="auto"/>
            </w:tcBorders>
          </w:tcPr>
          <w:p>
            <w:pPr>
              <w:spacing w:after="0"/>
              <w:rPr>
                <w:sz w:val="18"/>
                <w:szCs w:val="18"/>
                <w:color w:val="auto"/>
              </w:rPr>
            </w:pPr>
          </w:p>
        </w:tc>
        <w:tc>
          <w:tcPr>
            <w:tcW w:w="61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1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2,438,964 (1)</w:t>
            </w:r>
          </w:p>
        </w:tc>
        <w:tc>
          <w:tcPr>
            <w:tcW w:w="1640" w:type="dxa"/>
            <w:vAlign w:val="bottom"/>
            <w:tcBorders>
              <w:bottom w:val="single" w:sz="8" w:color="auto"/>
            </w:tcBorders>
          </w:tcPr>
          <w:p>
            <w:pPr>
              <w:spacing w:after="0"/>
              <w:rPr>
                <w:sz w:val="20"/>
                <w:szCs w:val="20"/>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20" w:type="dxa"/>
            <w:vAlign w:val="bottom"/>
            <w:tcBorders>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7</w:t>
            </w:r>
          </w:p>
        </w:tc>
        <w:tc>
          <w:tcPr>
            <w:tcW w:w="6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640" w:type="dxa"/>
            <w:vAlign w:val="bottom"/>
          </w:tcPr>
          <w:p>
            <w:pPr>
              <w:spacing w:after="0"/>
              <w:rPr>
                <w:sz w:val="19"/>
                <w:szCs w:val="19"/>
                <w:color w:val="auto"/>
              </w:rPr>
            </w:pPr>
          </w:p>
        </w:tc>
      </w:tr>
      <w:tr>
        <w:trPr>
          <w:trHeight w:val="414"/>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0</w:t>
            </w:r>
          </w:p>
        </w:tc>
        <w:tc>
          <w:tcPr>
            <w:tcW w:w="164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spacing w:after="0"/>
              <w:rPr>
                <w:sz w:val="19"/>
                <w:szCs w:val="19"/>
                <w:color w:val="auto"/>
              </w:rPr>
            </w:pPr>
          </w:p>
        </w:tc>
        <w:tc>
          <w:tcPr>
            <w:tcW w:w="1720" w:type="dxa"/>
            <w:vAlign w:val="bottom"/>
            <w:tcBorders>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8</w:t>
            </w:r>
          </w:p>
        </w:tc>
        <w:tc>
          <w:tcPr>
            <w:tcW w:w="6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64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2,438,964 (1)</w:t>
            </w:r>
          </w:p>
        </w:tc>
        <w:tc>
          <w:tcPr>
            <w:tcW w:w="164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7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64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2,438,964 (1)</w:t>
            </w:r>
          </w:p>
        </w:tc>
        <w:tc>
          <w:tcPr>
            <w:tcW w:w="6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97"/>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64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1700" w:type="dxa"/>
            <w:vAlign w:val="bottom"/>
            <w:tcBorders>
              <w:bottom w:val="single" w:sz="8" w:color="auto"/>
            </w:tcBorders>
          </w:tcPr>
          <w:p>
            <w:pPr>
              <w:spacing w:after="0"/>
              <w:rPr>
                <w:sz w:val="24"/>
                <w:szCs w:val="24"/>
                <w:color w:val="auto"/>
              </w:rPr>
            </w:pPr>
          </w:p>
        </w:tc>
        <w:tc>
          <w:tcPr>
            <w:tcW w:w="7900" w:type="dxa"/>
            <w:vAlign w:val="bottom"/>
            <w:tcBorders>
              <w:bottom w:val="single" w:sz="8" w:color="auto"/>
            </w:tcBorders>
            <w:gridSpan w:val="2"/>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7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640" w:type="dxa"/>
            <w:vAlign w:val="bottom"/>
          </w:tcPr>
          <w:p>
            <w:pPr>
              <w:spacing w:after="0"/>
              <w:rPr>
                <w:sz w:val="19"/>
                <w:szCs w:val="19"/>
                <w:color w:val="auto"/>
              </w:rPr>
            </w:pPr>
          </w:p>
        </w:tc>
      </w:tr>
    </w:tbl>
    <w:p>
      <w:pPr>
        <w:spacing w:after="0" w:line="17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1.8%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17145</wp:posOffset>
            </wp:positionV>
            <wp:extent cx="3511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7" w:lineRule="exact"/>
        <w:rPr>
          <w:sz w:val="20"/>
          <w:szCs w:val="20"/>
          <w:color w:val="auto"/>
        </w:rPr>
      </w:pPr>
    </w:p>
    <w:p>
      <w:pPr>
        <w:ind w:left="2280" w:right="6900" w:hanging="1512"/>
        <w:spacing w:after="0" w:line="527" w:lineRule="auto"/>
        <w:tabs>
          <w:tab w:leader="none" w:pos="183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IN</w:t>
      </w:r>
    </w:p>
    <w:p>
      <w:pPr>
        <w:spacing w:after="0" w:line="17" w:lineRule="exact"/>
        <w:rPr>
          <w:rFonts w:ascii="Times New Roman" w:cs="Times New Roman" w:eastAsia="Times New Roman" w:hAnsi="Times New Roman"/>
          <w:sz w:val="18"/>
          <w:szCs w:val="18"/>
          <w:color w:val="auto"/>
        </w:rPr>
      </w:pPr>
    </w:p>
    <w:p>
      <w:pPr>
        <w:ind w:firstLine="8"/>
        <w:spacing w:after="0" w:line="282" w:lineRule="auto"/>
        <w:tabs>
          <w:tab w:leader="none" w:pos="26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37,044 Shares represented by 12,348 ADSs and 2,401,920 Shares issuable upon the conversion of non-voting ordinary shares (represented by 800,640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-614045</wp:posOffset>
            </wp:positionV>
            <wp:extent cx="889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-614045</wp:posOffset>
            </wp:positionV>
            <wp:extent cx="889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-614045</wp:posOffset>
            </wp:positionV>
            <wp:extent cx="889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-614045</wp:posOffset>
            </wp:positionV>
            <wp:extent cx="351155"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1155" cy="163195"/>
                    </a:xfrm>
                    <a:prstGeom prst="rect">
                      <a:avLst/>
                    </a:prstGeom>
                    <a:noFill/>
                  </pic:spPr>
                </pic:pic>
              </a:graphicData>
            </a:graphic>
          </wp:anchor>
        </w:drawing>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color w:val="auto"/>
        </w:rPr>
        <w:t>CUSIP No. 86366E106</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Name of Issuer:</w:t>
            </w:r>
          </w:p>
        </w:tc>
      </w:tr>
      <w:tr>
        <w:trPr>
          <w:trHeight w:val="432"/>
        </w:trPr>
        <w:tc>
          <w:tcPr>
            <w:tcW w:w="1040" w:type="dxa"/>
            <w:vAlign w:val="bottom"/>
          </w:tcPr>
          <w:p>
            <w:pPr>
              <w:spacing w:after="0"/>
              <w:rPr>
                <w:sz w:val="24"/>
                <w:szCs w:val="24"/>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Structure Therapeutics Inc., a Cayman Islands corporation (the “Issuer”).</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Address of Issuer’s Principal Executive Offices:</w:t>
            </w:r>
          </w:p>
        </w:tc>
      </w:tr>
      <w:tr>
        <w:trPr>
          <w:trHeight w:val="414"/>
        </w:trPr>
        <w:tc>
          <w:tcPr>
            <w:tcW w:w="1040" w:type="dxa"/>
            <w:vAlign w:val="bottom"/>
          </w:tcPr>
          <w:p>
            <w:pPr>
              <w:spacing w:after="0"/>
              <w:rPr>
                <w:sz w:val="24"/>
                <w:szCs w:val="24"/>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601 Gateway Blvd., Suite 900</w:t>
            </w:r>
          </w:p>
        </w:tc>
      </w:tr>
      <w:tr>
        <w:trPr>
          <w:trHeight w:val="234"/>
        </w:trPr>
        <w:tc>
          <w:tcPr>
            <w:tcW w:w="1040" w:type="dxa"/>
            <w:vAlign w:val="bottom"/>
          </w:tcPr>
          <w:p>
            <w:pPr>
              <w:spacing w:after="0"/>
              <w:rPr>
                <w:sz w:val="20"/>
                <w:szCs w:val="20"/>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South San Francisco, California 94080</w:t>
            </w:r>
          </w:p>
        </w:tc>
      </w:tr>
      <w:tr>
        <w:trPr>
          <w:trHeight w:val="410"/>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2(a).</w:t>
            </w: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Name of Person Filing</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2(b).</w:t>
            </w: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Address of Principal Business Office or, if None, Residence</w:t>
            </w:r>
          </w:p>
        </w:tc>
      </w:tr>
      <w:tr>
        <w:trPr>
          <w:trHeight w:val="238"/>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2(c).</w:t>
            </w: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414"/>
        </w:trPr>
        <w:tc>
          <w:tcPr>
            <w:tcW w:w="1040" w:type="dxa"/>
            <w:vAlign w:val="bottom"/>
          </w:tcPr>
          <w:p>
            <w:pPr>
              <w:spacing w:after="0"/>
              <w:rPr>
                <w:sz w:val="24"/>
                <w:szCs w:val="24"/>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Biotechnology Value Fund, L.P. (“BVF”)</w:t>
            </w:r>
          </w:p>
        </w:tc>
      </w:tr>
      <w:tr>
        <w:trPr>
          <w:trHeight w:val="216"/>
        </w:trPr>
        <w:tc>
          <w:tcPr>
            <w:tcW w:w="1040" w:type="dxa"/>
            <w:vAlign w:val="bottom"/>
          </w:tcPr>
          <w:p>
            <w:pPr>
              <w:spacing w:after="0"/>
              <w:rPr>
                <w:sz w:val="18"/>
                <w:szCs w:val="18"/>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44 Montgomery St., 40th Floor</w:t>
            </w:r>
          </w:p>
        </w:tc>
      </w:tr>
      <w:tr>
        <w:trPr>
          <w:trHeight w:val="216"/>
        </w:trPr>
        <w:tc>
          <w:tcPr>
            <w:tcW w:w="1040" w:type="dxa"/>
            <w:vAlign w:val="bottom"/>
          </w:tcPr>
          <w:p>
            <w:pPr>
              <w:spacing w:after="0"/>
              <w:rPr>
                <w:sz w:val="18"/>
                <w:szCs w:val="18"/>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San Francisco, California 94104</w:t>
            </w:r>
          </w:p>
        </w:tc>
      </w:tr>
      <w:tr>
        <w:trPr>
          <w:trHeight w:val="234"/>
        </w:trPr>
        <w:tc>
          <w:tcPr>
            <w:tcW w:w="1040" w:type="dxa"/>
            <w:vAlign w:val="bottom"/>
          </w:tcPr>
          <w:p>
            <w:pPr>
              <w:spacing w:after="0"/>
              <w:rPr>
                <w:sz w:val="20"/>
                <w:szCs w:val="20"/>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Citizenship: Delaware</w:t>
            </w:r>
          </w:p>
        </w:tc>
      </w:tr>
      <w:tr>
        <w:trPr>
          <w:trHeight w:val="414"/>
        </w:trPr>
        <w:tc>
          <w:tcPr>
            <w:tcW w:w="1040" w:type="dxa"/>
            <w:vAlign w:val="bottom"/>
          </w:tcPr>
          <w:p>
            <w:pPr>
              <w:spacing w:after="0"/>
              <w:rPr>
                <w:sz w:val="24"/>
                <w:szCs w:val="24"/>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BVF I GP LLC (“BVF GP”)</w:t>
            </w:r>
          </w:p>
        </w:tc>
      </w:tr>
      <w:tr>
        <w:trPr>
          <w:trHeight w:val="216"/>
        </w:trPr>
        <w:tc>
          <w:tcPr>
            <w:tcW w:w="1040" w:type="dxa"/>
            <w:vAlign w:val="bottom"/>
          </w:tcPr>
          <w:p>
            <w:pPr>
              <w:spacing w:after="0"/>
              <w:rPr>
                <w:sz w:val="18"/>
                <w:szCs w:val="18"/>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44 Montgomery St., 40th Floor</w:t>
            </w:r>
          </w:p>
        </w:tc>
      </w:tr>
      <w:tr>
        <w:trPr>
          <w:trHeight w:val="216"/>
        </w:trPr>
        <w:tc>
          <w:tcPr>
            <w:tcW w:w="1040" w:type="dxa"/>
            <w:vAlign w:val="bottom"/>
          </w:tcPr>
          <w:p>
            <w:pPr>
              <w:spacing w:after="0"/>
              <w:rPr>
                <w:sz w:val="18"/>
                <w:szCs w:val="18"/>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San Francisco, California 94104</w:t>
            </w:r>
          </w:p>
        </w:tc>
      </w:tr>
      <w:tr>
        <w:trPr>
          <w:trHeight w:val="234"/>
        </w:trPr>
        <w:tc>
          <w:tcPr>
            <w:tcW w:w="1040" w:type="dxa"/>
            <w:vAlign w:val="bottom"/>
          </w:tcPr>
          <w:p>
            <w:pPr>
              <w:spacing w:after="0"/>
              <w:rPr>
                <w:sz w:val="20"/>
                <w:szCs w:val="20"/>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Citizenship: Delaware</w:t>
            </w:r>
          </w:p>
        </w:tc>
      </w:tr>
      <w:tr>
        <w:trPr>
          <w:trHeight w:val="414"/>
        </w:trPr>
        <w:tc>
          <w:tcPr>
            <w:tcW w:w="1040" w:type="dxa"/>
            <w:vAlign w:val="bottom"/>
          </w:tcPr>
          <w:p>
            <w:pPr>
              <w:spacing w:after="0"/>
              <w:rPr>
                <w:sz w:val="24"/>
                <w:szCs w:val="24"/>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Biotechnology Value Fund II, L.P. (“BVF2”)</w:t>
            </w:r>
          </w:p>
        </w:tc>
      </w:tr>
      <w:tr>
        <w:trPr>
          <w:trHeight w:val="216"/>
        </w:trPr>
        <w:tc>
          <w:tcPr>
            <w:tcW w:w="1040" w:type="dxa"/>
            <w:vAlign w:val="bottom"/>
          </w:tcPr>
          <w:p>
            <w:pPr>
              <w:spacing w:after="0"/>
              <w:rPr>
                <w:sz w:val="18"/>
                <w:szCs w:val="18"/>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44 Montgomery St., 40th Floor</w:t>
            </w:r>
          </w:p>
        </w:tc>
      </w:tr>
      <w:tr>
        <w:trPr>
          <w:trHeight w:val="216"/>
        </w:trPr>
        <w:tc>
          <w:tcPr>
            <w:tcW w:w="1040" w:type="dxa"/>
            <w:vAlign w:val="bottom"/>
          </w:tcPr>
          <w:p>
            <w:pPr>
              <w:spacing w:after="0"/>
              <w:rPr>
                <w:sz w:val="18"/>
                <w:szCs w:val="18"/>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San Francisco, California 94104</w:t>
            </w:r>
          </w:p>
        </w:tc>
      </w:tr>
      <w:tr>
        <w:trPr>
          <w:trHeight w:val="234"/>
        </w:trPr>
        <w:tc>
          <w:tcPr>
            <w:tcW w:w="1040" w:type="dxa"/>
            <w:vAlign w:val="bottom"/>
          </w:tcPr>
          <w:p>
            <w:pPr>
              <w:spacing w:after="0"/>
              <w:rPr>
                <w:sz w:val="20"/>
                <w:szCs w:val="20"/>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Citizenship: Delaware</w:t>
            </w:r>
          </w:p>
        </w:tc>
      </w:tr>
      <w:tr>
        <w:trPr>
          <w:trHeight w:val="414"/>
        </w:trPr>
        <w:tc>
          <w:tcPr>
            <w:tcW w:w="1040" w:type="dxa"/>
            <w:vAlign w:val="bottom"/>
          </w:tcPr>
          <w:p>
            <w:pPr>
              <w:spacing w:after="0"/>
              <w:rPr>
                <w:sz w:val="24"/>
                <w:szCs w:val="24"/>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BVF II GP LLC (“BVF2 GP”)</w:t>
            </w:r>
          </w:p>
        </w:tc>
      </w:tr>
      <w:tr>
        <w:trPr>
          <w:trHeight w:val="216"/>
        </w:trPr>
        <w:tc>
          <w:tcPr>
            <w:tcW w:w="1040" w:type="dxa"/>
            <w:vAlign w:val="bottom"/>
          </w:tcPr>
          <w:p>
            <w:pPr>
              <w:spacing w:after="0"/>
              <w:rPr>
                <w:sz w:val="18"/>
                <w:szCs w:val="18"/>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44 Montgomery St., 40th Floor</w:t>
            </w:r>
          </w:p>
        </w:tc>
      </w:tr>
      <w:tr>
        <w:trPr>
          <w:trHeight w:val="216"/>
        </w:trPr>
        <w:tc>
          <w:tcPr>
            <w:tcW w:w="1040" w:type="dxa"/>
            <w:vAlign w:val="bottom"/>
          </w:tcPr>
          <w:p>
            <w:pPr>
              <w:spacing w:after="0"/>
              <w:rPr>
                <w:sz w:val="18"/>
                <w:szCs w:val="18"/>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San Francisco, California 94104</w:t>
            </w:r>
          </w:p>
        </w:tc>
      </w:tr>
      <w:tr>
        <w:trPr>
          <w:trHeight w:val="234"/>
        </w:trPr>
        <w:tc>
          <w:tcPr>
            <w:tcW w:w="1040" w:type="dxa"/>
            <w:vAlign w:val="bottom"/>
          </w:tcPr>
          <w:p>
            <w:pPr>
              <w:spacing w:after="0"/>
              <w:rPr>
                <w:sz w:val="20"/>
                <w:szCs w:val="20"/>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Citizenship: Delaware</w:t>
            </w:r>
          </w:p>
        </w:tc>
      </w:tr>
      <w:tr>
        <w:trPr>
          <w:trHeight w:val="414"/>
        </w:trPr>
        <w:tc>
          <w:tcPr>
            <w:tcW w:w="1040" w:type="dxa"/>
            <w:vAlign w:val="bottom"/>
          </w:tcPr>
          <w:p>
            <w:pPr>
              <w:spacing w:after="0"/>
              <w:rPr>
                <w:sz w:val="24"/>
                <w:szCs w:val="24"/>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Biotechnology Value Trading Fund OS LP (“Trading Fund OS”)</w:t>
            </w:r>
          </w:p>
        </w:tc>
      </w:tr>
      <w:tr>
        <w:trPr>
          <w:trHeight w:val="216"/>
        </w:trPr>
        <w:tc>
          <w:tcPr>
            <w:tcW w:w="1040" w:type="dxa"/>
            <w:vAlign w:val="bottom"/>
          </w:tcPr>
          <w:p>
            <w:pPr>
              <w:spacing w:after="0"/>
              <w:rPr>
                <w:sz w:val="18"/>
                <w:szCs w:val="18"/>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PO Box 309 Ugland House</w:t>
            </w:r>
          </w:p>
        </w:tc>
      </w:tr>
      <w:tr>
        <w:trPr>
          <w:trHeight w:val="216"/>
        </w:trPr>
        <w:tc>
          <w:tcPr>
            <w:tcW w:w="1040" w:type="dxa"/>
            <w:vAlign w:val="bottom"/>
          </w:tcPr>
          <w:p>
            <w:pPr>
              <w:spacing w:after="0"/>
              <w:rPr>
                <w:sz w:val="18"/>
                <w:szCs w:val="18"/>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Grand Cayman, KY1-1104</w:t>
            </w:r>
          </w:p>
        </w:tc>
      </w:tr>
      <w:tr>
        <w:trPr>
          <w:trHeight w:val="216"/>
        </w:trPr>
        <w:tc>
          <w:tcPr>
            <w:tcW w:w="1040" w:type="dxa"/>
            <w:vAlign w:val="bottom"/>
          </w:tcPr>
          <w:p>
            <w:pPr>
              <w:spacing w:after="0"/>
              <w:rPr>
                <w:sz w:val="18"/>
                <w:szCs w:val="18"/>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34"/>
        </w:trPr>
        <w:tc>
          <w:tcPr>
            <w:tcW w:w="1040" w:type="dxa"/>
            <w:vAlign w:val="bottom"/>
          </w:tcPr>
          <w:p>
            <w:pPr>
              <w:spacing w:after="0"/>
              <w:rPr>
                <w:sz w:val="20"/>
                <w:szCs w:val="20"/>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Citizenship: Cayman Islands</w:t>
            </w:r>
          </w:p>
        </w:tc>
      </w:tr>
      <w:tr>
        <w:trPr>
          <w:trHeight w:val="414"/>
        </w:trPr>
        <w:tc>
          <w:tcPr>
            <w:tcW w:w="1040" w:type="dxa"/>
            <w:vAlign w:val="bottom"/>
          </w:tcPr>
          <w:p>
            <w:pPr>
              <w:spacing w:after="0"/>
              <w:rPr>
                <w:sz w:val="24"/>
                <w:szCs w:val="24"/>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BVF Partners OS Ltd. (“Partners OS”)</w:t>
            </w:r>
          </w:p>
        </w:tc>
      </w:tr>
      <w:tr>
        <w:trPr>
          <w:trHeight w:val="216"/>
        </w:trPr>
        <w:tc>
          <w:tcPr>
            <w:tcW w:w="1040" w:type="dxa"/>
            <w:vAlign w:val="bottom"/>
          </w:tcPr>
          <w:p>
            <w:pPr>
              <w:spacing w:after="0"/>
              <w:rPr>
                <w:sz w:val="18"/>
                <w:szCs w:val="18"/>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PO Box 309 Ugland House</w:t>
            </w:r>
          </w:p>
        </w:tc>
      </w:tr>
      <w:tr>
        <w:trPr>
          <w:trHeight w:val="216"/>
        </w:trPr>
        <w:tc>
          <w:tcPr>
            <w:tcW w:w="1040" w:type="dxa"/>
            <w:vAlign w:val="bottom"/>
          </w:tcPr>
          <w:p>
            <w:pPr>
              <w:spacing w:after="0"/>
              <w:rPr>
                <w:sz w:val="18"/>
                <w:szCs w:val="18"/>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Grand Cayman, KY1-1104</w:t>
            </w:r>
          </w:p>
        </w:tc>
      </w:tr>
      <w:tr>
        <w:trPr>
          <w:trHeight w:val="216"/>
        </w:trPr>
        <w:tc>
          <w:tcPr>
            <w:tcW w:w="1040" w:type="dxa"/>
            <w:vAlign w:val="bottom"/>
          </w:tcPr>
          <w:p>
            <w:pPr>
              <w:spacing w:after="0"/>
              <w:rPr>
                <w:sz w:val="18"/>
                <w:szCs w:val="18"/>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34"/>
        </w:trPr>
        <w:tc>
          <w:tcPr>
            <w:tcW w:w="1040" w:type="dxa"/>
            <w:vAlign w:val="bottom"/>
          </w:tcPr>
          <w:p>
            <w:pPr>
              <w:spacing w:after="0"/>
              <w:rPr>
                <w:sz w:val="20"/>
                <w:szCs w:val="20"/>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Citizenship: Cayman Islands</w:t>
            </w:r>
          </w:p>
        </w:tc>
      </w:tr>
      <w:tr>
        <w:trPr>
          <w:trHeight w:val="414"/>
        </w:trPr>
        <w:tc>
          <w:tcPr>
            <w:tcW w:w="1040" w:type="dxa"/>
            <w:vAlign w:val="bottom"/>
          </w:tcPr>
          <w:p>
            <w:pPr>
              <w:spacing w:after="0"/>
              <w:rPr>
                <w:sz w:val="24"/>
                <w:szCs w:val="24"/>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BVF GP Holdings LLC (“BVF GPH”)</w:t>
            </w:r>
          </w:p>
        </w:tc>
      </w:tr>
      <w:tr>
        <w:trPr>
          <w:trHeight w:val="216"/>
        </w:trPr>
        <w:tc>
          <w:tcPr>
            <w:tcW w:w="1040" w:type="dxa"/>
            <w:vAlign w:val="bottom"/>
          </w:tcPr>
          <w:p>
            <w:pPr>
              <w:spacing w:after="0"/>
              <w:rPr>
                <w:sz w:val="18"/>
                <w:szCs w:val="18"/>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44 Montgomery St., 40th Floor</w:t>
            </w:r>
          </w:p>
        </w:tc>
      </w:tr>
      <w:tr>
        <w:trPr>
          <w:trHeight w:val="216"/>
        </w:trPr>
        <w:tc>
          <w:tcPr>
            <w:tcW w:w="1040" w:type="dxa"/>
            <w:vAlign w:val="bottom"/>
          </w:tcPr>
          <w:p>
            <w:pPr>
              <w:spacing w:after="0"/>
              <w:rPr>
                <w:sz w:val="18"/>
                <w:szCs w:val="18"/>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San Francisco, California 94104</w:t>
            </w:r>
          </w:p>
        </w:tc>
      </w:tr>
      <w:tr>
        <w:trPr>
          <w:trHeight w:val="234"/>
        </w:trPr>
        <w:tc>
          <w:tcPr>
            <w:tcW w:w="1040" w:type="dxa"/>
            <w:vAlign w:val="bottom"/>
          </w:tcPr>
          <w:p>
            <w:pPr>
              <w:spacing w:after="0"/>
              <w:rPr>
                <w:sz w:val="20"/>
                <w:szCs w:val="20"/>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Citizenship: Delaware</w:t>
            </w:r>
          </w:p>
        </w:tc>
      </w:tr>
      <w:tr>
        <w:trPr>
          <w:trHeight w:val="414"/>
        </w:trPr>
        <w:tc>
          <w:tcPr>
            <w:tcW w:w="1040" w:type="dxa"/>
            <w:vAlign w:val="bottom"/>
          </w:tcPr>
          <w:p>
            <w:pPr>
              <w:spacing w:after="0"/>
              <w:rPr>
                <w:sz w:val="24"/>
                <w:szCs w:val="24"/>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BVF Partners L.P. (“Partners”)</w:t>
            </w:r>
          </w:p>
        </w:tc>
      </w:tr>
      <w:tr>
        <w:trPr>
          <w:trHeight w:val="216"/>
        </w:trPr>
        <w:tc>
          <w:tcPr>
            <w:tcW w:w="1040" w:type="dxa"/>
            <w:vAlign w:val="bottom"/>
          </w:tcPr>
          <w:p>
            <w:pPr>
              <w:spacing w:after="0"/>
              <w:rPr>
                <w:sz w:val="18"/>
                <w:szCs w:val="18"/>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44 Montgomery St., 40th Floor</w:t>
            </w:r>
          </w:p>
        </w:tc>
      </w:tr>
      <w:tr>
        <w:trPr>
          <w:trHeight w:val="216"/>
        </w:trPr>
        <w:tc>
          <w:tcPr>
            <w:tcW w:w="1040" w:type="dxa"/>
            <w:vAlign w:val="bottom"/>
          </w:tcPr>
          <w:p>
            <w:pPr>
              <w:spacing w:after="0"/>
              <w:rPr>
                <w:sz w:val="18"/>
                <w:szCs w:val="18"/>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San Francisco, California 94104</w:t>
            </w:r>
          </w:p>
        </w:tc>
      </w:tr>
      <w:tr>
        <w:trPr>
          <w:trHeight w:val="234"/>
        </w:trPr>
        <w:tc>
          <w:tcPr>
            <w:tcW w:w="1040" w:type="dxa"/>
            <w:vAlign w:val="bottom"/>
          </w:tcPr>
          <w:p>
            <w:pPr>
              <w:spacing w:after="0"/>
              <w:rPr>
                <w:sz w:val="20"/>
                <w:szCs w:val="20"/>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Citizenship: Delaware</w:t>
            </w:r>
          </w:p>
        </w:tc>
      </w:tr>
      <w:tr>
        <w:trPr>
          <w:trHeight w:val="324"/>
        </w:trPr>
        <w:tc>
          <w:tcPr>
            <w:tcW w:w="1040" w:type="dxa"/>
            <w:vAlign w:val="bottom"/>
            <w:tcBorders>
              <w:bottom w:val="single" w:sz="8" w:color="auto"/>
            </w:tcBorders>
          </w:tcPr>
          <w:p>
            <w:pPr>
              <w:spacing w:after="0"/>
              <w:rPr>
                <w:sz w:val="24"/>
                <w:szCs w:val="24"/>
                <w:color w:val="auto"/>
              </w:rPr>
            </w:pPr>
          </w:p>
        </w:tc>
        <w:tc>
          <w:tcPr>
            <w:tcW w:w="10200" w:type="dxa"/>
            <w:vAlign w:val="bottom"/>
            <w:tcBorders>
              <w:bottom w:val="single" w:sz="8" w:color="auto"/>
            </w:tcBorders>
          </w:tcPr>
          <w:p>
            <w:pPr>
              <w:ind w:left="4500"/>
              <w:spacing w:after="0"/>
              <w:rPr>
                <w:sz w:val="20"/>
                <w:szCs w:val="20"/>
                <w:color w:val="auto"/>
              </w:rPr>
            </w:pPr>
            <w:r>
              <w:rPr>
                <w:rFonts w:ascii="Times New Roman" w:cs="Times New Roman" w:eastAsia="Times New Roman" w:hAnsi="Times New Roman"/>
                <w:sz w:val="18"/>
                <w:szCs w:val="18"/>
                <w:color w:val="auto"/>
              </w:rPr>
              <w:t>12</w:t>
            </w:r>
          </w:p>
        </w:tc>
      </w:tr>
    </w:tbl>
    <w:p>
      <w:pPr>
        <w:sectPr>
          <w:pgSz w:w="11900" w:h="16838" w:orient="portrait"/>
          <w:cols w:equalWidth="0" w:num="1">
            <w:col w:w="11240"/>
          </w:cols>
          <w:pgMar w:left="320" w:top="22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color w:val="auto"/>
        </w:rPr>
        <w:t>CUSIP No. 86366E106</w:t>
      </w:r>
    </w:p>
    <w:p>
      <w:pPr>
        <w:spacing w:after="0" w:line="3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BVF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44 Montgomery St., 40th Floor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San Francisco, California 94104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Citizenship: Delaware</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Mark N. Lampert (“Mr. Lampert”)</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44 Montgomery St., 40th Floor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San Francisco, California 94104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Citizenship: United States</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Each of the foregoing is referred to as a “Reporting Person” and collectively as the “Reporting Persons.”</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color w:val="auto"/>
        </w:rPr>
        <w:t>Title of Class of Securities:</w:t>
      </w:r>
    </w:p>
    <w:p>
      <w:pPr>
        <w:spacing w:after="0" w:line="229"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Ordinary Shares, par value $0.0001 per share (the “Shares”). The Reporting Persons also own American Depositary Shares of the Issuer (the “ADSs”) and non-voting ordinary shares of the Issuer that will be converted into ADSs, as set forth herein. Each ADS represents three Shares.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2(e).</w:t>
            </w:r>
          </w:p>
        </w:tc>
        <w:tc>
          <w:tcPr>
            <w:tcW w:w="17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CUSIP Number:</w:t>
            </w:r>
          </w:p>
        </w:tc>
        <w:tc>
          <w:tcPr>
            <w:tcW w:w="8440" w:type="dxa"/>
            <w:vAlign w:val="bottom"/>
          </w:tcPr>
          <w:p>
            <w:pPr>
              <w:spacing w:after="0"/>
              <w:rPr>
                <w:sz w:val="20"/>
                <w:szCs w:val="20"/>
                <w:color w:val="auto"/>
              </w:rPr>
            </w:pPr>
          </w:p>
        </w:tc>
      </w:tr>
      <w:tr>
        <w:trPr>
          <w:trHeight w:val="432"/>
        </w:trPr>
        <w:tc>
          <w:tcPr>
            <w:tcW w:w="1020" w:type="dxa"/>
            <w:vAlign w:val="bottom"/>
          </w:tcPr>
          <w:p>
            <w:pPr>
              <w:spacing w:after="0"/>
              <w:rPr>
                <w:sz w:val="24"/>
                <w:szCs w:val="24"/>
                <w:color w:val="auto"/>
              </w:rPr>
            </w:pPr>
          </w:p>
        </w:tc>
        <w:tc>
          <w:tcPr>
            <w:tcW w:w="1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86366E106</w:t>
            </w:r>
          </w:p>
        </w:tc>
        <w:tc>
          <w:tcPr>
            <w:tcW w:w="640" w:type="dxa"/>
            <w:vAlign w:val="bottom"/>
          </w:tcPr>
          <w:p>
            <w:pPr>
              <w:spacing w:after="0"/>
              <w:rPr>
                <w:sz w:val="24"/>
                <w:szCs w:val="24"/>
                <w:color w:val="auto"/>
              </w:rPr>
            </w:pPr>
          </w:p>
        </w:tc>
        <w:tc>
          <w:tcPr>
            <w:tcW w:w="8440" w:type="dxa"/>
            <w:vAlign w:val="bottom"/>
          </w:tcPr>
          <w:p>
            <w:pPr>
              <w:spacing w:after="0"/>
              <w:rPr>
                <w:sz w:val="24"/>
                <w:szCs w:val="24"/>
                <w:color w:val="auto"/>
              </w:rPr>
            </w:pP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1022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If This Statement is Filed Pursuant to Rule 13d-1(b), or 13d-2(b) or (c), Check Whether the Person Filing is a:</w:t>
            </w:r>
          </w:p>
        </w:tc>
      </w:tr>
      <w:tr>
        <w:trPr>
          <w:trHeight w:val="432"/>
        </w:trPr>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102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w:t>
            </w: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Broker or dealer registered under Section 15 of the Exchange Act.</w:t>
            </w:r>
          </w:p>
        </w:tc>
      </w:tr>
      <w:tr>
        <w:trPr>
          <w:trHeight w:val="432"/>
        </w:trPr>
        <w:tc>
          <w:tcPr>
            <w:tcW w:w="102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w:t>
            </w: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Bank as defined in Section 3(a)(6) of the Exchange Act.</w:t>
            </w:r>
          </w:p>
        </w:tc>
      </w:tr>
      <w:tr>
        <w:trPr>
          <w:trHeight w:val="432"/>
        </w:trPr>
        <w:tc>
          <w:tcPr>
            <w:tcW w:w="102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Insurance company as defined in Section 3(a)(19) of the Exchange Act.</w:t>
            </w:r>
          </w:p>
        </w:tc>
      </w:tr>
      <w:tr>
        <w:trPr>
          <w:trHeight w:val="432"/>
        </w:trPr>
        <w:tc>
          <w:tcPr>
            <w:tcW w:w="102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w:t>
            </w: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company registered under Section 8 of the Investment Company Act.</w:t>
            </w:r>
          </w:p>
        </w:tc>
      </w:tr>
      <w:tr>
        <w:trPr>
          <w:trHeight w:val="432"/>
        </w:trPr>
        <w:tc>
          <w:tcPr>
            <w:tcW w:w="102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w:t>
            </w: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 investment adviser in accordance with Rule 13d-1(b)(1)(ii)(E).</w:t>
            </w:r>
          </w:p>
        </w:tc>
      </w:tr>
      <w:tr>
        <w:trPr>
          <w:trHeight w:val="432"/>
        </w:trPr>
        <w:tc>
          <w:tcPr>
            <w:tcW w:w="102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w:t>
            </w: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 employee benefit plan or endowment fund in accordance with Rule 13d-1(b)(1)(ii)(F).</w:t>
            </w:r>
          </w:p>
        </w:tc>
      </w:tr>
      <w:tr>
        <w:trPr>
          <w:trHeight w:val="432"/>
        </w:trPr>
        <w:tc>
          <w:tcPr>
            <w:tcW w:w="102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w:t>
            </w: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 parent holding company or control person in accordance with Rule 13d-1(b)(1)(ii)(G).</w:t>
            </w:r>
          </w:p>
        </w:tc>
      </w:tr>
      <w:tr>
        <w:trPr>
          <w:trHeight w:val="432"/>
        </w:trPr>
        <w:tc>
          <w:tcPr>
            <w:tcW w:w="102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w:t>
            </w: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 savings association as defined in Section 3(b) of the Federal Deposit Insurance Act.</w:t>
            </w:r>
          </w:p>
        </w:tc>
      </w:tr>
      <w:tr>
        <w:trPr>
          <w:trHeight w:val="414"/>
        </w:trPr>
        <w:tc>
          <w:tcPr>
            <w:tcW w:w="102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w:t>
            </w: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 church plan that is excluded from the definition of an investment company under Section 3(c)(14) of the</w:t>
            </w:r>
          </w:p>
        </w:tc>
      </w:tr>
      <w:tr>
        <w:trPr>
          <w:trHeight w:val="234"/>
        </w:trPr>
        <w:tc>
          <w:tcPr>
            <w:tcW w:w="10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Company Act.</w:t>
            </w:r>
          </w:p>
        </w:tc>
      </w:tr>
      <w:tr>
        <w:trPr>
          <w:trHeight w:val="432"/>
        </w:trPr>
        <w:tc>
          <w:tcPr>
            <w:tcW w:w="102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(j)</w:t>
            </w: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 non-U.S. institution, in accordance with Rule 13d-1(b)(1)(ii)(J).</w:t>
            </w:r>
          </w:p>
        </w:tc>
      </w:tr>
      <w:tr>
        <w:trPr>
          <w:trHeight w:val="414"/>
        </w:trPr>
        <w:tc>
          <w:tcPr>
            <w:tcW w:w="102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(k)</w:t>
            </w: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Group, in accordance with Rule 13d-1(b)(1)(ii)(K). If filing as a non-U.S. institution in accordance with Rule</w:t>
            </w:r>
          </w:p>
        </w:tc>
      </w:tr>
      <w:tr>
        <w:trPr>
          <w:trHeight w:val="234"/>
        </w:trPr>
        <w:tc>
          <w:tcPr>
            <w:tcW w:w="10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13d-1(b)(1)(ii)(J), please specify the type of institution: ____</w:t>
            </w:r>
          </w:p>
        </w:tc>
      </w:tr>
      <w:tr>
        <w:trPr>
          <w:trHeight w:val="540"/>
        </w:trPr>
        <w:tc>
          <w:tcPr>
            <w:tcW w:w="10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440" w:type="dxa"/>
            <w:vAlign w:val="bottom"/>
            <w:tcBorders>
              <w:bottom w:val="single" w:sz="8" w:color="auto"/>
            </w:tcBorders>
          </w:tcPr>
          <w:p>
            <w:pPr>
              <w:ind w:left="2740"/>
              <w:spacing w:after="0"/>
              <w:rPr>
                <w:sz w:val="20"/>
                <w:szCs w:val="20"/>
                <w:color w:val="auto"/>
              </w:rPr>
            </w:pPr>
            <w:r>
              <w:rPr>
                <w:rFonts w:ascii="Times New Roman" w:cs="Times New Roman" w:eastAsia="Times New Roman" w:hAnsi="Times New Roman"/>
                <w:sz w:val="18"/>
                <w:szCs w:val="18"/>
                <w:color w:val="auto"/>
              </w:rPr>
              <w:t>13</w:t>
            </w:r>
          </w:p>
        </w:tc>
      </w:tr>
    </w:tbl>
    <w:p>
      <w:pPr>
        <w:sectPr>
          <w:pgSz w:w="11900" w:h="16838" w:orient="portrait"/>
          <w:cols w:equalWidth="0" w:num="1">
            <w:col w:w="11240"/>
          </w:cols>
          <w:pgMar w:left="320" w:top="22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color w:val="auto"/>
        </w:rPr>
        <w:t>CUSIP No. 86366E106</w:t>
      </w:r>
    </w:p>
    <w:p>
      <w:pPr>
        <w:spacing w:after="0" w:line="10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229" w:lineRule="exact"/>
        <w:rPr>
          <w:sz w:val="20"/>
          <w:szCs w:val="20"/>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25" w:lineRule="exact"/>
        <w:rPr>
          <w:rFonts w:ascii="Times New Roman" w:cs="Times New Roman" w:eastAsia="Times New Roman" w:hAnsi="Times New Roman"/>
          <w:sz w:val="18"/>
          <w:szCs w:val="18"/>
          <w:color w:val="auto"/>
        </w:rPr>
      </w:pPr>
    </w:p>
    <w:p>
      <w:pPr>
        <w:jc w:val="both"/>
        <w:ind w:left="130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close of business on December 20, 2023, (i) BVF beneficially owned 1,282,254 Shares, consisting of 1,282,254 Shares issuable upon the conversion of non-voting ordinary shares (represented by 427,418 ADSs) it directly owns, (ii) BVF2 beneficially owned 994,452 Shares, including 19,224 Shares represented by 6,408 ADSs and 975,228 Shares issuable upon the conversion of non-voting ordinary shares (represented by 325,076 ADSs) it directly owns, and (iii) Trading Fund OS beneficially owned 124,677 Shares, including 17,820 Shares represented by 5,940 ADSs and 106,857 Shares issuable upon the conversion of non-voting ordinary shares (represented by 35,619 ADSs) it directly owns.</w:t>
      </w:r>
    </w:p>
    <w:p>
      <w:pPr>
        <w:spacing w:after="0" w:line="187" w:lineRule="exact"/>
        <w:rPr>
          <w:rFonts w:ascii="Times New Roman" w:cs="Times New Roman" w:eastAsia="Times New Roman" w:hAnsi="Times New Roman"/>
          <w:sz w:val="18"/>
          <w:szCs w:val="18"/>
          <w:color w:val="auto"/>
        </w:rPr>
      </w:pPr>
    </w:p>
    <w:p>
      <w:pPr>
        <w:ind w:left="1300" w:right="680"/>
        <w:spacing w:after="0" w:line="53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BVF GP, as the general partner of BVF, may be deemed to beneficially own the 1,282,254 Shares beneficially owned by BVF. BVF2 GP, as the general partner of BVF2, may be deemed to beneficially own the 994,452 Shares beneficially owned by BVF2.</w:t>
      </w:r>
    </w:p>
    <w:p>
      <w:pPr>
        <w:ind w:left="130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 OS, as the general partner of Trading Fund OS, may be deemed to beneficially own the 124,677 Shares beneficially owned by Trading Fund OS.</w:t>
      </w:r>
    </w:p>
    <w:p>
      <w:pPr>
        <w:spacing w:after="0" w:line="161"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BVF GPH, as the sole member of each of BVF GP and BVF2 GP, may be deemed to beneficially own the 2,276,706 Shares beneficially owned in the aggregate by BVF and BVF2.</w:t>
      </w:r>
    </w:p>
    <w:p>
      <w:pPr>
        <w:spacing w:after="0" w:line="161" w:lineRule="exact"/>
        <w:rPr>
          <w:rFonts w:ascii="Times New Roman" w:cs="Times New Roman" w:eastAsia="Times New Roman" w:hAnsi="Times New Roman"/>
          <w:sz w:val="18"/>
          <w:szCs w:val="18"/>
          <w:color w:val="auto"/>
        </w:rPr>
      </w:pPr>
    </w:p>
    <w:p>
      <w:pPr>
        <w:jc w:val="both"/>
        <w:ind w:left="13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 as the investment manager of BVF, BVF2 and Trading Fund OS, and the sole member of Partners OS, may be deemed to beneficially own the 2,438,964 Shares beneficially owned in the aggregate by BVF, BVF2 and Trading Fund OS, including 37,581 Shares issuable upon the conversion of non-voting ordinary shares (represented by 12,527 ADSs) held in a certain Partners managed account (the “Partners Managed Account”).</w:t>
      </w:r>
    </w:p>
    <w:p>
      <w:pPr>
        <w:spacing w:after="0" w:line="17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BVF Inc., as the general partner of Partners, may be deemed to beneficially own the 2,438,964 Shares beneficially owned by Partners.</w:t>
      </w:r>
    </w:p>
    <w:p>
      <w:pPr>
        <w:spacing w:after="0" w:line="225"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Mr. Lampert, as a director and officer of BVF Inc., may be deemed to beneficially own the 2,438,964 Shares beneficially owned by BVF Inc.</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color w:val="auto"/>
        </w:rPr>
        <w:t>CUSIP No. 86366E106</w:t>
      </w:r>
    </w:p>
    <w:p>
      <w:pPr>
        <w:spacing w:after="0" w:line="323" w:lineRule="exact"/>
        <w:rPr>
          <w:sz w:val="20"/>
          <w:szCs w:val="20"/>
          <w:color w:val="auto"/>
        </w:rPr>
      </w:pPr>
    </w:p>
    <w:p>
      <w:pPr>
        <w:jc w:val="both"/>
        <w:ind w:left="1300"/>
        <w:spacing w:after="0" w:line="255" w:lineRule="auto"/>
        <w:rPr>
          <w:sz w:val="20"/>
          <w:szCs w:val="20"/>
          <w:color w:val="auto"/>
        </w:rPr>
      </w:pPr>
      <w:r>
        <w:rPr>
          <w:rFonts w:ascii="Times New Roman" w:cs="Times New Roman" w:eastAsia="Times New Roman" w:hAnsi="Times New Roman"/>
          <w:sz w:val="18"/>
          <w:szCs w:val="18"/>
          <w:color w:val="auto"/>
        </w:rPr>
        <w:t>The foregoing should not be construed in and of itself as an admission by any Reporting Person as to beneficial ownership of any Shares owned by another Reporting Person. BVF GP disclaims beneficial ownership of the Shares beneficially owned by BVF. BVF2 GP disclaims beneficial ownership of the Shares beneficially owned by BVF2. Partners OS disclaims beneficial ownership of the Shares beneficially owned by Trading Fund OS. BVF GPH disclaims beneficial ownership of the Shares beneficially owned by BVF and BVF2. Each of Partners, BVF Inc. and Mr. Lampert disclaims beneficial ownership of the Shares beneficially owned by BVF, BVF2 and Trading Fund OS and held in the Partners Managed Account, and the filing of this statement shall not be construed as an admission that any such person or entity is the beneficial owner of any such securities.</w:t>
      </w:r>
    </w:p>
    <w:p>
      <w:pPr>
        <w:spacing w:after="0" w:line="189" w:lineRule="exact"/>
        <w:rPr>
          <w:sz w:val="20"/>
          <w:szCs w:val="20"/>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5" w:lineRule="exact"/>
        <w:rPr>
          <w:rFonts w:ascii="Times New Roman" w:cs="Times New Roman" w:eastAsia="Times New Roman" w:hAnsi="Times New Roman"/>
          <w:sz w:val="18"/>
          <w:szCs w:val="18"/>
          <w:color w:val="auto"/>
        </w:rPr>
      </w:pPr>
    </w:p>
    <w:p>
      <w:pPr>
        <w:jc w:val="both"/>
        <w:ind w:left="13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percentages are based upon a denominator that is the sum of: (i) 136,757,395 Shares outstanding as of October 31, 2023, which is the total number of Shares outstanding as disclosed in the Issuer’s Quarterly Report on Form 10-Q filed with the Securities and Exchange Commission on November 17, 2023, and (ii) certain or all of the 2,401,920 Shares issuable upon the conversion of non-voting ordinary shares (represented by 800,640 ADSs) held by the Reporting Persons and by the Partners Managed Account, as applicable.</w:t>
      </w:r>
    </w:p>
    <w:p>
      <w:pPr>
        <w:spacing w:after="0" w:line="179" w:lineRule="exact"/>
        <w:rPr>
          <w:rFonts w:ascii="Times New Roman" w:cs="Times New Roman" w:eastAsia="Times New Roman" w:hAnsi="Times New Roman"/>
          <w:sz w:val="18"/>
          <w:szCs w:val="18"/>
          <w:color w:val="auto"/>
        </w:rPr>
      </w:pPr>
    </w:p>
    <w:p>
      <w:pPr>
        <w:jc w:val="both"/>
        <w:ind w:left="13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close of business on December 20, 2023, (i) BVF beneficially owned less than 1% of the outstanding Shares, (ii) BVF2 beneficially owned less than 1% of the outstanding Shares, (iii) Trading Fund OS beneficially owned less than 1% of the outstanding Shares, (iv) BVF GP may be deemed to beneficially own less than 1% of the outstanding Shares, (v) BVF2 GP may be deemed to beneficially own less than 1% of the outstanding Shares, (vi) Partners OS may be deemed to beneficially own less than 1% of the outstanding Shares, (vii) BVF GPH may be deemed to beneficially own approximately 1.6% of the outstanding Shares, and (viii) each of Partners, BVF Inc. and Mr. Lampert may be deemed to beneficially own approximately 1.8% of the outstanding Shares (less than 1% of the outstanding Shares are issuable upon conversion of the non-voting ordinary shares held in the Partners Managed Account).</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sz w:val="20"/>
          <w:szCs w:val="20"/>
          <w:color w:val="auto"/>
        </w:rPr>
      </w:pPr>
    </w:p>
    <w:p>
      <w:pPr>
        <w:ind w:left="1300" w:right="7120" w:hanging="644"/>
        <w:spacing w:after="0" w:line="500"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See Cover Pages Items 5-9.</w:t>
      </w:r>
    </w:p>
    <w:p>
      <w:pPr>
        <w:spacing w:after="0" w:line="1" w:lineRule="exact"/>
        <w:rPr>
          <w:rFonts w:ascii="Times New Roman" w:cs="Times New Roman" w:eastAsia="Times New Roman" w:hAnsi="Times New Roman"/>
          <w:sz w:val="18"/>
          <w:szCs w:val="18"/>
          <w:color w:val="auto"/>
        </w:rPr>
      </w:pPr>
    </w:p>
    <w:p>
      <w:pPr>
        <w:ind w:left="1300" w:right="6940" w:hanging="644"/>
        <w:spacing w:after="0" w:line="500"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See Cover Pages Items 5-9.</w:t>
      </w:r>
    </w:p>
    <w:p>
      <w:pPr>
        <w:spacing w:after="0" w:line="1" w:lineRule="exact"/>
        <w:rPr>
          <w:rFonts w:ascii="Times New Roman" w:cs="Times New Roman" w:eastAsia="Times New Roman" w:hAnsi="Times New Roman"/>
          <w:sz w:val="18"/>
          <w:szCs w:val="18"/>
          <w:color w:val="auto"/>
        </w:rPr>
      </w:pPr>
    </w:p>
    <w:p>
      <w:pPr>
        <w:ind w:left="1300" w:right="6220" w:hanging="644"/>
        <w:spacing w:after="0" w:line="500"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See Cover Pages Items 5-9.</w:t>
      </w:r>
    </w:p>
    <w:p>
      <w:pPr>
        <w:spacing w:after="0" w:line="1" w:lineRule="exact"/>
        <w:rPr>
          <w:rFonts w:ascii="Times New Roman" w:cs="Times New Roman" w:eastAsia="Times New Roman" w:hAnsi="Times New Roman"/>
          <w:sz w:val="18"/>
          <w:szCs w:val="18"/>
          <w:color w:val="auto"/>
        </w:rPr>
      </w:pPr>
    </w:p>
    <w:p>
      <w:pPr>
        <w:ind w:left="1300" w:right="6040" w:hanging="644"/>
        <w:spacing w:after="0" w:line="438"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See Cover Pages Items 5-9.</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color w:val="auto"/>
        </w:rPr>
        <w:t>CUSIP No. 86366E106</w:t>
      </w:r>
    </w:p>
    <w:p>
      <w:pPr>
        <w:spacing w:after="0" w:line="31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Persons have ceased to be the beneficial owner of more than five percent of the Shares, check the following [X].</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both"/>
        <w:ind w:left="130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That Acquired the Security Being Reported on by the Parent Holding Company or Control Person.</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See Exhibit 99.1 to the Schedule 13G filed by the Reporting Persons with the Securities and Exchange Commission on February 13, 2023.</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color w:val="auto"/>
        </w:rPr>
        <w:t>CUSIP No. 86366E106</w:t>
      </w: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SIGNATURE</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his knowledge and belief, each of the undersigned certifies that the information set forth in this statement is true, complete and correct.</w:t>
      </w:r>
    </w:p>
    <w:p>
      <w:pPr>
        <w:sectPr>
          <w:pgSz w:w="11900" w:h="16838" w:orient="portrait"/>
          <w:cols w:equalWidth="0" w:num="1">
            <w:col w:w="11220"/>
          </w:cols>
          <w:pgMar w:left="320" w:top="220" w:right="35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20,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BIOTECHNOLOGY VALUE FUND, L.P.</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BVF I GP LLC, its general partner</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0689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Mark N. Lampert</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BVF I GP LLC</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0689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Mark N. Lampert</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BIOTECHNOLOGY VALUE FUND II, L.P.</w:t>
      </w:r>
    </w:p>
    <w:p>
      <w:pPr>
        <w:spacing w:after="0" w:line="23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BVF II GP LLC, its general partner</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0689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Mark N. Lampert</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BVF II GP LLC</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0689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Mark N. Lampert</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BVF PARTNERS OS LTD.</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BVF Partners L.P., its sole member</w:t>
      </w:r>
    </w:p>
    <w:p>
      <w:pPr>
        <w:spacing w:after="0" w:line="2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BVF Inc., its general partner</w:t>
      </w:r>
    </w:p>
    <w:p>
      <w:pPr>
        <w:spacing w:after="0" w:line="22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0689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Mark N. Lampert</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President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BIOTECHNOLOGY VALUE TRADING FUND OS LP</w:t>
      </w:r>
    </w:p>
    <w:p>
      <w:pPr>
        <w:spacing w:after="0" w:line="237"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By:</w:t>
        <w:tab/>
        <w:t>BVF Partners L.P., its investment manager</w:t>
      </w:r>
    </w:p>
    <w:p>
      <w:pPr>
        <w:spacing w:after="0" w:line="27"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By:</w:t>
        <w:tab/>
        <w:t>BVF Inc., its general partner</w:t>
      </w:r>
    </w:p>
    <w:p>
      <w:pPr>
        <w:spacing w:after="0" w:line="220"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17145</wp:posOffset>
            </wp:positionV>
            <wp:extent cx="32746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Mark N. Lampert</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President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BVF GP HOLDINGS LLC</w:t>
      </w:r>
    </w:p>
    <w:p>
      <w:pPr>
        <w:spacing w:after="0" w:line="225"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By:</w:t>
        <w:tab/>
        <w:t>/s/ Mark N. Lampert</w:t>
      </w:r>
    </w:p>
    <w:p>
      <w:pPr>
        <w:spacing w:after="0" w:line="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-127635</wp:posOffset>
            </wp:positionV>
            <wp:extent cx="32746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BVF PARTNERS L.P.</w:t>
      </w:r>
    </w:p>
    <w:p>
      <w:pPr>
        <w:spacing w:after="0" w:line="225"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By:</w:t>
        <w:tab/>
        <w:t>BVF Inc., its general partner</w:t>
      </w:r>
    </w:p>
    <w:p>
      <w:pPr>
        <w:spacing w:after="0" w:line="23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17145</wp:posOffset>
            </wp:positionV>
            <wp:extent cx="32746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Mark N. Lampert</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President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BVF INC.</w:t>
      </w:r>
    </w:p>
    <w:p>
      <w:pPr>
        <w:spacing w:after="0" w:line="225"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By:</w:t>
        <w:tab/>
        <w:t>/s/ Mark N. Lampert</w:t>
      </w:r>
    </w:p>
    <w:p>
      <w:pPr>
        <w:spacing w:after="0" w:line="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-127635</wp:posOffset>
            </wp:positionV>
            <wp:extent cx="327469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President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35572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N. LAMPERT</w:t>
      </w:r>
    </w:p>
    <w:p>
      <w:pPr>
        <w:spacing w:after="0" w:line="1307" w:lineRule="exact"/>
        <w:rPr>
          <w:sz w:val="20"/>
          <w:szCs w:val="20"/>
          <w:color w:val="auto"/>
        </w:rPr>
      </w:pPr>
    </w:p>
    <w:p>
      <w:pPr>
        <w:sectPr>
          <w:pgSz w:w="11900" w:h="16838" w:orient="portrait"/>
          <w:cols w:equalWidth="0" w:num="2">
            <w:col w:w="4920" w:space="720"/>
            <w:col w:w="5580"/>
          </w:cols>
          <w:pgMar w:left="320" w:top="220" w:right="359" w:bottom="1440" w:gutter="0" w:footer="0" w:header="0"/>
          <w:type w:val="continuous"/>
        </w:sectPr>
      </w:pPr>
    </w:p>
    <w:p>
      <w:pPr>
        <w:spacing w:after="0" w:line="1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bullet"/>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
    </w:lvl>
    <w:lvl w:ilvl="1">
      <w:lvlJc w:val="left"/>
      <w:lvlText w:val="%2"/>
      <w:numFmt w:val="decimal"/>
      <w:start w:val="12"/>
    </w:lvl>
  </w:abstractNum>
  <w:abstractNum w:abstractNumId="9">
    <w:nsid w:val="6B68079A"/>
    <w:multiLevelType w:val="hybridMultilevel"/>
    <w:lvl w:ilvl="0">
      <w:lvlJc w:val="left"/>
      <w:lvlText w:val="(%1)"/>
      <w:numFmt w:val="decimal"/>
      <w:start w:val="1"/>
    </w:lvl>
    <w:lvl w:ilvl="1">
      <w:lvlJc w:val="left"/>
      <w:lvlText w:val="%2"/>
      <w:numFmt w:val="decimal"/>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bullet"/>
      <w:start w:val="1"/>
    </w:lvl>
  </w:abstractNum>
  <w:abstractNum w:abstractNumId="15">
    <w:nsid w:val="7C83E458"/>
    <w:multiLevelType w:val="hybridMultilevel"/>
    <w:lvl w:ilvl="0">
      <w:lvlJc w:val="left"/>
      <w:lvlText w:val="3"/>
      <w:numFmt w:val="bullet"/>
      <w:start w:val="1"/>
    </w:lvl>
  </w:abstractNum>
  <w:abstractNum w:abstractNumId="16">
    <w:nsid w:val="257130A3"/>
    <w:multiLevelType w:val="hybridMultilevel"/>
    <w:lvl w:ilvl="0">
      <w:lvlJc w:val="left"/>
      <w:lvlText w:val="4"/>
      <w:numFmt w:val="bullet"/>
      <w:start w:val="1"/>
    </w:lvl>
  </w:abstractNum>
  <w:abstractNum w:abstractNumId="17">
    <w:nsid w:val="62BBD95A"/>
    <w:multiLevelType w:val="hybridMultilevel"/>
    <w:lvl w:ilvl="0">
      <w:lvlJc w:val="left"/>
      <w:lvlText w:val="%1"/>
      <w:numFmt w:val="decimal"/>
      <w:start w:val="1"/>
    </w:lvl>
    <w:lvl w:ilvl="1">
      <w:lvlJc w:val="left"/>
      <w:lvlText w:val="%2"/>
      <w:numFmt w:val="decimal"/>
      <w:start w:val="12"/>
    </w:lvl>
  </w:abstractNum>
  <w:abstractNum w:abstractNumId="18">
    <w:nsid w:val="436C6125"/>
    <w:multiLevelType w:val="hybridMultilevel"/>
    <w:lvl w:ilvl="0">
      <w:lvlJc w:val="left"/>
      <w:lvlText w:val="(%1)"/>
      <w:numFmt w:val="decimal"/>
      <w:start w:val="1"/>
    </w:lvl>
    <w:lvl w:ilvl="1">
      <w:lvlJc w:val="left"/>
      <w:lvlText w:val="%2"/>
      <w:numFmt w:val="decimal"/>
      <w:start w:val="1"/>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lowerLetter"/>
      <w:start w:val="2"/>
    </w:lvl>
  </w:abstractNum>
  <w:abstractNum w:abstractNumId="21">
    <w:nsid w:val="721DA31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2023-12-20T15:51:38Z</dcterms:created>
  <dcterms:modified xsi:type="dcterms:W3CDTF">2023-12-20T15:51:38Z</dcterms:modified>
</cp:coreProperties>
</file>